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22C5E" w14:textId="77777777" w:rsidR="00DA3508" w:rsidRDefault="00DA3508" w:rsidP="009A5CCA">
      <w:pPr>
        <w:pStyle w:val="IntenseQuote"/>
        <w:spacing w:before="0" w:after="0" w:line="0" w:lineRule="atLeast"/>
        <w:ind w:right="0" w:hanging="936"/>
        <w:jc w:val="right"/>
        <w:rPr>
          <w:rFonts w:ascii="Times New Roman" w:hAnsi="Times New Roman" w:cs="Times New Roman"/>
          <w:i w:val="0"/>
          <w:color w:val="002060"/>
          <w:sz w:val="24"/>
          <w:szCs w:val="24"/>
        </w:rPr>
      </w:pPr>
      <w:r w:rsidRPr="00E02B40">
        <w:rPr>
          <w:rFonts w:ascii="Times New Roman" w:hAnsi="Times New Roman" w:cs="Times New Roman"/>
          <w:i w:val="0"/>
          <w:color w:val="002060"/>
          <w:sz w:val="28"/>
          <w:szCs w:val="24"/>
        </w:rPr>
        <w:t>Improving Transport Logistics and Competitiveness in Suriname</w:t>
      </w:r>
    </w:p>
    <w:p w14:paraId="4AE7369A" w14:textId="438F91F8" w:rsidR="009A5CCA" w:rsidRPr="00A24E84" w:rsidRDefault="009A5CCA" w:rsidP="009A5CCA">
      <w:pPr>
        <w:pStyle w:val="IntenseQuote"/>
        <w:spacing w:before="0" w:after="0" w:line="0" w:lineRule="atLeast"/>
        <w:ind w:right="0" w:hanging="936"/>
        <w:jc w:val="right"/>
        <w:rPr>
          <w:rFonts w:ascii="Times New Roman" w:hAnsi="Times New Roman" w:cs="Times New Roman"/>
          <w:b w:val="0"/>
          <w:color w:val="002060"/>
          <w:sz w:val="24"/>
          <w:szCs w:val="24"/>
        </w:rPr>
      </w:pPr>
      <w:r w:rsidRPr="00A24E84">
        <w:rPr>
          <w:rFonts w:ascii="Times New Roman" w:hAnsi="Times New Roman" w:cs="Times New Roman"/>
          <w:b w:val="0"/>
          <w:color w:val="002060"/>
          <w:sz w:val="24"/>
          <w:szCs w:val="24"/>
        </w:rPr>
        <w:t xml:space="preserve">Technical Annex </w:t>
      </w:r>
      <w:r w:rsidR="00DA3508">
        <w:rPr>
          <w:rFonts w:ascii="Times New Roman" w:hAnsi="Times New Roman" w:cs="Times New Roman"/>
          <w:b w:val="0"/>
          <w:color w:val="002060"/>
          <w:sz w:val="24"/>
          <w:szCs w:val="24"/>
        </w:rPr>
        <w:t>SU</w:t>
      </w:r>
      <w:r w:rsidRPr="00A24E84">
        <w:rPr>
          <w:rFonts w:ascii="Times New Roman" w:hAnsi="Times New Roman" w:cs="Times New Roman"/>
          <w:b w:val="0"/>
          <w:color w:val="002060"/>
          <w:sz w:val="24"/>
          <w:szCs w:val="24"/>
        </w:rPr>
        <w:t>-L</w:t>
      </w:r>
      <w:r w:rsidR="00DA3508">
        <w:rPr>
          <w:rFonts w:ascii="Times New Roman" w:hAnsi="Times New Roman" w:cs="Times New Roman"/>
          <w:b w:val="0"/>
          <w:color w:val="002060"/>
          <w:sz w:val="24"/>
          <w:szCs w:val="24"/>
        </w:rPr>
        <w:t>1057</w:t>
      </w:r>
    </w:p>
    <w:p w14:paraId="23268EA2" w14:textId="77777777" w:rsidR="009A5CCA" w:rsidRPr="00A24E84" w:rsidRDefault="009A5CCA" w:rsidP="009A5CCA">
      <w:pPr>
        <w:pStyle w:val="IntenseQuote"/>
        <w:spacing w:before="0" w:after="0" w:line="0" w:lineRule="atLeast"/>
        <w:ind w:right="0" w:hanging="936"/>
        <w:jc w:val="right"/>
        <w:rPr>
          <w:rFonts w:ascii="Times New Roman" w:hAnsi="Times New Roman" w:cs="Times New Roman"/>
          <w:b w:val="0"/>
          <w:color w:val="002060"/>
          <w:sz w:val="24"/>
          <w:szCs w:val="24"/>
        </w:rPr>
      </w:pPr>
      <w:r w:rsidRPr="00A24E84">
        <w:rPr>
          <w:rFonts w:ascii="Times New Roman" w:hAnsi="Times New Roman" w:cs="Times New Roman"/>
          <w:b w:val="0"/>
          <w:color w:val="002060"/>
          <w:sz w:val="24"/>
          <w:szCs w:val="24"/>
        </w:rPr>
        <w:t>Regional Integration</w:t>
      </w:r>
    </w:p>
    <w:p w14:paraId="193AAAC8" w14:textId="77777777" w:rsidR="009A5CCA" w:rsidRPr="00D0623B" w:rsidRDefault="009A5CCA" w:rsidP="009A5CCA">
      <w:pPr>
        <w:spacing w:after="0" w:line="0" w:lineRule="atLeast"/>
        <w:ind w:hanging="936"/>
        <w:jc w:val="right"/>
        <w:rPr>
          <w:rFonts w:ascii="Times New Roman" w:hAnsi="Times New Roman" w:cs="Times New Roman"/>
          <w:sz w:val="24"/>
          <w:szCs w:val="24"/>
        </w:rPr>
      </w:pPr>
    </w:p>
    <w:tbl>
      <w:tblPr>
        <w:tblStyle w:val="TableGrid"/>
        <w:tblW w:w="9450" w:type="dxa"/>
        <w:tblInd w:w="108" w:type="dxa"/>
        <w:tblLook w:val="04A0" w:firstRow="1" w:lastRow="0" w:firstColumn="1" w:lastColumn="0" w:noHBand="0" w:noVBand="1"/>
      </w:tblPr>
      <w:tblGrid>
        <w:gridCol w:w="9450"/>
      </w:tblGrid>
      <w:tr w:rsidR="009A5CCA" w:rsidRPr="00D0623B" w14:paraId="397799EA" w14:textId="77777777" w:rsidTr="00E94406">
        <w:tc>
          <w:tcPr>
            <w:tcW w:w="9450" w:type="dxa"/>
          </w:tcPr>
          <w:p w14:paraId="7AB66A88" w14:textId="77777777" w:rsidR="009A5CCA" w:rsidRPr="00D0623B" w:rsidRDefault="009A5CCA" w:rsidP="00E94406">
            <w:pPr>
              <w:tabs>
                <w:tab w:val="left" w:pos="2085"/>
              </w:tabs>
              <w:spacing w:line="0" w:lineRule="atLeast"/>
              <w:jc w:val="both"/>
              <w:rPr>
                <w:rFonts w:ascii="Times New Roman" w:hAnsi="Times New Roman" w:cs="Times New Roman"/>
                <w:b/>
                <w:szCs w:val="21"/>
              </w:rPr>
            </w:pPr>
            <w:r>
              <w:rPr>
                <w:rFonts w:ascii="Times New Roman" w:hAnsi="Times New Roman" w:cs="Times New Roman"/>
                <w:b/>
                <w:szCs w:val="21"/>
              </w:rPr>
              <w:t>Abstract</w:t>
            </w:r>
          </w:p>
          <w:p w14:paraId="4D47CC62" w14:textId="42CDE7C5" w:rsidR="0036071B" w:rsidRDefault="00F06C0F" w:rsidP="00D26F69">
            <w:pPr>
              <w:tabs>
                <w:tab w:val="left" w:pos="2085"/>
              </w:tabs>
              <w:spacing w:line="0" w:lineRule="atLeast"/>
              <w:jc w:val="both"/>
              <w:rPr>
                <w:rFonts w:ascii="Times New Roman" w:hAnsi="Times New Roman" w:cs="Times New Roman"/>
              </w:rPr>
            </w:pPr>
            <w:r w:rsidRPr="0068714C">
              <w:rPr>
                <w:rFonts w:ascii="Times New Roman" w:hAnsi="Times New Roman" w:cs="Times New Roman"/>
              </w:rPr>
              <w:t>Transport infrastructure networks in Surinam are key for its integration to regional and global markets</w:t>
            </w:r>
            <w:r w:rsidR="00DA3216" w:rsidRPr="0068714C">
              <w:rPr>
                <w:rFonts w:ascii="Times New Roman" w:hAnsi="Times New Roman" w:cs="Times New Roman"/>
              </w:rPr>
              <w:t xml:space="preserve">. </w:t>
            </w:r>
            <w:r w:rsidR="00CE44A8" w:rsidRPr="0068714C">
              <w:rPr>
                <w:rFonts w:ascii="Times New Roman" w:hAnsi="Times New Roman" w:cs="Times New Roman"/>
              </w:rPr>
              <w:t xml:space="preserve">In Suriname it is observed a costly cross-border transactions and high logistics costs, which limit competitiveness and access to markets. </w:t>
            </w:r>
            <w:r w:rsidR="00DA3216" w:rsidRPr="0068714C">
              <w:rPr>
                <w:rFonts w:ascii="Times New Roman" w:hAnsi="Times New Roman" w:cs="Times New Roman"/>
              </w:rPr>
              <w:t xml:space="preserve">The most important infrastructure for international trade in Suriname is </w:t>
            </w:r>
            <w:r w:rsidR="00EC5383" w:rsidRPr="00EC5383">
              <w:rPr>
                <w:rFonts w:ascii="Times New Roman" w:hAnsi="Times New Roman" w:cs="Times New Roman"/>
              </w:rPr>
              <w:t xml:space="preserve">Paramaribo </w:t>
            </w:r>
            <w:r w:rsidR="00DA3216" w:rsidRPr="0068714C">
              <w:rPr>
                <w:rFonts w:ascii="Times New Roman" w:hAnsi="Times New Roman" w:cs="Times New Roman"/>
              </w:rPr>
              <w:t>P</w:t>
            </w:r>
            <w:r w:rsidR="00EC5383" w:rsidRPr="00EC5383">
              <w:rPr>
                <w:rFonts w:ascii="Times New Roman" w:hAnsi="Times New Roman" w:cs="Times New Roman"/>
              </w:rPr>
              <w:t>ort</w:t>
            </w:r>
            <w:r w:rsidR="00DA3216" w:rsidRPr="0068714C">
              <w:rPr>
                <w:rFonts w:ascii="Times New Roman" w:hAnsi="Times New Roman" w:cs="Times New Roman"/>
              </w:rPr>
              <w:t xml:space="preserve">, specifically the Dr. Jules Sydney Terminal which handles most of the commerce of the country with </w:t>
            </w:r>
            <w:r w:rsidR="008C779C" w:rsidRPr="0068714C">
              <w:rPr>
                <w:rFonts w:ascii="Times New Roman" w:hAnsi="Times New Roman" w:cs="Times New Roman"/>
              </w:rPr>
              <w:t>high</w:t>
            </w:r>
            <w:r w:rsidR="00A81DA1">
              <w:rPr>
                <w:rFonts w:ascii="Times New Roman" w:hAnsi="Times New Roman" w:cs="Times New Roman"/>
              </w:rPr>
              <w:t xml:space="preserve"> regional</w:t>
            </w:r>
            <w:r w:rsidR="008C779C" w:rsidRPr="0068714C">
              <w:rPr>
                <w:rFonts w:ascii="Times New Roman" w:hAnsi="Times New Roman" w:cs="Times New Roman"/>
              </w:rPr>
              <w:t xml:space="preserve"> </w:t>
            </w:r>
            <w:r w:rsidR="00CE44A8">
              <w:rPr>
                <w:rFonts w:ascii="Times New Roman" w:hAnsi="Times New Roman" w:cs="Times New Roman"/>
              </w:rPr>
              <w:t>connections</w:t>
            </w:r>
            <w:r w:rsidR="00536672">
              <w:rPr>
                <w:rFonts w:ascii="Times New Roman" w:hAnsi="Times New Roman" w:cs="Times New Roman"/>
              </w:rPr>
              <w:t xml:space="preserve">. Despite its relevance, </w:t>
            </w:r>
            <w:r w:rsidR="00536672" w:rsidRPr="0068714C">
              <w:rPr>
                <w:rFonts w:ascii="Times New Roman" w:hAnsi="Times New Roman" w:cs="Times New Roman"/>
              </w:rPr>
              <w:t>Dr. Jules Sydney Terminal</w:t>
            </w:r>
            <w:r w:rsidR="00536672">
              <w:rPr>
                <w:rFonts w:ascii="Times New Roman" w:hAnsi="Times New Roman" w:cs="Times New Roman"/>
              </w:rPr>
              <w:t xml:space="preserve"> </w:t>
            </w:r>
            <w:r w:rsidR="0036071B">
              <w:rPr>
                <w:rFonts w:ascii="Times New Roman" w:hAnsi="Times New Roman" w:cs="Times New Roman"/>
              </w:rPr>
              <w:t xml:space="preserve">shows </w:t>
            </w:r>
            <w:r w:rsidR="0036071B" w:rsidRPr="0068714C">
              <w:rPr>
                <w:rFonts w:ascii="Times New Roman" w:hAnsi="Times New Roman" w:cs="Times New Roman"/>
              </w:rPr>
              <w:t>capacity and congestion issues</w:t>
            </w:r>
            <w:r w:rsidR="0036071B">
              <w:rPr>
                <w:rFonts w:ascii="Times New Roman" w:hAnsi="Times New Roman" w:cs="Times New Roman"/>
              </w:rPr>
              <w:t xml:space="preserve"> that </w:t>
            </w:r>
            <w:r w:rsidR="0036071B" w:rsidRPr="0068714C">
              <w:rPr>
                <w:rFonts w:ascii="Times New Roman" w:hAnsi="Times New Roman" w:cs="Times New Roman"/>
              </w:rPr>
              <w:t>does not permit to perform better services that benefit international trade and tourism</w:t>
            </w:r>
            <w:r w:rsidR="00196FDD">
              <w:rPr>
                <w:rFonts w:ascii="Times New Roman" w:hAnsi="Times New Roman" w:cs="Times New Roman"/>
              </w:rPr>
              <w:t>.</w:t>
            </w:r>
            <w:r w:rsidR="0036071B">
              <w:rPr>
                <w:rFonts w:ascii="Times New Roman" w:hAnsi="Times New Roman" w:cs="Times New Roman"/>
              </w:rPr>
              <w:t xml:space="preserve"> </w:t>
            </w:r>
          </w:p>
          <w:p w14:paraId="2A271C5B" w14:textId="5D4A724F" w:rsidR="009A5CCA" w:rsidRPr="00290F58" w:rsidRDefault="00611556" w:rsidP="00125552">
            <w:pPr>
              <w:tabs>
                <w:tab w:val="left" w:pos="2085"/>
              </w:tabs>
              <w:spacing w:line="0" w:lineRule="atLeast"/>
              <w:jc w:val="both"/>
              <w:rPr>
                <w:rFonts w:ascii="Times New Roman" w:hAnsi="Times New Roman" w:cs="Times New Roman"/>
              </w:rPr>
            </w:pPr>
            <w:bookmarkStart w:id="0" w:name="_Hlk515370043"/>
            <w:r w:rsidRPr="0068714C">
              <w:rPr>
                <w:rFonts w:ascii="Times New Roman" w:hAnsi="Times New Roman" w:cs="Times New Roman"/>
              </w:rPr>
              <w:t xml:space="preserve">The Project (SU-L1057) aims to increase </w:t>
            </w:r>
            <w:r w:rsidRPr="00B55C4A">
              <w:rPr>
                <w:rFonts w:ascii="Times New Roman" w:hAnsi="Times New Roman" w:cs="Times New Roman"/>
              </w:rPr>
              <w:t>Suriname's competitiveness and productivity by improving logistics</w:t>
            </w:r>
            <w:r w:rsidRPr="0068714C">
              <w:rPr>
                <w:rFonts w:ascii="Times New Roman" w:hAnsi="Times New Roman" w:cs="Times New Roman"/>
              </w:rPr>
              <w:t xml:space="preserve"> </w:t>
            </w:r>
            <w:r w:rsidRPr="00B55C4A">
              <w:rPr>
                <w:rFonts w:ascii="Times New Roman" w:hAnsi="Times New Roman" w:cs="Times New Roman"/>
              </w:rPr>
              <w:t xml:space="preserve">performance </w:t>
            </w:r>
            <w:bookmarkEnd w:id="0"/>
            <w:r w:rsidR="00E4510A" w:rsidRPr="0068714C">
              <w:rPr>
                <w:rFonts w:ascii="Times New Roman" w:hAnsi="Times New Roman" w:cs="Times New Roman"/>
              </w:rPr>
              <w:t xml:space="preserve">through </w:t>
            </w:r>
            <w:r w:rsidR="00EC5383" w:rsidRPr="00EC5383">
              <w:rPr>
                <w:rFonts w:ascii="Times New Roman" w:hAnsi="Times New Roman" w:cs="Times New Roman"/>
              </w:rPr>
              <w:t xml:space="preserve">interventions in Paramaribo </w:t>
            </w:r>
            <w:r w:rsidR="00E4510A" w:rsidRPr="0068714C">
              <w:rPr>
                <w:rFonts w:ascii="Times New Roman" w:hAnsi="Times New Roman" w:cs="Times New Roman"/>
              </w:rPr>
              <w:t>P</w:t>
            </w:r>
            <w:r w:rsidR="00EC5383" w:rsidRPr="00EC5383">
              <w:rPr>
                <w:rFonts w:ascii="Times New Roman" w:hAnsi="Times New Roman" w:cs="Times New Roman"/>
              </w:rPr>
              <w:t>ort</w:t>
            </w:r>
            <w:r w:rsidR="00CE47C9">
              <w:rPr>
                <w:rFonts w:ascii="Times New Roman" w:hAnsi="Times New Roman" w:cs="Times New Roman"/>
              </w:rPr>
              <w:t xml:space="preserve"> with important effects in </w:t>
            </w:r>
            <w:r w:rsidR="001935C2" w:rsidRPr="001935C2">
              <w:rPr>
                <w:rFonts w:ascii="Times New Roman" w:hAnsi="Times New Roman" w:cs="Times New Roman"/>
              </w:rPr>
              <w:t xml:space="preserve">competitiveness of the </w:t>
            </w:r>
            <w:r w:rsidR="001935C2" w:rsidRPr="0068714C">
              <w:rPr>
                <w:rFonts w:ascii="Times New Roman" w:hAnsi="Times New Roman" w:cs="Times New Roman"/>
              </w:rPr>
              <w:t xml:space="preserve">agricultural </w:t>
            </w:r>
            <w:r w:rsidR="001935C2" w:rsidRPr="001935C2">
              <w:rPr>
                <w:rFonts w:ascii="Times New Roman" w:hAnsi="Times New Roman" w:cs="Times New Roman"/>
              </w:rPr>
              <w:t xml:space="preserve">product. </w:t>
            </w:r>
            <w:r w:rsidR="009A5CCA" w:rsidRPr="0068714C">
              <w:rPr>
                <w:rFonts w:ascii="Times New Roman" w:hAnsi="Times New Roman" w:cs="Times New Roman"/>
              </w:rPr>
              <w:t xml:space="preserve">This document explains how the project supports the economic integration of </w:t>
            </w:r>
            <w:r w:rsidR="003E40FC" w:rsidRPr="0068714C">
              <w:rPr>
                <w:rFonts w:ascii="Times New Roman" w:hAnsi="Times New Roman" w:cs="Times New Roman"/>
              </w:rPr>
              <w:t>Suriname</w:t>
            </w:r>
            <w:r w:rsidR="009A5CCA" w:rsidRPr="0068714C">
              <w:rPr>
                <w:rFonts w:ascii="Times New Roman" w:hAnsi="Times New Roman" w:cs="Times New Roman"/>
              </w:rPr>
              <w:t xml:space="preserve"> through </w:t>
            </w:r>
            <w:r w:rsidR="00EC5383" w:rsidRPr="00EC5383">
              <w:rPr>
                <w:rFonts w:ascii="Times New Roman" w:hAnsi="Times New Roman" w:cs="Times New Roman"/>
              </w:rPr>
              <w:t xml:space="preserve">interventions in Paramaribo </w:t>
            </w:r>
            <w:r w:rsidR="00EF6FC7" w:rsidRPr="0068714C">
              <w:rPr>
                <w:rFonts w:ascii="Times New Roman" w:hAnsi="Times New Roman" w:cs="Times New Roman"/>
              </w:rPr>
              <w:t>P</w:t>
            </w:r>
            <w:r w:rsidR="00EC5383" w:rsidRPr="00EC5383">
              <w:rPr>
                <w:rFonts w:ascii="Times New Roman" w:hAnsi="Times New Roman" w:cs="Times New Roman"/>
              </w:rPr>
              <w:t>ort related to; (</w:t>
            </w:r>
            <w:proofErr w:type="spellStart"/>
            <w:r w:rsidR="00EC5383" w:rsidRPr="00EC5383">
              <w:rPr>
                <w:rFonts w:ascii="Times New Roman" w:hAnsi="Times New Roman" w:cs="Times New Roman"/>
              </w:rPr>
              <w:t>i</w:t>
            </w:r>
            <w:proofErr w:type="spellEnd"/>
            <w:r w:rsidR="00EC5383" w:rsidRPr="00EC5383">
              <w:rPr>
                <w:rFonts w:ascii="Times New Roman" w:hAnsi="Times New Roman" w:cs="Times New Roman"/>
              </w:rPr>
              <w:t xml:space="preserve">) Road interventions Capacity expansion of Martin Luther King and Van ‘t </w:t>
            </w:r>
            <w:proofErr w:type="spellStart"/>
            <w:r w:rsidR="00EC5383" w:rsidRPr="00EC5383">
              <w:rPr>
                <w:rFonts w:ascii="Times New Roman" w:hAnsi="Times New Roman" w:cs="Times New Roman"/>
              </w:rPr>
              <w:t>Hogerhuysstraat</w:t>
            </w:r>
            <w:proofErr w:type="spellEnd"/>
            <w:r w:rsidR="00EC5383" w:rsidRPr="00EC5383">
              <w:rPr>
                <w:rFonts w:ascii="Times New Roman" w:hAnsi="Times New Roman" w:cs="Times New Roman"/>
              </w:rPr>
              <w:t xml:space="preserve">; (ii) Repaving and improvement of other corridors, and implementation of ITS; (iii) Port interventions: Truck center outside the port, implementation of a port community system and (iv) Institutional </w:t>
            </w:r>
            <w:r w:rsidR="00052B16" w:rsidRPr="0068714C">
              <w:rPr>
                <w:rFonts w:ascii="Times New Roman" w:hAnsi="Times New Roman" w:cs="Times New Roman"/>
              </w:rPr>
              <w:t>strengthening</w:t>
            </w:r>
            <w:r w:rsidR="00465555">
              <w:rPr>
                <w:rFonts w:ascii="Times New Roman" w:hAnsi="Times New Roman" w:cs="Times New Roman"/>
              </w:rPr>
              <w:t>. This intervention</w:t>
            </w:r>
            <w:r w:rsidR="00EC5383" w:rsidRPr="00EC5383">
              <w:rPr>
                <w:rFonts w:ascii="Times New Roman" w:hAnsi="Times New Roman" w:cs="Times New Roman"/>
              </w:rPr>
              <w:t xml:space="preserve"> will contribute to reduce congestion and improve logistics services and commerce processes, which is expected to be reflected in gains for users, the productive sectors and the competitiveness of firms. </w:t>
            </w:r>
            <w:r w:rsidR="009A5CCA" w:rsidRPr="0068714C">
              <w:rPr>
                <w:rFonts w:ascii="Times New Roman" w:hAnsi="Times New Roman" w:cs="Times New Roman"/>
              </w:rPr>
              <w:t xml:space="preserve">According to the Results Matrix of the project, </w:t>
            </w:r>
            <w:r w:rsidR="007C5E65" w:rsidRPr="0068714C">
              <w:rPr>
                <w:rFonts w:ascii="Times New Roman" w:hAnsi="Times New Roman" w:cs="Times New Roman"/>
              </w:rPr>
              <w:t>the logistics improvements</w:t>
            </w:r>
            <w:r w:rsidR="009A5CCA" w:rsidRPr="0068714C">
              <w:rPr>
                <w:rFonts w:ascii="Times New Roman" w:hAnsi="Times New Roman" w:cs="Times New Roman"/>
              </w:rPr>
              <w:t xml:space="preserve"> will have the following positive outcomes related to regional integration facilitation: (</w:t>
            </w:r>
            <w:proofErr w:type="spellStart"/>
            <w:r w:rsidR="009A5CCA" w:rsidRPr="0068714C">
              <w:rPr>
                <w:rFonts w:ascii="Times New Roman" w:hAnsi="Times New Roman" w:cs="Times New Roman"/>
              </w:rPr>
              <w:t>i</w:t>
            </w:r>
            <w:proofErr w:type="spellEnd"/>
            <w:r w:rsidR="009A5CCA" w:rsidRPr="0068714C">
              <w:rPr>
                <w:rFonts w:ascii="Times New Roman" w:hAnsi="Times New Roman" w:cs="Times New Roman"/>
              </w:rPr>
              <w:t xml:space="preserve">) </w:t>
            </w:r>
            <w:r w:rsidR="007C5E65" w:rsidRPr="00465555">
              <w:rPr>
                <w:rFonts w:ascii="Times New Roman" w:hAnsi="Times New Roman" w:cs="Times New Roman"/>
              </w:rPr>
              <w:t>xxx</w:t>
            </w:r>
          </w:p>
        </w:tc>
      </w:tr>
    </w:tbl>
    <w:p w14:paraId="3C586B18" w14:textId="77777777" w:rsidR="009A5CCA" w:rsidRPr="00D0623B" w:rsidRDefault="009A5CCA" w:rsidP="009A5CCA">
      <w:pPr>
        <w:tabs>
          <w:tab w:val="left" w:pos="2085"/>
        </w:tabs>
        <w:spacing w:after="0" w:line="0" w:lineRule="atLeast"/>
        <w:jc w:val="both"/>
        <w:rPr>
          <w:rFonts w:ascii="Times New Roman" w:hAnsi="Times New Roman" w:cs="Times New Roman"/>
          <w:sz w:val="24"/>
          <w:szCs w:val="24"/>
        </w:rPr>
      </w:pPr>
    </w:p>
    <w:p w14:paraId="27113D54" w14:textId="77777777" w:rsidR="009A5CCA" w:rsidRPr="00D0623B" w:rsidRDefault="009A5CCA" w:rsidP="009A5CCA">
      <w:pPr>
        <w:keepNext/>
        <w:keepLines/>
        <w:numPr>
          <w:ilvl w:val="0"/>
          <w:numId w:val="1"/>
        </w:numPr>
        <w:tabs>
          <w:tab w:val="left" w:pos="540"/>
        </w:tabs>
        <w:spacing w:after="0" w:line="0" w:lineRule="atLeast"/>
        <w:ind w:left="720" w:hanging="540"/>
        <w:jc w:val="both"/>
        <w:outlineLvl w:val="1"/>
        <w:rPr>
          <w:rFonts w:ascii="Times New Roman" w:eastAsia="MS Gothic" w:hAnsi="Times New Roman" w:cs="Times New Roman"/>
          <w:b/>
          <w:bCs/>
          <w:smallCaps/>
          <w:color w:val="44546A" w:themeColor="text2"/>
          <w:sz w:val="24"/>
          <w:szCs w:val="24"/>
        </w:rPr>
      </w:pPr>
      <w:r>
        <w:rPr>
          <w:rFonts w:ascii="Times New Roman" w:eastAsia="MS Gothic" w:hAnsi="Times New Roman" w:cs="Times New Roman"/>
          <w:b/>
          <w:bCs/>
          <w:smallCaps/>
          <w:color w:val="44546A" w:themeColor="text2"/>
          <w:sz w:val="24"/>
          <w:szCs w:val="24"/>
        </w:rPr>
        <w:t>Introduction</w:t>
      </w:r>
    </w:p>
    <w:p w14:paraId="5B6A8F8A" w14:textId="77777777" w:rsidR="009A5CCA" w:rsidRPr="00D0623B" w:rsidRDefault="009A5CCA" w:rsidP="009A5CCA">
      <w:pPr>
        <w:tabs>
          <w:tab w:val="left" w:pos="2085"/>
        </w:tabs>
        <w:spacing w:after="0" w:line="0" w:lineRule="atLeast"/>
        <w:jc w:val="both"/>
        <w:rPr>
          <w:rFonts w:ascii="Times New Roman" w:hAnsi="Times New Roman" w:cs="Times New Roman"/>
          <w:sz w:val="24"/>
          <w:szCs w:val="24"/>
        </w:rPr>
      </w:pPr>
    </w:p>
    <w:p w14:paraId="03C3F26A" w14:textId="2FE7BE4A" w:rsidR="00FE3F64" w:rsidRDefault="0075711F" w:rsidP="00C6753B">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FE3F64">
        <w:rPr>
          <w:rFonts w:ascii="Times New Roman" w:hAnsi="Times New Roman" w:cs="Times New Roman"/>
          <w:sz w:val="24"/>
          <w:szCs w:val="24"/>
        </w:rPr>
        <w:t xml:space="preserve">Suriname is the smallest country in South America, but in the regional academic literature it is always considered the largest of the Caribbean territories. </w:t>
      </w:r>
      <w:r w:rsidR="00D74C82" w:rsidRPr="00FE3F64">
        <w:rPr>
          <w:rFonts w:ascii="Times New Roman" w:hAnsi="Times New Roman" w:cs="Times New Roman"/>
          <w:sz w:val="24"/>
          <w:szCs w:val="24"/>
        </w:rPr>
        <w:t>Surinam</w:t>
      </w:r>
      <w:r w:rsidR="00675333" w:rsidRPr="00FE3F64">
        <w:rPr>
          <w:rFonts w:ascii="Times New Roman" w:hAnsi="Times New Roman" w:cs="Times New Roman"/>
          <w:sz w:val="24"/>
          <w:szCs w:val="24"/>
        </w:rPr>
        <w:t xml:space="preserve"> is a small open economy</w:t>
      </w:r>
      <w:r w:rsidR="008143DF" w:rsidRPr="00FE3F64">
        <w:rPr>
          <w:rFonts w:ascii="Times New Roman" w:hAnsi="Times New Roman" w:cs="Times New Roman"/>
          <w:sz w:val="24"/>
          <w:szCs w:val="24"/>
        </w:rPr>
        <w:t xml:space="preserve">, </w:t>
      </w:r>
      <w:r w:rsidR="00D74C82" w:rsidRPr="00FE3F64">
        <w:rPr>
          <w:rFonts w:ascii="Times New Roman" w:hAnsi="Times New Roman" w:cs="Times New Roman"/>
          <w:sz w:val="24"/>
          <w:szCs w:val="24"/>
        </w:rPr>
        <w:t xml:space="preserve">dominated by the mining </w:t>
      </w:r>
      <w:r w:rsidR="00D04A55" w:rsidRPr="00FE3F64">
        <w:rPr>
          <w:rFonts w:ascii="Times New Roman" w:hAnsi="Times New Roman" w:cs="Times New Roman"/>
          <w:sz w:val="24"/>
          <w:szCs w:val="24"/>
        </w:rPr>
        <w:t xml:space="preserve">and oil </w:t>
      </w:r>
      <w:r w:rsidR="00D74C82" w:rsidRPr="00FE3F64">
        <w:rPr>
          <w:rFonts w:ascii="Times New Roman" w:hAnsi="Times New Roman" w:cs="Times New Roman"/>
          <w:sz w:val="24"/>
          <w:szCs w:val="24"/>
        </w:rPr>
        <w:t>industry, with exports of gold</w:t>
      </w:r>
      <w:r w:rsidR="00D04A55" w:rsidRPr="00FE3F64">
        <w:rPr>
          <w:rFonts w:ascii="Times New Roman" w:hAnsi="Times New Roman" w:cs="Times New Roman"/>
          <w:sz w:val="24"/>
          <w:szCs w:val="24"/>
        </w:rPr>
        <w:t xml:space="preserve"> and oil</w:t>
      </w:r>
      <w:r w:rsidR="00D74C82" w:rsidRPr="00FE3F64">
        <w:rPr>
          <w:rFonts w:ascii="Times New Roman" w:hAnsi="Times New Roman" w:cs="Times New Roman"/>
          <w:sz w:val="24"/>
          <w:szCs w:val="24"/>
        </w:rPr>
        <w:t xml:space="preserve"> accounting for approximately </w:t>
      </w:r>
      <w:r w:rsidR="00D04A55" w:rsidRPr="00FE3F64">
        <w:rPr>
          <w:rFonts w:ascii="Times New Roman" w:hAnsi="Times New Roman" w:cs="Times New Roman"/>
          <w:sz w:val="24"/>
          <w:szCs w:val="24"/>
        </w:rPr>
        <w:t>73</w:t>
      </w:r>
      <w:r w:rsidR="00D74C82" w:rsidRPr="00FE3F64">
        <w:rPr>
          <w:rFonts w:ascii="Times New Roman" w:hAnsi="Times New Roman" w:cs="Times New Roman"/>
          <w:sz w:val="24"/>
          <w:szCs w:val="24"/>
        </w:rPr>
        <w:t>% of exports</w:t>
      </w:r>
      <w:r w:rsidR="008143DF" w:rsidRPr="00FE3F64">
        <w:rPr>
          <w:rFonts w:ascii="Times New Roman" w:hAnsi="Times New Roman" w:cs="Times New Roman"/>
          <w:sz w:val="24"/>
          <w:szCs w:val="24"/>
        </w:rPr>
        <w:t xml:space="preserve"> by value</w:t>
      </w:r>
      <w:r w:rsidR="00D04A55" w:rsidRPr="00FE3F64">
        <w:rPr>
          <w:rFonts w:ascii="Times New Roman" w:hAnsi="Times New Roman" w:cs="Times New Roman"/>
          <w:sz w:val="24"/>
          <w:szCs w:val="24"/>
        </w:rPr>
        <w:t>.</w:t>
      </w:r>
      <w:r w:rsidR="00D74C82" w:rsidRPr="00FE3F64">
        <w:rPr>
          <w:rFonts w:ascii="Times New Roman" w:hAnsi="Times New Roman" w:cs="Times New Roman"/>
          <w:sz w:val="24"/>
          <w:szCs w:val="24"/>
        </w:rPr>
        <w:t> </w:t>
      </w:r>
      <w:r w:rsidR="00DB2547" w:rsidRPr="00FE3F64">
        <w:rPr>
          <w:rFonts w:ascii="Times New Roman" w:hAnsi="Times New Roman" w:cs="Times New Roman"/>
          <w:sz w:val="24"/>
          <w:szCs w:val="24"/>
        </w:rPr>
        <w:t xml:space="preserve"> </w:t>
      </w:r>
      <w:r w:rsidR="00AC6526" w:rsidRPr="00FE3F64">
        <w:rPr>
          <w:rFonts w:ascii="Times New Roman" w:hAnsi="Times New Roman" w:cs="Times New Roman"/>
          <w:sz w:val="24"/>
          <w:szCs w:val="24"/>
        </w:rPr>
        <w:t>In the past, bauxite/alumina exports were Suriname’s main industry, but production has declined in recent years as mines became worked out.</w:t>
      </w:r>
      <w:r w:rsidR="0040265B" w:rsidRPr="00FE3F64">
        <w:rPr>
          <w:rFonts w:ascii="Times New Roman" w:hAnsi="Times New Roman" w:cs="Times New Roman"/>
          <w:sz w:val="24"/>
          <w:szCs w:val="24"/>
        </w:rPr>
        <w:t xml:space="preserve"> </w:t>
      </w:r>
      <w:r w:rsidR="00675333" w:rsidRPr="00FE3F64">
        <w:rPr>
          <w:rFonts w:ascii="Times New Roman" w:hAnsi="Times New Roman" w:cs="Times New Roman"/>
          <w:sz w:val="24"/>
          <w:szCs w:val="24"/>
        </w:rPr>
        <w:t xml:space="preserve">The agricultural sector remains a significant driver of the </w:t>
      </w:r>
      <w:r w:rsidR="008143DF" w:rsidRPr="00FE3F64">
        <w:rPr>
          <w:rFonts w:ascii="Times New Roman" w:hAnsi="Times New Roman" w:cs="Times New Roman"/>
          <w:sz w:val="24"/>
          <w:szCs w:val="24"/>
        </w:rPr>
        <w:t>Suriname</w:t>
      </w:r>
      <w:r w:rsidR="00675333" w:rsidRPr="00FE3F64">
        <w:rPr>
          <w:rFonts w:ascii="Times New Roman" w:hAnsi="Times New Roman" w:cs="Times New Roman"/>
          <w:sz w:val="24"/>
          <w:szCs w:val="24"/>
        </w:rPr>
        <w:t xml:space="preserve"> economy</w:t>
      </w:r>
      <w:r w:rsidR="0065206C" w:rsidRPr="00FE3F64">
        <w:rPr>
          <w:rFonts w:ascii="Times New Roman" w:hAnsi="Times New Roman" w:cs="Times New Roman"/>
          <w:sz w:val="24"/>
          <w:szCs w:val="24"/>
        </w:rPr>
        <w:t>;</w:t>
      </w:r>
      <w:r w:rsidR="00675333" w:rsidRPr="00FE3F64">
        <w:rPr>
          <w:rFonts w:ascii="Times New Roman" w:hAnsi="Times New Roman" w:cs="Times New Roman"/>
          <w:sz w:val="24"/>
          <w:szCs w:val="24"/>
        </w:rPr>
        <w:t xml:space="preserve"> </w:t>
      </w:r>
      <w:r w:rsidR="0065206C" w:rsidRPr="00FE3F64">
        <w:rPr>
          <w:rFonts w:ascii="Times New Roman" w:hAnsi="Times New Roman" w:cs="Times New Roman"/>
          <w:sz w:val="24"/>
          <w:szCs w:val="24"/>
        </w:rPr>
        <w:t>being</w:t>
      </w:r>
      <w:r w:rsidR="00675333" w:rsidRPr="00FE3F64">
        <w:rPr>
          <w:rFonts w:ascii="Times New Roman" w:hAnsi="Times New Roman" w:cs="Times New Roman"/>
          <w:sz w:val="24"/>
          <w:szCs w:val="24"/>
        </w:rPr>
        <w:t xml:space="preserve"> </w:t>
      </w:r>
      <w:r w:rsidR="008143DF" w:rsidRPr="00FE3F64">
        <w:rPr>
          <w:rFonts w:ascii="Times New Roman" w:hAnsi="Times New Roman" w:cs="Times New Roman"/>
          <w:sz w:val="24"/>
          <w:szCs w:val="24"/>
        </w:rPr>
        <w:t xml:space="preserve">banana, fish, wood and rice </w:t>
      </w:r>
      <w:r w:rsidR="00675333" w:rsidRPr="00FE3F64">
        <w:rPr>
          <w:rFonts w:ascii="Times New Roman" w:hAnsi="Times New Roman" w:cs="Times New Roman"/>
          <w:sz w:val="24"/>
          <w:szCs w:val="24"/>
        </w:rPr>
        <w:t>the most important products</w:t>
      </w:r>
      <w:r w:rsidR="00455D3A">
        <w:rPr>
          <w:rFonts w:ascii="Times New Roman" w:hAnsi="Times New Roman" w:cs="Times New Roman"/>
          <w:sz w:val="24"/>
          <w:szCs w:val="24"/>
        </w:rPr>
        <w:t xml:space="preserve"> for international trade</w:t>
      </w:r>
      <w:r w:rsidR="00675333" w:rsidRPr="00FE3F64">
        <w:rPr>
          <w:rFonts w:ascii="Times New Roman" w:hAnsi="Times New Roman" w:cs="Times New Roman"/>
          <w:sz w:val="24"/>
          <w:szCs w:val="24"/>
        </w:rPr>
        <w:t xml:space="preserve">. </w:t>
      </w:r>
    </w:p>
    <w:p w14:paraId="60580B28" w14:textId="77777777" w:rsidR="00FE3F64" w:rsidRDefault="00FE3F64" w:rsidP="00FE3F64">
      <w:pPr>
        <w:pStyle w:val="ListParagraph"/>
        <w:tabs>
          <w:tab w:val="left" w:pos="540"/>
          <w:tab w:val="left" w:pos="2085"/>
        </w:tabs>
        <w:spacing w:after="0" w:line="0" w:lineRule="atLeast"/>
        <w:ind w:left="360"/>
        <w:jc w:val="both"/>
        <w:rPr>
          <w:rFonts w:ascii="Times New Roman" w:hAnsi="Times New Roman" w:cs="Times New Roman"/>
          <w:sz w:val="24"/>
          <w:szCs w:val="24"/>
        </w:rPr>
      </w:pPr>
    </w:p>
    <w:p w14:paraId="061FE9BC" w14:textId="0E2A31C4" w:rsidR="00382629" w:rsidRPr="00FE3F64" w:rsidRDefault="005D54FF" w:rsidP="00C6753B">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FE3F64">
        <w:rPr>
          <w:rFonts w:ascii="Times New Roman" w:hAnsi="Times New Roman" w:cs="Times New Roman"/>
          <w:sz w:val="24"/>
          <w:szCs w:val="24"/>
        </w:rPr>
        <w:t xml:space="preserve">Transport infrastructure networks </w:t>
      </w:r>
      <w:r w:rsidR="00C46815" w:rsidRPr="00FE3F64">
        <w:rPr>
          <w:rFonts w:ascii="Times New Roman" w:hAnsi="Times New Roman" w:cs="Times New Roman"/>
          <w:sz w:val="24"/>
          <w:szCs w:val="24"/>
        </w:rPr>
        <w:t xml:space="preserve">in </w:t>
      </w:r>
      <w:r w:rsidRPr="00FE3F64">
        <w:rPr>
          <w:rFonts w:ascii="Times New Roman" w:hAnsi="Times New Roman" w:cs="Times New Roman"/>
          <w:sz w:val="24"/>
          <w:szCs w:val="24"/>
        </w:rPr>
        <w:t>Surinam are key for its integration to regional and global markets</w:t>
      </w:r>
      <w:r w:rsidR="00C46815" w:rsidRPr="00FE3F64">
        <w:rPr>
          <w:rFonts w:ascii="Times New Roman" w:hAnsi="Times New Roman" w:cs="Times New Roman"/>
          <w:sz w:val="24"/>
          <w:szCs w:val="24"/>
        </w:rPr>
        <w:t xml:space="preserve">. </w:t>
      </w:r>
      <w:r w:rsidR="00382629" w:rsidRPr="00FE3F64">
        <w:rPr>
          <w:rFonts w:ascii="Times New Roman" w:hAnsi="Times New Roman" w:cs="Times New Roman"/>
          <w:sz w:val="24"/>
          <w:szCs w:val="24"/>
        </w:rPr>
        <w:t>Dr. Jules Sydney Terminal is Suriname’s most important port with almost 90% of the country’s import and export seaborne traffic, excluding oil and alumina. Nearly all containerized agricultural products exports traffic goes by ship from this port; the rest is transported by private terminals. Currently, the port has an annual throughput capacity of approximately 100,00 TEUs, with the potential to double it in accordance with future demand. The total TEU traffic of the port has increased since two terminals started operations in 2011.</w:t>
      </w:r>
    </w:p>
    <w:p w14:paraId="02B93CDE" w14:textId="6C1BEB54" w:rsidR="0078612E" w:rsidRDefault="0078612E" w:rsidP="00382629">
      <w:pPr>
        <w:pStyle w:val="ListParagraph"/>
        <w:tabs>
          <w:tab w:val="left" w:pos="540"/>
          <w:tab w:val="left" w:pos="2085"/>
        </w:tabs>
        <w:spacing w:line="0" w:lineRule="atLeast"/>
        <w:ind w:left="360"/>
        <w:jc w:val="both"/>
        <w:rPr>
          <w:rFonts w:ascii="Times New Roman" w:hAnsi="Times New Roman" w:cs="Times New Roman"/>
          <w:sz w:val="24"/>
          <w:szCs w:val="24"/>
        </w:rPr>
      </w:pPr>
    </w:p>
    <w:p w14:paraId="5E7C4AAE" w14:textId="7ACD9C0B" w:rsidR="00B3420D" w:rsidRPr="00B3420D" w:rsidRDefault="00B3420D" w:rsidP="00343CF4">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B3420D">
        <w:rPr>
          <w:rFonts w:ascii="Times New Roman" w:hAnsi="Times New Roman" w:cs="Times New Roman"/>
          <w:sz w:val="24"/>
          <w:szCs w:val="24"/>
        </w:rPr>
        <w:t xml:space="preserve">The Inter-American Development Bank (IDB) is promoting an improvement initiative to help Suriname’s transport in the Port of Paramaribo and its adjacent roads. The Improvement of Logistic and Transport in Paramaribo Program aims to increase Suriname's competitiveness </w:t>
      </w:r>
      <w:r w:rsidRPr="00B3420D">
        <w:rPr>
          <w:rFonts w:ascii="Times New Roman" w:hAnsi="Times New Roman" w:cs="Times New Roman"/>
          <w:sz w:val="24"/>
          <w:szCs w:val="24"/>
        </w:rPr>
        <w:lastRenderedPageBreak/>
        <w:t xml:space="preserve">and productivity in the agricultural sector by improving the transport logistics within and near the Dr. Jules </w:t>
      </w:r>
      <w:proofErr w:type="spellStart"/>
      <w:r w:rsidRPr="00B3420D">
        <w:rPr>
          <w:rFonts w:ascii="Times New Roman" w:hAnsi="Times New Roman" w:cs="Times New Roman"/>
          <w:sz w:val="24"/>
          <w:szCs w:val="24"/>
        </w:rPr>
        <w:t>Sedney</w:t>
      </w:r>
      <w:proofErr w:type="spellEnd"/>
      <w:r w:rsidRPr="00B3420D">
        <w:rPr>
          <w:rFonts w:ascii="Times New Roman" w:hAnsi="Times New Roman" w:cs="Times New Roman"/>
          <w:sz w:val="24"/>
          <w:szCs w:val="24"/>
        </w:rPr>
        <w:t xml:space="preserve"> Terminal. The program considers investments and activities throughout four inter-related fronts: a) </w:t>
      </w:r>
      <w:r w:rsidR="00D23724">
        <w:rPr>
          <w:rFonts w:ascii="Times New Roman" w:hAnsi="Times New Roman" w:cs="Times New Roman"/>
          <w:sz w:val="24"/>
          <w:szCs w:val="24"/>
        </w:rPr>
        <w:t>i</w:t>
      </w:r>
      <w:r w:rsidRPr="00B3420D">
        <w:rPr>
          <w:rFonts w:ascii="Times New Roman" w:hAnsi="Times New Roman" w:cs="Times New Roman"/>
          <w:sz w:val="24"/>
          <w:szCs w:val="24"/>
        </w:rPr>
        <w:t xml:space="preserve">mprovement of port access and land utilization; b) </w:t>
      </w:r>
      <w:r w:rsidR="00D23724">
        <w:rPr>
          <w:rFonts w:ascii="Times New Roman" w:hAnsi="Times New Roman" w:cs="Times New Roman"/>
          <w:sz w:val="24"/>
          <w:szCs w:val="24"/>
        </w:rPr>
        <w:t>o</w:t>
      </w:r>
      <w:r w:rsidRPr="00B3420D">
        <w:rPr>
          <w:rFonts w:ascii="Times New Roman" w:hAnsi="Times New Roman" w:cs="Times New Roman"/>
          <w:sz w:val="24"/>
          <w:szCs w:val="24"/>
        </w:rPr>
        <w:t>ptimization of port</w:t>
      </w:r>
      <w:r w:rsidR="00D23724">
        <w:rPr>
          <w:rFonts w:ascii="Times New Roman" w:hAnsi="Times New Roman" w:cs="Times New Roman"/>
          <w:sz w:val="24"/>
          <w:szCs w:val="24"/>
        </w:rPr>
        <w:t xml:space="preserve"> </w:t>
      </w:r>
      <w:r w:rsidRPr="00B3420D">
        <w:rPr>
          <w:rFonts w:ascii="Times New Roman" w:hAnsi="Times New Roman" w:cs="Times New Roman"/>
          <w:sz w:val="24"/>
          <w:szCs w:val="24"/>
        </w:rPr>
        <w:t xml:space="preserve">operation and customs inspections; c) </w:t>
      </w:r>
      <w:r w:rsidR="00D23724">
        <w:rPr>
          <w:rFonts w:ascii="Times New Roman" w:hAnsi="Times New Roman" w:cs="Times New Roman"/>
          <w:sz w:val="24"/>
          <w:szCs w:val="24"/>
        </w:rPr>
        <w:t>u</w:t>
      </w:r>
      <w:r w:rsidRPr="00B3420D">
        <w:rPr>
          <w:rFonts w:ascii="Times New Roman" w:hAnsi="Times New Roman" w:cs="Times New Roman"/>
          <w:sz w:val="24"/>
          <w:szCs w:val="24"/>
        </w:rPr>
        <w:t xml:space="preserve">pgrade and climate adaptation of road infrastructure, bridges and secondary roads; and d) </w:t>
      </w:r>
      <w:r w:rsidR="00D23724">
        <w:rPr>
          <w:rFonts w:ascii="Times New Roman" w:hAnsi="Times New Roman" w:cs="Times New Roman"/>
          <w:sz w:val="24"/>
          <w:szCs w:val="24"/>
        </w:rPr>
        <w:t>m</w:t>
      </w:r>
      <w:r w:rsidRPr="00B3420D">
        <w:rPr>
          <w:rFonts w:ascii="Times New Roman" w:hAnsi="Times New Roman" w:cs="Times New Roman"/>
          <w:sz w:val="24"/>
          <w:szCs w:val="24"/>
        </w:rPr>
        <w:t xml:space="preserve">odernization of traffic management. </w:t>
      </w:r>
    </w:p>
    <w:p w14:paraId="781C5C8B" w14:textId="77777777" w:rsidR="007939FE" w:rsidRPr="007939FE" w:rsidRDefault="007939FE" w:rsidP="007939FE">
      <w:pPr>
        <w:pStyle w:val="ListParagraph"/>
        <w:rPr>
          <w:rFonts w:ascii="Times New Roman" w:hAnsi="Times New Roman" w:cs="Times New Roman"/>
          <w:sz w:val="24"/>
          <w:szCs w:val="24"/>
        </w:rPr>
      </w:pPr>
    </w:p>
    <w:p w14:paraId="167C59F2" w14:textId="6E8BA8F5" w:rsidR="009A5CCA" w:rsidRDefault="009A5CCA" w:rsidP="00FA0D63">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77139A">
        <w:rPr>
          <w:rFonts w:ascii="Times New Roman" w:hAnsi="Times New Roman" w:cs="Times New Roman"/>
          <w:sz w:val="24"/>
          <w:szCs w:val="24"/>
        </w:rPr>
        <w:t>This document analyzes the</w:t>
      </w:r>
      <w:r w:rsidR="0077139A" w:rsidRPr="0077139A">
        <w:rPr>
          <w:rFonts w:ascii="Times New Roman" w:hAnsi="Times New Roman" w:cs="Times New Roman"/>
          <w:sz w:val="24"/>
          <w:szCs w:val="24"/>
        </w:rPr>
        <w:t xml:space="preserve"> Program of</w:t>
      </w:r>
      <w:r w:rsidRPr="0077139A">
        <w:rPr>
          <w:rFonts w:ascii="Times New Roman" w:hAnsi="Times New Roman" w:cs="Times New Roman"/>
          <w:sz w:val="24"/>
          <w:szCs w:val="24"/>
        </w:rPr>
        <w:t xml:space="preserve"> </w:t>
      </w:r>
      <w:r w:rsidR="003F184B" w:rsidRPr="0077139A">
        <w:rPr>
          <w:rFonts w:ascii="Times New Roman" w:hAnsi="Times New Roman" w:cs="Times New Roman"/>
          <w:sz w:val="24"/>
          <w:szCs w:val="24"/>
        </w:rPr>
        <w:t>Improving Transport Logistics and Competitiveness in Suriname</w:t>
      </w:r>
      <w:r w:rsidRPr="0077139A">
        <w:rPr>
          <w:rFonts w:ascii="Times New Roman" w:hAnsi="Times New Roman" w:cs="Times New Roman"/>
          <w:sz w:val="24"/>
          <w:szCs w:val="24"/>
        </w:rPr>
        <w:t xml:space="preserve"> </w:t>
      </w:r>
      <w:r w:rsidR="0077139A">
        <w:rPr>
          <w:rFonts w:ascii="Times New Roman" w:hAnsi="Times New Roman" w:cs="Times New Roman"/>
          <w:sz w:val="24"/>
          <w:szCs w:val="24"/>
        </w:rPr>
        <w:t>(</w:t>
      </w:r>
      <w:r w:rsidR="0077139A" w:rsidRPr="0077139A">
        <w:rPr>
          <w:rFonts w:ascii="Times New Roman" w:hAnsi="Times New Roman" w:cs="Times New Roman"/>
          <w:sz w:val="24"/>
          <w:szCs w:val="24"/>
        </w:rPr>
        <w:t>SU-L1057</w:t>
      </w:r>
      <w:r w:rsidR="0077139A">
        <w:rPr>
          <w:rFonts w:ascii="Times New Roman" w:hAnsi="Times New Roman" w:cs="Times New Roman"/>
          <w:sz w:val="24"/>
          <w:szCs w:val="24"/>
        </w:rPr>
        <w:t xml:space="preserve">) </w:t>
      </w:r>
      <w:r w:rsidRPr="0077139A">
        <w:rPr>
          <w:rFonts w:ascii="Times New Roman" w:hAnsi="Times New Roman" w:cs="Times New Roman"/>
          <w:sz w:val="24"/>
          <w:szCs w:val="24"/>
        </w:rPr>
        <w:t xml:space="preserve">presenting the arguments that explain the contribution of the project to the economic integration of </w:t>
      </w:r>
      <w:r w:rsidR="003F184B" w:rsidRPr="0077139A">
        <w:rPr>
          <w:rFonts w:ascii="Times New Roman" w:hAnsi="Times New Roman" w:cs="Times New Roman"/>
          <w:sz w:val="24"/>
          <w:szCs w:val="24"/>
        </w:rPr>
        <w:t>Suriname</w:t>
      </w:r>
      <w:r w:rsidRPr="0077139A">
        <w:rPr>
          <w:rFonts w:ascii="Times New Roman" w:hAnsi="Times New Roman" w:cs="Times New Roman"/>
          <w:sz w:val="24"/>
          <w:szCs w:val="24"/>
        </w:rPr>
        <w:t xml:space="preserve">, validating therefore its strategic alignment with the regional challenge of economic integration proposed in the Updated Institutional Strategy of the Bank (UIS) 2010-2020 (GN-2788-5). </w:t>
      </w:r>
      <w:r w:rsidR="001D39B3" w:rsidRPr="0077139A">
        <w:rPr>
          <w:rFonts w:ascii="Times New Roman" w:hAnsi="Times New Roman" w:cs="Times New Roman"/>
          <w:sz w:val="24"/>
          <w:szCs w:val="24"/>
        </w:rPr>
        <w:t xml:space="preserve">This annex aims to demonstrate that the Project will contribute to </w:t>
      </w:r>
      <w:r w:rsidR="0077139A" w:rsidRPr="0077139A">
        <w:rPr>
          <w:rFonts w:ascii="Times New Roman" w:hAnsi="Times New Roman" w:cs="Times New Roman"/>
          <w:sz w:val="24"/>
          <w:szCs w:val="24"/>
        </w:rPr>
        <w:t xml:space="preserve">Suriname economic integration through the improvement in the quality and efficiency of the infrastructure and operations of </w:t>
      </w:r>
      <w:r w:rsidR="00BA38AA">
        <w:rPr>
          <w:rFonts w:ascii="Times New Roman" w:hAnsi="Times New Roman" w:cs="Times New Roman"/>
          <w:sz w:val="24"/>
          <w:szCs w:val="24"/>
        </w:rPr>
        <w:t>Paramaribo Port</w:t>
      </w:r>
      <w:r w:rsidR="0077139A" w:rsidRPr="0077139A">
        <w:rPr>
          <w:rFonts w:ascii="Times New Roman" w:hAnsi="Times New Roman" w:cs="Times New Roman"/>
          <w:sz w:val="24"/>
          <w:szCs w:val="24"/>
        </w:rPr>
        <w:t>.</w:t>
      </w:r>
      <w:r w:rsidR="0077139A">
        <w:rPr>
          <w:rFonts w:ascii="Times New Roman" w:hAnsi="Times New Roman" w:cs="Times New Roman"/>
          <w:sz w:val="24"/>
          <w:szCs w:val="24"/>
        </w:rPr>
        <w:t xml:space="preserve"> </w:t>
      </w:r>
      <w:r w:rsidRPr="0077139A">
        <w:rPr>
          <w:rFonts w:ascii="Times New Roman" w:hAnsi="Times New Roman" w:cs="Times New Roman"/>
          <w:sz w:val="24"/>
          <w:szCs w:val="24"/>
        </w:rPr>
        <w:t xml:space="preserve">The document is organized in </w:t>
      </w:r>
      <w:r w:rsidR="00077DDC" w:rsidRPr="0077139A">
        <w:rPr>
          <w:rFonts w:ascii="Times New Roman" w:hAnsi="Times New Roman" w:cs="Times New Roman"/>
          <w:sz w:val="24"/>
          <w:szCs w:val="24"/>
        </w:rPr>
        <w:t>three</w:t>
      </w:r>
      <w:r w:rsidRPr="0077139A">
        <w:rPr>
          <w:rFonts w:ascii="Times New Roman" w:hAnsi="Times New Roman" w:cs="Times New Roman"/>
          <w:sz w:val="24"/>
          <w:szCs w:val="24"/>
        </w:rPr>
        <w:t xml:space="preserve"> sections: first, it</w:t>
      </w:r>
      <w:r w:rsidR="00077DDC" w:rsidRPr="0077139A">
        <w:rPr>
          <w:rFonts w:ascii="Times New Roman" w:hAnsi="Times New Roman" w:cs="Times New Roman"/>
          <w:sz w:val="24"/>
          <w:szCs w:val="24"/>
        </w:rPr>
        <w:t xml:space="preserve"> is presented the </w:t>
      </w:r>
      <w:r w:rsidR="00824915">
        <w:rPr>
          <w:rFonts w:ascii="Times New Roman" w:hAnsi="Times New Roman" w:cs="Times New Roman"/>
          <w:sz w:val="24"/>
          <w:szCs w:val="24"/>
        </w:rPr>
        <w:t>economic</w:t>
      </w:r>
      <w:r w:rsidR="00077DDC" w:rsidRPr="0077139A">
        <w:rPr>
          <w:rFonts w:ascii="Times New Roman" w:hAnsi="Times New Roman" w:cs="Times New Roman"/>
          <w:sz w:val="24"/>
          <w:szCs w:val="24"/>
        </w:rPr>
        <w:t xml:space="preserve"> context, secondly it is presented</w:t>
      </w:r>
      <w:r w:rsidRPr="0077139A">
        <w:rPr>
          <w:rFonts w:ascii="Times New Roman" w:hAnsi="Times New Roman" w:cs="Times New Roman"/>
          <w:sz w:val="24"/>
          <w:szCs w:val="24"/>
        </w:rPr>
        <w:t xml:space="preserve"> the qualitative and quantitative arguments demonstrating that the project contributes to improve the physical and economic integration of the country; and the </w:t>
      </w:r>
      <w:r w:rsidR="00077DDC" w:rsidRPr="0077139A">
        <w:rPr>
          <w:rFonts w:ascii="Times New Roman" w:hAnsi="Times New Roman" w:cs="Times New Roman"/>
          <w:sz w:val="24"/>
          <w:szCs w:val="24"/>
        </w:rPr>
        <w:t>third</w:t>
      </w:r>
      <w:r w:rsidRPr="0077139A">
        <w:rPr>
          <w:rFonts w:ascii="Times New Roman" w:hAnsi="Times New Roman" w:cs="Times New Roman"/>
          <w:sz w:val="24"/>
          <w:szCs w:val="24"/>
        </w:rPr>
        <w:t xml:space="preserve"> section analyzes the validation of the operation’s alignment with the Economic Integration Challenge in accordance with the UIS and the Bank´s Sector Strategy to Support Competitive Global and Regional Integration (GN-2564-4).</w:t>
      </w:r>
    </w:p>
    <w:p w14:paraId="19BFE36F" w14:textId="72BFA156" w:rsidR="00C21F44" w:rsidRDefault="00C21F44" w:rsidP="00C21F44">
      <w:pPr>
        <w:tabs>
          <w:tab w:val="left" w:pos="540"/>
          <w:tab w:val="left" w:pos="2085"/>
        </w:tabs>
        <w:spacing w:after="0" w:line="0" w:lineRule="atLeast"/>
        <w:jc w:val="both"/>
        <w:rPr>
          <w:rFonts w:ascii="Times New Roman" w:hAnsi="Times New Roman" w:cs="Times New Roman"/>
          <w:sz w:val="24"/>
          <w:szCs w:val="24"/>
        </w:rPr>
      </w:pPr>
    </w:p>
    <w:p w14:paraId="4E13E465" w14:textId="61469DDC" w:rsidR="00C21F44" w:rsidRPr="00D0623B" w:rsidRDefault="00C21F44" w:rsidP="00C21F44">
      <w:pPr>
        <w:keepNext/>
        <w:keepLines/>
        <w:numPr>
          <w:ilvl w:val="0"/>
          <w:numId w:val="1"/>
        </w:numPr>
        <w:tabs>
          <w:tab w:val="left" w:pos="540"/>
        </w:tabs>
        <w:spacing w:after="0" w:line="0" w:lineRule="atLeast"/>
        <w:jc w:val="both"/>
        <w:outlineLvl w:val="1"/>
        <w:rPr>
          <w:rFonts w:ascii="Times New Roman" w:eastAsia="MS Gothic" w:hAnsi="Times New Roman" w:cs="Times New Roman"/>
          <w:b/>
          <w:bCs/>
          <w:smallCaps/>
          <w:color w:val="44546A" w:themeColor="text2"/>
          <w:sz w:val="24"/>
          <w:szCs w:val="24"/>
        </w:rPr>
      </w:pPr>
      <w:r>
        <w:rPr>
          <w:rFonts w:ascii="Times New Roman" w:eastAsia="MS Gothic" w:hAnsi="Times New Roman" w:cs="Times New Roman"/>
          <w:b/>
          <w:bCs/>
          <w:smallCaps/>
          <w:color w:val="44546A" w:themeColor="text2"/>
          <w:sz w:val="24"/>
          <w:szCs w:val="24"/>
        </w:rPr>
        <w:t xml:space="preserve"> </w:t>
      </w:r>
      <w:r w:rsidR="00824915">
        <w:rPr>
          <w:rFonts w:ascii="Times New Roman" w:eastAsia="MS Gothic" w:hAnsi="Times New Roman" w:cs="Times New Roman"/>
          <w:b/>
          <w:bCs/>
          <w:smallCaps/>
          <w:color w:val="44546A" w:themeColor="text2"/>
          <w:sz w:val="24"/>
          <w:szCs w:val="24"/>
        </w:rPr>
        <w:t>Economic</w:t>
      </w:r>
      <w:r>
        <w:rPr>
          <w:rFonts w:ascii="Times New Roman" w:eastAsia="MS Gothic" w:hAnsi="Times New Roman" w:cs="Times New Roman"/>
          <w:b/>
          <w:bCs/>
          <w:smallCaps/>
          <w:color w:val="44546A" w:themeColor="text2"/>
          <w:sz w:val="24"/>
          <w:szCs w:val="24"/>
        </w:rPr>
        <w:t xml:space="preserve"> Context</w:t>
      </w:r>
    </w:p>
    <w:p w14:paraId="3C9D658A" w14:textId="77777777" w:rsidR="00C21F44" w:rsidRPr="00C21F44" w:rsidRDefault="00C21F44" w:rsidP="00C21F44">
      <w:pPr>
        <w:tabs>
          <w:tab w:val="left" w:pos="540"/>
          <w:tab w:val="left" w:pos="2085"/>
        </w:tabs>
        <w:spacing w:after="0" w:line="0" w:lineRule="atLeast"/>
        <w:jc w:val="both"/>
        <w:rPr>
          <w:rFonts w:ascii="Times New Roman" w:hAnsi="Times New Roman" w:cs="Times New Roman"/>
          <w:sz w:val="24"/>
          <w:szCs w:val="24"/>
        </w:rPr>
      </w:pPr>
    </w:p>
    <w:p w14:paraId="6E1D9362" w14:textId="645F2400" w:rsidR="00BB49FD" w:rsidRDefault="00C21F44" w:rsidP="00CB6773">
      <w:pPr>
        <w:pStyle w:val="ListParagraph"/>
        <w:numPr>
          <w:ilvl w:val="1"/>
          <w:numId w:val="1"/>
        </w:numPr>
        <w:tabs>
          <w:tab w:val="left" w:pos="540"/>
          <w:tab w:val="left" w:pos="2085"/>
        </w:tabs>
        <w:spacing w:after="0" w:line="0" w:lineRule="atLeast"/>
        <w:jc w:val="both"/>
        <w:rPr>
          <w:rFonts w:ascii="Times New Roman" w:hAnsi="Times New Roman" w:cs="Times New Roman"/>
          <w:sz w:val="24"/>
        </w:rPr>
      </w:pPr>
      <w:r w:rsidRPr="00DB2547">
        <w:rPr>
          <w:rFonts w:ascii="Times New Roman" w:hAnsi="Times New Roman" w:cs="Times New Roman"/>
          <w:sz w:val="24"/>
          <w:szCs w:val="24"/>
        </w:rPr>
        <w:t>The GDP annual growth for Suriname was negative -2.6%, -5.1%, and -1,2% in 2015, 2016, and 2017 respectively. The period of economic contraction was largely caused by a sharp decline in the international prices of the country’s main exports (gold and crude oil).</w:t>
      </w:r>
      <w:r w:rsidRPr="00B87FC9">
        <w:rPr>
          <w:rFonts w:ascii="Times New Roman" w:hAnsi="Times New Roman" w:cs="Times New Roman"/>
          <w:sz w:val="24"/>
          <w:szCs w:val="24"/>
        </w:rPr>
        <w:t xml:space="preserve"> </w:t>
      </w:r>
      <w:r w:rsidR="00B87FC9">
        <w:rPr>
          <w:rFonts w:ascii="Times New Roman" w:hAnsi="Times New Roman" w:cs="Times New Roman"/>
          <w:sz w:val="24"/>
        </w:rPr>
        <w:t xml:space="preserve">Suriname </w:t>
      </w:r>
      <w:r w:rsidRPr="00B87FC9">
        <w:rPr>
          <w:rFonts w:ascii="Times New Roman" w:hAnsi="Times New Roman" w:cs="Times New Roman"/>
          <w:sz w:val="24"/>
        </w:rPr>
        <w:t xml:space="preserve">economy has grown at low rates in the last </w:t>
      </w:r>
      <w:r w:rsidR="0095115E" w:rsidRPr="00B87FC9">
        <w:rPr>
          <w:rFonts w:ascii="Times New Roman" w:hAnsi="Times New Roman" w:cs="Times New Roman"/>
          <w:sz w:val="24"/>
        </w:rPr>
        <w:t>nine</w:t>
      </w:r>
      <w:r w:rsidRPr="00B87FC9">
        <w:rPr>
          <w:rFonts w:ascii="Times New Roman" w:hAnsi="Times New Roman" w:cs="Times New Roman"/>
          <w:sz w:val="24"/>
        </w:rPr>
        <w:t xml:space="preserve"> years, showing a Gross Domestic Product</w:t>
      </w:r>
      <w:r w:rsidR="00824915">
        <w:rPr>
          <w:rFonts w:ascii="Times New Roman" w:hAnsi="Times New Roman" w:cs="Times New Roman"/>
          <w:sz w:val="24"/>
        </w:rPr>
        <w:t xml:space="preserve"> </w:t>
      </w:r>
      <w:r w:rsidR="0062432C" w:rsidRPr="008A6A84">
        <w:rPr>
          <w:rFonts w:ascii="Times New Roman" w:hAnsi="Times New Roman" w:cs="Times New Roman"/>
          <w:sz w:val="24"/>
          <w:szCs w:val="24"/>
        </w:rPr>
        <w:t>—</w:t>
      </w:r>
      <w:r w:rsidR="00824915">
        <w:rPr>
          <w:rFonts w:ascii="Times New Roman" w:hAnsi="Times New Roman" w:cs="Times New Roman"/>
          <w:sz w:val="24"/>
        </w:rPr>
        <w:t xml:space="preserve"> constant prices</w:t>
      </w:r>
      <w:r w:rsidR="0062432C">
        <w:rPr>
          <w:rFonts w:ascii="Times New Roman" w:hAnsi="Times New Roman" w:cs="Times New Roman"/>
          <w:sz w:val="24"/>
        </w:rPr>
        <w:t xml:space="preserve"> </w:t>
      </w:r>
      <w:r w:rsidR="0062432C" w:rsidRPr="008A6A84">
        <w:rPr>
          <w:rFonts w:ascii="Times New Roman" w:hAnsi="Times New Roman" w:cs="Times New Roman"/>
          <w:sz w:val="24"/>
          <w:szCs w:val="24"/>
        </w:rPr>
        <w:t>—</w:t>
      </w:r>
      <w:r w:rsidRPr="00B87FC9">
        <w:rPr>
          <w:rFonts w:ascii="Times New Roman" w:hAnsi="Times New Roman" w:cs="Times New Roman"/>
          <w:sz w:val="24"/>
        </w:rPr>
        <w:t xml:space="preserve"> annual average growth for the years 20</w:t>
      </w:r>
      <w:r w:rsidR="0095115E" w:rsidRPr="00B87FC9">
        <w:rPr>
          <w:rFonts w:ascii="Times New Roman" w:hAnsi="Times New Roman" w:cs="Times New Roman"/>
          <w:sz w:val="24"/>
        </w:rPr>
        <w:t>11</w:t>
      </w:r>
      <w:r w:rsidRPr="00B87FC9">
        <w:rPr>
          <w:rFonts w:ascii="Times New Roman" w:hAnsi="Times New Roman" w:cs="Times New Roman"/>
          <w:sz w:val="24"/>
        </w:rPr>
        <w:t>-201</w:t>
      </w:r>
      <w:r w:rsidR="0095115E" w:rsidRPr="00B87FC9">
        <w:rPr>
          <w:rFonts w:ascii="Times New Roman" w:hAnsi="Times New Roman" w:cs="Times New Roman"/>
          <w:sz w:val="24"/>
        </w:rPr>
        <w:t>9</w:t>
      </w:r>
      <w:r w:rsidRPr="00B87FC9">
        <w:rPr>
          <w:rFonts w:ascii="Times New Roman" w:hAnsi="Times New Roman" w:cs="Times New Roman"/>
          <w:sz w:val="24"/>
        </w:rPr>
        <w:t xml:space="preserve"> of </w:t>
      </w:r>
      <w:r w:rsidR="0095115E" w:rsidRPr="00B87FC9">
        <w:rPr>
          <w:rFonts w:ascii="Times New Roman" w:hAnsi="Times New Roman" w:cs="Times New Roman"/>
          <w:sz w:val="24"/>
        </w:rPr>
        <w:t>1.1</w:t>
      </w:r>
      <w:r w:rsidRPr="00B87FC9">
        <w:rPr>
          <w:rFonts w:ascii="Times New Roman" w:hAnsi="Times New Roman" w:cs="Times New Roman"/>
          <w:sz w:val="24"/>
        </w:rPr>
        <w:t>%</w:t>
      </w:r>
      <w:r w:rsidR="00824915">
        <w:rPr>
          <w:rFonts w:ascii="Times New Roman" w:hAnsi="Times New Roman" w:cs="Times New Roman"/>
          <w:sz w:val="24"/>
        </w:rPr>
        <w:t xml:space="preserve">, with </w:t>
      </w:r>
      <w:proofErr w:type="gramStart"/>
      <w:r w:rsidR="00824915">
        <w:rPr>
          <w:rFonts w:ascii="Times New Roman" w:hAnsi="Times New Roman" w:cs="Times New Roman"/>
          <w:sz w:val="24"/>
        </w:rPr>
        <w:t>a positive growth</w:t>
      </w:r>
      <w:proofErr w:type="gramEnd"/>
      <w:r w:rsidR="00824915">
        <w:rPr>
          <w:rFonts w:ascii="Times New Roman" w:hAnsi="Times New Roman" w:cs="Times New Roman"/>
          <w:sz w:val="24"/>
        </w:rPr>
        <w:t xml:space="preserve"> tendency </w:t>
      </w:r>
      <w:r w:rsidR="00B87FC9">
        <w:rPr>
          <w:rFonts w:ascii="Times New Roman" w:hAnsi="Times New Roman" w:cs="Times New Roman"/>
          <w:sz w:val="24"/>
        </w:rPr>
        <w:t xml:space="preserve">supported widely by public </w:t>
      </w:r>
      <w:r w:rsidR="0035635B">
        <w:rPr>
          <w:rFonts w:ascii="Times New Roman" w:hAnsi="Times New Roman" w:cs="Times New Roman"/>
          <w:sz w:val="24"/>
        </w:rPr>
        <w:t xml:space="preserve">and private </w:t>
      </w:r>
      <w:r w:rsidR="00B87FC9">
        <w:rPr>
          <w:rFonts w:ascii="Times New Roman" w:hAnsi="Times New Roman" w:cs="Times New Roman"/>
          <w:sz w:val="24"/>
        </w:rPr>
        <w:t>investment</w:t>
      </w:r>
      <w:r w:rsidR="00824915">
        <w:rPr>
          <w:rFonts w:ascii="Times New Roman" w:hAnsi="Times New Roman" w:cs="Times New Roman"/>
          <w:sz w:val="24"/>
        </w:rPr>
        <w:t xml:space="preserve"> (Figure No. 1)</w:t>
      </w:r>
      <w:r w:rsidR="00B87FC9">
        <w:rPr>
          <w:rFonts w:ascii="Times New Roman" w:hAnsi="Times New Roman" w:cs="Times New Roman"/>
          <w:sz w:val="24"/>
        </w:rPr>
        <w:t>.</w:t>
      </w:r>
    </w:p>
    <w:p w14:paraId="30F5122E" w14:textId="77777777" w:rsidR="00F3461F" w:rsidRDefault="00F3461F" w:rsidP="00C96CF5">
      <w:pPr>
        <w:pStyle w:val="ListParagraph"/>
        <w:tabs>
          <w:tab w:val="left" w:pos="540"/>
          <w:tab w:val="left" w:pos="2085"/>
        </w:tabs>
        <w:spacing w:after="0" w:line="0" w:lineRule="atLeast"/>
        <w:ind w:left="360"/>
        <w:jc w:val="both"/>
        <w:rPr>
          <w:rFonts w:ascii="Times New Roman" w:hAnsi="Times New Roman" w:cs="Times New Roman"/>
          <w:sz w:val="24"/>
        </w:rPr>
      </w:pPr>
    </w:p>
    <w:p w14:paraId="77666B2E" w14:textId="1901DB7C" w:rsidR="009A5CCA" w:rsidRPr="00412519" w:rsidRDefault="009A5CCA" w:rsidP="009A5CCA">
      <w:pPr>
        <w:pStyle w:val="ListParagraph"/>
        <w:jc w:val="center"/>
        <w:rPr>
          <w:rFonts w:ascii="Times New Roman" w:hAnsi="Times New Roman" w:cs="Times New Roman"/>
          <w:b/>
          <w:color w:val="3B3838" w:themeColor="background2" w:themeShade="40"/>
          <w:sz w:val="24"/>
          <w:szCs w:val="20"/>
        </w:rPr>
      </w:pPr>
      <w:r w:rsidRPr="00412519">
        <w:rPr>
          <w:rFonts w:ascii="Times New Roman" w:hAnsi="Times New Roman" w:cs="Times New Roman"/>
          <w:b/>
          <w:color w:val="3B3838" w:themeColor="background2" w:themeShade="40"/>
          <w:sz w:val="24"/>
          <w:szCs w:val="20"/>
        </w:rPr>
        <w:t xml:space="preserve">Figure No. </w:t>
      </w:r>
      <w:r w:rsidR="00770B10">
        <w:rPr>
          <w:rFonts w:ascii="Times New Roman" w:hAnsi="Times New Roman" w:cs="Times New Roman"/>
          <w:b/>
          <w:color w:val="3B3838" w:themeColor="background2" w:themeShade="40"/>
          <w:sz w:val="24"/>
          <w:szCs w:val="20"/>
        </w:rPr>
        <w:t>1</w:t>
      </w:r>
      <w:r w:rsidRPr="00412519">
        <w:rPr>
          <w:rFonts w:ascii="Times New Roman" w:hAnsi="Times New Roman" w:cs="Times New Roman"/>
          <w:b/>
          <w:color w:val="3B3838" w:themeColor="background2" w:themeShade="40"/>
          <w:sz w:val="24"/>
          <w:szCs w:val="20"/>
        </w:rPr>
        <w:t xml:space="preserve">. </w:t>
      </w:r>
      <w:r w:rsidR="00077995" w:rsidRPr="00412519">
        <w:rPr>
          <w:rFonts w:ascii="Times New Roman" w:hAnsi="Times New Roman" w:cs="Times New Roman"/>
          <w:b/>
          <w:color w:val="3B3838" w:themeColor="background2" w:themeShade="40"/>
          <w:sz w:val="24"/>
          <w:szCs w:val="20"/>
        </w:rPr>
        <w:t>Suriname</w:t>
      </w:r>
      <w:r w:rsidRPr="00412519">
        <w:rPr>
          <w:rFonts w:ascii="Times New Roman" w:hAnsi="Times New Roman" w:cs="Times New Roman"/>
          <w:b/>
          <w:color w:val="3B3838" w:themeColor="background2" w:themeShade="40"/>
          <w:sz w:val="24"/>
          <w:szCs w:val="20"/>
        </w:rPr>
        <w:t xml:space="preserve"> Gross Domestic Product</w:t>
      </w:r>
      <w:r w:rsidR="003528A3" w:rsidRPr="00412519">
        <w:rPr>
          <w:rFonts w:ascii="Times New Roman" w:hAnsi="Times New Roman" w:cs="Times New Roman"/>
          <w:b/>
          <w:color w:val="3B3838" w:themeColor="background2" w:themeShade="40"/>
          <w:sz w:val="24"/>
          <w:szCs w:val="20"/>
        </w:rPr>
        <w:t xml:space="preserve"> (Constant prices)</w:t>
      </w:r>
    </w:p>
    <w:p w14:paraId="2B090E55" w14:textId="77777777" w:rsidR="00412519" w:rsidRPr="00412519" w:rsidRDefault="00412519" w:rsidP="009A5CCA">
      <w:pPr>
        <w:pStyle w:val="ListParagraph"/>
        <w:jc w:val="center"/>
        <w:rPr>
          <w:rFonts w:ascii="Times New Roman" w:hAnsi="Times New Roman" w:cs="Times New Roman"/>
          <w:b/>
          <w:color w:val="3B3838" w:themeColor="background2" w:themeShade="40"/>
          <w:szCs w:val="20"/>
        </w:rPr>
      </w:pPr>
    </w:p>
    <w:p w14:paraId="2F2AB527" w14:textId="23261A94" w:rsidR="009A5CCA" w:rsidRPr="001C1D96" w:rsidRDefault="00077995" w:rsidP="00077995">
      <w:pPr>
        <w:pStyle w:val="ListParagraph"/>
        <w:jc w:val="center"/>
        <w:rPr>
          <w:rFonts w:ascii="Times New Roman" w:hAnsi="Times New Roman" w:cs="Times New Roman"/>
          <w:sz w:val="24"/>
        </w:rPr>
      </w:pPr>
      <w:r w:rsidRPr="00C21F44">
        <w:rPr>
          <w:noProof/>
          <w:color w:val="0000FF"/>
        </w:rPr>
        <w:drawing>
          <wp:inline distT="0" distB="0" distL="0" distR="0" wp14:anchorId="07D67530" wp14:editId="51E375E8">
            <wp:extent cx="4549140" cy="2255520"/>
            <wp:effectExtent l="0" t="0" r="3810" b="11430"/>
            <wp:docPr id="1" name="Chart 1">
              <a:extLst xmlns:a="http://schemas.openxmlformats.org/drawingml/2006/main">
                <a:ext uri="{FF2B5EF4-FFF2-40B4-BE49-F238E27FC236}">
                  <a16:creationId xmlns:a16="http://schemas.microsoft.com/office/drawing/2014/main" id="{E3169DFD-4198-45FC-8427-7571F86EEC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7864E1" w14:textId="46FC9585" w:rsidR="009A5CCA" w:rsidRPr="00961D02" w:rsidRDefault="003528A3" w:rsidP="003528A3">
      <w:pPr>
        <w:pStyle w:val="ListParagraph"/>
        <w:tabs>
          <w:tab w:val="left" w:pos="2085"/>
        </w:tabs>
        <w:autoSpaceDE w:val="0"/>
        <w:autoSpaceDN w:val="0"/>
        <w:adjustRightInd w:val="0"/>
        <w:spacing w:after="0" w:line="240" w:lineRule="auto"/>
        <w:ind w:left="360"/>
        <w:jc w:val="center"/>
        <w:rPr>
          <w:rFonts w:ascii="Times New Roman" w:hAnsi="Times New Roman" w:cs="Times New Roman"/>
          <w:sz w:val="16"/>
        </w:rPr>
      </w:pPr>
      <w:r w:rsidRPr="00961D02">
        <w:rPr>
          <w:rFonts w:ascii="Times New Roman" w:hAnsi="Times New Roman" w:cs="Times New Roman"/>
          <w:sz w:val="16"/>
        </w:rPr>
        <w:t>Data: 2019</w:t>
      </w:r>
      <w:r w:rsidR="00961D02" w:rsidRPr="00961D02">
        <w:rPr>
          <w:rFonts w:ascii="Times New Roman" w:hAnsi="Times New Roman" w:cs="Times New Roman"/>
          <w:sz w:val="16"/>
        </w:rPr>
        <w:t>-2023</w:t>
      </w:r>
      <w:r w:rsidRPr="00961D02">
        <w:rPr>
          <w:rFonts w:ascii="Times New Roman" w:hAnsi="Times New Roman" w:cs="Times New Roman"/>
          <w:sz w:val="16"/>
        </w:rPr>
        <w:t xml:space="preserve"> are forecasted years</w:t>
      </w:r>
    </w:p>
    <w:p w14:paraId="6FC2FB01" w14:textId="32DA3B19" w:rsidR="009A5CCA" w:rsidRPr="00961D02" w:rsidRDefault="009A5CCA" w:rsidP="009A5CCA">
      <w:pPr>
        <w:pStyle w:val="ListParagraph"/>
        <w:tabs>
          <w:tab w:val="left" w:pos="2085"/>
        </w:tabs>
        <w:autoSpaceDE w:val="0"/>
        <w:autoSpaceDN w:val="0"/>
        <w:adjustRightInd w:val="0"/>
        <w:spacing w:after="0" w:line="240" w:lineRule="auto"/>
        <w:ind w:left="360"/>
        <w:jc w:val="center"/>
        <w:rPr>
          <w:rFonts w:ascii="Times New Roman" w:hAnsi="Times New Roman" w:cs="Times New Roman"/>
          <w:sz w:val="18"/>
        </w:rPr>
      </w:pPr>
      <w:r w:rsidRPr="00961D02">
        <w:rPr>
          <w:rFonts w:ascii="Times New Roman" w:hAnsi="Times New Roman" w:cs="Times New Roman"/>
          <w:sz w:val="16"/>
        </w:rPr>
        <w:t xml:space="preserve">Source: </w:t>
      </w:r>
      <w:r w:rsidR="003528A3" w:rsidRPr="00961D02">
        <w:rPr>
          <w:rFonts w:ascii="Times New Roman" w:hAnsi="Times New Roman" w:cs="Times New Roman"/>
          <w:sz w:val="16"/>
        </w:rPr>
        <w:t>International Monetary Fund (IMF), World Economic Outlook</w:t>
      </w:r>
      <w:r w:rsidR="00D93A57" w:rsidRPr="00961D02">
        <w:rPr>
          <w:rFonts w:ascii="Times New Roman" w:hAnsi="Times New Roman" w:cs="Times New Roman"/>
          <w:sz w:val="16"/>
        </w:rPr>
        <w:t xml:space="preserve"> (WEO)</w:t>
      </w:r>
      <w:r w:rsidR="003528A3" w:rsidRPr="00961D02">
        <w:rPr>
          <w:rFonts w:ascii="Times New Roman" w:hAnsi="Times New Roman" w:cs="Times New Roman"/>
          <w:sz w:val="16"/>
        </w:rPr>
        <w:t xml:space="preserve">. </w:t>
      </w:r>
    </w:p>
    <w:p w14:paraId="26244B74" w14:textId="77777777" w:rsidR="009A5CCA" w:rsidRDefault="009A5CCA" w:rsidP="009A5CCA">
      <w:pPr>
        <w:pStyle w:val="ListParagraph"/>
        <w:tabs>
          <w:tab w:val="left" w:pos="540"/>
          <w:tab w:val="left" w:pos="2085"/>
        </w:tabs>
        <w:spacing w:after="0" w:line="0" w:lineRule="atLeast"/>
        <w:ind w:left="540"/>
        <w:jc w:val="both"/>
        <w:rPr>
          <w:rFonts w:ascii="Times New Roman" w:hAnsi="Times New Roman" w:cs="Times New Roman"/>
          <w:sz w:val="24"/>
        </w:rPr>
      </w:pPr>
    </w:p>
    <w:p w14:paraId="38189E2A" w14:textId="3028A9FB" w:rsidR="00493A18" w:rsidRDefault="00493A18" w:rsidP="00C21F44">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8A6A84">
        <w:rPr>
          <w:rFonts w:ascii="Times New Roman" w:hAnsi="Times New Roman" w:cs="Times New Roman"/>
          <w:sz w:val="24"/>
          <w:szCs w:val="24"/>
        </w:rPr>
        <w:lastRenderedPageBreak/>
        <w:t>According to the diagnosis, it is observed that realizing Surinam’s full economic potential, faces limitations due to the country's weak transport infrastructure network (roads, ports and aviation), which inhibits the logistic performance and productivity of its key sectors. In 2019, Surinam ranked 165th on the Doing Business</w:t>
      </w:r>
      <w:r w:rsidR="0062432C">
        <w:rPr>
          <w:rFonts w:ascii="Times New Roman" w:hAnsi="Times New Roman" w:cs="Times New Roman"/>
          <w:sz w:val="24"/>
          <w:szCs w:val="24"/>
        </w:rPr>
        <w:t>,</w:t>
      </w:r>
      <w:r w:rsidRPr="008A6A84">
        <w:rPr>
          <w:rFonts w:ascii="Times New Roman" w:hAnsi="Times New Roman" w:cs="Times New Roman"/>
          <w:sz w:val="24"/>
          <w:szCs w:val="24"/>
        </w:rPr>
        <w:t xml:space="preserve"> which was the second lowest for the Caribbean region only above of Haiti (</w:t>
      </w:r>
      <w:r w:rsidR="0062432C">
        <w:rPr>
          <w:rFonts w:ascii="Times New Roman" w:hAnsi="Times New Roman" w:cs="Times New Roman"/>
          <w:sz w:val="24"/>
          <w:szCs w:val="24"/>
        </w:rPr>
        <w:t>Figure No. 2</w:t>
      </w:r>
      <w:r w:rsidRPr="008A6A84">
        <w:rPr>
          <w:rFonts w:ascii="Times New Roman" w:hAnsi="Times New Roman" w:cs="Times New Roman"/>
          <w:sz w:val="24"/>
          <w:szCs w:val="24"/>
        </w:rPr>
        <w:t xml:space="preserve">). This was the result, among other things, of the poor quality of the road network and delays related to the lack of computerization and automation of international trade processes. Widely, high logistics and export costs are responsible for the weak performance in </w:t>
      </w:r>
      <w:r>
        <w:rPr>
          <w:rFonts w:ascii="Times New Roman" w:hAnsi="Times New Roman" w:cs="Times New Roman"/>
          <w:sz w:val="24"/>
          <w:szCs w:val="24"/>
        </w:rPr>
        <w:t>the</w:t>
      </w:r>
      <w:r w:rsidRPr="008A6A84">
        <w:rPr>
          <w:rFonts w:ascii="Times New Roman" w:hAnsi="Times New Roman" w:cs="Times New Roman"/>
          <w:sz w:val="24"/>
          <w:szCs w:val="24"/>
        </w:rPr>
        <w:t xml:space="preserve"> ind</w:t>
      </w:r>
      <w:r>
        <w:rPr>
          <w:rFonts w:ascii="Times New Roman" w:hAnsi="Times New Roman" w:cs="Times New Roman"/>
          <w:sz w:val="24"/>
          <w:szCs w:val="24"/>
        </w:rPr>
        <w:t>ex;</w:t>
      </w:r>
      <w:r w:rsidRPr="008A6A84">
        <w:rPr>
          <w:rFonts w:ascii="Times New Roman" w:hAnsi="Times New Roman" w:cs="Times New Roman"/>
          <w:sz w:val="24"/>
          <w:szCs w:val="24"/>
        </w:rPr>
        <w:t xml:space="preserve"> </w:t>
      </w:r>
      <w:r>
        <w:rPr>
          <w:rFonts w:ascii="Times New Roman" w:hAnsi="Times New Roman" w:cs="Times New Roman"/>
          <w:sz w:val="24"/>
          <w:szCs w:val="24"/>
        </w:rPr>
        <w:t>f</w:t>
      </w:r>
      <w:r w:rsidRPr="008A6A84">
        <w:rPr>
          <w:rFonts w:ascii="Times New Roman" w:hAnsi="Times New Roman" w:cs="Times New Roman"/>
          <w:sz w:val="24"/>
          <w:szCs w:val="24"/>
        </w:rPr>
        <w:t xml:space="preserve">or example, the cost to export a container in </w:t>
      </w:r>
      <w:r>
        <w:rPr>
          <w:rFonts w:ascii="Times New Roman" w:hAnsi="Times New Roman" w:cs="Times New Roman"/>
          <w:sz w:val="24"/>
          <w:szCs w:val="24"/>
        </w:rPr>
        <w:t>Suriname</w:t>
      </w:r>
      <w:r w:rsidRPr="008A6A84">
        <w:rPr>
          <w:rFonts w:ascii="Times New Roman" w:hAnsi="Times New Roman" w:cs="Times New Roman"/>
          <w:sz w:val="24"/>
          <w:szCs w:val="24"/>
        </w:rPr>
        <w:t xml:space="preserve"> is approximately US$</w:t>
      </w:r>
      <w:r>
        <w:rPr>
          <w:rFonts w:ascii="Times New Roman" w:hAnsi="Times New Roman" w:cs="Times New Roman"/>
          <w:sz w:val="24"/>
          <w:szCs w:val="24"/>
        </w:rPr>
        <w:t>1,050</w:t>
      </w:r>
      <w:r w:rsidRPr="008A6A84">
        <w:rPr>
          <w:rFonts w:ascii="Times New Roman" w:hAnsi="Times New Roman" w:cs="Times New Roman"/>
          <w:sz w:val="24"/>
          <w:szCs w:val="24"/>
        </w:rPr>
        <w:t xml:space="preserve"> while</w:t>
      </w:r>
      <w:r>
        <w:rPr>
          <w:rFonts w:ascii="Times New Roman" w:hAnsi="Times New Roman" w:cs="Times New Roman"/>
          <w:sz w:val="24"/>
          <w:szCs w:val="24"/>
        </w:rPr>
        <w:t xml:space="preserve"> the cost </w:t>
      </w:r>
      <w:r w:rsidRPr="008A6A84">
        <w:rPr>
          <w:rFonts w:ascii="Times New Roman" w:hAnsi="Times New Roman" w:cs="Times New Roman"/>
          <w:sz w:val="24"/>
          <w:szCs w:val="24"/>
        </w:rPr>
        <w:t xml:space="preserve">to export a container </w:t>
      </w:r>
      <w:r w:rsidR="0062432C">
        <w:rPr>
          <w:rFonts w:ascii="Times New Roman" w:hAnsi="Times New Roman" w:cs="Times New Roman"/>
          <w:sz w:val="24"/>
          <w:szCs w:val="24"/>
        </w:rPr>
        <w:t>for</w:t>
      </w:r>
      <w:r>
        <w:rPr>
          <w:rFonts w:ascii="Times New Roman" w:hAnsi="Times New Roman" w:cs="Times New Roman"/>
          <w:sz w:val="24"/>
          <w:szCs w:val="24"/>
        </w:rPr>
        <w:t xml:space="preserve"> the Caribbean region in average is </w:t>
      </w:r>
      <w:r w:rsidRPr="008A6A84">
        <w:rPr>
          <w:rFonts w:ascii="Times New Roman" w:hAnsi="Times New Roman" w:cs="Times New Roman"/>
          <w:sz w:val="24"/>
          <w:szCs w:val="24"/>
        </w:rPr>
        <w:t>US$</w:t>
      </w:r>
      <w:r>
        <w:rPr>
          <w:rFonts w:ascii="Times New Roman" w:hAnsi="Times New Roman" w:cs="Times New Roman"/>
          <w:sz w:val="24"/>
          <w:szCs w:val="24"/>
        </w:rPr>
        <w:t>1,006</w:t>
      </w:r>
      <w:r w:rsidR="00F032EF">
        <w:rPr>
          <w:rStyle w:val="FootnoteReference"/>
          <w:rFonts w:cs="Times New Roman"/>
          <w:szCs w:val="24"/>
        </w:rPr>
        <w:footnoteReference w:id="1"/>
      </w:r>
      <w:r>
        <w:rPr>
          <w:rFonts w:ascii="Times New Roman" w:hAnsi="Times New Roman" w:cs="Times New Roman"/>
          <w:sz w:val="24"/>
          <w:szCs w:val="24"/>
        </w:rPr>
        <w:t xml:space="preserve">. </w:t>
      </w:r>
    </w:p>
    <w:p w14:paraId="237886E7" w14:textId="77777777" w:rsidR="00493A18" w:rsidRPr="000F4441" w:rsidRDefault="00493A18" w:rsidP="00493A18">
      <w:pPr>
        <w:pStyle w:val="ListParagraph"/>
        <w:rPr>
          <w:rFonts w:ascii="Times New Roman" w:hAnsi="Times New Roman" w:cs="Times New Roman"/>
          <w:sz w:val="24"/>
          <w:szCs w:val="24"/>
        </w:rPr>
      </w:pPr>
    </w:p>
    <w:p w14:paraId="61DC16FF" w14:textId="3EF2A3D3" w:rsidR="00493A18" w:rsidRPr="000F4441" w:rsidRDefault="00493A18" w:rsidP="00493A18">
      <w:pPr>
        <w:pStyle w:val="ListParagraph"/>
        <w:jc w:val="center"/>
        <w:rPr>
          <w:rFonts w:ascii="Times New Roman" w:hAnsi="Times New Roman" w:cs="Times New Roman"/>
          <w:b/>
          <w:sz w:val="24"/>
          <w:szCs w:val="24"/>
        </w:rPr>
      </w:pPr>
      <w:r w:rsidRPr="000F4441">
        <w:rPr>
          <w:noProof/>
          <w:sz w:val="24"/>
          <w:szCs w:val="24"/>
        </w:rPr>
        <w:drawing>
          <wp:anchor distT="0" distB="0" distL="114300" distR="114300" simplePos="0" relativeHeight="251659264" behindDoc="0" locked="0" layoutInCell="1" allowOverlap="1" wp14:anchorId="570FE509" wp14:editId="130F2B7C">
            <wp:simplePos x="0" y="0"/>
            <wp:positionH relativeFrom="margin">
              <wp:align>right</wp:align>
            </wp:positionH>
            <wp:positionV relativeFrom="paragraph">
              <wp:posOffset>232410</wp:posOffset>
            </wp:positionV>
            <wp:extent cx="5177790" cy="1672590"/>
            <wp:effectExtent l="19050" t="19050" r="22860" b="2286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20341" r="-1678"/>
                    <a:stretch/>
                  </pic:blipFill>
                  <pic:spPr bwMode="auto">
                    <a:xfrm>
                      <a:off x="0" y="0"/>
                      <a:ext cx="5177790" cy="1672590"/>
                    </a:xfrm>
                    <a:prstGeom prst="rect">
                      <a:avLst/>
                    </a:prstGeom>
                    <a:ln>
                      <a:solidFill>
                        <a:schemeClr val="bg1">
                          <a:lumMod val="8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F4441">
        <w:rPr>
          <w:rFonts w:ascii="Times New Roman" w:hAnsi="Times New Roman" w:cs="Times New Roman"/>
          <w:b/>
          <w:sz w:val="24"/>
          <w:szCs w:val="24"/>
        </w:rPr>
        <w:t xml:space="preserve">Figure </w:t>
      </w:r>
      <w:r w:rsidR="0062432C">
        <w:rPr>
          <w:rFonts w:ascii="Times New Roman" w:hAnsi="Times New Roman" w:cs="Times New Roman"/>
          <w:b/>
          <w:sz w:val="24"/>
          <w:szCs w:val="24"/>
        </w:rPr>
        <w:t xml:space="preserve">No. </w:t>
      </w:r>
      <w:r w:rsidR="00C23675" w:rsidRPr="000F4441">
        <w:rPr>
          <w:rFonts w:ascii="Times New Roman" w:hAnsi="Times New Roman" w:cs="Times New Roman"/>
          <w:b/>
          <w:sz w:val="24"/>
          <w:szCs w:val="24"/>
        </w:rPr>
        <w:t>2</w:t>
      </w:r>
      <w:r w:rsidRPr="000F4441">
        <w:rPr>
          <w:rFonts w:ascii="Times New Roman" w:hAnsi="Times New Roman" w:cs="Times New Roman"/>
          <w:b/>
          <w:sz w:val="24"/>
          <w:szCs w:val="24"/>
        </w:rPr>
        <w:t>. DB 2019 Ease of Doing Business Score</w:t>
      </w:r>
    </w:p>
    <w:p w14:paraId="536B0EA0" w14:textId="77777777" w:rsidR="00493A18" w:rsidRDefault="00493A18" w:rsidP="00493A18">
      <w:pPr>
        <w:pStyle w:val="ListParagraph"/>
        <w:tabs>
          <w:tab w:val="left" w:pos="540"/>
          <w:tab w:val="left" w:pos="2085"/>
        </w:tabs>
        <w:spacing w:after="0" w:line="0" w:lineRule="atLeast"/>
        <w:ind w:left="360"/>
        <w:jc w:val="center"/>
        <w:rPr>
          <w:rFonts w:ascii="Times New Roman" w:hAnsi="Times New Roman" w:cs="Times New Roman"/>
          <w:sz w:val="16"/>
          <w:szCs w:val="24"/>
        </w:rPr>
      </w:pPr>
    </w:p>
    <w:p w14:paraId="4D1CEFBC" w14:textId="77777777" w:rsidR="00493A18" w:rsidRPr="008F19ED" w:rsidRDefault="00493A18" w:rsidP="00493A18">
      <w:pPr>
        <w:pStyle w:val="ListParagraph"/>
        <w:tabs>
          <w:tab w:val="left" w:pos="540"/>
          <w:tab w:val="left" w:pos="2085"/>
        </w:tabs>
        <w:spacing w:after="0" w:line="0" w:lineRule="atLeast"/>
        <w:ind w:left="360"/>
        <w:jc w:val="center"/>
        <w:rPr>
          <w:rFonts w:ascii="Times New Roman" w:hAnsi="Times New Roman" w:cs="Times New Roman"/>
          <w:szCs w:val="24"/>
        </w:rPr>
      </w:pPr>
      <w:r w:rsidRPr="008F19ED">
        <w:rPr>
          <w:rFonts w:ascii="Times New Roman" w:hAnsi="Times New Roman" w:cs="Times New Roman"/>
          <w:sz w:val="16"/>
          <w:szCs w:val="24"/>
        </w:rPr>
        <w:t xml:space="preserve">Source: </w:t>
      </w:r>
      <w:r w:rsidRPr="008F19ED">
        <w:rPr>
          <w:rFonts w:ascii="Times New Roman" w:hAnsi="Times New Roman" w:cs="Times New Roman"/>
          <w:i/>
          <w:sz w:val="16"/>
          <w:szCs w:val="24"/>
        </w:rPr>
        <w:t>World Bank -Doing Business report 2019.</w:t>
      </w:r>
    </w:p>
    <w:p w14:paraId="6A25D071" w14:textId="77777777" w:rsidR="00493A18" w:rsidRPr="008F19ED" w:rsidRDefault="00493A18" w:rsidP="00493A18">
      <w:pPr>
        <w:pStyle w:val="ListParagraph"/>
        <w:rPr>
          <w:rFonts w:ascii="Times New Roman" w:hAnsi="Times New Roman" w:cs="Times New Roman"/>
          <w:szCs w:val="24"/>
        </w:rPr>
      </w:pPr>
    </w:p>
    <w:p w14:paraId="47BA7463" w14:textId="12E743E1" w:rsidR="00493A18" w:rsidRDefault="00493A18" w:rsidP="00C21F44">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0E2196">
        <w:rPr>
          <w:rFonts w:ascii="Times New Roman" w:hAnsi="Times New Roman" w:cs="Times New Roman"/>
          <w:sz w:val="24"/>
          <w:szCs w:val="24"/>
        </w:rPr>
        <w:t>Customs and trade facilitation processes directly related with economic integration</w:t>
      </w:r>
      <w:r w:rsidR="00F032EF">
        <w:rPr>
          <w:rFonts w:ascii="Times New Roman" w:hAnsi="Times New Roman" w:cs="Times New Roman"/>
          <w:sz w:val="24"/>
          <w:szCs w:val="24"/>
        </w:rPr>
        <w:t xml:space="preserve"> show </w:t>
      </w:r>
      <w:r w:rsidR="0037113F">
        <w:rPr>
          <w:rFonts w:ascii="Times New Roman" w:hAnsi="Times New Roman" w:cs="Times New Roman"/>
          <w:sz w:val="24"/>
          <w:szCs w:val="24"/>
        </w:rPr>
        <w:t>inefficiencies</w:t>
      </w:r>
      <w:r w:rsidR="00F032EF">
        <w:rPr>
          <w:rFonts w:ascii="Times New Roman" w:hAnsi="Times New Roman" w:cs="Times New Roman"/>
          <w:sz w:val="24"/>
          <w:szCs w:val="24"/>
        </w:rPr>
        <w:t xml:space="preserve"> in Suriname.</w:t>
      </w:r>
      <w:r w:rsidRPr="000E2196">
        <w:rPr>
          <w:rFonts w:ascii="Times New Roman" w:hAnsi="Times New Roman" w:cs="Times New Roman"/>
          <w:sz w:val="24"/>
          <w:szCs w:val="24"/>
        </w:rPr>
        <w:t xml:space="preserve"> </w:t>
      </w:r>
      <w:r w:rsidR="0037113F">
        <w:rPr>
          <w:rFonts w:ascii="Times New Roman" w:hAnsi="Times New Roman" w:cs="Times New Roman"/>
          <w:sz w:val="24"/>
          <w:szCs w:val="24"/>
        </w:rPr>
        <w:t>A</w:t>
      </w:r>
      <w:r w:rsidRPr="000E2196">
        <w:rPr>
          <w:rFonts w:ascii="Times New Roman" w:hAnsi="Times New Roman" w:cs="Times New Roman"/>
          <w:sz w:val="24"/>
          <w:szCs w:val="24"/>
        </w:rPr>
        <w:t xml:space="preserve">ccording to the Trading Across Borders indicator in the World Bank’s Doing Business Report, which measures the time and costs involved in exporting and importing a product, border compliance for exports takes 84 hours in Suriname, compared to the Latin America &amp; Caribbean average of 61.9 hours and 12.5 hours in OECD high income countries. In the case of imports, border compliance takes 48 hours, compared to the Latin America &amp; Caribbean average of </w:t>
      </w:r>
      <w:r>
        <w:rPr>
          <w:rFonts w:ascii="Times New Roman" w:hAnsi="Times New Roman" w:cs="Times New Roman"/>
          <w:sz w:val="24"/>
          <w:szCs w:val="24"/>
        </w:rPr>
        <w:t>62.2</w:t>
      </w:r>
      <w:r w:rsidRPr="000E2196">
        <w:rPr>
          <w:rFonts w:ascii="Times New Roman" w:hAnsi="Times New Roman" w:cs="Times New Roman"/>
          <w:sz w:val="24"/>
          <w:szCs w:val="24"/>
        </w:rPr>
        <w:t xml:space="preserve"> hours and </w:t>
      </w:r>
      <w:r>
        <w:rPr>
          <w:rFonts w:ascii="Times New Roman" w:hAnsi="Times New Roman" w:cs="Times New Roman"/>
          <w:sz w:val="24"/>
          <w:szCs w:val="24"/>
        </w:rPr>
        <w:t>8.5</w:t>
      </w:r>
      <w:r w:rsidRPr="000E2196">
        <w:rPr>
          <w:rFonts w:ascii="Times New Roman" w:hAnsi="Times New Roman" w:cs="Times New Roman"/>
          <w:sz w:val="24"/>
          <w:szCs w:val="24"/>
        </w:rPr>
        <w:t xml:space="preserve"> hours in OECD high income countries</w:t>
      </w:r>
      <w:r w:rsidR="0037113F">
        <w:rPr>
          <w:rStyle w:val="FootnoteReference"/>
          <w:rFonts w:cs="Times New Roman"/>
          <w:szCs w:val="24"/>
        </w:rPr>
        <w:footnoteReference w:id="2"/>
      </w:r>
      <w:r w:rsidRPr="000E2196">
        <w:rPr>
          <w:rFonts w:ascii="Times New Roman" w:hAnsi="Times New Roman" w:cs="Times New Roman"/>
          <w:sz w:val="24"/>
          <w:szCs w:val="24"/>
        </w:rPr>
        <w:t xml:space="preserve">. </w:t>
      </w:r>
      <w:r>
        <w:rPr>
          <w:rFonts w:ascii="Times New Roman" w:hAnsi="Times New Roman" w:cs="Times New Roman"/>
          <w:sz w:val="24"/>
          <w:szCs w:val="24"/>
        </w:rPr>
        <w:t>Suriname</w:t>
      </w:r>
      <w:r w:rsidRPr="000E2196">
        <w:rPr>
          <w:rFonts w:ascii="Times New Roman" w:hAnsi="Times New Roman" w:cs="Times New Roman"/>
          <w:sz w:val="24"/>
          <w:szCs w:val="24"/>
        </w:rPr>
        <w:t>’s overall performance on the index is weakest in areas relating to freight transportation safety, the widespread perception of efficiency and transparency problems in customs processes, and the institutional environment.</w:t>
      </w:r>
    </w:p>
    <w:p w14:paraId="4FD1A424" w14:textId="77777777" w:rsidR="00511798" w:rsidRDefault="00511798" w:rsidP="00511798">
      <w:pPr>
        <w:pStyle w:val="ListParagraph"/>
        <w:tabs>
          <w:tab w:val="left" w:pos="540"/>
          <w:tab w:val="left" w:pos="2085"/>
        </w:tabs>
        <w:spacing w:after="0" w:line="0" w:lineRule="atLeast"/>
        <w:ind w:left="360"/>
        <w:jc w:val="both"/>
        <w:rPr>
          <w:rFonts w:ascii="Times New Roman" w:hAnsi="Times New Roman" w:cs="Times New Roman"/>
          <w:sz w:val="24"/>
          <w:szCs w:val="24"/>
        </w:rPr>
      </w:pPr>
    </w:p>
    <w:p w14:paraId="59EDD10B" w14:textId="77777777" w:rsidR="00511798" w:rsidRPr="00511798" w:rsidRDefault="009A5CCA" w:rsidP="00511798">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511798">
        <w:rPr>
          <w:rFonts w:ascii="Times New Roman" w:hAnsi="Times New Roman" w:cs="Times New Roman"/>
          <w:sz w:val="24"/>
        </w:rPr>
        <w:t xml:space="preserve">Regarding the trade dynamics and the economic integration, </w:t>
      </w:r>
      <w:r w:rsidR="006B21D5" w:rsidRPr="00511798">
        <w:rPr>
          <w:rFonts w:ascii="Times New Roman" w:hAnsi="Times New Roman" w:cs="Times New Roman"/>
          <w:sz w:val="24"/>
        </w:rPr>
        <w:t>Suriname</w:t>
      </w:r>
      <w:r w:rsidRPr="00511798">
        <w:rPr>
          <w:rFonts w:ascii="Times New Roman" w:hAnsi="Times New Roman" w:cs="Times New Roman"/>
          <w:sz w:val="24"/>
        </w:rPr>
        <w:t xml:space="preserve"> is member of the Caribbean Community (CARICOM) since </w:t>
      </w:r>
      <w:r w:rsidR="0053303F" w:rsidRPr="00511798">
        <w:rPr>
          <w:rFonts w:ascii="Times New Roman" w:hAnsi="Times New Roman" w:cs="Times New Roman"/>
          <w:sz w:val="24"/>
        </w:rPr>
        <w:t>19</w:t>
      </w:r>
      <w:r w:rsidR="00012409" w:rsidRPr="00511798">
        <w:rPr>
          <w:rFonts w:ascii="Times New Roman" w:hAnsi="Times New Roman" w:cs="Times New Roman"/>
          <w:sz w:val="24"/>
        </w:rPr>
        <w:t>95</w:t>
      </w:r>
      <w:r w:rsidRPr="00511798">
        <w:rPr>
          <w:rFonts w:ascii="Times New Roman" w:hAnsi="Times New Roman" w:cs="Times New Roman"/>
          <w:sz w:val="24"/>
        </w:rPr>
        <w:t>; CARICOM is constituted by relatively small countries in terms of population and size, and diverse in terms of geography and levels of economic and social development. CARICOM countries share similar development challenges that could be assessed by combining efforts and creating synergies to move towards a greater development state through economic integration</w:t>
      </w:r>
      <w:r>
        <w:rPr>
          <w:rStyle w:val="FootnoteReference"/>
          <w:rFonts w:cs="Times New Roman"/>
        </w:rPr>
        <w:footnoteReference w:id="3"/>
      </w:r>
      <w:r w:rsidRPr="00511798">
        <w:rPr>
          <w:rFonts w:ascii="Times New Roman" w:hAnsi="Times New Roman" w:cs="Times New Roman"/>
          <w:sz w:val="24"/>
        </w:rPr>
        <w:t xml:space="preserve">. According to IDB estimates, CARICOM is </w:t>
      </w:r>
      <w:r w:rsidRPr="00511798">
        <w:rPr>
          <w:rFonts w:ascii="Times New Roman" w:hAnsi="Times New Roman" w:cs="Times New Roman"/>
          <w:sz w:val="24"/>
        </w:rPr>
        <w:lastRenderedPageBreak/>
        <w:t>operating on average 46% below its trade potential. In addition, intra-regional trade in the Caribbean stands at a relatively low 13% of total trade; this increases to just over 20% if exports to Latin America are included. These estimates put in evidence that the pattern and structure of CARICOM trade in goods has remained somewhat unchanged across the last ten years.</w:t>
      </w:r>
    </w:p>
    <w:p w14:paraId="13797947" w14:textId="77777777" w:rsidR="00511798" w:rsidRPr="00511798" w:rsidRDefault="00511798" w:rsidP="00511798">
      <w:pPr>
        <w:pStyle w:val="ListParagraph"/>
        <w:rPr>
          <w:rFonts w:ascii="Times New Roman" w:hAnsi="Times New Roman" w:cs="Times New Roman"/>
          <w:sz w:val="24"/>
        </w:rPr>
      </w:pPr>
    </w:p>
    <w:p w14:paraId="62061A1D" w14:textId="77777777" w:rsidR="00511798" w:rsidRPr="00511798" w:rsidRDefault="009A5CCA" w:rsidP="00511798">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511798">
        <w:rPr>
          <w:rFonts w:ascii="Times New Roman" w:hAnsi="Times New Roman" w:cs="Times New Roman"/>
          <w:sz w:val="24"/>
        </w:rPr>
        <w:t xml:space="preserve">The </w:t>
      </w:r>
      <w:r w:rsidR="005F47A5" w:rsidRPr="00511798">
        <w:rPr>
          <w:rFonts w:ascii="Times New Roman" w:hAnsi="Times New Roman" w:cs="Times New Roman"/>
          <w:sz w:val="24"/>
        </w:rPr>
        <w:t>r</w:t>
      </w:r>
      <w:r w:rsidRPr="00511798">
        <w:rPr>
          <w:rFonts w:ascii="Times New Roman" w:hAnsi="Times New Roman" w:cs="Times New Roman"/>
          <w:sz w:val="24"/>
        </w:rPr>
        <w:t>egion exports small percentages of its total production to intra-regional markets, while trade with extra-regional traditional partners such as USA, Canada, the UK, and the rest of the European Union, dominates by far CARICOM’s total trade in goods. Further</w:t>
      </w:r>
      <w:r w:rsidR="00115D64" w:rsidRPr="00511798">
        <w:rPr>
          <w:rFonts w:ascii="Times New Roman" w:hAnsi="Times New Roman" w:cs="Times New Roman"/>
          <w:sz w:val="24"/>
        </w:rPr>
        <w:t>more</w:t>
      </w:r>
      <w:r w:rsidRPr="00511798">
        <w:rPr>
          <w:rFonts w:ascii="Times New Roman" w:hAnsi="Times New Roman" w:cs="Times New Roman"/>
          <w:sz w:val="24"/>
        </w:rPr>
        <w:t xml:space="preserve">, most of CARICOM’s trade, both intra-regional and extra-regional, is carried out by the region’s most developed countries, with Trinidad and Tobago </w:t>
      </w:r>
      <w:r w:rsidR="008F52D2" w:rsidRPr="00511798">
        <w:rPr>
          <w:rFonts w:ascii="Times New Roman" w:hAnsi="Times New Roman" w:cs="Times New Roman"/>
          <w:sz w:val="24"/>
        </w:rPr>
        <w:t xml:space="preserve">as </w:t>
      </w:r>
      <w:r w:rsidRPr="00511798">
        <w:rPr>
          <w:rFonts w:ascii="Times New Roman" w:hAnsi="Times New Roman" w:cs="Times New Roman"/>
          <w:sz w:val="24"/>
        </w:rPr>
        <w:t>the leading exporter (73.4%) and Jamaica (28%) the major importer.</w:t>
      </w:r>
    </w:p>
    <w:p w14:paraId="1F24A7D3" w14:textId="77777777" w:rsidR="00511798" w:rsidRPr="00511798" w:rsidRDefault="00511798" w:rsidP="00511798">
      <w:pPr>
        <w:pStyle w:val="ListParagraph"/>
        <w:rPr>
          <w:rFonts w:ascii="Times New Roman" w:hAnsi="Times New Roman" w:cs="Times New Roman"/>
          <w:sz w:val="24"/>
        </w:rPr>
      </w:pPr>
    </w:p>
    <w:p w14:paraId="0D00E410" w14:textId="35E3ADA7" w:rsidR="009A5CCA" w:rsidRPr="00511798" w:rsidRDefault="009A5CCA" w:rsidP="00511798">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511798">
        <w:rPr>
          <w:rFonts w:ascii="Times New Roman" w:hAnsi="Times New Roman" w:cs="Times New Roman"/>
          <w:sz w:val="24"/>
        </w:rPr>
        <w:t xml:space="preserve">The trade dynamics of </w:t>
      </w:r>
      <w:r w:rsidR="00EC1963" w:rsidRPr="00511798">
        <w:rPr>
          <w:rFonts w:ascii="Times New Roman" w:hAnsi="Times New Roman" w:cs="Times New Roman"/>
          <w:sz w:val="24"/>
        </w:rPr>
        <w:t>Suriname</w:t>
      </w:r>
      <w:r w:rsidRPr="00511798">
        <w:rPr>
          <w:rFonts w:ascii="Times New Roman" w:hAnsi="Times New Roman" w:cs="Times New Roman"/>
          <w:sz w:val="24"/>
        </w:rPr>
        <w:t xml:space="preserve"> analyzed in a bilateral perspective, depicts that the tops destinations </w:t>
      </w:r>
      <w:r w:rsidR="00891C6F" w:rsidRPr="00511798">
        <w:rPr>
          <w:rFonts w:ascii="Times New Roman" w:hAnsi="Times New Roman" w:cs="Times New Roman"/>
          <w:sz w:val="24"/>
        </w:rPr>
        <w:t>of its</w:t>
      </w:r>
      <w:r w:rsidRPr="00511798">
        <w:rPr>
          <w:rFonts w:ascii="Times New Roman" w:hAnsi="Times New Roman" w:cs="Times New Roman"/>
          <w:sz w:val="24"/>
        </w:rPr>
        <w:t xml:space="preserve"> exports are; </w:t>
      </w:r>
      <w:r w:rsidR="00855CA7" w:rsidRPr="00511798">
        <w:rPr>
          <w:rFonts w:ascii="Times New Roman" w:hAnsi="Times New Roman" w:cs="Times New Roman"/>
          <w:sz w:val="24"/>
        </w:rPr>
        <w:t>Switzerland</w:t>
      </w:r>
      <w:r w:rsidRPr="00511798">
        <w:rPr>
          <w:rFonts w:ascii="Times New Roman" w:hAnsi="Times New Roman" w:cs="Times New Roman"/>
          <w:sz w:val="24"/>
        </w:rPr>
        <w:t xml:space="preserve"> (</w:t>
      </w:r>
      <w:r w:rsidR="00855CA7" w:rsidRPr="00511798">
        <w:rPr>
          <w:rFonts w:ascii="Times New Roman" w:hAnsi="Times New Roman" w:cs="Times New Roman"/>
          <w:sz w:val="24"/>
        </w:rPr>
        <w:t>30</w:t>
      </w:r>
      <w:r w:rsidRPr="00511798">
        <w:rPr>
          <w:rFonts w:ascii="Times New Roman" w:hAnsi="Times New Roman" w:cs="Times New Roman"/>
          <w:sz w:val="24"/>
        </w:rPr>
        <w:t xml:space="preserve">%), </w:t>
      </w:r>
      <w:r w:rsidR="00855CA7" w:rsidRPr="00511798">
        <w:rPr>
          <w:rFonts w:ascii="Times New Roman" w:hAnsi="Times New Roman" w:cs="Times New Roman"/>
          <w:sz w:val="24"/>
        </w:rPr>
        <w:t>Belgium</w:t>
      </w:r>
      <w:r w:rsidRPr="00511798">
        <w:rPr>
          <w:rFonts w:ascii="Times New Roman" w:hAnsi="Times New Roman" w:cs="Times New Roman"/>
          <w:sz w:val="24"/>
        </w:rPr>
        <w:t xml:space="preserve"> (</w:t>
      </w:r>
      <w:r w:rsidR="00855CA7" w:rsidRPr="00511798">
        <w:rPr>
          <w:rFonts w:ascii="Times New Roman" w:hAnsi="Times New Roman" w:cs="Times New Roman"/>
          <w:sz w:val="24"/>
        </w:rPr>
        <w:t>9.6</w:t>
      </w:r>
      <w:r w:rsidRPr="00511798">
        <w:rPr>
          <w:rFonts w:ascii="Times New Roman" w:hAnsi="Times New Roman" w:cs="Times New Roman"/>
          <w:sz w:val="24"/>
        </w:rPr>
        <w:t xml:space="preserve">%), </w:t>
      </w:r>
      <w:r w:rsidR="00855CA7" w:rsidRPr="00511798">
        <w:rPr>
          <w:rFonts w:ascii="Times New Roman" w:hAnsi="Times New Roman" w:cs="Times New Roman"/>
          <w:sz w:val="24"/>
        </w:rPr>
        <w:t>France</w:t>
      </w:r>
      <w:r w:rsidRPr="00511798">
        <w:rPr>
          <w:rFonts w:ascii="Times New Roman" w:hAnsi="Times New Roman" w:cs="Times New Roman"/>
          <w:sz w:val="24"/>
        </w:rPr>
        <w:t xml:space="preserve"> (</w:t>
      </w:r>
      <w:r w:rsidR="00855CA7" w:rsidRPr="00511798">
        <w:rPr>
          <w:rFonts w:ascii="Times New Roman" w:hAnsi="Times New Roman" w:cs="Times New Roman"/>
          <w:sz w:val="24"/>
        </w:rPr>
        <w:t>2.5</w:t>
      </w:r>
      <w:r w:rsidRPr="00511798">
        <w:rPr>
          <w:rFonts w:ascii="Times New Roman" w:hAnsi="Times New Roman" w:cs="Times New Roman"/>
          <w:sz w:val="24"/>
        </w:rPr>
        <w:t>%)</w:t>
      </w:r>
      <w:r w:rsidR="00855CA7" w:rsidRPr="00511798">
        <w:rPr>
          <w:rFonts w:ascii="Times New Roman" w:hAnsi="Times New Roman" w:cs="Times New Roman"/>
          <w:sz w:val="24"/>
        </w:rPr>
        <w:t>,</w:t>
      </w:r>
      <w:r w:rsidRPr="00511798">
        <w:rPr>
          <w:rFonts w:ascii="Times New Roman" w:hAnsi="Times New Roman" w:cs="Times New Roman"/>
          <w:sz w:val="24"/>
        </w:rPr>
        <w:t xml:space="preserve"> </w:t>
      </w:r>
      <w:r w:rsidR="00855CA7" w:rsidRPr="00511798">
        <w:rPr>
          <w:rFonts w:ascii="Times New Roman" w:hAnsi="Times New Roman" w:cs="Times New Roman"/>
          <w:sz w:val="24"/>
        </w:rPr>
        <w:t>and The Netherlands (2.2%)</w:t>
      </w:r>
      <w:r w:rsidRPr="00511798">
        <w:rPr>
          <w:rFonts w:ascii="Times New Roman" w:hAnsi="Times New Roman" w:cs="Times New Roman"/>
          <w:sz w:val="24"/>
        </w:rPr>
        <w:t xml:space="preserve">, highlighting the fact that the aggregation of these four countries represents the </w:t>
      </w:r>
      <w:r w:rsidR="00855CA7" w:rsidRPr="00511798">
        <w:rPr>
          <w:rFonts w:ascii="Times New Roman" w:hAnsi="Times New Roman" w:cs="Times New Roman"/>
          <w:sz w:val="24"/>
        </w:rPr>
        <w:t>45</w:t>
      </w:r>
      <w:r w:rsidRPr="00511798">
        <w:rPr>
          <w:rFonts w:ascii="Times New Roman" w:hAnsi="Times New Roman" w:cs="Times New Roman"/>
          <w:sz w:val="24"/>
        </w:rPr>
        <w:t xml:space="preserve">% of the total value of </w:t>
      </w:r>
      <w:r w:rsidR="00855CA7" w:rsidRPr="00511798">
        <w:rPr>
          <w:rFonts w:ascii="Times New Roman" w:hAnsi="Times New Roman" w:cs="Times New Roman"/>
          <w:sz w:val="24"/>
        </w:rPr>
        <w:t>Suriname</w:t>
      </w:r>
      <w:r w:rsidR="005F47A5" w:rsidRPr="00511798">
        <w:rPr>
          <w:rFonts w:ascii="Times New Roman" w:hAnsi="Times New Roman" w:cs="Times New Roman"/>
          <w:sz w:val="24"/>
        </w:rPr>
        <w:t>’s</w:t>
      </w:r>
      <w:r w:rsidRPr="00511798">
        <w:rPr>
          <w:rFonts w:ascii="Times New Roman" w:hAnsi="Times New Roman" w:cs="Times New Roman"/>
          <w:sz w:val="24"/>
        </w:rPr>
        <w:t xml:space="preserve"> exports. Regarding the origin of its imports, the top countries are the </w:t>
      </w:r>
      <w:r w:rsidR="00855CA7" w:rsidRPr="00511798">
        <w:rPr>
          <w:rFonts w:ascii="Times New Roman" w:hAnsi="Times New Roman" w:cs="Times New Roman"/>
          <w:sz w:val="24"/>
        </w:rPr>
        <w:t>United States (24%), Trinidad and Tobago (13%), Saint Lucia (3.2%), Panama (2.2%) and Canada (2.1%)</w:t>
      </w:r>
      <w:r>
        <w:rPr>
          <w:rStyle w:val="FootnoteReference"/>
          <w:rFonts w:cs="Times New Roman"/>
        </w:rPr>
        <w:footnoteReference w:id="4"/>
      </w:r>
      <w:r w:rsidRPr="00511798">
        <w:rPr>
          <w:rFonts w:ascii="Times New Roman" w:hAnsi="Times New Roman" w:cs="Times New Roman"/>
          <w:sz w:val="24"/>
        </w:rPr>
        <w:t>.</w:t>
      </w:r>
      <w:r w:rsidR="00F354CF" w:rsidRPr="00511798">
        <w:rPr>
          <w:rFonts w:ascii="Times New Roman" w:hAnsi="Times New Roman" w:cs="Times New Roman"/>
          <w:sz w:val="24"/>
        </w:rPr>
        <w:t xml:space="preserve"> I</w:t>
      </w:r>
      <w:r w:rsidRPr="00511798">
        <w:rPr>
          <w:rFonts w:ascii="Times New Roman" w:hAnsi="Times New Roman" w:cs="Times New Roman"/>
          <w:sz w:val="24"/>
        </w:rPr>
        <w:t xml:space="preserve">t is observed a low level of intraregional commerce in </w:t>
      </w:r>
      <w:r w:rsidR="00855CA7" w:rsidRPr="00511798">
        <w:rPr>
          <w:rFonts w:ascii="Times New Roman" w:hAnsi="Times New Roman" w:cs="Times New Roman"/>
          <w:sz w:val="24"/>
        </w:rPr>
        <w:t xml:space="preserve">Suriname with </w:t>
      </w:r>
      <w:r w:rsidR="00C23675" w:rsidRPr="00511798">
        <w:rPr>
          <w:rFonts w:ascii="Times New Roman" w:hAnsi="Times New Roman" w:cs="Times New Roman"/>
          <w:sz w:val="24"/>
        </w:rPr>
        <w:t>South American</w:t>
      </w:r>
      <w:r w:rsidR="002D70C8" w:rsidRPr="00511798">
        <w:rPr>
          <w:rFonts w:ascii="Times New Roman" w:hAnsi="Times New Roman" w:cs="Times New Roman"/>
          <w:sz w:val="24"/>
        </w:rPr>
        <w:t xml:space="preserve"> region</w:t>
      </w:r>
      <w:r w:rsidR="00C23675">
        <w:rPr>
          <w:rStyle w:val="FootnoteReference"/>
          <w:rFonts w:cs="Times New Roman"/>
        </w:rPr>
        <w:footnoteReference w:id="5"/>
      </w:r>
      <w:r w:rsidR="00855CA7" w:rsidRPr="00511798">
        <w:rPr>
          <w:rFonts w:ascii="Times New Roman" w:hAnsi="Times New Roman" w:cs="Times New Roman"/>
          <w:sz w:val="24"/>
        </w:rPr>
        <w:t xml:space="preserve"> (only 6.3%</w:t>
      </w:r>
      <w:r w:rsidR="00C23675" w:rsidRPr="00511798">
        <w:rPr>
          <w:rFonts w:ascii="Times New Roman" w:hAnsi="Times New Roman" w:cs="Times New Roman"/>
          <w:sz w:val="24"/>
        </w:rPr>
        <w:t xml:space="preserve"> of total exports and 5.5% of total imports)</w:t>
      </w:r>
      <w:r w:rsidR="00830E1C">
        <w:rPr>
          <w:rFonts w:ascii="Times New Roman" w:hAnsi="Times New Roman" w:cs="Times New Roman"/>
          <w:sz w:val="24"/>
        </w:rPr>
        <w:t xml:space="preserve"> mainly concentrate towards Guyana;</w:t>
      </w:r>
      <w:r w:rsidRPr="00511798">
        <w:rPr>
          <w:rFonts w:ascii="Times New Roman" w:hAnsi="Times New Roman" w:cs="Times New Roman"/>
          <w:sz w:val="24"/>
        </w:rPr>
        <w:t xml:space="preserve"> </w:t>
      </w:r>
      <w:r w:rsidR="00830E1C" w:rsidRPr="00511798">
        <w:rPr>
          <w:rFonts w:ascii="Times New Roman" w:hAnsi="Times New Roman" w:cs="Times New Roman"/>
          <w:sz w:val="24"/>
        </w:rPr>
        <w:t>therefore,</w:t>
      </w:r>
      <w:r w:rsidRPr="00511798">
        <w:rPr>
          <w:rFonts w:ascii="Times New Roman" w:hAnsi="Times New Roman" w:cs="Times New Roman"/>
          <w:sz w:val="24"/>
        </w:rPr>
        <w:t xml:space="preserve"> it is relevant to promote greater levels of trade with the Latin American and the Caribbean region to reduce the risk of negative external economic shocks that could have origin in developed economies. To achieve this objective; transport infrastructure investment represents a contributor to reduce transport and logistic cost and enhance economic integration. </w:t>
      </w:r>
    </w:p>
    <w:p w14:paraId="11642014" w14:textId="77777777" w:rsidR="00511798" w:rsidRPr="00511798" w:rsidRDefault="00511798" w:rsidP="00511798">
      <w:pPr>
        <w:pStyle w:val="ListParagraph"/>
        <w:spacing w:after="0"/>
        <w:rPr>
          <w:rFonts w:ascii="Times New Roman" w:hAnsi="Times New Roman" w:cs="Times New Roman"/>
          <w:sz w:val="24"/>
          <w:szCs w:val="24"/>
        </w:rPr>
      </w:pPr>
    </w:p>
    <w:p w14:paraId="1B585CAF" w14:textId="7716A613" w:rsidR="00511798" w:rsidRDefault="00511798" w:rsidP="00511798">
      <w:pPr>
        <w:tabs>
          <w:tab w:val="left" w:pos="540"/>
          <w:tab w:val="left" w:pos="2085"/>
        </w:tabs>
        <w:spacing w:after="0" w:line="0" w:lineRule="atLeast"/>
        <w:jc w:val="center"/>
        <w:rPr>
          <w:rFonts w:ascii="Times New Roman" w:hAnsi="Times New Roman" w:cs="Times New Roman"/>
          <w:b/>
          <w:sz w:val="24"/>
          <w:szCs w:val="24"/>
        </w:rPr>
      </w:pPr>
      <w:r w:rsidRPr="00412519">
        <w:rPr>
          <w:rFonts w:ascii="Times New Roman" w:hAnsi="Times New Roman" w:cs="Times New Roman"/>
          <w:b/>
          <w:sz w:val="24"/>
          <w:szCs w:val="24"/>
        </w:rPr>
        <w:t>Figure 3. Trade dynamics of Suriname by continent</w:t>
      </w:r>
    </w:p>
    <w:p w14:paraId="3CC1740C" w14:textId="3AEE2C5A" w:rsidR="00145270" w:rsidRPr="00412519" w:rsidRDefault="00830E1C" w:rsidP="00511798">
      <w:pPr>
        <w:tabs>
          <w:tab w:val="left" w:pos="540"/>
          <w:tab w:val="left" w:pos="2085"/>
        </w:tabs>
        <w:spacing w:after="0" w:line="0" w:lineRule="atLeast"/>
        <w:jc w:val="center"/>
        <w:rPr>
          <w:rFonts w:ascii="Times New Roman" w:hAnsi="Times New Roman" w:cs="Times New Roman"/>
          <w:sz w:val="24"/>
          <w:szCs w:val="24"/>
        </w:rPr>
      </w:pPr>
      <w:r w:rsidRPr="00412519">
        <w:rPr>
          <w:noProof/>
          <w:sz w:val="24"/>
          <w:szCs w:val="24"/>
        </w:rPr>
        <w:drawing>
          <wp:anchor distT="0" distB="0" distL="114300" distR="114300" simplePos="0" relativeHeight="251661312" behindDoc="0" locked="0" layoutInCell="1" allowOverlap="1" wp14:anchorId="19D50091" wp14:editId="13C642C2">
            <wp:simplePos x="0" y="0"/>
            <wp:positionH relativeFrom="margin">
              <wp:posOffset>372110</wp:posOffset>
            </wp:positionH>
            <wp:positionV relativeFrom="paragraph">
              <wp:posOffset>189865</wp:posOffset>
            </wp:positionV>
            <wp:extent cx="5662930" cy="210185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662930" cy="2101850"/>
                    </a:xfrm>
                    <a:prstGeom prst="rect">
                      <a:avLst/>
                    </a:prstGeom>
                  </pic:spPr>
                </pic:pic>
              </a:graphicData>
            </a:graphic>
            <wp14:sizeRelH relativeFrom="margin">
              <wp14:pctWidth>0</wp14:pctWidth>
            </wp14:sizeRelH>
            <wp14:sizeRelV relativeFrom="margin">
              <wp14:pctHeight>0</wp14:pctHeight>
            </wp14:sizeRelV>
          </wp:anchor>
        </w:drawing>
      </w:r>
    </w:p>
    <w:p w14:paraId="27E86770" w14:textId="77777777" w:rsidR="00511798" w:rsidRPr="006B0EE6" w:rsidRDefault="00511798" w:rsidP="00511798">
      <w:pPr>
        <w:tabs>
          <w:tab w:val="left" w:pos="540"/>
          <w:tab w:val="left" w:pos="2085"/>
        </w:tabs>
        <w:spacing w:after="0" w:line="0" w:lineRule="atLeast"/>
        <w:jc w:val="center"/>
        <w:rPr>
          <w:rFonts w:ascii="Times New Roman" w:hAnsi="Times New Roman" w:cs="Times New Roman"/>
          <w:sz w:val="18"/>
        </w:rPr>
      </w:pPr>
      <w:r w:rsidRPr="006B0EE6">
        <w:rPr>
          <w:rFonts w:ascii="Times New Roman" w:hAnsi="Times New Roman" w:cs="Times New Roman"/>
          <w:sz w:val="18"/>
        </w:rPr>
        <w:t xml:space="preserve">Source: </w:t>
      </w:r>
      <w:r w:rsidRPr="006B0EE6">
        <w:rPr>
          <w:rFonts w:ascii="Times New Roman" w:hAnsi="Times New Roman"/>
          <w:sz w:val="16"/>
        </w:rPr>
        <w:t>Observatory of Economic Complexity, MIT</w:t>
      </w:r>
    </w:p>
    <w:p w14:paraId="18216C85" w14:textId="77777777" w:rsidR="00511798" w:rsidRPr="00511798" w:rsidRDefault="00511798" w:rsidP="00511798">
      <w:pPr>
        <w:spacing w:after="0"/>
        <w:rPr>
          <w:rFonts w:ascii="Times New Roman" w:hAnsi="Times New Roman" w:cs="Times New Roman"/>
          <w:sz w:val="24"/>
          <w:szCs w:val="24"/>
        </w:rPr>
      </w:pPr>
    </w:p>
    <w:p w14:paraId="0FB1ED07" w14:textId="37DEEE00" w:rsidR="00830E1C" w:rsidRPr="00830E1C" w:rsidRDefault="00511798" w:rsidP="006907E3">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sidRPr="00830E1C">
        <w:rPr>
          <w:rFonts w:ascii="Times New Roman" w:hAnsi="Times New Roman" w:cs="Times New Roman"/>
          <w:sz w:val="24"/>
          <w:szCs w:val="24"/>
        </w:rPr>
        <w:lastRenderedPageBreak/>
        <w:t>The reduction of transport cost and logistics can be considered a tool for developing the activity of small and medium sized enterprises by increasing their probability to export. (Molina, D., Heuser, C y Mesquita, M., 2016). Transport infrastructure plays a decisive role in the systemic competitiveness of the economy due to the direct impact it has on transport costs, which are a determinant of the final prices of tradable and non-tradable goods.</w:t>
      </w:r>
      <w:r w:rsidR="00830E1C" w:rsidRPr="00830E1C">
        <w:rPr>
          <w:rFonts w:ascii="Times New Roman" w:hAnsi="Times New Roman" w:cs="Times New Roman"/>
          <w:sz w:val="24"/>
          <w:szCs w:val="24"/>
        </w:rPr>
        <w:t xml:space="preserve"> </w:t>
      </w:r>
      <w:r w:rsidR="002C45A8" w:rsidRPr="00830E1C">
        <w:rPr>
          <w:rFonts w:ascii="Times New Roman" w:hAnsi="Times New Roman" w:cs="Times New Roman"/>
          <w:sz w:val="24"/>
        </w:rPr>
        <w:t xml:space="preserve">Empirical evidence shows that good logistic performance benefits the competitiveness of economies, which has a direct impact on both regional and global trade flows. This is supported by the fact that logistics costs impact on the final prices of goods and services, which translates into losses or gains of competitiveness in relation to the rest of the global competitors, affecting the country's external position. </w:t>
      </w:r>
    </w:p>
    <w:p w14:paraId="7E5D4246" w14:textId="77777777" w:rsidR="00830E1C" w:rsidRPr="00830E1C" w:rsidRDefault="00830E1C" w:rsidP="00830E1C">
      <w:pPr>
        <w:pStyle w:val="ListParagraph"/>
        <w:tabs>
          <w:tab w:val="left" w:pos="540"/>
          <w:tab w:val="left" w:pos="2085"/>
        </w:tabs>
        <w:spacing w:after="0" w:line="0" w:lineRule="atLeast"/>
        <w:ind w:left="1260"/>
        <w:jc w:val="both"/>
        <w:rPr>
          <w:rFonts w:ascii="Times New Roman" w:hAnsi="Times New Roman" w:cs="Times New Roman"/>
          <w:sz w:val="24"/>
          <w:szCs w:val="24"/>
        </w:rPr>
      </w:pPr>
    </w:p>
    <w:p w14:paraId="010E25C8" w14:textId="22902254" w:rsidR="000313C0" w:rsidRPr="00830E1C" w:rsidRDefault="00830E1C" w:rsidP="006907E3">
      <w:pPr>
        <w:pStyle w:val="ListParagraph"/>
        <w:numPr>
          <w:ilvl w:val="1"/>
          <w:numId w:val="1"/>
        </w:numPr>
        <w:tabs>
          <w:tab w:val="left" w:pos="540"/>
          <w:tab w:val="left" w:pos="2085"/>
        </w:tabs>
        <w:spacing w:after="0" w:line="0" w:lineRule="atLeast"/>
        <w:jc w:val="both"/>
        <w:rPr>
          <w:rFonts w:ascii="Times New Roman" w:hAnsi="Times New Roman" w:cs="Times New Roman"/>
          <w:sz w:val="24"/>
          <w:szCs w:val="24"/>
        </w:rPr>
      </w:pPr>
      <w:r>
        <w:rPr>
          <w:rFonts w:ascii="Times New Roman" w:hAnsi="Times New Roman" w:cs="Times New Roman"/>
          <w:sz w:val="24"/>
        </w:rPr>
        <w:t>T</w:t>
      </w:r>
      <w:r w:rsidR="002C45A8" w:rsidRPr="00830E1C">
        <w:rPr>
          <w:rFonts w:ascii="Times New Roman" w:hAnsi="Times New Roman" w:cs="Times New Roman"/>
          <w:sz w:val="24"/>
        </w:rPr>
        <w:t xml:space="preserve">here is an inverse relationship between exports and transport and logistics costs (Krugman and </w:t>
      </w:r>
      <w:proofErr w:type="spellStart"/>
      <w:r w:rsidR="002C45A8" w:rsidRPr="00830E1C">
        <w:rPr>
          <w:rFonts w:ascii="Times New Roman" w:hAnsi="Times New Roman" w:cs="Times New Roman"/>
          <w:sz w:val="24"/>
        </w:rPr>
        <w:t>Livas</w:t>
      </w:r>
      <w:proofErr w:type="spellEnd"/>
      <w:r w:rsidR="002C45A8" w:rsidRPr="00830E1C">
        <w:rPr>
          <w:rFonts w:ascii="Times New Roman" w:hAnsi="Times New Roman" w:cs="Times New Roman"/>
          <w:sz w:val="24"/>
        </w:rPr>
        <w:t xml:space="preserve">, 1996). Additionally, the logistics development has a direct impact on market access and the flow of goods and services, affecting issues of space economy directly related to regional integration (Venables, 1996). </w:t>
      </w:r>
      <w:r w:rsidR="000313C0" w:rsidRPr="00830E1C">
        <w:rPr>
          <w:rFonts w:ascii="Times New Roman" w:hAnsi="Times New Roman" w:cs="Times New Roman"/>
          <w:sz w:val="24"/>
        </w:rPr>
        <w:t>Likewise, the IDB (2010) has stated that the organization and institutional strengthening of the freight logistics sector in Latin America is essential for generating a positive impact over the medium and long term</w:t>
      </w:r>
      <w:r w:rsidR="000313C0">
        <w:rPr>
          <w:rStyle w:val="FootnoteReference"/>
          <w:rFonts w:cs="Times New Roman"/>
        </w:rPr>
        <w:footnoteReference w:id="6"/>
      </w:r>
      <w:r w:rsidR="000313C0" w:rsidRPr="00830E1C">
        <w:rPr>
          <w:rFonts w:ascii="Times New Roman" w:hAnsi="Times New Roman" w:cs="Times New Roman"/>
          <w:sz w:val="24"/>
        </w:rPr>
        <w:t xml:space="preserve">. Countries such as Colombia, Uruguay and Panamá have made progress on important reforms to their logistics institutional management to boost competitiveness. </w:t>
      </w:r>
    </w:p>
    <w:p w14:paraId="15D8ECE2" w14:textId="77777777" w:rsidR="0026552A" w:rsidRPr="00511798" w:rsidRDefault="0026552A" w:rsidP="00DA3508">
      <w:pPr>
        <w:pStyle w:val="ListParagraph"/>
        <w:spacing w:after="0"/>
        <w:rPr>
          <w:rFonts w:ascii="Times New Roman" w:hAnsi="Times New Roman" w:cs="Times New Roman"/>
          <w:sz w:val="24"/>
        </w:rPr>
      </w:pPr>
    </w:p>
    <w:p w14:paraId="1D91A08E" w14:textId="77777777" w:rsidR="009A5CCA" w:rsidRPr="00D0623B" w:rsidRDefault="009A5CCA" w:rsidP="00C21F44">
      <w:pPr>
        <w:keepNext/>
        <w:keepLines/>
        <w:numPr>
          <w:ilvl w:val="0"/>
          <w:numId w:val="1"/>
        </w:numPr>
        <w:spacing w:after="0" w:line="0" w:lineRule="atLeast"/>
        <w:ind w:left="540" w:hanging="270"/>
        <w:jc w:val="both"/>
        <w:outlineLvl w:val="1"/>
        <w:rPr>
          <w:rFonts w:ascii="Times New Roman" w:eastAsia="MS Gothic" w:hAnsi="Times New Roman" w:cs="Times New Roman"/>
          <w:b/>
          <w:bCs/>
          <w:smallCaps/>
          <w:color w:val="44546A" w:themeColor="text2"/>
          <w:sz w:val="24"/>
          <w:szCs w:val="24"/>
        </w:rPr>
      </w:pPr>
      <w:r>
        <w:rPr>
          <w:rFonts w:ascii="Times New Roman" w:eastAsia="MS Gothic" w:hAnsi="Times New Roman" w:cs="Times New Roman"/>
          <w:b/>
          <w:bCs/>
          <w:smallCaps/>
          <w:color w:val="44546A" w:themeColor="text2"/>
          <w:sz w:val="24"/>
          <w:szCs w:val="24"/>
        </w:rPr>
        <w:t>Overview of the operation in terms of Regional Integration</w:t>
      </w:r>
    </w:p>
    <w:p w14:paraId="76C927CC" w14:textId="77777777" w:rsidR="009A5CCA" w:rsidRDefault="009A5CCA" w:rsidP="009A5CCA">
      <w:pPr>
        <w:pStyle w:val="ListParagraph"/>
        <w:tabs>
          <w:tab w:val="left" w:pos="2085"/>
        </w:tabs>
        <w:autoSpaceDE w:val="0"/>
        <w:autoSpaceDN w:val="0"/>
        <w:adjustRightInd w:val="0"/>
        <w:spacing w:after="0" w:line="240" w:lineRule="auto"/>
        <w:ind w:left="1260"/>
        <w:jc w:val="both"/>
        <w:rPr>
          <w:rFonts w:ascii="Times New Roman" w:hAnsi="Times New Roman" w:cs="Times New Roman"/>
          <w:sz w:val="24"/>
        </w:rPr>
      </w:pPr>
    </w:p>
    <w:p w14:paraId="06954909" w14:textId="426563E0" w:rsidR="00A056A7" w:rsidRDefault="001D39B3" w:rsidP="00C21F44">
      <w:pPr>
        <w:pStyle w:val="ListParagraph"/>
        <w:numPr>
          <w:ilvl w:val="1"/>
          <w:numId w:val="1"/>
        </w:numPr>
        <w:tabs>
          <w:tab w:val="left" w:pos="2085"/>
        </w:tabs>
        <w:autoSpaceDE w:val="0"/>
        <w:autoSpaceDN w:val="0"/>
        <w:adjustRightInd w:val="0"/>
        <w:spacing w:after="0" w:line="240" w:lineRule="auto"/>
        <w:jc w:val="both"/>
        <w:rPr>
          <w:rFonts w:ascii="Times New Roman" w:hAnsi="Times New Roman" w:cs="Times New Roman"/>
          <w:sz w:val="24"/>
        </w:rPr>
      </w:pPr>
      <w:r w:rsidRPr="00B55C4A">
        <w:rPr>
          <w:rFonts w:ascii="Times New Roman" w:hAnsi="Times New Roman" w:cs="Times New Roman"/>
          <w:sz w:val="24"/>
        </w:rPr>
        <w:t>The Project (</w:t>
      </w:r>
      <w:r w:rsidR="00B55C4A" w:rsidRPr="00B55C4A">
        <w:rPr>
          <w:rFonts w:ascii="Times New Roman" w:hAnsi="Times New Roman" w:cs="Times New Roman"/>
          <w:sz w:val="24"/>
        </w:rPr>
        <w:t>SU-L1057</w:t>
      </w:r>
      <w:r w:rsidRPr="00B55C4A">
        <w:rPr>
          <w:rFonts w:ascii="Times New Roman" w:hAnsi="Times New Roman" w:cs="Times New Roman"/>
          <w:sz w:val="24"/>
        </w:rPr>
        <w:t xml:space="preserve">) aims to </w:t>
      </w:r>
      <w:r w:rsidR="00B55C4A" w:rsidRPr="00B55C4A">
        <w:rPr>
          <w:rFonts w:ascii="Times New Roman" w:hAnsi="Times New Roman" w:cs="Times New Roman"/>
          <w:sz w:val="24"/>
        </w:rPr>
        <w:t>increase Suriname's competitiveness and productivity by improving its logistics performance which is key to the country’s agriculture and other important economic sectors. Specifically, the program will improve the quality and efficiency of the infrastructure and operations of the Port of Paramaribo through: (</w:t>
      </w:r>
      <w:proofErr w:type="spellStart"/>
      <w:r w:rsidR="00B55C4A" w:rsidRPr="00B55C4A">
        <w:rPr>
          <w:rFonts w:ascii="Times New Roman" w:hAnsi="Times New Roman" w:cs="Times New Roman"/>
          <w:sz w:val="24"/>
        </w:rPr>
        <w:t>i</w:t>
      </w:r>
      <w:proofErr w:type="spellEnd"/>
      <w:r w:rsidR="00B55C4A" w:rsidRPr="00B55C4A">
        <w:rPr>
          <w:rFonts w:ascii="Times New Roman" w:hAnsi="Times New Roman" w:cs="Times New Roman"/>
          <w:sz w:val="24"/>
        </w:rPr>
        <w:t>) the provision of port efficient infrastructure, and the acquisition and implementation of equipment and technological platforms to facilitate trade logistics and goods clearance processes; (ii) improvements in the level of service, capacity, and resilience of adjacent roads and access to the port; and (iii) institutional capacity strengthening to ensure efficient execution of civil works, sustainable asset management, and adequate operation of new systems.</w:t>
      </w:r>
    </w:p>
    <w:p w14:paraId="46B55D6C" w14:textId="77777777" w:rsidR="00EC7909" w:rsidRDefault="00EC7909" w:rsidP="00EC7909">
      <w:pPr>
        <w:pStyle w:val="ListParagraph"/>
        <w:tabs>
          <w:tab w:val="left" w:pos="2085"/>
        </w:tabs>
        <w:autoSpaceDE w:val="0"/>
        <w:autoSpaceDN w:val="0"/>
        <w:adjustRightInd w:val="0"/>
        <w:spacing w:after="0" w:line="240" w:lineRule="auto"/>
        <w:ind w:left="360"/>
        <w:jc w:val="both"/>
        <w:rPr>
          <w:rFonts w:ascii="Times New Roman" w:hAnsi="Times New Roman" w:cs="Times New Roman"/>
          <w:sz w:val="24"/>
        </w:rPr>
      </w:pPr>
    </w:p>
    <w:p w14:paraId="30F4C56C" w14:textId="57495E0D" w:rsidR="0040265B" w:rsidRPr="00CE6569" w:rsidRDefault="00A056A7" w:rsidP="00FB5404">
      <w:pPr>
        <w:pStyle w:val="ListParagraph"/>
        <w:numPr>
          <w:ilvl w:val="1"/>
          <w:numId w:val="1"/>
        </w:numPr>
        <w:tabs>
          <w:tab w:val="left" w:pos="2085"/>
        </w:tabs>
        <w:autoSpaceDE w:val="0"/>
        <w:autoSpaceDN w:val="0"/>
        <w:adjustRightInd w:val="0"/>
        <w:spacing w:after="0" w:line="240" w:lineRule="auto"/>
        <w:jc w:val="both"/>
        <w:rPr>
          <w:rFonts w:ascii="Times New Roman" w:hAnsi="Times New Roman" w:cs="Times New Roman"/>
          <w:i/>
          <w:sz w:val="24"/>
        </w:rPr>
      </w:pPr>
      <w:r w:rsidRPr="00CE6569">
        <w:rPr>
          <w:rFonts w:ascii="Times New Roman" w:hAnsi="Times New Roman" w:cs="Times New Roman"/>
          <w:sz w:val="24"/>
        </w:rPr>
        <w:t xml:space="preserve">IDB’s studies indicate that poor transport and logistics infrastructure in </w:t>
      </w:r>
      <w:r w:rsidR="00CF2870" w:rsidRPr="00CE6569">
        <w:rPr>
          <w:rFonts w:ascii="Times New Roman" w:hAnsi="Times New Roman" w:cs="Times New Roman"/>
          <w:sz w:val="24"/>
        </w:rPr>
        <w:t>Suriname</w:t>
      </w:r>
      <w:r w:rsidRPr="00CE6569">
        <w:rPr>
          <w:rFonts w:ascii="Times New Roman" w:hAnsi="Times New Roman" w:cs="Times New Roman"/>
          <w:sz w:val="24"/>
        </w:rPr>
        <w:t xml:space="preserve">, along with low network connectivity hinder the connection between production centers and markets and affect the country competitiveness. The limitations primarily affect the agricultural value chains, where the transport associated losses could be extremely high. </w:t>
      </w:r>
      <w:r w:rsidR="001F5E48" w:rsidRPr="00CE6569">
        <w:rPr>
          <w:rFonts w:ascii="Times New Roman" w:hAnsi="Times New Roman" w:cs="Times New Roman"/>
          <w:sz w:val="24"/>
        </w:rPr>
        <w:t>As mention before, t</w:t>
      </w:r>
      <w:r w:rsidR="001D39B3" w:rsidRPr="00CE6569">
        <w:rPr>
          <w:rFonts w:ascii="Times New Roman" w:hAnsi="Times New Roman" w:cs="Times New Roman"/>
          <w:sz w:val="24"/>
        </w:rPr>
        <w:t>he three primary industries that contribute</w:t>
      </w:r>
      <w:r w:rsidR="001F5E48" w:rsidRPr="00CE6569">
        <w:rPr>
          <w:rFonts w:ascii="Times New Roman" w:hAnsi="Times New Roman" w:cs="Times New Roman"/>
          <w:sz w:val="24"/>
        </w:rPr>
        <w:t>s</w:t>
      </w:r>
      <w:r w:rsidR="001D39B3" w:rsidRPr="00CE6569">
        <w:rPr>
          <w:rFonts w:ascii="Times New Roman" w:hAnsi="Times New Roman" w:cs="Times New Roman"/>
          <w:sz w:val="24"/>
        </w:rPr>
        <w:t xml:space="preserve"> to the </w:t>
      </w:r>
      <w:r w:rsidR="007237AB" w:rsidRPr="00CE6569">
        <w:rPr>
          <w:rFonts w:ascii="Times New Roman" w:hAnsi="Times New Roman" w:cs="Times New Roman"/>
          <w:sz w:val="24"/>
        </w:rPr>
        <w:t>Surinam</w:t>
      </w:r>
      <w:r w:rsidR="001D39B3" w:rsidRPr="00CE6569">
        <w:rPr>
          <w:rFonts w:ascii="Times New Roman" w:hAnsi="Times New Roman" w:cs="Times New Roman"/>
          <w:sz w:val="24"/>
        </w:rPr>
        <w:t xml:space="preserve"> export</w:t>
      </w:r>
      <w:r w:rsidR="001F5E48" w:rsidRPr="00CE6569">
        <w:rPr>
          <w:rFonts w:ascii="Times New Roman" w:hAnsi="Times New Roman" w:cs="Times New Roman"/>
          <w:sz w:val="24"/>
        </w:rPr>
        <w:t xml:space="preserve">s </w:t>
      </w:r>
      <w:r w:rsidR="001D39B3" w:rsidRPr="00CE6569">
        <w:rPr>
          <w:rFonts w:ascii="Times New Roman" w:hAnsi="Times New Roman" w:cs="Times New Roman"/>
          <w:sz w:val="24"/>
        </w:rPr>
        <w:t xml:space="preserve">are </w:t>
      </w:r>
      <w:r w:rsidR="007237AB" w:rsidRPr="00CE6569">
        <w:rPr>
          <w:rFonts w:ascii="Times New Roman" w:hAnsi="Times New Roman" w:cs="Times New Roman"/>
          <w:sz w:val="24"/>
        </w:rPr>
        <w:t>petroleum</w:t>
      </w:r>
      <w:r w:rsidR="001D39B3" w:rsidRPr="00CE6569">
        <w:rPr>
          <w:rFonts w:ascii="Times New Roman" w:hAnsi="Times New Roman" w:cs="Times New Roman"/>
          <w:sz w:val="24"/>
        </w:rPr>
        <w:t xml:space="preserve">, </w:t>
      </w:r>
      <w:r w:rsidR="007237AB" w:rsidRPr="00CE6569">
        <w:rPr>
          <w:rFonts w:ascii="Times New Roman" w:hAnsi="Times New Roman" w:cs="Times New Roman"/>
          <w:sz w:val="24"/>
        </w:rPr>
        <w:t>gold</w:t>
      </w:r>
      <w:r w:rsidR="001D39B3" w:rsidRPr="00CE6569">
        <w:rPr>
          <w:rFonts w:ascii="Times New Roman" w:hAnsi="Times New Roman" w:cs="Times New Roman"/>
          <w:sz w:val="24"/>
        </w:rPr>
        <w:t xml:space="preserve">, and </w:t>
      </w:r>
      <w:r w:rsidR="007237AB" w:rsidRPr="00CE6569">
        <w:rPr>
          <w:rFonts w:ascii="Times New Roman" w:hAnsi="Times New Roman" w:cs="Times New Roman"/>
          <w:sz w:val="24"/>
        </w:rPr>
        <w:t>agriculture</w:t>
      </w:r>
      <w:r w:rsidR="00845329" w:rsidRPr="00CE6569">
        <w:rPr>
          <w:rFonts w:ascii="Times New Roman" w:hAnsi="Times New Roman" w:cs="Times New Roman"/>
          <w:sz w:val="24"/>
        </w:rPr>
        <w:t>;</w:t>
      </w:r>
      <w:r w:rsidR="001D39B3" w:rsidRPr="00CE6569">
        <w:rPr>
          <w:rFonts w:ascii="Times New Roman" w:hAnsi="Times New Roman" w:cs="Times New Roman"/>
          <w:sz w:val="24"/>
        </w:rPr>
        <w:t xml:space="preserve"> </w:t>
      </w:r>
      <w:r w:rsidR="00845329" w:rsidRPr="00CE6569">
        <w:rPr>
          <w:rFonts w:ascii="Times New Roman" w:hAnsi="Times New Roman" w:cs="Times New Roman"/>
          <w:sz w:val="24"/>
        </w:rPr>
        <w:t>ea</w:t>
      </w:r>
      <w:r w:rsidR="001D39B3" w:rsidRPr="00CE6569">
        <w:rPr>
          <w:rFonts w:ascii="Times New Roman" w:hAnsi="Times New Roman" w:cs="Times New Roman"/>
          <w:sz w:val="24"/>
        </w:rPr>
        <w:t>ch of these industries depends on</w:t>
      </w:r>
      <w:r w:rsidR="007237AB" w:rsidRPr="00CE6569">
        <w:rPr>
          <w:rFonts w:ascii="Times New Roman" w:hAnsi="Times New Roman" w:cs="Times New Roman"/>
          <w:sz w:val="24"/>
        </w:rPr>
        <w:t xml:space="preserve"> Paramaribo Port for global and regional trade.</w:t>
      </w:r>
      <w:r w:rsidR="00B80175" w:rsidRPr="00CE6569">
        <w:rPr>
          <w:rFonts w:ascii="Times New Roman" w:hAnsi="Times New Roman" w:cs="Times New Roman"/>
          <w:sz w:val="24"/>
        </w:rPr>
        <w:t xml:space="preserve"> </w:t>
      </w:r>
      <w:r w:rsidR="0040265B" w:rsidRPr="00CE6569">
        <w:rPr>
          <w:rFonts w:ascii="Times New Roman" w:hAnsi="Times New Roman" w:cs="Times New Roman"/>
          <w:sz w:val="24"/>
        </w:rPr>
        <w:t xml:space="preserve">Studies shows that agricultural products are disadvantaged by inefficiencies in the current outbound transportation logistical practices causing some degree of competitive weaknesses on the global market, therefore improvements on </w:t>
      </w:r>
      <w:r w:rsidR="009D44DB" w:rsidRPr="00CE6569">
        <w:rPr>
          <w:rFonts w:ascii="Times New Roman" w:hAnsi="Times New Roman" w:cs="Times New Roman"/>
          <w:sz w:val="24"/>
        </w:rPr>
        <w:t xml:space="preserve">main land transport routes to Dr. Jules </w:t>
      </w:r>
      <w:proofErr w:type="spellStart"/>
      <w:r w:rsidR="009D44DB" w:rsidRPr="00CE6569">
        <w:rPr>
          <w:rFonts w:ascii="Times New Roman" w:hAnsi="Times New Roman" w:cs="Times New Roman"/>
          <w:sz w:val="24"/>
        </w:rPr>
        <w:t>Sedney</w:t>
      </w:r>
      <w:proofErr w:type="spellEnd"/>
      <w:r w:rsidR="009D44DB" w:rsidRPr="00CE6569">
        <w:rPr>
          <w:rFonts w:ascii="Times New Roman" w:hAnsi="Times New Roman" w:cs="Times New Roman"/>
          <w:sz w:val="24"/>
        </w:rPr>
        <w:t xml:space="preserve"> Terminal </w:t>
      </w:r>
      <w:r w:rsidR="0040265B" w:rsidRPr="00CE6569">
        <w:rPr>
          <w:rFonts w:ascii="Times New Roman" w:hAnsi="Times New Roman" w:cs="Times New Roman"/>
          <w:sz w:val="24"/>
        </w:rPr>
        <w:t xml:space="preserve">will contribute to enhance competitiveness of the </w:t>
      </w:r>
      <w:r w:rsidR="009D44DB" w:rsidRPr="00CE6569">
        <w:rPr>
          <w:rFonts w:ascii="Times New Roman" w:hAnsi="Times New Roman" w:cs="Times New Roman"/>
          <w:sz w:val="24"/>
        </w:rPr>
        <w:t xml:space="preserve">agricultural </w:t>
      </w:r>
      <w:r w:rsidR="0040265B" w:rsidRPr="00CE6569">
        <w:rPr>
          <w:rFonts w:ascii="Times New Roman" w:hAnsi="Times New Roman" w:cs="Times New Roman"/>
          <w:sz w:val="24"/>
        </w:rPr>
        <w:t>product</w:t>
      </w:r>
      <w:r w:rsidR="00CE6569" w:rsidRPr="00CE6569">
        <w:rPr>
          <w:rFonts w:ascii="Times New Roman" w:hAnsi="Times New Roman" w:cs="Times New Roman"/>
          <w:sz w:val="24"/>
        </w:rPr>
        <w:t xml:space="preserve">, highlighting the fact that </w:t>
      </w:r>
      <w:r w:rsidR="00CE6569" w:rsidRPr="00CE6569">
        <w:rPr>
          <w:rFonts w:ascii="Times New Roman" w:hAnsi="Times New Roman" w:cs="Times New Roman"/>
          <w:i/>
          <w:sz w:val="24"/>
        </w:rPr>
        <w:t xml:space="preserve">the route connects with the relevant productive areas of agricultural products such as banana, rice, fish, wood and gold, with the export/import </w:t>
      </w:r>
      <w:r w:rsidR="001670AB">
        <w:rPr>
          <w:rFonts w:ascii="Times New Roman" w:hAnsi="Times New Roman" w:cs="Times New Roman"/>
          <w:i/>
          <w:sz w:val="24"/>
        </w:rPr>
        <w:t>facilities</w:t>
      </w:r>
      <w:r w:rsidR="00CE6569" w:rsidRPr="00CE6569">
        <w:rPr>
          <w:rFonts w:ascii="Times New Roman" w:hAnsi="Times New Roman" w:cs="Times New Roman"/>
          <w:i/>
          <w:sz w:val="24"/>
        </w:rPr>
        <w:t xml:space="preserve">.  </w:t>
      </w:r>
    </w:p>
    <w:p w14:paraId="15CD5853" w14:textId="77777777" w:rsidR="00EC7909" w:rsidRPr="00EC7909" w:rsidRDefault="00EC7909" w:rsidP="00EC7909">
      <w:pPr>
        <w:pStyle w:val="ListParagraph"/>
        <w:rPr>
          <w:rFonts w:ascii="Times New Roman" w:hAnsi="Times New Roman" w:cs="Times New Roman"/>
          <w:sz w:val="24"/>
        </w:rPr>
      </w:pPr>
    </w:p>
    <w:p w14:paraId="0DDE310C" w14:textId="394F7529" w:rsidR="00B80175" w:rsidRPr="0004057E" w:rsidRDefault="001F3523" w:rsidP="00EC2170">
      <w:pPr>
        <w:pStyle w:val="ListParagraph"/>
        <w:numPr>
          <w:ilvl w:val="1"/>
          <w:numId w:val="1"/>
        </w:numPr>
        <w:tabs>
          <w:tab w:val="left" w:pos="2085"/>
        </w:tabs>
        <w:autoSpaceDE w:val="0"/>
        <w:autoSpaceDN w:val="0"/>
        <w:adjustRightInd w:val="0"/>
        <w:spacing w:after="0" w:line="240" w:lineRule="auto"/>
        <w:jc w:val="both"/>
        <w:rPr>
          <w:rFonts w:ascii="Times New Roman" w:hAnsi="Times New Roman" w:cs="Times New Roman"/>
          <w:sz w:val="24"/>
        </w:rPr>
      </w:pPr>
      <w:r w:rsidRPr="0004057E">
        <w:rPr>
          <w:rFonts w:ascii="Times New Roman" w:hAnsi="Times New Roman" w:cs="Times New Roman"/>
          <w:sz w:val="24"/>
        </w:rPr>
        <w:t>Paramaribo</w:t>
      </w:r>
      <w:r w:rsidR="00BF6F4D" w:rsidRPr="0004057E">
        <w:rPr>
          <w:rFonts w:ascii="Times New Roman" w:hAnsi="Times New Roman" w:cs="Times New Roman"/>
          <w:sz w:val="24"/>
        </w:rPr>
        <w:t xml:space="preserve"> port handles about 50 percent of Suriname’s seaborne trade by volume. The multipurpose port is Suriname’s main cargo gateway, accounting for over 90 percent of the nation’s seaborne trade.</w:t>
      </w:r>
      <w:r w:rsidR="0040265B" w:rsidRPr="0004057E">
        <w:rPr>
          <w:rFonts w:ascii="Times New Roman" w:hAnsi="Times New Roman" w:cs="Times New Roman"/>
          <w:sz w:val="24"/>
        </w:rPr>
        <w:t xml:space="preserve"> </w:t>
      </w:r>
      <w:r w:rsidR="0004057E" w:rsidRPr="0004057E">
        <w:rPr>
          <w:rFonts w:ascii="Times New Roman" w:hAnsi="Times New Roman" w:cs="Times New Roman"/>
          <w:sz w:val="24"/>
        </w:rPr>
        <w:t>T</w:t>
      </w:r>
      <w:bookmarkStart w:id="1" w:name="_Hlk4060882"/>
      <w:r w:rsidR="0004057E" w:rsidRPr="0004057E">
        <w:rPr>
          <w:rFonts w:ascii="Times New Roman" w:hAnsi="Times New Roman" w:cs="Times New Roman"/>
          <w:sz w:val="24"/>
        </w:rPr>
        <w:t xml:space="preserve">he </w:t>
      </w:r>
      <w:r w:rsidR="0040265B" w:rsidRPr="0004057E">
        <w:rPr>
          <w:rFonts w:ascii="Times New Roman" w:hAnsi="Times New Roman" w:cs="Times New Roman"/>
          <w:sz w:val="24"/>
        </w:rPr>
        <w:t xml:space="preserve">Port </w:t>
      </w:r>
      <w:r w:rsidRPr="0004057E">
        <w:rPr>
          <w:rFonts w:ascii="Times New Roman" w:hAnsi="Times New Roman" w:cs="Times New Roman"/>
          <w:sz w:val="24"/>
        </w:rPr>
        <w:t xml:space="preserve">is of great </w:t>
      </w:r>
      <w:r w:rsidR="0004057E" w:rsidRPr="0004057E">
        <w:rPr>
          <w:rFonts w:ascii="Times New Roman" w:hAnsi="Times New Roman" w:cs="Times New Roman"/>
          <w:sz w:val="24"/>
        </w:rPr>
        <w:t xml:space="preserve">regional relevance </w:t>
      </w:r>
      <w:r w:rsidR="0004057E">
        <w:rPr>
          <w:rFonts w:ascii="Times New Roman" w:hAnsi="Times New Roman" w:cs="Times New Roman"/>
          <w:sz w:val="24"/>
        </w:rPr>
        <w:t>since</w:t>
      </w:r>
      <w:r w:rsidRPr="0004057E">
        <w:rPr>
          <w:rFonts w:ascii="Times New Roman" w:hAnsi="Times New Roman" w:cs="Times New Roman"/>
          <w:sz w:val="24"/>
        </w:rPr>
        <w:t xml:space="preserve"> </w:t>
      </w:r>
      <w:r w:rsidR="0004057E">
        <w:rPr>
          <w:rFonts w:ascii="Times New Roman" w:hAnsi="Times New Roman" w:cs="Times New Roman"/>
          <w:sz w:val="24"/>
        </w:rPr>
        <w:t xml:space="preserve">its </w:t>
      </w:r>
      <w:r w:rsidRPr="0004057E">
        <w:rPr>
          <w:rFonts w:ascii="Times New Roman" w:hAnsi="Times New Roman" w:cs="Times New Roman"/>
          <w:sz w:val="24"/>
        </w:rPr>
        <w:t xml:space="preserve">trade dynamics is mainly regional. </w:t>
      </w:r>
      <w:bookmarkEnd w:id="1"/>
      <w:r w:rsidR="0004057E">
        <w:rPr>
          <w:rFonts w:ascii="Times New Roman" w:hAnsi="Times New Roman" w:cs="Times New Roman"/>
          <w:sz w:val="24"/>
        </w:rPr>
        <w:t xml:space="preserve">This is evidenced by the fact that </w:t>
      </w:r>
      <w:r w:rsidRPr="0004057E">
        <w:rPr>
          <w:rFonts w:ascii="Times New Roman" w:hAnsi="Times New Roman" w:cs="Times New Roman"/>
          <w:sz w:val="24"/>
        </w:rPr>
        <w:t xml:space="preserve">in 2017, </w:t>
      </w:r>
      <w:r w:rsidRPr="0004057E">
        <w:rPr>
          <w:rFonts w:ascii="Times New Roman" w:hAnsi="Times New Roman" w:cs="Times New Roman"/>
          <w:i/>
          <w:sz w:val="24"/>
        </w:rPr>
        <w:t xml:space="preserve">90% of the origin of ships arriving to Dr. Jules </w:t>
      </w:r>
      <w:proofErr w:type="spellStart"/>
      <w:r w:rsidRPr="0004057E">
        <w:rPr>
          <w:rFonts w:ascii="Times New Roman" w:hAnsi="Times New Roman" w:cs="Times New Roman"/>
          <w:i/>
          <w:sz w:val="24"/>
        </w:rPr>
        <w:t>Sedney</w:t>
      </w:r>
      <w:proofErr w:type="spellEnd"/>
      <w:r w:rsidRPr="0004057E">
        <w:rPr>
          <w:rFonts w:ascii="Times New Roman" w:hAnsi="Times New Roman" w:cs="Times New Roman"/>
          <w:i/>
          <w:sz w:val="24"/>
        </w:rPr>
        <w:t xml:space="preserve"> Terminal came from South America and the Caribbean.</w:t>
      </w:r>
      <w:r w:rsidRPr="0004057E">
        <w:rPr>
          <w:rFonts w:ascii="Times New Roman" w:hAnsi="Times New Roman" w:cs="Times New Roman"/>
          <w:sz w:val="24"/>
        </w:rPr>
        <w:t xml:space="preserve"> The rest of the ships origin of precedence is 6% Europe and 4% other regions. Is important to highlight that imports arrive to other ports such as Guyana, Panama and Trinidad and Tobago before reaching Suriname.</w:t>
      </w:r>
      <w:r w:rsidR="00B80175" w:rsidRPr="0004057E">
        <w:rPr>
          <w:rFonts w:ascii="Times New Roman" w:hAnsi="Times New Roman" w:cs="Times New Roman"/>
          <w:sz w:val="24"/>
        </w:rPr>
        <w:t xml:space="preserve"> Exports dynamics of the port are also mainly regional, </w:t>
      </w:r>
      <w:r w:rsidR="00B80175" w:rsidRPr="0004057E">
        <w:rPr>
          <w:rFonts w:ascii="Times New Roman" w:hAnsi="Times New Roman" w:cs="Times New Roman"/>
          <w:i/>
          <w:sz w:val="24"/>
        </w:rPr>
        <w:t>with 96% of the departing ships heading to South America and the Caribbean, before reaching other destinations. Only 4% departs directly from the port to the rest of the world.</w:t>
      </w:r>
    </w:p>
    <w:p w14:paraId="5F3AB70E" w14:textId="77777777" w:rsidR="00EC7909" w:rsidRPr="00EC7909" w:rsidRDefault="00EC7909" w:rsidP="00EC7909">
      <w:pPr>
        <w:pStyle w:val="ListParagraph"/>
        <w:rPr>
          <w:rFonts w:ascii="Times New Roman" w:hAnsi="Times New Roman" w:cs="Times New Roman"/>
          <w:sz w:val="24"/>
        </w:rPr>
      </w:pPr>
    </w:p>
    <w:p w14:paraId="0016E261" w14:textId="6D057C1D" w:rsidR="00B7745B" w:rsidRPr="00EC7909" w:rsidRDefault="00F41820" w:rsidP="00EC7909">
      <w:pPr>
        <w:pStyle w:val="ListParagraph"/>
        <w:numPr>
          <w:ilvl w:val="1"/>
          <w:numId w:val="1"/>
        </w:numPr>
        <w:tabs>
          <w:tab w:val="left" w:pos="2085"/>
        </w:tabs>
        <w:autoSpaceDE w:val="0"/>
        <w:autoSpaceDN w:val="0"/>
        <w:adjustRightInd w:val="0"/>
        <w:spacing w:after="0" w:line="240" w:lineRule="auto"/>
        <w:jc w:val="both"/>
        <w:rPr>
          <w:rFonts w:ascii="Times New Roman" w:hAnsi="Times New Roman" w:cs="Times New Roman"/>
          <w:sz w:val="24"/>
        </w:rPr>
      </w:pPr>
      <w:r w:rsidRPr="00EC7909">
        <w:rPr>
          <w:rFonts w:ascii="Times New Roman" w:hAnsi="Times New Roman" w:cs="Times New Roman"/>
          <w:sz w:val="24"/>
          <w:szCs w:val="24"/>
        </w:rPr>
        <w:t xml:space="preserve">With regards to the effects on </w:t>
      </w:r>
      <w:r w:rsidR="00943E8F" w:rsidRPr="00EC7909">
        <w:rPr>
          <w:rFonts w:ascii="Times New Roman" w:hAnsi="Times New Roman" w:cs="Times New Roman"/>
          <w:sz w:val="24"/>
          <w:szCs w:val="24"/>
        </w:rPr>
        <w:t>Suriname</w:t>
      </w:r>
      <w:r w:rsidRPr="00EC7909">
        <w:rPr>
          <w:rFonts w:ascii="Times New Roman" w:hAnsi="Times New Roman" w:cs="Times New Roman"/>
          <w:sz w:val="24"/>
          <w:szCs w:val="24"/>
        </w:rPr>
        <w:t xml:space="preserve"> tourism, </w:t>
      </w:r>
      <w:r w:rsidR="00952DD5" w:rsidRPr="00EC7909">
        <w:rPr>
          <w:rFonts w:ascii="Times New Roman" w:hAnsi="Times New Roman" w:cs="Times New Roman"/>
          <w:sz w:val="24"/>
          <w:szCs w:val="24"/>
        </w:rPr>
        <w:t>Paramaribo has tremendous potential as a cruise destination that goes well beyond the two or three cruise ship calls a year it has received in recent times. This potential is evident from the fact that neighboring French Guiana receives up to 70 cruise calls each year, one of its main draws being the opportunity for passengers to visit the notorious Devil’s Island. The aim is to persuade the operators of these ships visiting French Guiana to make a complementary call in Paramaribo. This would greatly enhance any cruise itinerary that embraces a range of interesting destinations in north-east South America</w:t>
      </w:r>
      <w:r w:rsidR="00131533" w:rsidRPr="00EC7909">
        <w:rPr>
          <w:rFonts w:ascii="Times New Roman" w:hAnsi="Times New Roman" w:cs="Times New Roman"/>
          <w:sz w:val="24"/>
          <w:szCs w:val="24"/>
        </w:rPr>
        <w:t>;</w:t>
      </w:r>
      <w:r w:rsidR="00952DD5" w:rsidRPr="00EC7909">
        <w:rPr>
          <w:rFonts w:ascii="Times New Roman" w:hAnsi="Times New Roman" w:cs="Times New Roman"/>
          <w:sz w:val="24"/>
          <w:szCs w:val="24"/>
        </w:rPr>
        <w:t xml:space="preserve"> Suriname, French Guiana, Guyana and perhaps Bel</w:t>
      </w:r>
      <w:r w:rsidR="002F6219" w:rsidRPr="00EC7909">
        <w:rPr>
          <w:rFonts w:ascii="Times New Roman" w:hAnsi="Times New Roman" w:cs="Times New Roman"/>
          <w:sz w:val="24"/>
          <w:szCs w:val="24"/>
        </w:rPr>
        <w:t>e</w:t>
      </w:r>
      <w:r w:rsidR="00952DD5" w:rsidRPr="00EC7909">
        <w:rPr>
          <w:rFonts w:ascii="Times New Roman" w:hAnsi="Times New Roman" w:cs="Times New Roman"/>
          <w:sz w:val="24"/>
          <w:szCs w:val="24"/>
        </w:rPr>
        <w:t>m in Brazil. For the time being, the lack of a proper cruise berth is a problem because regu</w:t>
      </w:r>
      <w:r w:rsidR="00952DD5" w:rsidRPr="00EC7909">
        <w:rPr>
          <w:rFonts w:ascii="Times New Roman" w:hAnsi="Times New Roman" w:cs="Times New Roman"/>
          <w:sz w:val="24"/>
          <w:szCs w:val="24"/>
        </w:rPr>
        <w:softHyphen/>
        <w:t>larly calling cargo vessels have priority.</w:t>
      </w:r>
    </w:p>
    <w:p w14:paraId="2DE4B276" w14:textId="77777777" w:rsidR="00EC7909" w:rsidRPr="00EC7909" w:rsidRDefault="00EC7909" w:rsidP="00EC7909">
      <w:pPr>
        <w:pStyle w:val="ListParagraph"/>
        <w:rPr>
          <w:rFonts w:ascii="Times New Roman" w:hAnsi="Times New Roman" w:cs="Times New Roman"/>
          <w:sz w:val="24"/>
        </w:rPr>
      </w:pPr>
    </w:p>
    <w:p w14:paraId="2F4CD239" w14:textId="15F52ABD" w:rsidR="002867A3" w:rsidRPr="00EC7909" w:rsidRDefault="005F47A5" w:rsidP="00EC7909">
      <w:pPr>
        <w:pStyle w:val="ListParagraph"/>
        <w:numPr>
          <w:ilvl w:val="1"/>
          <w:numId w:val="1"/>
        </w:numPr>
        <w:tabs>
          <w:tab w:val="left" w:pos="2085"/>
        </w:tabs>
        <w:autoSpaceDE w:val="0"/>
        <w:autoSpaceDN w:val="0"/>
        <w:adjustRightInd w:val="0"/>
        <w:spacing w:after="0" w:line="240" w:lineRule="auto"/>
        <w:jc w:val="both"/>
        <w:rPr>
          <w:rFonts w:ascii="Times New Roman" w:hAnsi="Times New Roman" w:cs="Times New Roman"/>
          <w:sz w:val="24"/>
        </w:rPr>
      </w:pPr>
      <w:r w:rsidRPr="00EC7909">
        <w:rPr>
          <w:rFonts w:ascii="Times New Roman" w:hAnsi="Times New Roman" w:cs="Times New Roman"/>
          <w:sz w:val="24"/>
          <w:szCs w:val="24"/>
        </w:rPr>
        <w:t>Considering the productive profile</w:t>
      </w:r>
      <w:r w:rsidR="00D246CE" w:rsidRPr="00EC7909">
        <w:rPr>
          <w:rFonts w:ascii="Times New Roman" w:hAnsi="Times New Roman" w:cs="Times New Roman"/>
          <w:sz w:val="24"/>
          <w:szCs w:val="24"/>
        </w:rPr>
        <w:t xml:space="preserve"> </w:t>
      </w:r>
      <w:r w:rsidR="00F41820" w:rsidRPr="00EC7909">
        <w:rPr>
          <w:rFonts w:ascii="Times New Roman" w:hAnsi="Times New Roman" w:cs="Times New Roman"/>
          <w:sz w:val="24"/>
          <w:szCs w:val="24"/>
        </w:rPr>
        <w:t xml:space="preserve">of </w:t>
      </w:r>
      <w:r w:rsidR="00D246CE" w:rsidRPr="00EC7909">
        <w:rPr>
          <w:rFonts w:ascii="Times New Roman" w:hAnsi="Times New Roman" w:cs="Times New Roman"/>
          <w:sz w:val="24"/>
          <w:szCs w:val="24"/>
        </w:rPr>
        <w:t>Suriname and its potentials</w:t>
      </w:r>
      <w:r w:rsidR="00A42AC8" w:rsidRPr="00EC7909">
        <w:rPr>
          <w:rFonts w:ascii="Times New Roman" w:hAnsi="Times New Roman" w:cs="Times New Roman"/>
          <w:sz w:val="24"/>
          <w:szCs w:val="24"/>
        </w:rPr>
        <w:t>;</w:t>
      </w:r>
      <w:r w:rsidRPr="00EC7909">
        <w:rPr>
          <w:rFonts w:ascii="Times New Roman" w:hAnsi="Times New Roman" w:cs="Times New Roman"/>
          <w:sz w:val="24"/>
          <w:szCs w:val="24"/>
        </w:rPr>
        <w:t xml:space="preserve"> </w:t>
      </w:r>
      <w:r w:rsidR="00D246CE" w:rsidRPr="00EC7909">
        <w:rPr>
          <w:rFonts w:ascii="Times New Roman" w:hAnsi="Times New Roman" w:cs="Times New Roman"/>
          <w:sz w:val="24"/>
          <w:szCs w:val="24"/>
        </w:rPr>
        <w:t xml:space="preserve">capacity and congestion issues in Paramaribo port does not permit to perform better services that benefit international trade and </w:t>
      </w:r>
      <w:r w:rsidR="00835331" w:rsidRPr="00EC7909">
        <w:rPr>
          <w:rFonts w:ascii="Times New Roman" w:hAnsi="Times New Roman" w:cs="Times New Roman"/>
          <w:sz w:val="24"/>
          <w:szCs w:val="24"/>
        </w:rPr>
        <w:t>tourism</w:t>
      </w:r>
      <w:r w:rsidR="00D246CE" w:rsidRPr="00EC7909">
        <w:rPr>
          <w:rFonts w:ascii="Times New Roman" w:hAnsi="Times New Roman" w:cs="Times New Roman"/>
          <w:sz w:val="24"/>
          <w:szCs w:val="24"/>
        </w:rPr>
        <w:t>. Lack of spaces to perform value added services to the foreign trade cargo, lack of commercial spaces for the allocation of transport and logistic companies: custom broker agencies, shipping line’s offices, logistic operators, etc. The program will permit Surinam to perform a multiagency logistics and transport services that will permit to consolidate a logistic system</w:t>
      </w:r>
      <w:r w:rsidR="00835331" w:rsidRPr="00EC7909">
        <w:rPr>
          <w:rFonts w:ascii="Times New Roman" w:hAnsi="Times New Roman" w:cs="Times New Roman"/>
          <w:sz w:val="24"/>
          <w:szCs w:val="24"/>
        </w:rPr>
        <w:t xml:space="preserve"> with positive effects in regional integration. </w:t>
      </w:r>
    </w:p>
    <w:p w14:paraId="274B4B20" w14:textId="77777777" w:rsidR="00EC7909" w:rsidRPr="00EC7909" w:rsidRDefault="00EC7909" w:rsidP="00EC7909">
      <w:pPr>
        <w:pStyle w:val="ListParagraph"/>
        <w:rPr>
          <w:rFonts w:ascii="Times New Roman" w:hAnsi="Times New Roman" w:cs="Times New Roman"/>
          <w:sz w:val="24"/>
        </w:rPr>
      </w:pPr>
    </w:p>
    <w:p w14:paraId="7549F5F1" w14:textId="41ADC822" w:rsidR="00090DD0" w:rsidRPr="00BA2037" w:rsidRDefault="005F47A5" w:rsidP="00EC7909">
      <w:pPr>
        <w:pStyle w:val="ListParagraph"/>
        <w:numPr>
          <w:ilvl w:val="1"/>
          <w:numId w:val="1"/>
        </w:numPr>
        <w:tabs>
          <w:tab w:val="left" w:pos="2085"/>
        </w:tabs>
        <w:autoSpaceDE w:val="0"/>
        <w:autoSpaceDN w:val="0"/>
        <w:adjustRightInd w:val="0"/>
        <w:spacing w:after="0" w:line="240" w:lineRule="auto"/>
        <w:jc w:val="both"/>
        <w:rPr>
          <w:rFonts w:ascii="Times New Roman" w:hAnsi="Times New Roman" w:cs="Times New Roman"/>
          <w:sz w:val="24"/>
        </w:rPr>
      </w:pPr>
      <w:r w:rsidRPr="00EC7909">
        <w:rPr>
          <w:rFonts w:ascii="Times New Roman" w:hAnsi="Times New Roman" w:cs="Times New Roman"/>
          <w:sz w:val="24"/>
          <w:szCs w:val="24"/>
        </w:rPr>
        <w:t xml:space="preserve">The </w:t>
      </w:r>
      <w:r w:rsidR="00C93A61" w:rsidRPr="00EC7909">
        <w:rPr>
          <w:rFonts w:ascii="Times New Roman" w:hAnsi="Times New Roman" w:cs="Times New Roman"/>
          <w:sz w:val="24"/>
          <w:szCs w:val="24"/>
        </w:rPr>
        <w:t xml:space="preserve">interventions in Paramaribo port </w:t>
      </w:r>
      <w:r w:rsidR="00412949" w:rsidRPr="00EC7909">
        <w:rPr>
          <w:rFonts w:ascii="Times New Roman" w:hAnsi="Times New Roman" w:cs="Times New Roman"/>
          <w:sz w:val="24"/>
          <w:szCs w:val="24"/>
        </w:rPr>
        <w:t>related to; (</w:t>
      </w:r>
      <w:proofErr w:type="spellStart"/>
      <w:r w:rsidR="00412949" w:rsidRPr="00EC7909">
        <w:rPr>
          <w:rFonts w:ascii="Times New Roman" w:hAnsi="Times New Roman" w:cs="Times New Roman"/>
          <w:sz w:val="24"/>
          <w:szCs w:val="24"/>
        </w:rPr>
        <w:t>i</w:t>
      </w:r>
      <w:proofErr w:type="spellEnd"/>
      <w:r w:rsidR="00412949" w:rsidRPr="00EC7909">
        <w:rPr>
          <w:rFonts w:ascii="Times New Roman" w:hAnsi="Times New Roman" w:cs="Times New Roman"/>
          <w:sz w:val="24"/>
          <w:szCs w:val="24"/>
        </w:rPr>
        <w:t xml:space="preserve">) Road interventions Capacity expansion of Martin Luther King and Van ‘t </w:t>
      </w:r>
      <w:proofErr w:type="spellStart"/>
      <w:r w:rsidR="00412949" w:rsidRPr="00EC7909">
        <w:rPr>
          <w:rFonts w:ascii="Times New Roman" w:hAnsi="Times New Roman" w:cs="Times New Roman"/>
          <w:sz w:val="24"/>
          <w:szCs w:val="24"/>
        </w:rPr>
        <w:t>Hogerhuysstraat</w:t>
      </w:r>
      <w:proofErr w:type="spellEnd"/>
      <w:r w:rsidR="00412949" w:rsidRPr="00EC7909">
        <w:rPr>
          <w:rFonts w:ascii="Times New Roman" w:hAnsi="Times New Roman" w:cs="Times New Roman"/>
          <w:sz w:val="24"/>
          <w:szCs w:val="24"/>
        </w:rPr>
        <w:t xml:space="preserve">; (ii) Repaving and improvement of other corridors, and implementation of ITS; (iii) Port interventions: Truck center outside the port, implementation of a port community system and (iv) Institutional </w:t>
      </w:r>
      <w:proofErr w:type="spellStart"/>
      <w:r w:rsidR="00412949" w:rsidRPr="00EC7909">
        <w:rPr>
          <w:rFonts w:ascii="Times New Roman" w:hAnsi="Times New Roman" w:cs="Times New Roman"/>
          <w:sz w:val="24"/>
          <w:szCs w:val="24"/>
        </w:rPr>
        <w:t>strenghthening</w:t>
      </w:r>
      <w:proofErr w:type="spellEnd"/>
      <w:r w:rsidR="00412949" w:rsidRPr="00EC7909">
        <w:rPr>
          <w:rFonts w:ascii="Times New Roman" w:hAnsi="Times New Roman" w:cs="Times New Roman"/>
          <w:sz w:val="24"/>
          <w:szCs w:val="24"/>
        </w:rPr>
        <w:t xml:space="preserve">, </w:t>
      </w:r>
      <w:r w:rsidR="00C93A61" w:rsidRPr="00EC7909">
        <w:rPr>
          <w:rFonts w:ascii="Times New Roman" w:hAnsi="Times New Roman" w:cs="Times New Roman"/>
          <w:sz w:val="24"/>
          <w:szCs w:val="24"/>
        </w:rPr>
        <w:t>will</w:t>
      </w:r>
      <w:r w:rsidRPr="00EC7909">
        <w:rPr>
          <w:rFonts w:ascii="Times New Roman" w:hAnsi="Times New Roman" w:cs="Times New Roman"/>
          <w:sz w:val="24"/>
          <w:szCs w:val="24"/>
        </w:rPr>
        <w:t xml:space="preserve"> contribute to reduce </w:t>
      </w:r>
      <w:r w:rsidR="00412949" w:rsidRPr="00EC7909">
        <w:rPr>
          <w:rFonts w:ascii="Times New Roman" w:hAnsi="Times New Roman" w:cs="Times New Roman"/>
          <w:sz w:val="24"/>
          <w:szCs w:val="24"/>
        </w:rPr>
        <w:t>congestion and improve logistics services and commerce processes</w:t>
      </w:r>
      <w:r w:rsidRPr="00EC7909">
        <w:rPr>
          <w:rFonts w:ascii="Times New Roman" w:hAnsi="Times New Roman" w:cs="Times New Roman"/>
          <w:sz w:val="24"/>
          <w:szCs w:val="24"/>
        </w:rPr>
        <w:t xml:space="preserve">, which is expected to be reflected in gains for users, the productive sectors and the competitiveness </w:t>
      </w:r>
      <w:r w:rsidR="00412949" w:rsidRPr="00EC7909">
        <w:rPr>
          <w:rFonts w:ascii="Times New Roman" w:hAnsi="Times New Roman" w:cs="Times New Roman"/>
          <w:sz w:val="24"/>
          <w:szCs w:val="24"/>
        </w:rPr>
        <w:t>of firms</w:t>
      </w:r>
      <w:r w:rsidRPr="00EC7909">
        <w:rPr>
          <w:rFonts w:ascii="Times New Roman" w:hAnsi="Times New Roman" w:cs="Times New Roman"/>
          <w:sz w:val="24"/>
          <w:szCs w:val="24"/>
        </w:rPr>
        <w:t xml:space="preserve">. </w:t>
      </w:r>
    </w:p>
    <w:p w14:paraId="2DE1BB08" w14:textId="77777777" w:rsidR="00BA2037" w:rsidRPr="00BA2037" w:rsidRDefault="00BA2037" w:rsidP="008C2C0B">
      <w:pPr>
        <w:pStyle w:val="ListParagraph"/>
        <w:spacing w:after="0"/>
        <w:rPr>
          <w:rFonts w:ascii="Times New Roman" w:hAnsi="Times New Roman" w:cs="Times New Roman"/>
          <w:sz w:val="24"/>
        </w:rPr>
      </w:pPr>
      <w:bookmarkStart w:id="2" w:name="_GoBack"/>
      <w:bookmarkEnd w:id="2"/>
    </w:p>
    <w:p w14:paraId="4A2F5248" w14:textId="1307B91C" w:rsidR="009A5CCA" w:rsidRDefault="009A5CCA" w:rsidP="00C21F44">
      <w:pPr>
        <w:keepNext/>
        <w:keepLines/>
        <w:numPr>
          <w:ilvl w:val="0"/>
          <w:numId w:val="1"/>
        </w:numPr>
        <w:spacing w:after="0" w:line="0" w:lineRule="atLeast"/>
        <w:ind w:left="540" w:hanging="270"/>
        <w:jc w:val="both"/>
        <w:outlineLvl w:val="1"/>
        <w:rPr>
          <w:rFonts w:ascii="Times New Roman" w:eastAsia="MS Gothic" w:hAnsi="Times New Roman" w:cs="Times New Roman"/>
          <w:b/>
          <w:bCs/>
          <w:smallCaps/>
          <w:color w:val="44546A" w:themeColor="text2"/>
          <w:sz w:val="24"/>
          <w:szCs w:val="24"/>
        </w:rPr>
      </w:pPr>
      <w:r>
        <w:rPr>
          <w:rFonts w:ascii="Times New Roman" w:eastAsia="MS Gothic" w:hAnsi="Times New Roman" w:cs="Times New Roman"/>
          <w:b/>
          <w:bCs/>
          <w:smallCaps/>
          <w:color w:val="44546A" w:themeColor="text2"/>
          <w:sz w:val="24"/>
          <w:szCs w:val="24"/>
        </w:rPr>
        <w:t>Validation Criteria under the Integration Strategy</w:t>
      </w:r>
    </w:p>
    <w:p w14:paraId="2A553387" w14:textId="21A6790B" w:rsidR="00252DAE" w:rsidRDefault="00252DAE" w:rsidP="00252DAE">
      <w:pPr>
        <w:keepNext/>
        <w:keepLines/>
        <w:spacing w:after="0" w:line="0" w:lineRule="atLeast"/>
        <w:jc w:val="both"/>
        <w:outlineLvl w:val="1"/>
        <w:rPr>
          <w:rFonts w:ascii="Times New Roman" w:eastAsia="MS Gothic" w:hAnsi="Times New Roman" w:cs="Times New Roman"/>
          <w:b/>
          <w:bCs/>
          <w:smallCaps/>
          <w:color w:val="44546A" w:themeColor="text2"/>
          <w:sz w:val="24"/>
          <w:szCs w:val="24"/>
        </w:rPr>
      </w:pPr>
    </w:p>
    <w:p w14:paraId="066EAA77" w14:textId="345CA8A3" w:rsidR="00C5185A" w:rsidRPr="00534979" w:rsidRDefault="00CB25FB" w:rsidP="00842A10">
      <w:pPr>
        <w:pStyle w:val="ListParagraph"/>
        <w:numPr>
          <w:ilvl w:val="1"/>
          <w:numId w:val="1"/>
        </w:numPr>
        <w:tabs>
          <w:tab w:val="left" w:pos="2085"/>
        </w:tabs>
        <w:spacing w:line="240" w:lineRule="auto"/>
        <w:jc w:val="both"/>
        <w:rPr>
          <w:rFonts w:ascii="Times New Roman" w:hAnsi="Times New Roman" w:cs="Times New Roman"/>
          <w:sz w:val="24"/>
          <w:szCs w:val="24"/>
        </w:rPr>
      </w:pPr>
      <w:r w:rsidRPr="00534979">
        <w:rPr>
          <w:rFonts w:ascii="Times New Roman" w:hAnsi="Times New Roman" w:cs="Times New Roman"/>
          <w:sz w:val="24"/>
          <w:szCs w:val="24"/>
        </w:rPr>
        <w:t xml:space="preserve">The </w:t>
      </w:r>
      <w:r w:rsidR="00195631" w:rsidRPr="00534979">
        <w:rPr>
          <w:rFonts w:ascii="Times New Roman" w:hAnsi="Times New Roman" w:cs="Times New Roman"/>
          <w:sz w:val="24"/>
          <w:szCs w:val="24"/>
        </w:rPr>
        <w:t xml:space="preserve">Program of Improving Transport Logistics and Competitiveness in Suriname (SU-L1057) </w:t>
      </w:r>
      <w:r w:rsidRPr="00534979">
        <w:rPr>
          <w:rFonts w:ascii="Times New Roman" w:hAnsi="Times New Roman" w:cs="Times New Roman"/>
          <w:sz w:val="24"/>
          <w:szCs w:val="24"/>
        </w:rPr>
        <w:t xml:space="preserve">project </w:t>
      </w:r>
      <w:r w:rsidR="009A5CCA" w:rsidRPr="00534979">
        <w:rPr>
          <w:rFonts w:ascii="Times New Roman" w:hAnsi="Times New Roman" w:cs="Times New Roman"/>
          <w:sz w:val="24"/>
          <w:szCs w:val="24"/>
        </w:rPr>
        <w:t>is strategically aligned with the development challenge of economic integration included in the Bank's Institutional Strategy 2010-2020 (GN-2788-5)</w:t>
      </w:r>
      <w:r w:rsidR="0019642B">
        <w:rPr>
          <w:rFonts w:ascii="Times New Roman" w:hAnsi="Times New Roman" w:cs="Times New Roman"/>
          <w:sz w:val="24"/>
          <w:szCs w:val="24"/>
        </w:rPr>
        <w:t xml:space="preserve"> since t</w:t>
      </w:r>
      <w:r w:rsidR="009A5CCA" w:rsidRPr="00534979">
        <w:rPr>
          <w:rFonts w:ascii="Times New Roman" w:hAnsi="Times New Roman" w:cs="Times New Roman"/>
          <w:sz w:val="24"/>
          <w:szCs w:val="24"/>
        </w:rPr>
        <w:t xml:space="preserve">he expected results from </w:t>
      </w:r>
      <w:r w:rsidR="00C5185A" w:rsidRPr="00534979">
        <w:rPr>
          <w:rFonts w:ascii="Times New Roman" w:hAnsi="Times New Roman" w:cs="Times New Roman"/>
          <w:sz w:val="24"/>
          <w:szCs w:val="24"/>
        </w:rPr>
        <w:t>of t</w:t>
      </w:r>
      <w:r w:rsidR="00C5185A" w:rsidRPr="00534979">
        <w:rPr>
          <w:rFonts w:ascii="Times New Roman" w:hAnsi="Times New Roman" w:cs="Times New Roman"/>
          <w:sz w:val="24"/>
        </w:rPr>
        <w:t xml:space="preserve">he project are to increase the quality of road and port infrastructure to enhance exports of agricultural goods. It is expected that the project will result in lower logistic costs and travel </w:t>
      </w:r>
      <w:r w:rsidR="00C5185A" w:rsidRPr="00534979">
        <w:rPr>
          <w:rFonts w:ascii="Times New Roman" w:hAnsi="Times New Roman" w:cs="Times New Roman"/>
          <w:sz w:val="24"/>
        </w:rPr>
        <w:lastRenderedPageBreak/>
        <w:t>times, thus improving the ease of trade and competitiveness, and improving resilience standards of road and port infrastructure.</w:t>
      </w:r>
    </w:p>
    <w:p w14:paraId="2718E608" w14:textId="77777777" w:rsidR="00534979" w:rsidRPr="00534979" w:rsidRDefault="00534979" w:rsidP="00842A10">
      <w:pPr>
        <w:pStyle w:val="ListParagraph"/>
        <w:spacing w:line="240" w:lineRule="auto"/>
        <w:rPr>
          <w:rFonts w:ascii="Times New Roman" w:hAnsi="Times New Roman" w:cs="Times New Roman"/>
          <w:sz w:val="24"/>
          <w:szCs w:val="24"/>
        </w:rPr>
      </w:pPr>
    </w:p>
    <w:p w14:paraId="1ACD86E9" w14:textId="68A5D352" w:rsidR="00CB25FB" w:rsidRPr="00534979" w:rsidRDefault="009A5CCA" w:rsidP="00842A10">
      <w:pPr>
        <w:pStyle w:val="ListParagraph"/>
        <w:numPr>
          <w:ilvl w:val="1"/>
          <w:numId w:val="1"/>
        </w:numPr>
        <w:tabs>
          <w:tab w:val="left" w:pos="2085"/>
        </w:tabs>
        <w:spacing w:line="240" w:lineRule="auto"/>
        <w:jc w:val="both"/>
        <w:rPr>
          <w:rFonts w:ascii="Times New Roman" w:hAnsi="Times New Roman" w:cs="Times New Roman"/>
          <w:sz w:val="24"/>
          <w:szCs w:val="24"/>
        </w:rPr>
      </w:pPr>
      <w:r w:rsidRPr="00534979">
        <w:rPr>
          <w:rFonts w:ascii="Times New Roman" w:hAnsi="Times New Roman" w:cs="Times New Roman"/>
          <w:sz w:val="24"/>
        </w:rPr>
        <w:t>Finally, according to Sector Strategy to Support Competitive Global and Regional Integration (GN-2565-4), a regional integration operation is classified as such when it incorporates one of the following non-mutually exclusive indicative criteria: (</w:t>
      </w:r>
      <w:proofErr w:type="spellStart"/>
      <w:r w:rsidRPr="00534979">
        <w:rPr>
          <w:rFonts w:ascii="Times New Roman" w:hAnsi="Times New Roman" w:cs="Times New Roman"/>
          <w:sz w:val="24"/>
        </w:rPr>
        <w:t>i</w:t>
      </w:r>
      <w:proofErr w:type="spellEnd"/>
      <w:r w:rsidRPr="00534979">
        <w:rPr>
          <w:rFonts w:ascii="Times New Roman" w:hAnsi="Times New Roman" w:cs="Times New Roman"/>
          <w:sz w:val="24"/>
        </w:rPr>
        <w:t xml:space="preserve">) a cross-country focus, (ii) national subsidiarity, (iii) regional additionality, and (iv) compensation of coordination failures. </w:t>
      </w:r>
      <w:r w:rsidR="00CB25FB" w:rsidRPr="00534979">
        <w:rPr>
          <w:rFonts w:ascii="Times New Roman" w:hAnsi="Times New Roman" w:cs="Times New Roman"/>
          <w:sz w:val="24"/>
        </w:rPr>
        <w:t xml:space="preserve">This operation is aligned with </w:t>
      </w:r>
      <w:r w:rsidR="008A6E40" w:rsidRPr="00534979">
        <w:rPr>
          <w:rFonts w:ascii="Times New Roman" w:hAnsi="Times New Roman" w:cs="Times New Roman"/>
          <w:sz w:val="24"/>
        </w:rPr>
        <w:t xml:space="preserve">the criteria of </w:t>
      </w:r>
      <w:r w:rsidR="006572C7" w:rsidRPr="00534979">
        <w:rPr>
          <w:rFonts w:ascii="Times New Roman" w:hAnsi="Times New Roman" w:cs="Times New Roman"/>
          <w:sz w:val="24"/>
        </w:rPr>
        <w:t>cross-country focus</w:t>
      </w:r>
      <w:r w:rsidR="00CD3B92" w:rsidRPr="00534979">
        <w:rPr>
          <w:rFonts w:ascii="Times New Roman" w:hAnsi="Times New Roman" w:cs="Times New Roman"/>
          <w:sz w:val="24"/>
        </w:rPr>
        <w:t>, since it supports a national investment, focused on the objective of improving the competitiveness of various territories by promoting their integration in the national and regional economy. It also includes investments in logistics development</w:t>
      </w:r>
      <w:r w:rsidR="0019642B">
        <w:rPr>
          <w:rFonts w:ascii="Times New Roman" w:hAnsi="Times New Roman" w:cs="Times New Roman"/>
          <w:sz w:val="24"/>
        </w:rPr>
        <w:t>s which</w:t>
      </w:r>
      <w:r w:rsidR="00CD3B92" w:rsidRPr="00534979">
        <w:rPr>
          <w:rFonts w:ascii="Times New Roman" w:hAnsi="Times New Roman" w:cs="Times New Roman"/>
          <w:sz w:val="24"/>
        </w:rPr>
        <w:t xml:space="preserve"> implies increases in efficiency and productive competitiveness at the regional level. </w:t>
      </w:r>
      <w:r w:rsidR="00CB25FB" w:rsidRPr="00534979">
        <w:rPr>
          <w:rFonts w:ascii="Times New Roman" w:hAnsi="Times New Roman" w:cs="Times New Roman"/>
          <w:sz w:val="24"/>
        </w:rPr>
        <w:t>The project also contributes to national subsidiarity since it is a national investment with cross-border objectives</w:t>
      </w:r>
      <w:r w:rsidR="00623A45" w:rsidRPr="00534979">
        <w:rPr>
          <w:rFonts w:ascii="Times New Roman" w:hAnsi="Times New Roman" w:cs="Times New Roman"/>
          <w:sz w:val="24"/>
        </w:rPr>
        <w:t xml:space="preserve"> since</w:t>
      </w:r>
      <w:r w:rsidR="00CB25FB" w:rsidRPr="00534979">
        <w:rPr>
          <w:rFonts w:ascii="Times New Roman" w:hAnsi="Times New Roman" w:cs="Times New Roman"/>
          <w:sz w:val="24"/>
        </w:rPr>
        <w:t xml:space="preserve"> </w:t>
      </w:r>
      <w:r w:rsidR="00CD3B92" w:rsidRPr="00534979">
        <w:rPr>
          <w:rFonts w:ascii="Times New Roman" w:hAnsi="Times New Roman" w:cs="Times New Roman"/>
          <w:sz w:val="24"/>
        </w:rPr>
        <w:t>Paramaribo</w:t>
      </w:r>
      <w:r w:rsidR="00CB25FB" w:rsidRPr="00534979">
        <w:rPr>
          <w:rFonts w:ascii="Times New Roman" w:hAnsi="Times New Roman" w:cs="Times New Roman"/>
          <w:sz w:val="24"/>
        </w:rPr>
        <w:t xml:space="preserve"> </w:t>
      </w:r>
      <w:r w:rsidR="00CD3B92" w:rsidRPr="00534979">
        <w:rPr>
          <w:rFonts w:ascii="Times New Roman" w:hAnsi="Times New Roman" w:cs="Times New Roman"/>
          <w:sz w:val="24"/>
        </w:rPr>
        <w:t xml:space="preserve">enhance regional connectivity. </w:t>
      </w:r>
      <w:r w:rsidR="00CB25FB" w:rsidRPr="00534979">
        <w:rPr>
          <w:rFonts w:ascii="Times New Roman" w:hAnsi="Times New Roman" w:cs="Times New Roman"/>
          <w:sz w:val="24"/>
        </w:rPr>
        <w:t xml:space="preserve">  </w:t>
      </w:r>
    </w:p>
    <w:p w14:paraId="0D5DD6F4" w14:textId="5A085113" w:rsidR="00817C06" w:rsidRDefault="00817C06" w:rsidP="00CB25FB">
      <w:pPr>
        <w:pStyle w:val="ListParagraph"/>
        <w:spacing w:after="0" w:line="240" w:lineRule="auto"/>
        <w:ind w:left="540"/>
        <w:jc w:val="both"/>
      </w:pPr>
    </w:p>
    <w:sectPr w:rsidR="00817C0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A5FA7" w14:textId="77777777" w:rsidR="00381997" w:rsidRDefault="00381997" w:rsidP="009A5CCA">
      <w:pPr>
        <w:spacing w:after="0" w:line="240" w:lineRule="auto"/>
      </w:pPr>
      <w:r>
        <w:separator/>
      </w:r>
    </w:p>
  </w:endnote>
  <w:endnote w:type="continuationSeparator" w:id="0">
    <w:p w14:paraId="503AEBC9" w14:textId="77777777" w:rsidR="00381997" w:rsidRDefault="00381997" w:rsidP="009A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138965"/>
      <w:docPartObj>
        <w:docPartGallery w:val="Page Numbers (Bottom of Page)"/>
        <w:docPartUnique/>
      </w:docPartObj>
    </w:sdtPr>
    <w:sdtEndPr/>
    <w:sdtContent>
      <w:p w14:paraId="1B008370" w14:textId="77777777" w:rsidR="0031416F" w:rsidRDefault="00C77CDF">
        <w:pPr>
          <w:pStyle w:val="Footer"/>
          <w:jc w:val="right"/>
        </w:pPr>
        <w:r>
          <w:t xml:space="preserve">Page | </w:t>
        </w:r>
        <w:r>
          <w:fldChar w:fldCharType="begin"/>
        </w:r>
        <w:r>
          <w:instrText xml:space="preserve"> PAGE   \* MERGEFORMAT </w:instrText>
        </w:r>
        <w:r>
          <w:fldChar w:fldCharType="separate"/>
        </w:r>
        <w:r>
          <w:rPr>
            <w:noProof/>
          </w:rPr>
          <w:t>7</w:t>
        </w:r>
        <w:r>
          <w:rPr>
            <w:noProof/>
          </w:rPr>
          <w:fldChar w:fldCharType="end"/>
        </w:r>
        <w:r>
          <w:t xml:space="preserve"> </w:t>
        </w:r>
      </w:p>
    </w:sdtContent>
  </w:sdt>
  <w:p w14:paraId="7DBF1EEC" w14:textId="77777777" w:rsidR="0031416F" w:rsidRDefault="00381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74F6E" w14:textId="77777777" w:rsidR="00381997" w:rsidRDefault="00381997" w:rsidP="009A5CCA">
      <w:pPr>
        <w:spacing w:after="0" w:line="240" w:lineRule="auto"/>
      </w:pPr>
      <w:r>
        <w:separator/>
      </w:r>
    </w:p>
  </w:footnote>
  <w:footnote w:type="continuationSeparator" w:id="0">
    <w:p w14:paraId="60040579" w14:textId="77777777" w:rsidR="00381997" w:rsidRDefault="00381997" w:rsidP="009A5CCA">
      <w:pPr>
        <w:spacing w:after="0" w:line="240" w:lineRule="auto"/>
      </w:pPr>
      <w:r>
        <w:continuationSeparator/>
      </w:r>
    </w:p>
  </w:footnote>
  <w:footnote w:id="1">
    <w:p w14:paraId="230DD86E" w14:textId="124AE089" w:rsidR="00F032EF" w:rsidRPr="00F032EF" w:rsidRDefault="00F032EF">
      <w:pPr>
        <w:pStyle w:val="FootnoteText"/>
        <w:rPr>
          <w:rFonts w:ascii="Times New Roman" w:hAnsi="Times New Roman"/>
        </w:rPr>
      </w:pPr>
      <w:r w:rsidRPr="00F032EF">
        <w:rPr>
          <w:rStyle w:val="FootnoteReference"/>
          <w:rFonts w:ascii="Times New Roman" w:hAnsi="Times New Roman"/>
        </w:rPr>
        <w:footnoteRef/>
      </w:r>
      <w:r w:rsidRPr="00F032EF">
        <w:rPr>
          <w:rFonts w:ascii="Times New Roman" w:hAnsi="Times New Roman"/>
        </w:rPr>
        <w:t xml:space="preserve"> World Development Indicators</w:t>
      </w:r>
      <w:r>
        <w:rPr>
          <w:rFonts w:ascii="Times New Roman" w:hAnsi="Times New Roman"/>
        </w:rPr>
        <w:t xml:space="preserve"> (WDI)</w:t>
      </w:r>
      <w:r w:rsidRPr="00F032EF">
        <w:rPr>
          <w:rFonts w:ascii="Times New Roman" w:hAnsi="Times New Roman"/>
        </w:rPr>
        <w:t>, World Bank</w:t>
      </w:r>
      <w:r>
        <w:rPr>
          <w:rFonts w:ascii="Times New Roman" w:hAnsi="Times New Roman"/>
        </w:rPr>
        <w:t>.</w:t>
      </w:r>
    </w:p>
  </w:footnote>
  <w:footnote w:id="2">
    <w:p w14:paraId="4D23C9C8" w14:textId="5FC737A8" w:rsidR="0037113F" w:rsidRPr="0037113F" w:rsidRDefault="0037113F">
      <w:pPr>
        <w:pStyle w:val="FootnoteText"/>
        <w:rPr>
          <w:rFonts w:ascii="Times New Roman" w:hAnsi="Times New Roman"/>
        </w:rPr>
      </w:pPr>
      <w:r w:rsidRPr="0037113F">
        <w:rPr>
          <w:rStyle w:val="FootnoteReference"/>
          <w:rFonts w:ascii="Times New Roman" w:hAnsi="Times New Roman"/>
        </w:rPr>
        <w:footnoteRef/>
      </w:r>
      <w:r w:rsidRPr="0037113F">
        <w:rPr>
          <w:rFonts w:ascii="Times New Roman" w:hAnsi="Times New Roman"/>
        </w:rPr>
        <w:t xml:space="preserve"> World Development Indicators – World Bank</w:t>
      </w:r>
    </w:p>
  </w:footnote>
  <w:footnote w:id="3">
    <w:p w14:paraId="1CE86208" w14:textId="77777777" w:rsidR="009A5CCA" w:rsidRPr="00393FE2" w:rsidRDefault="009A5CCA" w:rsidP="009A5CCA">
      <w:pPr>
        <w:pStyle w:val="FootnoteText"/>
        <w:jc w:val="both"/>
        <w:rPr>
          <w:i/>
        </w:rPr>
      </w:pPr>
      <w:r>
        <w:rPr>
          <w:rStyle w:val="FootnoteReference"/>
        </w:rPr>
        <w:footnoteRef/>
      </w:r>
      <w:r>
        <w:t xml:space="preserve"> </w:t>
      </w:r>
      <w:r w:rsidRPr="00393FE2">
        <w:rPr>
          <w:rFonts w:ascii="Times New Roman" w:hAnsi="Times New Roman"/>
        </w:rPr>
        <w:t>CARICOM Member States have set three strategic goals to guide the development of remedial programs and projects for increasing their competitiveness, reducing inefficiencies, and deepening global</w:t>
      </w:r>
      <w:r>
        <w:rPr>
          <w:rFonts w:ascii="Times New Roman" w:hAnsi="Times New Roman"/>
        </w:rPr>
        <w:t xml:space="preserve"> </w:t>
      </w:r>
      <w:r w:rsidRPr="00393FE2">
        <w:rPr>
          <w:rFonts w:ascii="Times New Roman" w:hAnsi="Times New Roman"/>
        </w:rPr>
        <w:t>and regional economic integration, as follows: (1) upgrading key economic infrastructure, (2) enhancing competitiveness and facilitating trade expansion and diversification, and (3) deepening regional integration</w:t>
      </w:r>
      <w:r>
        <w:rPr>
          <w:rFonts w:ascii="Times New Roman" w:hAnsi="Times New Roman"/>
        </w:rPr>
        <w:t xml:space="preserve"> </w:t>
      </w:r>
      <w:r w:rsidRPr="00393FE2">
        <w:rPr>
          <w:rFonts w:ascii="Times New Roman" w:hAnsi="Times New Roman"/>
        </w:rPr>
        <w:t>and maximizing gains from external trade agreements.</w:t>
      </w:r>
      <w:r>
        <w:rPr>
          <w:rFonts w:ascii="Times New Roman" w:hAnsi="Times New Roman"/>
        </w:rPr>
        <w:t xml:space="preserve"> </w:t>
      </w:r>
      <w:r w:rsidRPr="00393FE2">
        <w:rPr>
          <w:rFonts w:ascii="Times New Roman" w:hAnsi="Times New Roman"/>
          <w:i/>
        </w:rPr>
        <w:t>Source:</w:t>
      </w:r>
      <w:r>
        <w:rPr>
          <w:rFonts w:ascii="Times New Roman" w:hAnsi="Times New Roman"/>
        </w:rPr>
        <w:t xml:space="preserve"> </w:t>
      </w:r>
      <w:r w:rsidRPr="00393FE2">
        <w:rPr>
          <w:rFonts w:ascii="Times New Roman" w:hAnsi="Times New Roman"/>
          <w:i/>
        </w:rPr>
        <w:t>Caribbean Community Regional Aid for Trade Strategy 2013–2015 Caribbean Community Secretariat.</w:t>
      </w:r>
    </w:p>
  </w:footnote>
  <w:footnote w:id="4">
    <w:p w14:paraId="1A057F56" w14:textId="77777777" w:rsidR="009A5CCA" w:rsidRDefault="009A5CCA" w:rsidP="009A5CCA">
      <w:pPr>
        <w:pStyle w:val="FootnoteText"/>
        <w:jc w:val="both"/>
      </w:pPr>
      <w:r w:rsidRPr="002967F1">
        <w:rPr>
          <w:rStyle w:val="FootnoteReference"/>
          <w:rFonts w:ascii="Times New Roman" w:hAnsi="Times New Roman"/>
        </w:rPr>
        <w:footnoteRef/>
      </w:r>
      <w:r w:rsidRPr="002967F1">
        <w:rPr>
          <w:rFonts w:ascii="Times New Roman" w:hAnsi="Times New Roman"/>
        </w:rPr>
        <w:t xml:space="preserve"> Data source is the Observatory of Economic Complexity of the Massachusetts Institute of Technology (MIT) </w:t>
      </w:r>
      <w:hyperlink r:id="rId1" w:history="1">
        <w:r w:rsidRPr="002967F1">
          <w:rPr>
            <w:rStyle w:val="Hyperlink"/>
            <w:rFonts w:ascii="Times New Roman" w:hAnsi="Times New Roman"/>
          </w:rPr>
          <w:t>http://atlas.media.mit.edu/en/</w:t>
        </w:r>
      </w:hyperlink>
    </w:p>
  </w:footnote>
  <w:footnote w:id="5">
    <w:p w14:paraId="1CD63724" w14:textId="20E2BFC5" w:rsidR="00C23675" w:rsidRPr="00C23675" w:rsidRDefault="00C23675" w:rsidP="00C23675">
      <w:pPr>
        <w:tabs>
          <w:tab w:val="left" w:pos="540"/>
          <w:tab w:val="left" w:pos="2085"/>
        </w:tabs>
        <w:spacing w:after="0" w:line="0" w:lineRule="atLeast"/>
        <w:jc w:val="both"/>
        <w:rPr>
          <w:rFonts w:ascii="Times New Roman" w:hAnsi="Times New Roman" w:cs="Times New Roman"/>
          <w:sz w:val="24"/>
        </w:rPr>
      </w:pPr>
      <w:r>
        <w:rPr>
          <w:rStyle w:val="FootnoteReference"/>
        </w:rPr>
        <w:footnoteRef/>
      </w:r>
      <w:r>
        <w:t xml:space="preserve"> </w:t>
      </w:r>
      <w:r w:rsidRPr="00C23675">
        <w:rPr>
          <w:rFonts w:ascii="Times New Roman" w:eastAsia="Times New Roman" w:hAnsi="Times New Roman" w:cs="Times New Roman"/>
          <w:sz w:val="18"/>
          <w:szCs w:val="20"/>
        </w:rPr>
        <w:t>South American trade relevance for Suriname is observed particularly high with Guyana, representing 89% of total exports</w:t>
      </w:r>
      <w:r w:rsidR="00830E1C">
        <w:rPr>
          <w:rFonts w:ascii="Times New Roman" w:eastAsia="Times New Roman" w:hAnsi="Times New Roman" w:cs="Times New Roman"/>
          <w:sz w:val="18"/>
          <w:szCs w:val="20"/>
        </w:rPr>
        <w:t xml:space="preserve"> by value</w:t>
      </w:r>
      <w:r w:rsidRPr="00C23675">
        <w:rPr>
          <w:rFonts w:ascii="Times New Roman" w:eastAsia="Times New Roman" w:hAnsi="Times New Roman" w:cs="Times New Roman"/>
          <w:sz w:val="18"/>
          <w:szCs w:val="20"/>
        </w:rPr>
        <w:t xml:space="preserve"> and to LAC, followed by Venezuela 5.8% and Brazil with 3.9% of participation.</w:t>
      </w:r>
      <w:r w:rsidRPr="00EC1963">
        <w:rPr>
          <w:rFonts w:ascii="Times New Roman" w:hAnsi="Times New Roman" w:cs="Times New Roman"/>
          <w:sz w:val="24"/>
        </w:rPr>
        <w:t xml:space="preserve">  </w:t>
      </w:r>
    </w:p>
  </w:footnote>
  <w:footnote w:id="6">
    <w:p w14:paraId="6F3FBC1F" w14:textId="7CE2A704" w:rsidR="000313C0" w:rsidRPr="00B55C4A" w:rsidRDefault="000313C0">
      <w:pPr>
        <w:pStyle w:val="FootnoteText"/>
        <w:rPr>
          <w:rFonts w:ascii="Times New Roman" w:hAnsi="Times New Roman"/>
        </w:rPr>
      </w:pPr>
      <w:r w:rsidRPr="00B55C4A">
        <w:rPr>
          <w:rStyle w:val="FootnoteReference"/>
          <w:rFonts w:ascii="Times New Roman" w:hAnsi="Times New Roman"/>
        </w:rPr>
        <w:footnoteRef/>
      </w:r>
      <w:r w:rsidRPr="00B55C4A">
        <w:rPr>
          <w:rFonts w:ascii="Times New Roman" w:hAnsi="Times New Roman"/>
          <w:lang w:val="es-ES_tradnl"/>
        </w:rPr>
        <w:t xml:space="preserve"> La logística de cargas en América Latina and el Caribe: una agenda para mejorar su desempeño. </w:t>
      </w:r>
      <w:r w:rsidRPr="00B55C4A">
        <w:rPr>
          <w:rFonts w:ascii="Times New Roman" w:hAnsi="Times New Roman"/>
        </w:rPr>
        <w:t xml:space="preserve">IDB Technical Note IDB‐TN‐103.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61BF1"/>
    <w:multiLevelType w:val="multilevel"/>
    <w:tmpl w:val="1F3ECD30"/>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AF60408"/>
    <w:multiLevelType w:val="hybridMultilevel"/>
    <w:tmpl w:val="EE968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FF2A59"/>
    <w:multiLevelType w:val="hybridMultilevel"/>
    <w:tmpl w:val="2E40B72E"/>
    <w:lvl w:ilvl="0" w:tplc="DF181DE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BF5ABC"/>
    <w:multiLevelType w:val="hybridMultilevel"/>
    <w:tmpl w:val="3202C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6421E"/>
    <w:multiLevelType w:val="multilevel"/>
    <w:tmpl w:val="1F3ECD30"/>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22A0016"/>
    <w:multiLevelType w:val="multilevel"/>
    <w:tmpl w:val="1F3ECD30"/>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CCA"/>
    <w:rsid w:val="0000228B"/>
    <w:rsid w:val="00012409"/>
    <w:rsid w:val="00027836"/>
    <w:rsid w:val="000313C0"/>
    <w:rsid w:val="00035000"/>
    <w:rsid w:val="000363DB"/>
    <w:rsid w:val="000374FF"/>
    <w:rsid w:val="0004057E"/>
    <w:rsid w:val="000524FC"/>
    <w:rsid w:val="00052B16"/>
    <w:rsid w:val="0007374B"/>
    <w:rsid w:val="00077995"/>
    <w:rsid w:val="00077DDC"/>
    <w:rsid w:val="00090DD0"/>
    <w:rsid w:val="00095211"/>
    <w:rsid w:val="000C02BC"/>
    <w:rsid w:val="000C0AAA"/>
    <w:rsid w:val="000D066A"/>
    <w:rsid w:val="000E2196"/>
    <w:rsid w:val="000E2E69"/>
    <w:rsid w:val="000F2913"/>
    <w:rsid w:val="000F4441"/>
    <w:rsid w:val="0010308A"/>
    <w:rsid w:val="00115D64"/>
    <w:rsid w:val="00125552"/>
    <w:rsid w:val="001308DE"/>
    <w:rsid w:val="00131533"/>
    <w:rsid w:val="00141C95"/>
    <w:rsid w:val="00143AE5"/>
    <w:rsid w:val="00145270"/>
    <w:rsid w:val="0015651A"/>
    <w:rsid w:val="00156F0C"/>
    <w:rsid w:val="001670AB"/>
    <w:rsid w:val="001700DF"/>
    <w:rsid w:val="00171D59"/>
    <w:rsid w:val="00177B4A"/>
    <w:rsid w:val="00180560"/>
    <w:rsid w:val="0018698D"/>
    <w:rsid w:val="00190CA2"/>
    <w:rsid w:val="001935C2"/>
    <w:rsid w:val="00195631"/>
    <w:rsid w:val="0019642B"/>
    <w:rsid w:val="00196FDD"/>
    <w:rsid w:val="001A1723"/>
    <w:rsid w:val="001A5602"/>
    <w:rsid w:val="001C15E8"/>
    <w:rsid w:val="001C6684"/>
    <w:rsid w:val="001D0CFF"/>
    <w:rsid w:val="001D1EB1"/>
    <w:rsid w:val="001D39B3"/>
    <w:rsid w:val="001F3523"/>
    <w:rsid w:val="001F5CF8"/>
    <w:rsid w:val="001F5E48"/>
    <w:rsid w:val="00213C25"/>
    <w:rsid w:val="00223231"/>
    <w:rsid w:val="00225409"/>
    <w:rsid w:val="00225F85"/>
    <w:rsid w:val="00231CD7"/>
    <w:rsid w:val="00236540"/>
    <w:rsid w:val="00251B44"/>
    <w:rsid w:val="00252DAE"/>
    <w:rsid w:val="0026552A"/>
    <w:rsid w:val="00270725"/>
    <w:rsid w:val="0028674F"/>
    <w:rsid w:val="002867A3"/>
    <w:rsid w:val="002A1291"/>
    <w:rsid w:val="002A5913"/>
    <w:rsid w:val="002C45A8"/>
    <w:rsid w:val="002D42ED"/>
    <w:rsid w:val="002D70C8"/>
    <w:rsid w:val="002E22E7"/>
    <w:rsid w:val="002E7A28"/>
    <w:rsid w:val="002F6219"/>
    <w:rsid w:val="00300B2C"/>
    <w:rsid w:val="0031449E"/>
    <w:rsid w:val="0032008F"/>
    <w:rsid w:val="003526B4"/>
    <w:rsid w:val="003528A3"/>
    <w:rsid w:val="0035635B"/>
    <w:rsid w:val="0036071B"/>
    <w:rsid w:val="00363387"/>
    <w:rsid w:val="00365314"/>
    <w:rsid w:val="00366339"/>
    <w:rsid w:val="0037113F"/>
    <w:rsid w:val="003747D6"/>
    <w:rsid w:val="0037637C"/>
    <w:rsid w:val="00381997"/>
    <w:rsid w:val="00382629"/>
    <w:rsid w:val="00383DFD"/>
    <w:rsid w:val="003875A7"/>
    <w:rsid w:val="00387BF3"/>
    <w:rsid w:val="003B7E92"/>
    <w:rsid w:val="003C09B4"/>
    <w:rsid w:val="003C4549"/>
    <w:rsid w:val="003D04E7"/>
    <w:rsid w:val="003D571C"/>
    <w:rsid w:val="003E40FC"/>
    <w:rsid w:val="003F184B"/>
    <w:rsid w:val="003F4435"/>
    <w:rsid w:val="003F663E"/>
    <w:rsid w:val="003F7110"/>
    <w:rsid w:val="0040265B"/>
    <w:rsid w:val="0041161D"/>
    <w:rsid w:val="00411838"/>
    <w:rsid w:val="00412519"/>
    <w:rsid w:val="00412949"/>
    <w:rsid w:val="004207ED"/>
    <w:rsid w:val="0042636F"/>
    <w:rsid w:val="00437372"/>
    <w:rsid w:val="0044514A"/>
    <w:rsid w:val="00455D3A"/>
    <w:rsid w:val="0046279C"/>
    <w:rsid w:val="004635A0"/>
    <w:rsid w:val="00465555"/>
    <w:rsid w:val="004734FB"/>
    <w:rsid w:val="00493A18"/>
    <w:rsid w:val="004C215B"/>
    <w:rsid w:val="004C5254"/>
    <w:rsid w:val="004D6BAB"/>
    <w:rsid w:val="004E1223"/>
    <w:rsid w:val="004F3BDA"/>
    <w:rsid w:val="0050287D"/>
    <w:rsid w:val="00505F85"/>
    <w:rsid w:val="00507B31"/>
    <w:rsid w:val="00511798"/>
    <w:rsid w:val="00512718"/>
    <w:rsid w:val="00526C93"/>
    <w:rsid w:val="0053303F"/>
    <w:rsid w:val="00534979"/>
    <w:rsid w:val="00536672"/>
    <w:rsid w:val="00543C3E"/>
    <w:rsid w:val="00546009"/>
    <w:rsid w:val="00556CDD"/>
    <w:rsid w:val="0059716E"/>
    <w:rsid w:val="005B037F"/>
    <w:rsid w:val="005C14EE"/>
    <w:rsid w:val="005C27AD"/>
    <w:rsid w:val="005D188E"/>
    <w:rsid w:val="005D1CBC"/>
    <w:rsid w:val="005D54FF"/>
    <w:rsid w:val="005E2F15"/>
    <w:rsid w:val="005E3D33"/>
    <w:rsid w:val="005E417E"/>
    <w:rsid w:val="005F47A5"/>
    <w:rsid w:val="0060254D"/>
    <w:rsid w:val="00611556"/>
    <w:rsid w:val="00611C87"/>
    <w:rsid w:val="00612704"/>
    <w:rsid w:val="006139C3"/>
    <w:rsid w:val="00614A2E"/>
    <w:rsid w:val="00617820"/>
    <w:rsid w:val="006179AB"/>
    <w:rsid w:val="00623A45"/>
    <w:rsid w:val="0062432C"/>
    <w:rsid w:val="0063244A"/>
    <w:rsid w:val="00640176"/>
    <w:rsid w:val="0065206C"/>
    <w:rsid w:val="006572C7"/>
    <w:rsid w:val="00675333"/>
    <w:rsid w:val="00676854"/>
    <w:rsid w:val="00676BA1"/>
    <w:rsid w:val="00683847"/>
    <w:rsid w:val="00685698"/>
    <w:rsid w:val="0068714C"/>
    <w:rsid w:val="00687653"/>
    <w:rsid w:val="0069222C"/>
    <w:rsid w:val="006A08AB"/>
    <w:rsid w:val="006A4356"/>
    <w:rsid w:val="006B0EE6"/>
    <w:rsid w:val="006B1514"/>
    <w:rsid w:val="006B21D5"/>
    <w:rsid w:val="006C03AA"/>
    <w:rsid w:val="006C2AF9"/>
    <w:rsid w:val="006E1F05"/>
    <w:rsid w:val="006E6E73"/>
    <w:rsid w:val="007042E8"/>
    <w:rsid w:val="007111BB"/>
    <w:rsid w:val="00717A9C"/>
    <w:rsid w:val="007204B7"/>
    <w:rsid w:val="007237AB"/>
    <w:rsid w:val="00725447"/>
    <w:rsid w:val="00725F43"/>
    <w:rsid w:val="00733F77"/>
    <w:rsid w:val="00755685"/>
    <w:rsid w:val="0075711F"/>
    <w:rsid w:val="00770B10"/>
    <w:rsid w:val="0077139A"/>
    <w:rsid w:val="0078612E"/>
    <w:rsid w:val="007939FE"/>
    <w:rsid w:val="007B41C2"/>
    <w:rsid w:val="007C5E65"/>
    <w:rsid w:val="007C7254"/>
    <w:rsid w:val="007E53EA"/>
    <w:rsid w:val="008143DF"/>
    <w:rsid w:val="00817C06"/>
    <w:rsid w:val="00824915"/>
    <w:rsid w:val="00827D8D"/>
    <w:rsid w:val="00830E1C"/>
    <w:rsid w:val="00835331"/>
    <w:rsid w:val="00842A10"/>
    <w:rsid w:val="00845329"/>
    <w:rsid w:val="008513EA"/>
    <w:rsid w:val="008521C8"/>
    <w:rsid w:val="00855CA7"/>
    <w:rsid w:val="00862C6E"/>
    <w:rsid w:val="00866824"/>
    <w:rsid w:val="00883BD2"/>
    <w:rsid w:val="00891C6F"/>
    <w:rsid w:val="00895277"/>
    <w:rsid w:val="008A0A60"/>
    <w:rsid w:val="008A28B1"/>
    <w:rsid w:val="008A4BF8"/>
    <w:rsid w:val="008A6A84"/>
    <w:rsid w:val="008A6E40"/>
    <w:rsid w:val="008B0421"/>
    <w:rsid w:val="008B26A8"/>
    <w:rsid w:val="008C2C0B"/>
    <w:rsid w:val="008C779C"/>
    <w:rsid w:val="008D0B2F"/>
    <w:rsid w:val="008D220D"/>
    <w:rsid w:val="008D60DB"/>
    <w:rsid w:val="008D6FFF"/>
    <w:rsid w:val="008D798C"/>
    <w:rsid w:val="008D7BAC"/>
    <w:rsid w:val="008E0AE3"/>
    <w:rsid w:val="008F19ED"/>
    <w:rsid w:val="008F1A07"/>
    <w:rsid w:val="008F52D2"/>
    <w:rsid w:val="008F7C71"/>
    <w:rsid w:val="008F7DBD"/>
    <w:rsid w:val="00900D05"/>
    <w:rsid w:val="009046D7"/>
    <w:rsid w:val="00923661"/>
    <w:rsid w:val="00927592"/>
    <w:rsid w:val="00934DA8"/>
    <w:rsid w:val="009404FB"/>
    <w:rsid w:val="00943E8F"/>
    <w:rsid w:val="009453D6"/>
    <w:rsid w:val="00946E27"/>
    <w:rsid w:val="0095115E"/>
    <w:rsid w:val="00952D26"/>
    <w:rsid w:val="00952DD5"/>
    <w:rsid w:val="00953D13"/>
    <w:rsid w:val="00956447"/>
    <w:rsid w:val="00957C79"/>
    <w:rsid w:val="00961D02"/>
    <w:rsid w:val="009647A0"/>
    <w:rsid w:val="00976019"/>
    <w:rsid w:val="00996072"/>
    <w:rsid w:val="009A5CCA"/>
    <w:rsid w:val="009B6BC9"/>
    <w:rsid w:val="009C2F1F"/>
    <w:rsid w:val="009D17B8"/>
    <w:rsid w:val="009D44DB"/>
    <w:rsid w:val="009E027F"/>
    <w:rsid w:val="009F004B"/>
    <w:rsid w:val="00A017DE"/>
    <w:rsid w:val="00A02A93"/>
    <w:rsid w:val="00A056A7"/>
    <w:rsid w:val="00A06339"/>
    <w:rsid w:val="00A07373"/>
    <w:rsid w:val="00A11B6A"/>
    <w:rsid w:val="00A121BF"/>
    <w:rsid w:val="00A42AC8"/>
    <w:rsid w:val="00A619AB"/>
    <w:rsid w:val="00A621B1"/>
    <w:rsid w:val="00A64C4F"/>
    <w:rsid w:val="00A73A0A"/>
    <w:rsid w:val="00A81DA1"/>
    <w:rsid w:val="00A82F37"/>
    <w:rsid w:val="00A848BA"/>
    <w:rsid w:val="00A9031F"/>
    <w:rsid w:val="00AB4487"/>
    <w:rsid w:val="00AC6526"/>
    <w:rsid w:val="00AD46AB"/>
    <w:rsid w:val="00AD768A"/>
    <w:rsid w:val="00AE31BE"/>
    <w:rsid w:val="00AF7BA5"/>
    <w:rsid w:val="00B04BA3"/>
    <w:rsid w:val="00B05D64"/>
    <w:rsid w:val="00B11172"/>
    <w:rsid w:val="00B153D8"/>
    <w:rsid w:val="00B22107"/>
    <w:rsid w:val="00B3420D"/>
    <w:rsid w:val="00B475FE"/>
    <w:rsid w:val="00B5375A"/>
    <w:rsid w:val="00B55C4A"/>
    <w:rsid w:val="00B64CB7"/>
    <w:rsid w:val="00B67B8B"/>
    <w:rsid w:val="00B70F79"/>
    <w:rsid w:val="00B75059"/>
    <w:rsid w:val="00B7745B"/>
    <w:rsid w:val="00B77ED6"/>
    <w:rsid w:val="00B80175"/>
    <w:rsid w:val="00B87FC9"/>
    <w:rsid w:val="00B90315"/>
    <w:rsid w:val="00B90675"/>
    <w:rsid w:val="00B91F9B"/>
    <w:rsid w:val="00BA15EC"/>
    <w:rsid w:val="00BA2037"/>
    <w:rsid w:val="00BA275E"/>
    <w:rsid w:val="00BA38AA"/>
    <w:rsid w:val="00BA698A"/>
    <w:rsid w:val="00BB1D29"/>
    <w:rsid w:val="00BB2DB3"/>
    <w:rsid w:val="00BB44BD"/>
    <w:rsid w:val="00BB49FD"/>
    <w:rsid w:val="00BC31BB"/>
    <w:rsid w:val="00BD78D3"/>
    <w:rsid w:val="00BE43E8"/>
    <w:rsid w:val="00BE5CE4"/>
    <w:rsid w:val="00BF6F4D"/>
    <w:rsid w:val="00C03E86"/>
    <w:rsid w:val="00C06BE5"/>
    <w:rsid w:val="00C0744A"/>
    <w:rsid w:val="00C16E3E"/>
    <w:rsid w:val="00C17B7C"/>
    <w:rsid w:val="00C21F44"/>
    <w:rsid w:val="00C23675"/>
    <w:rsid w:val="00C24C52"/>
    <w:rsid w:val="00C3123D"/>
    <w:rsid w:val="00C40C61"/>
    <w:rsid w:val="00C46815"/>
    <w:rsid w:val="00C51098"/>
    <w:rsid w:val="00C5185A"/>
    <w:rsid w:val="00C77CDF"/>
    <w:rsid w:val="00C93A61"/>
    <w:rsid w:val="00C96CF5"/>
    <w:rsid w:val="00CA43BA"/>
    <w:rsid w:val="00CA4CCF"/>
    <w:rsid w:val="00CB12AE"/>
    <w:rsid w:val="00CB25FB"/>
    <w:rsid w:val="00CD3B92"/>
    <w:rsid w:val="00CD5E86"/>
    <w:rsid w:val="00CE44A8"/>
    <w:rsid w:val="00CE47C9"/>
    <w:rsid w:val="00CE6569"/>
    <w:rsid w:val="00CF16C6"/>
    <w:rsid w:val="00CF2870"/>
    <w:rsid w:val="00CF2BCF"/>
    <w:rsid w:val="00D04A55"/>
    <w:rsid w:val="00D04F0E"/>
    <w:rsid w:val="00D23724"/>
    <w:rsid w:val="00D246CE"/>
    <w:rsid w:val="00D26F69"/>
    <w:rsid w:val="00D31B9F"/>
    <w:rsid w:val="00D50F43"/>
    <w:rsid w:val="00D52FA5"/>
    <w:rsid w:val="00D57243"/>
    <w:rsid w:val="00D62145"/>
    <w:rsid w:val="00D6225A"/>
    <w:rsid w:val="00D74C82"/>
    <w:rsid w:val="00D93A57"/>
    <w:rsid w:val="00DA3216"/>
    <w:rsid w:val="00DA3508"/>
    <w:rsid w:val="00DB2547"/>
    <w:rsid w:val="00E00160"/>
    <w:rsid w:val="00E01D1F"/>
    <w:rsid w:val="00E02B40"/>
    <w:rsid w:val="00E133E3"/>
    <w:rsid w:val="00E41773"/>
    <w:rsid w:val="00E4510A"/>
    <w:rsid w:val="00E51819"/>
    <w:rsid w:val="00E56172"/>
    <w:rsid w:val="00E661D4"/>
    <w:rsid w:val="00E75449"/>
    <w:rsid w:val="00E82AD2"/>
    <w:rsid w:val="00E860EA"/>
    <w:rsid w:val="00E9312A"/>
    <w:rsid w:val="00EA0FC6"/>
    <w:rsid w:val="00EA4D5B"/>
    <w:rsid w:val="00EB7784"/>
    <w:rsid w:val="00EB78D3"/>
    <w:rsid w:val="00EC1963"/>
    <w:rsid w:val="00EC5383"/>
    <w:rsid w:val="00EC7909"/>
    <w:rsid w:val="00EF6FC7"/>
    <w:rsid w:val="00F032EF"/>
    <w:rsid w:val="00F06C0F"/>
    <w:rsid w:val="00F1326B"/>
    <w:rsid w:val="00F169C6"/>
    <w:rsid w:val="00F212B0"/>
    <w:rsid w:val="00F3461F"/>
    <w:rsid w:val="00F354CF"/>
    <w:rsid w:val="00F377EA"/>
    <w:rsid w:val="00F40EFB"/>
    <w:rsid w:val="00F41820"/>
    <w:rsid w:val="00F41D23"/>
    <w:rsid w:val="00F608EA"/>
    <w:rsid w:val="00F654EB"/>
    <w:rsid w:val="00F878C7"/>
    <w:rsid w:val="00F9299C"/>
    <w:rsid w:val="00FA305B"/>
    <w:rsid w:val="00FA40CA"/>
    <w:rsid w:val="00FB3F00"/>
    <w:rsid w:val="00FE3F64"/>
    <w:rsid w:val="00FF381E"/>
    <w:rsid w:val="00FF43AD"/>
    <w:rsid w:val="00FF49C3"/>
    <w:rsid w:val="00FF6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7A89"/>
  <w15:chartTrackingRefBased/>
  <w15:docId w15:val="{9C2EDCB2-F443-4F83-A573-532BF8319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17B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9A5CC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9A5CCA"/>
    <w:rPr>
      <w:b/>
      <w:bCs/>
      <w:i/>
      <w:iCs/>
      <w:color w:val="4472C4" w:themeColor="accent1"/>
    </w:rPr>
  </w:style>
  <w:style w:type="table" w:styleId="TableGrid">
    <w:name w:val="Table Grid"/>
    <w:basedOn w:val="TableNormal"/>
    <w:uiPriority w:val="59"/>
    <w:rsid w:val="009A5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qFormat/>
    <w:rsid w:val="009A5CCA"/>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rsid w:val="009A5CCA"/>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rsid w:val="009A5CCA"/>
    <w:rPr>
      <w:rFonts w:ascii="Arial" w:hAnsi="Arial"/>
      <w:sz w:val="18"/>
      <w:vertAlign w:val="superscript"/>
    </w:rPr>
  </w:style>
  <w:style w:type="paragraph" w:styleId="ListParagraph">
    <w:name w:val="List Paragraph"/>
    <w:basedOn w:val="Normal"/>
    <w:link w:val="ListParagraphChar"/>
    <w:uiPriority w:val="34"/>
    <w:qFormat/>
    <w:rsid w:val="009A5CCA"/>
    <w:pPr>
      <w:ind w:left="720"/>
      <w:contextualSpacing/>
    </w:pPr>
  </w:style>
  <w:style w:type="character" w:customStyle="1" w:styleId="ListParagraphChar">
    <w:name w:val="List Paragraph Char"/>
    <w:link w:val="ListParagraph"/>
    <w:uiPriority w:val="34"/>
    <w:rsid w:val="009A5CCA"/>
  </w:style>
  <w:style w:type="character" w:styleId="Hyperlink">
    <w:name w:val="Hyperlink"/>
    <w:basedOn w:val="DefaultParagraphFont"/>
    <w:uiPriority w:val="99"/>
    <w:unhideWhenUsed/>
    <w:rsid w:val="009A5CCA"/>
    <w:rPr>
      <w:color w:val="0000FF"/>
      <w:u w:val="single"/>
    </w:rPr>
  </w:style>
  <w:style w:type="paragraph" w:styleId="Footer">
    <w:name w:val="footer"/>
    <w:basedOn w:val="Normal"/>
    <w:link w:val="FooterChar"/>
    <w:uiPriority w:val="99"/>
    <w:unhideWhenUsed/>
    <w:rsid w:val="009A5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CCA"/>
  </w:style>
  <w:style w:type="paragraph" w:styleId="Header">
    <w:name w:val="header"/>
    <w:basedOn w:val="Normal"/>
    <w:link w:val="HeaderChar"/>
    <w:uiPriority w:val="99"/>
    <w:unhideWhenUsed/>
    <w:rsid w:val="00AB44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487"/>
  </w:style>
  <w:style w:type="character" w:styleId="UnresolvedMention">
    <w:name w:val="Unresolved Mention"/>
    <w:basedOn w:val="DefaultParagraphFont"/>
    <w:uiPriority w:val="99"/>
    <w:semiHidden/>
    <w:unhideWhenUsed/>
    <w:rsid w:val="00171D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48287">
      <w:bodyDiv w:val="1"/>
      <w:marLeft w:val="0"/>
      <w:marRight w:val="0"/>
      <w:marTop w:val="0"/>
      <w:marBottom w:val="0"/>
      <w:divBdr>
        <w:top w:val="none" w:sz="0" w:space="0" w:color="auto"/>
        <w:left w:val="none" w:sz="0" w:space="0" w:color="auto"/>
        <w:bottom w:val="none" w:sz="0" w:space="0" w:color="auto"/>
        <w:right w:val="none" w:sz="0" w:space="0" w:color="auto"/>
      </w:divBdr>
    </w:div>
    <w:div w:id="533690509">
      <w:bodyDiv w:val="1"/>
      <w:marLeft w:val="0"/>
      <w:marRight w:val="0"/>
      <w:marTop w:val="0"/>
      <w:marBottom w:val="0"/>
      <w:divBdr>
        <w:top w:val="none" w:sz="0" w:space="0" w:color="auto"/>
        <w:left w:val="none" w:sz="0" w:space="0" w:color="auto"/>
        <w:bottom w:val="none" w:sz="0" w:space="0" w:color="auto"/>
        <w:right w:val="none" w:sz="0" w:space="0" w:color="auto"/>
      </w:divBdr>
    </w:div>
    <w:div w:id="764617404">
      <w:bodyDiv w:val="1"/>
      <w:marLeft w:val="0"/>
      <w:marRight w:val="0"/>
      <w:marTop w:val="0"/>
      <w:marBottom w:val="0"/>
      <w:divBdr>
        <w:top w:val="none" w:sz="0" w:space="0" w:color="auto"/>
        <w:left w:val="none" w:sz="0" w:space="0" w:color="auto"/>
        <w:bottom w:val="none" w:sz="0" w:space="0" w:color="auto"/>
        <w:right w:val="none" w:sz="0" w:space="0" w:color="auto"/>
      </w:divBdr>
    </w:div>
    <w:div w:id="1094667717">
      <w:bodyDiv w:val="1"/>
      <w:marLeft w:val="0"/>
      <w:marRight w:val="0"/>
      <w:marTop w:val="0"/>
      <w:marBottom w:val="0"/>
      <w:divBdr>
        <w:top w:val="none" w:sz="0" w:space="0" w:color="auto"/>
        <w:left w:val="none" w:sz="0" w:space="0" w:color="auto"/>
        <w:bottom w:val="none" w:sz="0" w:space="0" w:color="auto"/>
        <w:right w:val="none" w:sz="0" w:space="0" w:color="auto"/>
      </w:divBdr>
    </w:div>
    <w:div w:id="1187599671">
      <w:bodyDiv w:val="1"/>
      <w:marLeft w:val="0"/>
      <w:marRight w:val="0"/>
      <w:marTop w:val="0"/>
      <w:marBottom w:val="0"/>
      <w:divBdr>
        <w:top w:val="none" w:sz="0" w:space="0" w:color="auto"/>
        <w:left w:val="none" w:sz="0" w:space="0" w:color="auto"/>
        <w:bottom w:val="none" w:sz="0" w:space="0" w:color="auto"/>
        <w:right w:val="none" w:sz="0" w:space="0" w:color="auto"/>
      </w:divBdr>
    </w:div>
    <w:div w:id="1558541877">
      <w:bodyDiv w:val="1"/>
      <w:marLeft w:val="0"/>
      <w:marRight w:val="0"/>
      <w:marTop w:val="0"/>
      <w:marBottom w:val="0"/>
      <w:divBdr>
        <w:top w:val="none" w:sz="0" w:space="0" w:color="auto"/>
        <w:left w:val="none" w:sz="0" w:space="0" w:color="auto"/>
        <w:bottom w:val="none" w:sz="0" w:space="0" w:color="auto"/>
        <w:right w:val="none" w:sz="0" w:space="0" w:color="auto"/>
      </w:divBdr>
    </w:div>
    <w:div w:id="1692954753">
      <w:bodyDiv w:val="1"/>
      <w:marLeft w:val="0"/>
      <w:marRight w:val="0"/>
      <w:marTop w:val="0"/>
      <w:marBottom w:val="0"/>
      <w:divBdr>
        <w:top w:val="none" w:sz="0" w:space="0" w:color="auto"/>
        <w:left w:val="none" w:sz="0" w:space="0" w:color="auto"/>
        <w:bottom w:val="none" w:sz="0" w:space="0" w:color="auto"/>
        <w:right w:val="none" w:sz="0" w:space="0" w:color="auto"/>
      </w:divBdr>
    </w:div>
    <w:div w:id="1825269116">
      <w:bodyDiv w:val="1"/>
      <w:marLeft w:val="0"/>
      <w:marRight w:val="0"/>
      <w:marTop w:val="0"/>
      <w:marBottom w:val="0"/>
      <w:divBdr>
        <w:top w:val="none" w:sz="0" w:space="0" w:color="auto"/>
        <w:left w:val="none" w:sz="0" w:space="0" w:color="auto"/>
        <w:bottom w:val="none" w:sz="0" w:space="0" w:color="auto"/>
        <w:right w:val="none" w:sz="0" w:space="0" w:color="auto"/>
      </w:divBdr>
    </w:div>
    <w:div w:id="205627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atlas.media.mit.edu/e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Downloads\WEO_Data%20(4).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12700"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2"/>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'WEO_Data (4)'!$J$1:$V$1</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'WEO_Data (4)'!$J$3:$V$3</c:f>
              <c:numCache>
                <c:formatCode>0.0</c:formatCode>
                <c:ptCount val="13"/>
                <c:pt idx="0">
                  <c:v>5.8470000000000004</c:v>
                </c:pt>
                <c:pt idx="1">
                  <c:v>2.6970000000000001</c:v>
                </c:pt>
                <c:pt idx="2">
                  <c:v>2.931</c:v>
                </c:pt>
                <c:pt idx="3">
                  <c:v>0.254</c:v>
                </c:pt>
                <c:pt idx="4">
                  <c:v>-2.5990000000000002</c:v>
                </c:pt>
                <c:pt idx="5">
                  <c:v>-5.1390000000000002</c:v>
                </c:pt>
                <c:pt idx="6" formatCode="General">
                  <c:v>1.9</c:v>
                </c:pt>
                <c:pt idx="7" formatCode="General">
                  <c:v>2</c:v>
                </c:pt>
                <c:pt idx="8" formatCode="General">
                  <c:v>2.2000000000000002</c:v>
                </c:pt>
                <c:pt idx="9" formatCode="General">
                  <c:v>2.5</c:v>
                </c:pt>
                <c:pt idx="10" formatCode="General">
                  <c:v>2.1</c:v>
                </c:pt>
                <c:pt idx="11" formatCode="General">
                  <c:v>2.5</c:v>
                </c:pt>
                <c:pt idx="12" formatCode="General">
                  <c:v>3</c:v>
                </c:pt>
              </c:numCache>
            </c:numRef>
          </c:val>
          <c:smooth val="0"/>
          <c:extLst>
            <c:ext xmlns:c16="http://schemas.microsoft.com/office/drawing/2014/chart" uri="{C3380CC4-5D6E-409C-BE32-E72D297353CC}">
              <c16:uniqueId val="{00000000-3565-41E5-B11C-7A190A9B3467}"/>
            </c:ext>
          </c:extLst>
        </c:ser>
        <c:dLbls>
          <c:dLblPos val="ctr"/>
          <c:showLegendKey val="0"/>
          <c:showVal val="1"/>
          <c:showCatName val="0"/>
          <c:showSerName val="0"/>
          <c:showPercent val="0"/>
          <c:showBubbleSize val="0"/>
        </c:dLbls>
        <c:smooth val="0"/>
        <c:axId val="514351320"/>
        <c:axId val="514350336"/>
      </c:lineChart>
      <c:catAx>
        <c:axId val="514351320"/>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en-US"/>
          </a:p>
        </c:txPr>
        <c:crossAx val="514350336"/>
        <c:crosses val="autoZero"/>
        <c:auto val="1"/>
        <c:lblAlgn val="ctr"/>
        <c:lblOffset val="100"/>
        <c:noMultiLvlLbl val="0"/>
      </c:catAx>
      <c:valAx>
        <c:axId val="514350336"/>
        <c:scaling>
          <c:orientation val="minMax"/>
        </c:scaling>
        <c:delete val="0"/>
        <c:axPos val="l"/>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5143513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6C989CA9F372418EA97987BDCAF252" ma:contentTypeVersion="423" ma:contentTypeDescription="The base project type from which other project content types inherit their information." ma:contentTypeScope="" ma:versionID="e0aca2d074e6c77883beb739bf64b329">
  <xsd:schema xmlns:xsd="http://www.w3.org/2001/XMLSchema" xmlns:xs="http://www.w3.org/2001/XMLSchema" xmlns:p="http://schemas.microsoft.com/office/2006/metadata/properties" xmlns:ns2="cdc7663a-08f0-4737-9e8c-148ce897a09c" targetNamespace="http://schemas.microsoft.com/office/2006/metadata/properties" ma:root="true" ma:fieldsID="4136038c9df868622b33d51861de32e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SU-L105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D72703920994348BB69502AE21E3CB9" ma:contentTypeVersion="561" ma:contentTypeDescription="A content type to manage public (operations) IDB documents" ma:contentTypeScope="" ma:versionID="4808a6526a26069866974d257d4acc1b">
  <xsd:schema xmlns:xsd="http://www.w3.org/2001/XMLSchema" xmlns:xs="http://www.w3.org/2001/XMLSchema" xmlns:p="http://schemas.microsoft.com/office/2006/metadata/properties" xmlns:ns2="cdc7663a-08f0-4737-9e8c-148ce897a09c" targetNamespace="http://schemas.microsoft.com/office/2006/metadata/properties" ma:root="true" ma:fieldsID="1549d0de7ea22136230f6f99f2ef3c0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Rodriguez Cabezas, Paola Katherine</Document_x0020_Author>
    <_dlc_DocId xmlns="cdc7663a-08f0-4737-9e8c-148ce897a09c">EZSHARE-34892997-42</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TaxCatchAll xmlns="cdc7663a-08f0-4737-9e8c-148ce897a09c">
      <Value>118</Value>
      <Value>117</Value>
      <Value>22</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SU-L1057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4828/OC-SU;</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PORT INFRASTRUCTURE</TermName>
          <TermId xmlns="http://schemas.microsoft.com/office/infopath/2007/PartnerControls">4e681a43-1c9f-4e50-9d53-841046abf269</TermId>
        </TermInfo>
      </Terms>
    </b2ec7cfb18674cb8803df6b262e8b107>
    <Document_x0020_Language_x0020_IDB xmlns="cdc7663a-08f0-4737-9e8c-148ce897a09c">English</Document_x0020_Language_x0020_IDB>
    <_dlc_DocIdUrl xmlns="cdc7663a-08f0-4737-9e8c-148ce897a09c">
      <Url>https://idbg.sharepoint.com/teams/EZ-SU-LON/SU-L1057/_layouts/15/DocIdRedir.aspx?ID=EZSHARE-34892997-42</Url>
      <Description>EZSHARE-34892997-42</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AA2C548A-C720-4CE3-9F74-CA41F0FC5A1D}">
  <ds:schemaRefs>
    <ds:schemaRef ds:uri="http://schemas.openxmlformats.org/officeDocument/2006/bibliography"/>
  </ds:schemaRefs>
</ds:datastoreItem>
</file>

<file path=customXml/itemProps2.xml><?xml version="1.0" encoding="utf-8"?>
<ds:datastoreItem xmlns:ds="http://schemas.openxmlformats.org/officeDocument/2006/customXml" ds:itemID="{C9057EDE-75A5-4BA1-AE34-4EC9AF0B8F4C}"/>
</file>

<file path=customXml/itemProps3.xml><?xml version="1.0" encoding="utf-8"?>
<ds:datastoreItem xmlns:ds="http://schemas.openxmlformats.org/officeDocument/2006/customXml" ds:itemID="{3CD01A76-09D0-428E-92F0-1781FFC4E2A8}"/>
</file>

<file path=customXml/itemProps4.xml><?xml version="1.0" encoding="utf-8"?>
<ds:datastoreItem xmlns:ds="http://schemas.openxmlformats.org/officeDocument/2006/customXml" ds:itemID="{109FA6EC-9D97-4600-96A3-F520DF8D3929}"/>
</file>

<file path=customXml/itemProps5.xml><?xml version="1.0" encoding="utf-8"?>
<ds:datastoreItem xmlns:ds="http://schemas.openxmlformats.org/officeDocument/2006/customXml" ds:itemID="{A3D7E6DD-D965-47CD-8EEF-B7606A2C8869}"/>
</file>

<file path=customXml/itemProps6.xml><?xml version="1.0" encoding="utf-8"?>
<ds:datastoreItem xmlns:ds="http://schemas.openxmlformats.org/officeDocument/2006/customXml" ds:itemID="{D7E5CB9E-77C7-4B5F-9947-DD41E5B29553}"/>
</file>

<file path=customXml/itemProps7.xml><?xml version="1.0" encoding="utf-8"?>
<ds:datastoreItem xmlns:ds="http://schemas.openxmlformats.org/officeDocument/2006/customXml" ds:itemID="{5A26ACFD-00D4-4515-BB8D-AF0AEBB86A09}"/>
</file>

<file path=customXml/itemProps8.xml><?xml version="1.0" encoding="utf-8"?>
<ds:datastoreItem xmlns:ds="http://schemas.openxmlformats.org/officeDocument/2006/customXml" ds:itemID="{937BA2F5-A435-4B98-8B7D-CA543910ABDC}"/>
</file>

<file path=docProps/app.xml><?xml version="1.0" encoding="utf-8"?>
<Properties xmlns="http://schemas.openxmlformats.org/officeDocument/2006/extended-properties" xmlns:vt="http://schemas.openxmlformats.org/officeDocument/2006/docPropsVTypes">
  <Template>Normal.dotm</Template>
  <TotalTime>24</TotalTime>
  <Pages>7</Pages>
  <Words>2704</Words>
  <Characters>15415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GAV</cp:lastModifiedBy>
  <cp:revision>4</cp:revision>
  <dcterms:created xsi:type="dcterms:W3CDTF">2019-02-07T16:34:00Z</dcterms:created>
  <dcterms:modified xsi:type="dcterms:W3CDTF">2019-03-21T15:49:00Z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118;#PORT INFRASTRUCTURE|4e681a43-1c9f-4e50-9d53-841046abf269</vt:lpwstr>
  </property>
  <property fmtid="{D5CDD505-2E9C-101B-9397-08002B2CF9AE}" pid="7" name="Country">
    <vt:lpwstr>22;#Suriname|78f391d2-6a9c-4a90-96e5-b3c0fdf8e7da</vt:lpwstr>
  </property>
  <property fmtid="{D5CDD505-2E9C-101B-9397-08002B2CF9AE}" pid="8" name="Fund IDB">
    <vt:lpwstr/>
  </property>
  <property fmtid="{D5CDD505-2E9C-101B-9397-08002B2CF9AE}" pid="9" name="_dlc_DocIdItemGuid">
    <vt:lpwstr>798fc374-2604-40c1-a788-28634868f144</vt:lpwstr>
  </property>
  <property fmtid="{D5CDD505-2E9C-101B-9397-08002B2CF9AE}" pid="10" name="Sector IDB">
    <vt:lpwstr>117;#TRANSPORT|5a25d1a8-4baf-41a8-9e3b-e167accda6ea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0x0101001A458A224826124E8B45B1D613300CFC008D72703920994348BB69502AE21E3CB9</vt:lpwstr>
  </property>
</Properties>
</file>