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5AE61E" w14:textId="77777777" w:rsidR="00625B18" w:rsidRDefault="00CF2069">
      <w:pPr>
        <w:spacing w:before="200" w:after="200"/>
        <w:jc w:val="center"/>
      </w:pPr>
      <w:r>
        <w:rPr>
          <w:rFonts w:ascii="Arial" w:hAnsi="Arial" w:cs="Arial"/>
          <w:b/>
        </w:rPr>
        <w:t>TC ABSTRACT</w:t>
      </w:r>
    </w:p>
    <w:p w14:paraId="7F3AD38D" w14:textId="77777777" w:rsidR="00625B18" w:rsidRDefault="00CF2069">
      <w:pPr>
        <w:spacing w:before="120" w:after="120"/>
        <w:ind w:left="579" w:hanging="579"/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>Basic Project Data</w:t>
      </w:r>
    </w:p>
    <w:tbl>
      <w:tblPr>
        <w:tblStyle w:val="TableGrid"/>
        <w:tblW w:w="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4114"/>
        <w:gridCol w:w="5128"/>
      </w:tblGrid>
      <w:tr w:rsidR="00625B18" w14:paraId="1413F121" w14:textId="77777777" w:rsidTr="00B67E49">
        <w:trPr>
          <w:jc w:val="center"/>
        </w:trPr>
        <w:tc>
          <w:tcPr>
            <w:tcW w:w="4114" w:type="dxa"/>
          </w:tcPr>
          <w:p w14:paraId="0ED2D371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Country/Region:</w:t>
            </w:r>
          </w:p>
        </w:tc>
        <w:tc>
          <w:tcPr>
            <w:tcW w:w="5128" w:type="dxa"/>
          </w:tcPr>
          <w:p w14:paraId="49065C69" w14:textId="77777777" w:rsidR="00625B18" w:rsidRDefault="00CF2069" w:rsidP="007F04EA">
            <w:r>
              <w:rPr>
                <w:rFonts w:ascii="Arial" w:hAnsi="Arial" w:cs="Arial"/>
                <w:sz w:val="18"/>
                <w:szCs w:val="18"/>
              </w:rPr>
              <w:t>CHILE/CSC - Southern Cone</w:t>
            </w:r>
          </w:p>
        </w:tc>
      </w:tr>
      <w:tr w:rsidR="00625B18" w14:paraId="68BFA7E6" w14:textId="77777777" w:rsidTr="00B67E49">
        <w:trPr>
          <w:jc w:val="center"/>
        </w:trPr>
        <w:tc>
          <w:tcPr>
            <w:tcW w:w="4114" w:type="dxa"/>
          </w:tcPr>
          <w:p w14:paraId="5C162F51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Name:</w:t>
            </w:r>
          </w:p>
        </w:tc>
        <w:tc>
          <w:tcPr>
            <w:tcW w:w="5128" w:type="dxa"/>
          </w:tcPr>
          <w:p w14:paraId="5A221655" w14:textId="77777777" w:rsidR="00625B18" w:rsidRDefault="00CF2069" w:rsidP="007F04EA">
            <w:r>
              <w:rPr>
                <w:rFonts w:ascii="Arial" w:hAnsi="Arial" w:cs="Arial"/>
                <w:sz w:val="18"/>
                <w:szCs w:val="18"/>
              </w:rPr>
              <w:t>Promotion for the Development of a Green Hydrogen Market in Chile</w:t>
            </w:r>
          </w:p>
        </w:tc>
      </w:tr>
      <w:tr w:rsidR="00625B18" w14:paraId="0E13171B" w14:textId="77777777" w:rsidTr="00B67E49">
        <w:trPr>
          <w:jc w:val="center"/>
        </w:trPr>
        <w:tc>
          <w:tcPr>
            <w:tcW w:w="4114" w:type="dxa"/>
          </w:tcPr>
          <w:p w14:paraId="1B990769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Number:</w:t>
            </w:r>
          </w:p>
        </w:tc>
        <w:tc>
          <w:tcPr>
            <w:tcW w:w="5128" w:type="dxa"/>
          </w:tcPr>
          <w:p w14:paraId="58BE0D5A" w14:textId="77777777" w:rsidR="00625B18" w:rsidRDefault="00CF2069" w:rsidP="007F04EA">
            <w:r>
              <w:rPr>
                <w:rFonts w:ascii="Arial" w:hAnsi="Arial" w:cs="Arial"/>
                <w:sz w:val="18"/>
                <w:szCs w:val="18"/>
              </w:rPr>
              <w:t>CH-T1235</w:t>
            </w:r>
          </w:p>
        </w:tc>
      </w:tr>
      <w:tr w:rsidR="00625B18" w14:paraId="07B635C2" w14:textId="77777777" w:rsidTr="00B67E49">
        <w:trPr>
          <w:jc w:val="center"/>
        </w:trPr>
        <w:tc>
          <w:tcPr>
            <w:tcW w:w="4114" w:type="dxa"/>
          </w:tcPr>
          <w:p w14:paraId="0D6A1F62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Team Leader/Members:</w:t>
            </w:r>
          </w:p>
        </w:tc>
        <w:tc>
          <w:tcPr>
            <w:tcW w:w="5128" w:type="dxa"/>
          </w:tcPr>
          <w:p w14:paraId="3B42AB66" w14:textId="16A22A50" w:rsidR="00625B18" w:rsidRDefault="00CF2069" w:rsidP="007F04EA">
            <w:pPr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411BC4">
              <w:rPr>
                <w:rFonts w:ascii="Arial" w:hAnsi="Arial" w:cs="Arial"/>
                <w:sz w:val="18"/>
                <w:szCs w:val="18"/>
              </w:rPr>
              <w:t>arzolf</w:t>
            </w:r>
            <w:r>
              <w:rPr>
                <w:rFonts w:ascii="Arial" w:hAnsi="Arial" w:cs="Arial"/>
                <w:sz w:val="18"/>
                <w:szCs w:val="18"/>
              </w:rPr>
              <w:t>, N</w:t>
            </w:r>
            <w:r w:rsidR="00411BC4">
              <w:rPr>
                <w:rFonts w:ascii="Arial" w:hAnsi="Arial" w:cs="Arial"/>
                <w:sz w:val="18"/>
                <w:szCs w:val="18"/>
              </w:rPr>
              <w:t>atacha</w:t>
            </w:r>
            <w:r>
              <w:rPr>
                <w:rFonts w:ascii="Arial" w:hAnsi="Arial" w:cs="Arial"/>
                <w:sz w:val="18"/>
                <w:szCs w:val="18"/>
              </w:rPr>
              <w:t xml:space="preserve"> (INE/ENE) Team Leader;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411BC4">
              <w:rPr>
                <w:rFonts w:ascii="Arial" w:hAnsi="Arial" w:cs="Arial"/>
                <w:sz w:val="18"/>
                <w:szCs w:val="18"/>
              </w:rPr>
              <w:t>alter</w:t>
            </w:r>
            <w:r>
              <w:rPr>
                <w:rFonts w:ascii="Arial" w:hAnsi="Arial" w:cs="Arial"/>
                <w:sz w:val="18"/>
                <w:szCs w:val="18"/>
              </w:rPr>
              <w:t>, M</w:t>
            </w:r>
            <w:r w:rsidR="00411BC4">
              <w:rPr>
                <w:rFonts w:ascii="Arial" w:hAnsi="Arial" w:cs="Arial"/>
                <w:sz w:val="18"/>
                <w:szCs w:val="18"/>
              </w:rPr>
              <w:t>artin</w:t>
            </w:r>
            <w:r>
              <w:rPr>
                <w:rFonts w:ascii="Arial" w:hAnsi="Arial" w:cs="Arial"/>
                <w:sz w:val="18"/>
                <w:szCs w:val="18"/>
              </w:rPr>
              <w:t xml:space="preserve"> (INE/CCH) Alternate Team Leader;</w:t>
            </w:r>
            <w:r>
              <w:rPr>
                <w:rFonts w:ascii="Arial" w:hAnsi="Arial" w:cs="Arial"/>
                <w:sz w:val="18"/>
                <w:szCs w:val="18"/>
              </w:rPr>
              <w:t xml:space="preserve"> A</w:t>
            </w:r>
            <w:r w:rsidR="00411BC4">
              <w:rPr>
                <w:rFonts w:ascii="Arial" w:hAnsi="Arial" w:cs="Arial"/>
                <w:sz w:val="18"/>
                <w:szCs w:val="18"/>
              </w:rPr>
              <w:t>oki</w:t>
            </w:r>
            <w:r>
              <w:rPr>
                <w:rFonts w:ascii="Arial" w:hAnsi="Arial" w:cs="Arial"/>
                <w:sz w:val="18"/>
                <w:szCs w:val="18"/>
              </w:rPr>
              <w:t>, I</w:t>
            </w:r>
            <w:r w:rsidR="00411BC4">
              <w:rPr>
                <w:rFonts w:ascii="Arial" w:hAnsi="Arial" w:cs="Arial"/>
                <w:sz w:val="18"/>
                <w:szCs w:val="18"/>
              </w:rPr>
              <w:t>ssei</w:t>
            </w:r>
            <w:r>
              <w:rPr>
                <w:rFonts w:ascii="Arial" w:hAnsi="Arial" w:cs="Arial"/>
                <w:sz w:val="18"/>
                <w:szCs w:val="18"/>
              </w:rPr>
              <w:t>; A</w:t>
            </w:r>
            <w:r w:rsidR="00411BC4">
              <w:rPr>
                <w:rFonts w:ascii="Arial" w:hAnsi="Arial" w:cs="Arial"/>
                <w:sz w:val="18"/>
                <w:szCs w:val="18"/>
              </w:rPr>
              <w:t>iello</w:t>
            </w:r>
            <w:r>
              <w:rPr>
                <w:rFonts w:ascii="Arial" w:hAnsi="Arial" w:cs="Arial"/>
                <w:sz w:val="18"/>
                <w:szCs w:val="18"/>
              </w:rPr>
              <w:t>, R</w:t>
            </w:r>
            <w:r w:rsidR="00411BC4">
              <w:rPr>
                <w:rFonts w:ascii="Arial" w:hAnsi="Arial" w:cs="Arial"/>
                <w:sz w:val="18"/>
                <w:szCs w:val="18"/>
              </w:rPr>
              <w:t>obert</w:t>
            </w:r>
            <w:r w:rsidR="00B67E49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; C</w:t>
            </w:r>
            <w:r w:rsidR="00411BC4">
              <w:rPr>
                <w:rFonts w:ascii="Arial" w:hAnsi="Arial" w:cs="Arial"/>
                <w:sz w:val="18"/>
                <w:szCs w:val="18"/>
              </w:rPr>
              <w:t>arvalho Hallack</w:t>
            </w:r>
            <w:r>
              <w:rPr>
                <w:rFonts w:ascii="Arial" w:hAnsi="Arial" w:cs="Arial"/>
                <w:sz w:val="18"/>
                <w:szCs w:val="18"/>
              </w:rPr>
              <w:t>, M</w:t>
            </w:r>
            <w:r w:rsidR="00411BC4">
              <w:rPr>
                <w:rFonts w:ascii="Arial" w:hAnsi="Arial" w:cs="Arial"/>
                <w:sz w:val="18"/>
                <w:szCs w:val="18"/>
              </w:rPr>
              <w:t>ichelle</w:t>
            </w:r>
            <w:r w:rsidR="00B67E49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B67E49">
              <w:rPr>
                <w:rFonts w:ascii="Arial" w:hAnsi="Arial" w:cs="Arial"/>
                <w:sz w:val="18"/>
                <w:szCs w:val="18"/>
              </w:rPr>
              <w:t>Correa, Cecilia</w:t>
            </w:r>
            <w:r w:rsidR="00B67E49">
              <w:rPr>
                <w:rFonts w:ascii="Arial" w:hAnsi="Arial" w:cs="Arial"/>
                <w:sz w:val="18"/>
                <w:szCs w:val="18"/>
              </w:rPr>
              <w:t xml:space="preserve"> y </w:t>
            </w:r>
            <w:r w:rsidR="00B67E49">
              <w:rPr>
                <w:rFonts w:ascii="Arial" w:hAnsi="Arial" w:cs="Arial"/>
                <w:sz w:val="18"/>
                <w:szCs w:val="18"/>
              </w:rPr>
              <w:t>Márquez, Fidel (INE/ENE</w:t>
            </w:r>
            <w:r w:rsidR="00B67E49">
              <w:rPr>
                <w:rFonts w:ascii="Arial" w:hAnsi="Arial" w:cs="Arial"/>
                <w:sz w:val="18"/>
                <w:szCs w:val="18"/>
              </w:rPr>
              <w:t>)</w:t>
            </w:r>
            <w:r w:rsidR="00B67E49">
              <w:rPr>
                <w:rFonts w:ascii="Arial" w:hAnsi="Arial" w:cs="Arial"/>
                <w:sz w:val="18"/>
                <w:szCs w:val="18"/>
              </w:rPr>
              <w:t>;</w:t>
            </w:r>
            <w:r w:rsidR="00B67E4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411BC4">
              <w:rPr>
                <w:rFonts w:ascii="Arial" w:hAnsi="Arial" w:cs="Arial"/>
                <w:sz w:val="18"/>
                <w:szCs w:val="18"/>
              </w:rPr>
              <w:t>latorre</w:t>
            </w:r>
            <w:r>
              <w:rPr>
                <w:rFonts w:ascii="Arial" w:hAnsi="Arial" w:cs="Arial"/>
                <w:sz w:val="18"/>
                <w:szCs w:val="18"/>
              </w:rPr>
              <w:t>, C</w:t>
            </w:r>
            <w:r w:rsidR="00411BC4">
              <w:rPr>
                <w:rFonts w:ascii="Arial" w:hAnsi="Arial" w:cs="Arial"/>
                <w:sz w:val="18"/>
                <w:szCs w:val="18"/>
              </w:rPr>
              <w:t>laudio</w:t>
            </w:r>
            <w:r w:rsidR="00B67E49">
              <w:rPr>
                <w:rFonts w:ascii="Arial" w:hAnsi="Arial" w:cs="Arial"/>
                <w:sz w:val="18"/>
                <w:szCs w:val="18"/>
              </w:rPr>
              <w:t xml:space="preserve"> 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1BC4">
              <w:rPr>
                <w:rFonts w:ascii="Arial" w:hAnsi="Arial" w:cs="Arial"/>
                <w:sz w:val="18"/>
                <w:szCs w:val="18"/>
              </w:rPr>
              <w:t>Salas, Cristian (CSD/CCS)</w:t>
            </w:r>
            <w:r w:rsidR="00B67E49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B67E49">
              <w:rPr>
                <w:rFonts w:ascii="Arial" w:hAnsi="Arial" w:cs="Arial"/>
                <w:sz w:val="18"/>
                <w:szCs w:val="18"/>
              </w:rPr>
              <w:t>Robles, Paola (CSC/CCH)</w:t>
            </w:r>
            <w:r w:rsidR="00411BC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5B18" w14:paraId="55ABAC4C" w14:textId="77777777" w:rsidTr="00B67E49">
        <w:trPr>
          <w:jc w:val="center"/>
        </w:trPr>
        <w:tc>
          <w:tcPr>
            <w:tcW w:w="4114" w:type="dxa"/>
          </w:tcPr>
          <w:p w14:paraId="743914D0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Taxonomy:</w:t>
            </w:r>
          </w:p>
        </w:tc>
        <w:tc>
          <w:tcPr>
            <w:tcW w:w="5128" w:type="dxa"/>
          </w:tcPr>
          <w:p w14:paraId="4CE05863" w14:textId="77777777" w:rsidR="00625B18" w:rsidRDefault="00CF2069" w:rsidP="007F04EA">
            <w:r>
              <w:rPr>
                <w:rFonts w:ascii="Arial" w:hAnsi="Arial" w:cs="Arial"/>
                <w:sz w:val="18"/>
                <w:szCs w:val="18"/>
              </w:rPr>
              <w:t>Client Support</w:t>
            </w:r>
          </w:p>
        </w:tc>
      </w:tr>
      <w:tr w:rsidR="00625B18" w14:paraId="5A4D3ECA" w14:textId="77777777" w:rsidTr="00B67E49">
        <w:trPr>
          <w:jc w:val="center"/>
        </w:trPr>
        <w:tc>
          <w:tcPr>
            <w:tcW w:w="4114" w:type="dxa"/>
          </w:tcPr>
          <w:p w14:paraId="35FDD3C0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Number and name of operation supported by the TC:</w:t>
            </w:r>
          </w:p>
        </w:tc>
        <w:tc>
          <w:tcPr>
            <w:tcW w:w="5128" w:type="dxa"/>
          </w:tcPr>
          <w:p w14:paraId="65B1350E" w14:textId="77777777" w:rsidR="00625B18" w:rsidRDefault="00CF2069" w:rsidP="007F04EA">
            <w:r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625B18" w14:paraId="30D0D4A2" w14:textId="77777777" w:rsidTr="00B67E49">
        <w:trPr>
          <w:jc w:val="center"/>
        </w:trPr>
        <w:tc>
          <w:tcPr>
            <w:tcW w:w="4114" w:type="dxa"/>
          </w:tcPr>
          <w:p w14:paraId="606EAA04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Date of TC Abstract:</w:t>
            </w:r>
          </w:p>
        </w:tc>
        <w:tc>
          <w:tcPr>
            <w:tcW w:w="5128" w:type="dxa"/>
          </w:tcPr>
          <w:p w14:paraId="107D451B" w14:textId="77777777" w:rsidR="00625B18" w:rsidRDefault="00CF2069" w:rsidP="007F04EA">
            <w:r>
              <w:rPr>
                <w:rFonts w:ascii="Arial" w:hAnsi="Arial" w:cs="Arial"/>
                <w:sz w:val="18"/>
                <w:szCs w:val="18"/>
              </w:rPr>
              <w:t>08 May 2020</w:t>
            </w:r>
          </w:p>
        </w:tc>
      </w:tr>
      <w:tr w:rsidR="00625B18" w14:paraId="446F80C9" w14:textId="77777777" w:rsidTr="00B67E49">
        <w:trPr>
          <w:jc w:val="center"/>
        </w:trPr>
        <w:tc>
          <w:tcPr>
            <w:tcW w:w="4114" w:type="dxa"/>
          </w:tcPr>
          <w:p w14:paraId="567A0AB0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Beneficiary:</w:t>
            </w:r>
          </w:p>
        </w:tc>
        <w:tc>
          <w:tcPr>
            <w:tcW w:w="5128" w:type="dxa"/>
          </w:tcPr>
          <w:p w14:paraId="22F8F8DA" w14:textId="77777777" w:rsidR="00625B18" w:rsidRDefault="00CF2069" w:rsidP="007F04EA">
            <w:r>
              <w:rPr>
                <w:rFonts w:ascii="Arial" w:hAnsi="Arial" w:cs="Arial"/>
                <w:sz w:val="18"/>
                <w:szCs w:val="18"/>
              </w:rPr>
              <w:t xml:space="preserve">Ministry of Energy, Chile </w:t>
            </w:r>
            <w:r>
              <w:rPr>
                <w:rFonts w:ascii="Arial" w:hAnsi="Arial" w:cs="Arial"/>
                <w:sz w:val="18"/>
                <w:szCs w:val="18"/>
              </w:rPr>
              <w:t>(MINENERGIA)</w:t>
            </w:r>
          </w:p>
        </w:tc>
      </w:tr>
      <w:tr w:rsidR="00625B18" w14:paraId="5E133855" w14:textId="77777777" w:rsidTr="00B67E49">
        <w:trPr>
          <w:jc w:val="center"/>
        </w:trPr>
        <w:tc>
          <w:tcPr>
            <w:tcW w:w="4114" w:type="dxa"/>
          </w:tcPr>
          <w:p w14:paraId="04AC84B3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Executing Agency:</w:t>
            </w:r>
          </w:p>
        </w:tc>
        <w:tc>
          <w:tcPr>
            <w:tcW w:w="5128" w:type="dxa"/>
          </w:tcPr>
          <w:p w14:paraId="696B8D28" w14:textId="71155E1B" w:rsidR="00625B18" w:rsidRDefault="007F04EA" w:rsidP="007F04EA">
            <w:r>
              <w:rPr>
                <w:rFonts w:ascii="Arial" w:hAnsi="Arial" w:cs="Arial"/>
                <w:sz w:val="18"/>
                <w:szCs w:val="18"/>
              </w:rPr>
              <w:t>Inter-American Development Bank</w:t>
            </w:r>
          </w:p>
        </w:tc>
      </w:tr>
      <w:tr w:rsidR="00625B18" w14:paraId="0A6EB3E6" w14:textId="77777777" w:rsidTr="00B67E49">
        <w:trPr>
          <w:jc w:val="center"/>
        </w:trPr>
        <w:tc>
          <w:tcPr>
            <w:tcW w:w="4114" w:type="dxa"/>
          </w:tcPr>
          <w:p w14:paraId="2264F7F0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IDB funding requested:</w:t>
            </w:r>
          </w:p>
        </w:tc>
        <w:tc>
          <w:tcPr>
            <w:tcW w:w="5128" w:type="dxa"/>
          </w:tcPr>
          <w:p w14:paraId="16886A9D" w14:textId="77777777" w:rsidR="00625B18" w:rsidRDefault="00CF2069" w:rsidP="007F04EA">
            <w:pPr>
              <w:bidi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US$500,000.00</w:t>
            </w:r>
          </w:p>
        </w:tc>
      </w:tr>
      <w:tr w:rsidR="00625B18" w14:paraId="164E3AD8" w14:textId="77777777" w:rsidTr="00B67E49">
        <w:trPr>
          <w:jc w:val="center"/>
        </w:trPr>
        <w:tc>
          <w:tcPr>
            <w:tcW w:w="4114" w:type="dxa"/>
          </w:tcPr>
          <w:p w14:paraId="53F82E22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Local counterpart funding:</w:t>
            </w:r>
          </w:p>
        </w:tc>
        <w:tc>
          <w:tcPr>
            <w:tcW w:w="5128" w:type="dxa"/>
          </w:tcPr>
          <w:p w14:paraId="730EB54D" w14:textId="77777777" w:rsidR="00625B18" w:rsidRDefault="00CF2069" w:rsidP="007F04EA">
            <w:pPr>
              <w:bidi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</w:tr>
      <w:tr w:rsidR="00625B18" w14:paraId="21D0F92B" w14:textId="77777777" w:rsidTr="00B67E49">
        <w:trPr>
          <w:jc w:val="center"/>
        </w:trPr>
        <w:tc>
          <w:tcPr>
            <w:tcW w:w="4114" w:type="dxa"/>
          </w:tcPr>
          <w:p w14:paraId="52342B49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Disbursement period:</w:t>
            </w:r>
          </w:p>
        </w:tc>
        <w:tc>
          <w:tcPr>
            <w:tcW w:w="5128" w:type="dxa"/>
          </w:tcPr>
          <w:p w14:paraId="366D7FEA" w14:textId="77777777" w:rsidR="00625B18" w:rsidRDefault="00CF2069" w:rsidP="007F04EA">
            <w:pPr>
              <w:bidi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months</w:t>
            </w:r>
          </w:p>
        </w:tc>
      </w:tr>
      <w:tr w:rsidR="00625B18" w14:paraId="59A890E0" w14:textId="77777777" w:rsidTr="00B67E49">
        <w:trPr>
          <w:jc w:val="center"/>
        </w:trPr>
        <w:tc>
          <w:tcPr>
            <w:tcW w:w="4114" w:type="dxa"/>
          </w:tcPr>
          <w:p w14:paraId="68F3B332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Types of consultants:</w:t>
            </w:r>
          </w:p>
        </w:tc>
        <w:tc>
          <w:tcPr>
            <w:tcW w:w="5128" w:type="dxa"/>
          </w:tcPr>
          <w:p w14:paraId="682E776D" w14:textId="77777777" w:rsidR="00625B18" w:rsidRDefault="00CF2069" w:rsidP="007F04EA">
            <w:r>
              <w:rPr>
                <w:rFonts w:ascii="Arial" w:hAnsi="Arial" w:cs="Arial"/>
                <w:sz w:val="18"/>
                <w:szCs w:val="18"/>
              </w:rPr>
              <w:t>Individuals</w:t>
            </w:r>
          </w:p>
        </w:tc>
      </w:tr>
      <w:tr w:rsidR="00625B18" w14:paraId="3FDB87CF" w14:textId="77777777" w:rsidTr="00B67E49">
        <w:trPr>
          <w:jc w:val="center"/>
        </w:trPr>
        <w:tc>
          <w:tcPr>
            <w:tcW w:w="4114" w:type="dxa"/>
          </w:tcPr>
          <w:p w14:paraId="32CABA04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Prepared by Unit:</w:t>
            </w:r>
          </w:p>
        </w:tc>
        <w:tc>
          <w:tcPr>
            <w:tcW w:w="5128" w:type="dxa"/>
          </w:tcPr>
          <w:p w14:paraId="264F00B9" w14:textId="77777777" w:rsidR="00625B18" w:rsidRDefault="00CF2069" w:rsidP="007F04EA">
            <w:r>
              <w:rPr>
                <w:rFonts w:ascii="Arial" w:hAnsi="Arial" w:cs="Arial"/>
                <w:sz w:val="18"/>
                <w:szCs w:val="18"/>
              </w:rPr>
              <w:t xml:space="preserve">INE/ENE - </w:t>
            </w:r>
            <w:r>
              <w:rPr>
                <w:rFonts w:ascii="Arial" w:hAnsi="Arial" w:cs="Arial"/>
                <w:sz w:val="18"/>
                <w:szCs w:val="18"/>
              </w:rPr>
              <w:t>Energy</w:t>
            </w:r>
          </w:p>
        </w:tc>
      </w:tr>
      <w:tr w:rsidR="00625B18" w14:paraId="74857C6B" w14:textId="77777777" w:rsidTr="00B67E49">
        <w:trPr>
          <w:jc w:val="center"/>
        </w:trPr>
        <w:tc>
          <w:tcPr>
            <w:tcW w:w="4114" w:type="dxa"/>
          </w:tcPr>
          <w:p w14:paraId="63F5D86E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Unit of Disbursement Responsibility:</w:t>
            </w:r>
          </w:p>
        </w:tc>
        <w:tc>
          <w:tcPr>
            <w:tcW w:w="5128" w:type="dxa"/>
          </w:tcPr>
          <w:p w14:paraId="697CD1B2" w14:textId="77777777" w:rsidR="00625B18" w:rsidRDefault="00CF2069" w:rsidP="007F04EA">
            <w:r>
              <w:rPr>
                <w:rFonts w:ascii="Arial" w:hAnsi="Arial" w:cs="Arial"/>
                <w:sz w:val="18"/>
                <w:szCs w:val="18"/>
              </w:rPr>
              <w:t>INE - Infrastructure and Energy Sector</w:t>
            </w:r>
          </w:p>
        </w:tc>
      </w:tr>
      <w:tr w:rsidR="00625B18" w14:paraId="26D46D1F" w14:textId="77777777" w:rsidTr="00B67E49">
        <w:trPr>
          <w:jc w:val="center"/>
        </w:trPr>
        <w:tc>
          <w:tcPr>
            <w:tcW w:w="4114" w:type="dxa"/>
          </w:tcPr>
          <w:p w14:paraId="4002FE25" w14:textId="663DF5AF" w:rsidR="00625B18" w:rsidRDefault="00CF2069" w:rsidP="007F04EA"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included in Country Strategy (y/n):</w:t>
            </w:r>
            <w:r>
              <w:rPr>
                <w:rFonts w:ascii="Arial" w:hAnsi="Arial" w:cs="Arial"/>
                <w:sz w:val="18"/>
                <w:szCs w:val="18"/>
              </w:rPr>
              <w:br/>
              <w:t>▪ TC included in CPD (y/n):</w:t>
            </w:r>
          </w:p>
        </w:tc>
        <w:tc>
          <w:tcPr>
            <w:tcW w:w="5128" w:type="dxa"/>
          </w:tcPr>
          <w:p w14:paraId="4DDCB339" w14:textId="7207245F" w:rsidR="00625B18" w:rsidRDefault="00CF2069" w:rsidP="007F04EA">
            <w:r>
              <w:rPr>
                <w:rFonts w:ascii="Arial" w:hAnsi="Arial" w:cs="Arial"/>
                <w:sz w:val="18"/>
                <w:szCs w:val="18"/>
              </w:rPr>
              <w:t>No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</w:t>
            </w:r>
            <w:proofErr w:type="spellEnd"/>
          </w:p>
        </w:tc>
      </w:tr>
      <w:tr w:rsidR="00625B18" w14:paraId="05FF4999" w14:textId="77777777" w:rsidTr="00B67E49">
        <w:trPr>
          <w:jc w:val="center"/>
        </w:trPr>
        <w:tc>
          <w:tcPr>
            <w:tcW w:w="4114" w:type="dxa"/>
          </w:tcPr>
          <w:p w14:paraId="3E6B08D1" w14:textId="77777777" w:rsidR="00625B18" w:rsidRDefault="00CF2069" w:rsidP="007F04EA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Alignment to the Update to the Institutional Strategy 2010-2020:</w:t>
            </w:r>
          </w:p>
        </w:tc>
        <w:tc>
          <w:tcPr>
            <w:tcW w:w="5128" w:type="dxa"/>
          </w:tcPr>
          <w:p w14:paraId="2B3E0980" w14:textId="1E583F3D" w:rsidR="00625B18" w:rsidRDefault="00CF2069" w:rsidP="007F04EA">
            <w:r>
              <w:rPr>
                <w:rFonts w:ascii="Arial" w:hAnsi="Arial" w:cs="Arial"/>
                <w:sz w:val="18"/>
                <w:szCs w:val="18"/>
              </w:rPr>
              <w:t xml:space="preserve">Productivity and </w:t>
            </w:r>
            <w:r>
              <w:rPr>
                <w:rFonts w:ascii="Arial" w:hAnsi="Arial" w:cs="Arial"/>
                <w:sz w:val="18"/>
                <w:szCs w:val="18"/>
              </w:rPr>
              <w:t>innovation</w:t>
            </w:r>
            <w:r>
              <w:rPr>
                <w:rFonts w:ascii="Arial" w:hAnsi="Arial" w:cs="Arial"/>
                <w:sz w:val="18"/>
                <w:szCs w:val="18"/>
              </w:rPr>
              <w:t>; Institutional capacity and rule of law; Environmental sustainability</w:t>
            </w:r>
          </w:p>
        </w:tc>
      </w:tr>
    </w:tbl>
    <w:p w14:paraId="70D66346" w14:textId="77777777" w:rsidR="00625B18" w:rsidRDefault="00CF2069" w:rsidP="00B67E49">
      <w:pPr>
        <w:spacing w:before="240" w:after="120"/>
        <w:ind w:left="576" w:hanging="576"/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tab/>
        <w:t>Objective and Justification</w:t>
      </w:r>
    </w:p>
    <w:p w14:paraId="6BAB6139" w14:textId="77777777" w:rsidR="00625B18" w:rsidRDefault="00CF206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2.1</w:t>
      </w:r>
      <w:r>
        <w:rPr>
          <w:rFonts w:ascii="Arial" w:hAnsi="Arial" w:cs="Arial"/>
        </w:rPr>
        <w:tab/>
        <w:t xml:space="preserve">The objective of this Technical Cooperation (TC) is to support the development of a green market for hydrogen as a future </w:t>
      </w:r>
      <w:r>
        <w:rPr>
          <w:rFonts w:ascii="Arial" w:hAnsi="Arial" w:cs="Arial"/>
        </w:rPr>
        <w:t>innovative and competitive energy source which will contribute to decrease greenhouse gas (GHG) emissions and accelerate the decarbonization process.</w:t>
      </w:r>
    </w:p>
    <w:p w14:paraId="28BDBE05" w14:textId="0E7BF6F8" w:rsidR="00625B18" w:rsidRDefault="00CF206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2.2</w:t>
      </w:r>
      <w:r>
        <w:rPr>
          <w:rFonts w:ascii="Arial" w:hAnsi="Arial" w:cs="Arial"/>
        </w:rPr>
        <w:tab/>
        <w:t>Chile has been identified as one among the leading countries with great potential for green hydrogen (</w:t>
      </w:r>
      <w:r>
        <w:rPr>
          <w:rFonts w:ascii="Arial" w:hAnsi="Arial" w:cs="Arial"/>
        </w:rPr>
        <w:t>GH</w:t>
      </w:r>
      <w:r w:rsidRPr="000110C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) production, estimated at 16</w:t>
      </w:r>
      <w:r w:rsidR="000110C0">
        <w:rPr>
          <w:rFonts w:ascii="Arial" w:hAnsi="Arial" w:cs="Arial"/>
        </w:rPr>
        <w:t>0,000,000</w:t>
      </w:r>
      <w:r>
        <w:rPr>
          <w:rFonts w:ascii="Arial" w:hAnsi="Arial" w:cs="Arial"/>
        </w:rPr>
        <w:t xml:space="preserve"> tons</w:t>
      </w:r>
      <w:r w:rsidR="000110C0">
        <w:rPr>
          <w:rFonts w:ascii="Arial" w:hAnsi="Arial" w:cs="Arial"/>
        </w:rPr>
        <w:t xml:space="preserve"> per </w:t>
      </w:r>
      <w:r>
        <w:rPr>
          <w:rFonts w:ascii="Arial" w:hAnsi="Arial" w:cs="Arial"/>
        </w:rPr>
        <w:t>year. Competitive renewable electricity production costs and over 1.85 GW of identified renewable energy (RE) generation potential are two key factors that could enable a GH</w:t>
      </w:r>
      <w:r w:rsidRPr="000110C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local and export market in Chile.</w:t>
      </w:r>
    </w:p>
    <w:p w14:paraId="122F9877" w14:textId="5945F4E8" w:rsidR="00625B18" w:rsidRDefault="00CF206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2.3</w:t>
      </w:r>
      <w:r>
        <w:rPr>
          <w:rFonts w:ascii="Arial" w:hAnsi="Arial" w:cs="Arial"/>
        </w:rPr>
        <w:tab/>
      </w:r>
      <w:r w:rsidR="000110C0">
        <w:rPr>
          <w:rFonts w:ascii="Arial" w:hAnsi="Arial" w:cs="Arial"/>
        </w:rPr>
        <w:t>International organizations such as t</w:t>
      </w:r>
      <w:r>
        <w:rPr>
          <w:rFonts w:ascii="Arial" w:hAnsi="Arial" w:cs="Arial"/>
        </w:rPr>
        <w:t xml:space="preserve">he World Economic Forum (WEF), </w:t>
      </w:r>
      <w:r w:rsidR="000110C0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International Renewable Energy Agency (IRENA), </w:t>
      </w:r>
      <w:r w:rsidR="000110C0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International Energy Agency (IEA) and </w:t>
      </w:r>
      <w:r w:rsidR="000110C0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Deutsche Gesellschaft </w:t>
      </w:r>
      <w:proofErr w:type="spellStart"/>
      <w:r>
        <w:rPr>
          <w:rFonts w:ascii="Arial" w:hAnsi="Arial" w:cs="Arial"/>
        </w:rPr>
        <w:t>für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Internationale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Zusammenarbeit</w:t>
      </w:r>
      <w:proofErr w:type="spellEnd"/>
      <w:r>
        <w:rPr>
          <w:rFonts w:ascii="Arial" w:hAnsi="Arial" w:cs="Arial"/>
        </w:rPr>
        <w:t xml:space="preserve"> (GIZ)</w:t>
      </w:r>
      <w:r>
        <w:rPr>
          <w:rFonts w:ascii="Arial" w:hAnsi="Arial" w:cs="Arial"/>
        </w:rPr>
        <w:t>,</w:t>
      </w:r>
      <w:r w:rsidR="000110C0">
        <w:rPr>
          <w:rFonts w:ascii="Arial" w:hAnsi="Arial" w:cs="Arial"/>
        </w:rPr>
        <w:t xml:space="preserve"> as well as</w:t>
      </w:r>
      <w:r>
        <w:rPr>
          <w:rFonts w:ascii="Arial" w:hAnsi="Arial" w:cs="Arial"/>
        </w:rPr>
        <w:t xml:space="preserve"> the governments of Japan (which has declared its intention to consume u</w:t>
      </w:r>
      <w:r>
        <w:rPr>
          <w:rFonts w:ascii="Arial" w:hAnsi="Arial" w:cs="Arial"/>
        </w:rPr>
        <w:t>p to 300,000 tons per year by 2030), Australia and Germany and</w:t>
      </w:r>
      <w:r>
        <w:rPr>
          <w:rFonts w:ascii="Arial" w:hAnsi="Arial" w:cs="Arial"/>
        </w:rPr>
        <w:t xml:space="preserve"> international</w:t>
      </w:r>
      <w:r w:rsidR="000110C0">
        <w:rPr>
          <w:rFonts w:ascii="Arial" w:hAnsi="Arial" w:cs="Arial"/>
        </w:rPr>
        <w:t xml:space="preserve"> </w:t>
      </w:r>
      <w:r w:rsidR="000110C0">
        <w:rPr>
          <w:rFonts w:ascii="Arial" w:hAnsi="Arial" w:cs="Arial"/>
        </w:rPr>
        <w:t>automobile</w:t>
      </w:r>
      <w:r>
        <w:rPr>
          <w:rFonts w:ascii="Arial" w:hAnsi="Arial" w:cs="Arial"/>
        </w:rPr>
        <w:t xml:space="preserve"> companies </w:t>
      </w:r>
      <w:r>
        <w:rPr>
          <w:rFonts w:ascii="Arial" w:hAnsi="Arial" w:cs="Arial"/>
        </w:rPr>
        <w:t>(Toyota, Mitsubishi, Honda, Daimler, Shell, Total, and BP) have concluded that the use of hydrogen as an energy carrier is key to the rapid, sus</w:t>
      </w:r>
      <w:r>
        <w:rPr>
          <w:rFonts w:ascii="Arial" w:hAnsi="Arial" w:cs="Arial"/>
        </w:rPr>
        <w:t>tained and cost</w:t>
      </w:r>
      <w:r w:rsidR="000110C0">
        <w:rPr>
          <w:rFonts w:ascii="Arial" w:hAnsi="Arial" w:cs="Arial"/>
        </w:rPr>
        <w:noBreakHyphen/>
      </w:r>
      <w:r>
        <w:rPr>
          <w:rFonts w:ascii="Arial" w:hAnsi="Arial" w:cs="Arial"/>
        </w:rPr>
        <w:t xml:space="preserve">effective reduction of </w:t>
      </w:r>
      <w:r>
        <w:rPr>
          <w:rFonts w:ascii="Arial" w:hAnsi="Arial" w:cs="Arial"/>
        </w:rPr>
        <w:t>GHG</w:t>
      </w:r>
      <w:r>
        <w:rPr>
          <w:rFonts w:ascii="Arial" w:hAnsi="Arial" w:cs="Arial"/>
        </w:rPr>
        <w:t xml:space="preserve"> emissions.</w:t>
      </w:r>
    </w:p>
    <w:p w14:paraId="67302472" w14:textId="77777777" w:rsidR="00F02EAF" w:rsidRDefault="00CF2069" w:rsidP="00F02EAF">
      <w:pPr>
        <w:spacing w:before="120" w:after="120"/>
        <w:ind w:left="579" w:hanging="579"/>
        <w:jc w:val="both"/>
        <w:rPr>
          <w:rFonts w:ascii="Arial" w:hAnsi="Arial" w:cs="Arial"/>
        </w:rPr>
      </w:pPr>
      <w:r>
        <w:rPr>
          <w:rFonts w:ascii="Arial" w:hAnsi="Arial" w:cs="Arial"/>
        </w:rPr>
        <w:t>2.4</w:t>
      </w:r>
      <w:r>
        <w:rPr>
          <w:rFonts w:ascii="Arial" w:hAnsi="Arial" w:cs="Arial"/>
        </w:rPr>
        <w:tab/>
        <w:t>Chile is projected as one of the most competitive global producers given its enormous potential for renewable generation and its priorit</w:t>
      </w:r>
      <w:r w:rsidR="00CB76A9">
        <w:rPr>
          <w:rFonts w:ascii="Arial" w:hAnsi="Arial" w:cs="Arial"/>
        </w:rPr>
        <w:t>ization</w:t>
      </w:r>
      <w:r>
        <w:rPr>
          <w:rFonts w:ascii="Arial" w:hAnsi="Arial" w:cs="Arial"/>
        </w:rPr>
        <w:t xml:space="preserve"> to craft a friendly regulatory and investm</w:t>
      </w:r>
      <w:r>
        <w:rPr>
          <w:rFonts w:ascii="Arial" w:hAnsi="Arial" w:cs="Arial"/>
        </w:rPr>
        <w:t>ent framework</w:t>
      </w:r>
      <w:r w:rsidR="00CB76A9">
        <w:rPr>
          <w:rFonts w:ascii="Arial" w:hAnsi="Arial" w:cs="Arial"/>
        </w:rPr>
        <w:t>. E</w:t>
      </w:r>
      <w:r>
        <w:rPr>
          <w:rFonts w:ascii="Arial" w:hAnsi="Arial" w:cs="Arial"/>
        </w:rPr>
        <w:t>ven considering storage and transport costs, GH</w:t>
      </w:r>
      <w:r w:rsidRPr="00CB76A9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produced in Chile could reach competitive prices like those in California (2.7US$/kgH</w:t>
      </w:r>
      <w:r w:rsidRPr="00CB76A9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).</w:t>
      </w:r>
      <w:r w:rsidR="00F02EAF">
        <w:rPr>
          <w:rFonts w:ascii="Arial" w:hAnsi="Arial" w:cs="Arial"/>
        </w:rPr>
        <w:t xml:space="preserve"> </w:t>
      </w:r>
    </w:p>
    <w:p w14:paraId="46F8CE1E" w14:textId="673E0551" w:rsidR="00625B18" w:rsidRPr="00F02EAF" w:rsidRDefault="00F02EAF" w:rsidP="00F02EAF">
      <w:pPr>
        <w:spacing w:before="120" w:after="120"/>
        <w:ind w:left="579" w:hanging="579"/>
        <w:jc w:val="both"/>
        <w:rPr>
          <w:rFonts w:ascii="Arial" w:hAnsi="Arial" w:cs="Arial"/>
        </w:rPr>
      </w:pPr>
      <w:r>
        <w:rPr>
          <w:rFonts w:ascii="Arial" w:hAnsi="Arial" w:cs="Arial"/>
        </w:rPr>
        <w:t>2.5</w:t>
      </w:r>
      <w:r>
        <w:rPr>
          <w:rFonts w:ascii="Arial" w:hAnsi="Arial" w:cs="Arial"/>
        </w:rPr>
        <w:tab/>
      </w:r>
      <w:r w:rsidR="00CF2069">
        <w:rPr>
          <w:rFonts w:ascii="Arial" w:hAnsi="Arial" w:cs="Arial"/>
        </w:rPr>
        <w:t>Potential for scale up is massive</w:t>
      </w:r>
      <w:r>
        <w:rPr>
          <w:rFonts w:ascii="Arial" w:hAnsi="Arial" w:cs="Arial"/>
        </w:rPr>
        <w:t>,</w:t>
      </w:r>
      <w:r w:rsidR="00CF2069">
        <w:rPr>
          <w:rFonts w:ascii="Arial" w:hAnsi="Arial" w:cs="Arial"/>
        </w:rPr>
        <w:t xml:space="preserve"> considering th</w:t>
      </w:r>
      <w:r w:rsidR="00CB76A9">
        <w:rPr>
          <w:rFonts w:ascii="Arial" w:hAnsi="Arial" w:cs="Arial"/>
        </w:rPr>
        <w:t>e more</w:t>
      </w:r>
      <w:r w:rsidR="00CF2069">
        <w:rPr>
          <w:rFonts w:ascii="Arial" w:hAnsi="Arial" w:cs="Arial"/>
        </w:rPr>
        <w:t xml:space="preserve"> </w:t>
      </w:r>
      <w:r w:rsidR="00CB76A9">
        <w:rPr>
          <w:rFonts w:ascii="Arial" w:hAnsi="Arial" w:cs="Arial"/>
        </w:rPr>
        <w:t>than</w:t>
      </w:r>
      <w:r w:rsidR="00CF2069">
        <w:rPr>
          <w:rFonts w:ascii="Arial" w:hAnsi="Arial" w:cs="Arial"/>
        </w:rPr>
        <w:t xml:space="preserve"> 1.85 TW of unexploited cost</w:t>
      </w:r>
      <w:r w:rsidR="00CB76A9">
        <w:rPr>
          <w:rFonts w:ascii="Arial" w:hAnsi="Arial" w:cs="Arial"/>
        </w:rPr>
        <w:noBreakHyphen/>
      </w:r>
      <w:r w:rsidR="00CF2069">
        <w:rPr>
          <w:rFonts w:ascii="Arial" w:hAnsi="Arial" w:cs="Arial"/>
        </w:rPr>
        <w:t xml:space="preserve">effective </w:t>
      </w:r>
      <w:r w:rsidR="00CB76A9">
        <w:rPr>
          <w:rFonts w:ascii="Arial" w:hAnsi="Arial" w:cs="Arial"/>
        </w:rPr>
        <w:t xml:space="preserve">RE </w:t>
      </w:r>
      <w:r w:rsidR="00CF2069">
        <w:rPr>
          <w:rFonts w:ascii="Arial" w:hAnsi="Arial" w:cs="Arial"/>
        </w:rPr>
        <w:t xml:space="preserve">production potential </w:t>
      </w:r>
      <w:r w:rsidR="00CF2069">
        <w:rPr>
          <w:rFonts w:ascii="Arial" w:hAnsi="Arial" w:cs="Arial"/>
        </w:rPr>
        <w:t xml:space="preserve">in Chile and </w:t>
      </w:r>
      <w:r>
        <w:rPr>
          <w:rFonts w:ascii="Arial" w:hAnsi="Arial" w:cs="Arial"/>
        </w:rPr>
        <w:t xml:space="preserve">the fact </w:t>
      </w:r>
      <w:r w:rsidR="00CF2069">
        <w:rPr>
          <w:rFonts w:ascii="Arial" w:hAnsi="Arial" w:cs="Arial"/>
        </w:rPr>
        <w:t>that several energy</w:t>
      </w:r>
      <w:r>
        <w:rPr>
          <w:rFonts w:ascii="Arial" w:hAnsi="Arial" w:cs="Arial"/>
        </w:rPr>
        <w:noBreakHyphen/>
      </w:r>
      <w:r w:rsidR="00CF2069">
        <w:rPr>
          <w:rFonts w:ascii="Arial" w:hAnsi="Arial" w:cs="Arial"/>
        </w:rPr>
        <w:t xml:space="preserve">intensive </w:t>
      </w:r>
      <w:r w:rsidR="00CB76A9">
        <w:rPr>
          <w:rFonts w:ascii="Arial" w:hAnsi="Arial" w:cs="Arial"/>
        </w:rPr>
        <w:t>countrie</w:t>
      </w:r>
      <w:r w:rsidR="00CF2069">
        <w:rPr>
          <w:rFonts w:ascii="Arial" w:hAnsi="Arial" w:cs="Arial"/>
        </w:rPr>
        <w:t>s</w:t>
      </w:r>
      <w:r w:rsidR="00CB76A9">
        <w:rPr>
          <w:rFonts w:ascii="Arial" w:hAnsi="Arial" w:cs="Arial"/>
        </w:rPr>
        <w:t xml:space="preserve"> such as </w:t>
      </w:r>
      <w:r w:rsidR="00CB76A9">
        <w:rPr>
          <w:rFonts w:ascii="Arial" w:hAnsi="Arial" w:cs="Arial"/>
        </w:rPr>
        <w:t>Belgium</w:t>
      </w:r>
      <w:r w:rsidR="00CB76A9">
        <w:rPr>
          <w:rFonts w:ascii="Arial" w:hAnsi="Arial" w:cs="Arial"/>
        </w:rPr>
        <w:t>,</w:t>
      </w:r>
      <w:r w:rsidR="00CB76A9" w:rsidRPr="00CB76A9">
        <w:rPr>
          <w:rFonts w:ascii="Arial" w:hAnsi="Arial" w:cs="Arial"/>
        </w:rPr>
        <w:t xml:space="preserve"> </w:t>
      </w:r>
      <w:r w:rsidR="00CB76A9">
        <w:rPr>
          <w:rFonts w:ascii="Arial" w:hAnsi="Arial" w:cs="Arial"/>
        </w:rPr>
        <w:t>Germany, the Netherlands, Japan</w:t>
      </w:r>
      <w:r w:rsidR="00CB76A9">
        <w:rPr>
          <w:rFonts w:ascii="Arial" w:hAnsi="Arial" w:cs="Arial"/>
        </w:rPr>
        <w:t xml:space="preserve"> </w:t>
      </w:r>
      <w:r w:rsidR="00CB76A9">
        <w:rPr>
          <w:rFonts w:ascii="Arial" w:hAnsi="Arial" w:cs="Arial"/>
        </w:rPr>
        <w:t>and</w:t>
      </w:r>
      <w:r w:rsidR="00CB76A9">
        <w:rPr>
          <w:rFonts w:ascii="Arial" w:hAnsi="Arial" w:cs="Arial"/>
        </w:rPr>
        <w:t xml:space="preserve"> </w:t>
      </w:r>
      <w:r w:rsidR="00CB76A9">
        <w:rPr>
          <w:rFonts w:ascii="Arial" w:hAnsi="Arial" w:cs="Arial"/>
        </w:rPr>
        <w:t xml:space="preserve">Korea </w:t>
      </w:r>
      <w:r w:rsidR="00CF2069">
        <w:rPr>
          <w:rFonts w:ascii="Arial" w:hAnsi="Arial" w:cs="Arial"/>
        </w:rPr>
        <w:t xml:space="preserve">have declared </w:t>
      </w:r>
      <w:r>
        <w:rPr>
          <w:rFonts w:ascii="Arial" w:hAnsi="Arial" w:cs="Arial"/>
        </w:rPr>
        <w:t xml:space="preserve">an </w:t>
      </w:r>
      <w:r w:rsidR="00CF2069">
        <w:rPr>
          <w:rFonts w:ascii="Arial" w:hAnsi="Arial" w:cs="Arial"/>
        </w:rPr>
        <w:t xml:space="preserve">interest in importing relevant quantities of hydrogen in the </w:t>
      </w:r>
      <w:r w:rsidR="00CF2069">
        <w:rPr>
          <w:rFonts w:ascii="Arial" w:hAnsi="Arial" w:cs="Arial"/>
        </w:rPr>
        <w:lastRenderedPageBreak/>
        <w:t>long-term such as</w:t>
      </w:r>
      <w:r w:rsidR="00CF206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Additionally</w:t>
      </w:r>
      <w:r w:rsidR="00CF2069">
        <w:rPr>
          <w:rFonts w:ascii="Arial" w:hAnsi="Arial" w:cs="Arial"/>
        </w:rPr>
        <w:t>, studies h</w:t>
      </w:r>
      <w:r w:rsidR="00CF2069">
        <w:rPr>
          <w:rFonts w:ascii="Arial" w:hAnsi="Arial" w:cs="Arial"/>
        </w:rPr>
        <w:t xml:space="preserve">ave shown that the cost of </w:t>
      </w:r>
      <w:r>
        <w:rPr>
          <w:rFonts w:ascii="Arial" w:hAnsi="Arial" w:cs="Arial"/>
        </w:rPr>
        <w:t>GH</w:t>
      </w:r>
      <w:r w:rsidRPr="000110C0">
        <w:rPr>
          <w:rFonts w:ascii="Arial" w:hAnsi="Arial" w:cs="Arial"/>
          <w:vertAlign w:val="subscript"/>
        </w:rPr>
        <w:t>2</w:t>
      </w:r>
      <w:r w:rsidR="00CF2069">
        <w:rPr>
          <w:rFonts w:ascii="Arial" w:hAnsi="Arial" w:cs="Arial"/>
        </w:rPr>
        <w:t xml:space="preserve"> produced in Chile and imported into self-declared importing nations, such as Japan, can be even more competitive than </w:t>
      </w:r>
      <w:r>
        <w:rPr>
          <w:rFonts w:ascii="Arial" w:hAnsi="Arial" w:cs="Arial"/>
        </w:rPr>
        <w:t>that</w:t>
      </w:r>
      <w:r w:rsidR="00CF2069">
        <w:rPr>
          <w:rFonts w:ascii="Arial" w:hAnsi="Arial" w:cs="Arial"/>
        </w:rPr>
        <w:t xml:space="preserve"> imported from closer locations</w:t>
      </w:r>
      <w:r w:rsidR="00CF2069">
        <w:rPr>
          <w:rFonts w:ascii="Arial" w:hAnsi="Arial" w:cs="Arial"/>
        </w:rPr>
        <w:t xml:space="preserve"> due to comparatively lower production costs.</w:t>
      </w:r>
    </w:p>
    <w:p w14:paraId="52083A47" w14:textId="0288B920" w:rsidR="00625B18" w:rsidRDefault="00CF206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</w:t>
      </w:r>
      <w:r w:rsidR="00F02EAF">
        <w:rPr>
          <w:rFonts w:ascii="Arial" w:hAnsi="Arial" w:cs="Arial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In the 2018-2022</w:t>
      </w:r>
      <w:r w:rsidR="0086532D">
        <w:rPr>
          <w:rFonts w:ascii="Arial" w:hAnsi="Arial" w:cs="Arial"/>
        </w:rPr>
        <w:t>, through the</w:t>
      </w:r>
      <w:r>
        <w:rPr>
          <w:rFonts w:ascii="Arial" w:hAnsi="Arial" w:cs="Arial"/>
        </w:rPr>
        <w:t xml:space="preserve"> Energy Path policy document, the Chilean </w:t>
      </w:r>
      <w:r w:rsidR="0086532D">
        <w:rPr>
          <w:rFonts w:ascii="Arial" w:hAnsi="Arial" w:cs="Arial"/>
        </w:rPr>
        <w:t>g</w:t>
      </w:r>
      <w:r>
        <w:rPr>
          <w:rFonts w:ascii="Arial" w:hAnsi="Arial" w:cs="Arial"/>
        </w:rPr>
        <w:t>overnment highlighted introducing new technologies to achieve lower GHG emissions, which would accelerate its decarbonization process. Future use of hydrogen (H</w:t>
      </w:r>
      <w:r w:rsidRPr="0086532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) as an energy carrier is also inclu</w:t>
      </w:r>
      <w:r>
        <w:rPr>
          <w:rFonts w:ascii="Arial" w:hAnsi="Arial" w:cs="Arial"/>
        </w:rPr>
        <w:t xml:space="preserve">ded in Chile’s citizen agenda as an attractive viable alternative for a sustainable energy mix. Given the relatively small future domestic market for </w:t>
      </w:r>
      <w:r w:rsidR="0086532D">
        <w:rPr>
          <w:rFonts w:ascii="Arial" w:hAnsi="Arial" w:cs="Arial"/>
        </w:rPr>
        <w:t>H</w:t>
      </w:r>
      <w:r w:rsidR="0086532D" w:rsidRPr="0086532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in comparison to the untapped demand in industrialized nations, the potential for GH</w:t>
      </w:r>
      <w:r w:rsidRPr="0086532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export from</w:t>
      </w:r>
      <w:r>
        <w:rPr>
          <w:rFonts w:ascii="Arial" w:hAnsi="Arial" w:cs="Arial"/>
        </w:rPr>
        <w:t xml:space="preserve"> Chile has become a pathway for facilitating the significant investments needed to make use of a higher fraction of the country’s RE sources. Dedicated large-scale infrastructure will be required to transform </w:t>
      </w:r>
      <w:r w:rsidR="0086532D">
        <w:rPr>
          <w:rFonts w:ascii="Arial" w:hAnsi="Arial" w:cs="Arial"/>
        </w:rPr>
        <w:t>H</w:t>
      </w:r>
      <w:r w:rsidR="0086532D" w:rsidRPr="0086532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into a form or carrier suitable for lo</w:t>
      </w:r>
      <w:r>
        <w:rPr>
          <w:rFonts w:ascii="Arial" w:hAnsi="Arial" w:cs="Arial"/>
        </w:rPr>
        <w:t>ng-range maritime transportation.</w:t>
      </w:r>
    </w:p>
    <w:p w14:paraId="20B0866B" w14:textId="0606593A" w:rsidR="00625B18" w:rsidRDefault="00CF206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</w:t>
      </w:r>
      <w:r w:rsidR="00F02EAF">
        <w:rPr>
          <w:rFonts w:ascii="Arial" w:hAnsi="Arial" w:cs="Arial"/>
        </w:rPr>
        <w:t>7</w:t>
      </w:r>
      <w:r>
        <w:rPr>
          <w:rFonts w:ascii="Arial" w:hAnsi="Arial" w:cs="Arial"/>
        </w:rPr>
        <w:tab/>
        <w:t>Key challenges to the development of an export industry for GH</w:t>
      </w:r>
      <w:r w:rsidRPr="0086532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include uncertainty in technical and economic aspects of optimal infrastructure for overseas export, coordination between multiple public and private stak</w:t>
      </w:r>
      <w:r>
        <w:rPr>
          <w:rFonts w:ascii="Arial" w:hAnsi="Arial" w:cs="Arial"/>
        </w:rPr>
        <w:t>eholders, an incipient regulatory framework and a general lack of understanding of this new technology. In this context, the Ministry of Energy of Chile (MINENERGIA) requested support from the Bank in developing a viable path for H</w:t>
      </w:r>
      <w:r w:rsidRPr="0086532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as the future energy ca</w:t>
      </w:r>
      <w:r>
        <w:rPr>
          <w:rFonts w:ascii="Arial" w:hAnsi="Arial" w:cs="Arial"/>
        </w:rPr>
        <w:t>rrier in Chile.</w:t>
      </w:r>
    </w:p>
    <w:p w14:paraId="2F217B6F" w14:textId="77777777" w:rsidR="00625B18" w:rsidRDefault="00CF2069">
      <w:pPr>
        <w:spacing w:before="120" w:after="120"/>
        <w:ind w:left="579" w:hanging="579"/>
      </w:pPr>
      <w:r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ab/>
        <w:t>Description of Activities and Outputs</w:t>
      </w:r>
    </w:p>
    <w:p w14:paraId="32890C85" w14:textId="5389BED3" w:rsidR="00625B18" w:rsidRDefault="00CF206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3.1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Component I: Development of pre-investment studies for flagship projects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 xml:space="preserve">This component will finance the pre-investment studies for flagship projects associated with the deployment of </w:t>
      </w:r>
      <w:r w:rsidR="0086532D">
        <w:rPr>
          <w:rFonts w:ascii="Arial" w:hAnsi="Arial" w:cs="Arial"/>
        </w:rPr>
        <w:t>GH</w:t>
      </w:r>
      <w:r w:rsidR="0086532D" w:rsidRPr="0086532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production and use. </w:t>
      </w:r>
      <w:r>
        <w:rPr>
          <w:rFonts w:ascii="Arial" w:hAnsi="Arial" w:cs="Arial"/>
        </w:rPr>
        <w:t xml:space="preserve">Several studies have shown the large potential production capacity of the North of Chile for </w:t>
      </w:r>
      <w:r w:rsidR="00BF52FD">
        <w:rPr>
          <w:rFonts w:ascii="Arial" w:hAnsi="Arial" w:cs="Arial"/>
        </w:rPr>
        <w:t>GH</w:t>
      </w:r>
      <w:r w:rsidR="00BF52FD" w:rsidRPr="0086532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82.5Mt/year) and the competitive prices that could result (1.6-3.0USD/kgH</w:t>
      </w:r>
      <w:r w:rsidRPr="0096546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). This component consists of: (i)</w:t>
      </w:r>
      <w:r w:rsidR="004C6442">
        <w:rPr>
          <w:rFonts w:ascii="Arial" w:hAnsi="Arial" w:cs="Arial"/>
        </w:rPr>
        <w:t> </w:t>
      </w:r>
      <w:r>
        <w:rPr>
          <w:rFonts w:ascii="Arial" w:hAnsi="Arial" w:cs="Arial"/>
        </w:rPr>
        <w:t>pre-feasibility study for hydrogen export</w:t>
      </w:r>
      <w:r w:rsidR="0096546B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and (ii) pre-feasibility studies of a green hydrogen project in the Magallanes region. </w:t>
      </w:r>
    </w:p>
    <w:p w14:paraId="4EB210D3" w14:textId="02DB5301" w:rsidR="00625B18" w:rsidRDefault="00CF206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3.2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Component II:</w:t>
      </w:r>
      <w:r>
        <w:rPr>
          <w:rFonts w:ascii="Arial" w:hAnsi="Arial" w:cs="Arial"/>
          <w:b/>
        </w:rPr>
        <w:t xml:space="preserve"> Support for development of regulatory framework and institutional capacity building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 xml:space="preserve">This component will contribute to establish a regulatory framework for </w:t>
      </w:r>
      <w:r w:rsidR="004C7037">
        <w:rPr>
          <w:rFonts w:ascii="Arial" w:hAnsi="Arial" w:cs="Arial"/>
        </w:rPr>
        <w:t>H</w:t>
      </w:r>
      <w:r w:rsidR="004C7037" w:rsidRPr="00BF52F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as an energy carrier together with providing capacity building and knowledge transfer to </w:t>
      </w:r>
      <w:r>
        <w:rPr>
          <w:rFonts w:ascii="Arial" w:hAnsi="Arial" w:cs="Arial"/>
        </w:rPr>
        <w:t xml:space="preserve">key stakeholders. </w:t>
      </w:r>
      <w:r>
        <w:rPr>
          <w:rFonts w:ascii="Arial" w:hAnsi="Arial" w:cs="Arial"/>
        </w:rPr>
        <w:t>It will consist of: (i)</w:t>
      </w:r>
      <w:r w:rsidR="00BF52FD">
        <w:rPr>
          <w:rFonts w:ascii="Arial" w:hAnsi="Arial" w:cs="Arial"/>
        </w:rPr>
        <w:t> </w:t>
      </w:r>
      <w:r>
        <w:rPr>
          <w:rFonts w:ascii="Arial" w:hAnsi="Arial" w:cs="Arial"/>
        </w:rPr>
        <w:t>supporting the development of GH</w:t>
      </w:r>
      <w:r w:rsidRPr="00BF52F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regulatory framework through technical, </w:t>
      </w:r>
      <w:r w:rsidR="00BF52FD">
        <w:rPr>
          <w:rFonts w:ascii="Arial" w:hAnsi="Arial" w:cs="Arial"/>
        </w:rPr>
        <w:t>regulatory,</w:t>
      </w:r>
      <w:r>
        <w:rPr>
          <w:rFonts w:ascii="Arial" w:hAnsi="Arial" w:cs="Arial"/>
        </w:rPr>
        <w:t xml:space="preserve"> and environmental studies; and (ii) capacity building and dissemination to raise awareness and educate about H</w:t>
      </w:r>
      <w:r w:rsidRPr="00BF52F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as an energy car</w:t>
      </w:r>
      <w:r>
        <w:rPr>
          <w:rFonts w:ascii="Arial" w:hAnsi="Arial" w:cs="Arial"/>
        </w:rPr>
        <w:t>rier and viable energy source.</w:t>
      </w:r>
    </w:p>
    <w:p w14:paraId="203C4592" w14:textId="7697A140" w:rsidR="00625B18" w:rsidRDefault="00CF206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3.3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Component III: Project Management and Coordination. </w:t>
      </w:r>
      <w:r>
        <w:rPr>
          <w:rFonts w:ascii="Arial" w:hAnsi="Arial" w:cs="Arial"/>
        </w:rPr>
        <w:t xml:space="preserve">This component will provide support for the overall management, </w:t>
      </w:r>
      <w:r w:rsidR="004C7037">
        <w:rPr>
          <w:rFonts w:ascii="Arial" w:hAnsi="Arial" w:cs="Arial"/>
        </w:rPr>
        <w:t>execution,</w:t>
      </w:r>
      <w:r>
        <w:rPr>
          <w:rFonts w:ascii="Arial" w:hAnsi="Arial" w:cs="Arial"/>
        </w:rPr>
        <w:t xml:space="preserve"> and coordination of the project in collaboration with MINENERGIA and IDB and with the objective</w:t>
      </w:r>
      <w:r>
        <w:rPr>
          <w:rFonts w:ascii="Arial" w:hAnsi="Arial" w:cs="Arial"/>
        </w:rPr>
        <w:t xml:space="preserve"> to ensure timely and budget completion.</w:t>
      </w:r>
    </w:p>
    <w:p w14:paraId="4345C07D" w14:textId="77777777" w:rsidR="00625B18" w:rsidRDefault="00CF2069" w:rsidP="004C7037">
      <w:pPr>
        <w:spacing w:before="120" w:after="120"/>
        <w:ind w:left="576" w:hanging="576"/>
      </w:pPr>
      <w:r>
        <w:rPr>
          <w:rFonts w:ascii="Arial" w:hAnsi="Arial" w:cs="Arial"/>
          <w:b/>
        </w:rPr>
        <w:t>IV.</w:t>
      </w:r>
      <w:r>
        <w:rPr>
          <w:rFonts w:ascii="Arial" w:hAnsi="Arial" w:cs="Arial"/>
          <w:b/>
        </w:rPr>
        <w:tab/>
        <w:t>Budget</w:t>
      </w:r>
    </w:p>
    <w:p w14:paraId="65F65C11" w14:textId="77777777" w:rsidR="00625B18" w:rsidRDefault="00CF2069" w:rsidP="004C7037">
      <w:pPr>
        <w:spacing w:before="120" w:after="120"/>
        <w:jc w:val="center"/>
      </w:pPr>
      <w:r>
        <w:rPr>
          <w:rFonts w:ascii="Arial" w:hAnsi="Arial" w:cs="Arial"/>
          <w:b/>
          <w:sz w:val="18"/>
          <w:szCs w:val="18"/>
        </w:rPr>
        <w:t>Indicative Budget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85"/>
        <w:gridCol w:w="1613"/>
        <w:gridCol w:w="1980"/>
        <w:gridCol w:w="1664"/>
      </w:tblGrid>
      <w:tr w:rsidR="00625B18" w14:paraId="16DDA9BE" w14:textId="77777777" w:rsidTr="004C7037">
        <w:tc>
          <w:tcPr>
            <w:tcW w:w="3985" w:type="dxa"/>
            <w:vAlign w:val="center"/>
          </w:tcPr>
          <w:p w14:paraId="3736DE27" w14:textId="77777777" w:rsidR="00625B18" w:rsidRPr="004C6442" w:rsidRDefault="00CF2069" w:rsidP="004C7037">
            <w:pPr>
              <w:jc w:val="center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b/>
                <w:sz w:val="18"/>
                <w:szCs w:val="18"/>
              </w:rPr>
              <w:t>Activity/Component</w:t>
            </w:r>
          </w:p>
        </w:tc>
        <w:tc>
          <w:tcPr>
            <w:tcW w:w="1613" w:type="dxa"/>
          </w:tcPr>
          <w:p w14:paraId="4EF5602C" w14:textId="77777777" w:rsidR="00625B18" w:rsidRPr="004C6442" w:rsidRDefault="00CF2069" w:rsidP="004C7037">
            <w:pPr>
              <w:jc w:val="center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b/>
                <w:sz w:val="18"/>
                <w:szCs w:val="18"/>
              </w:rPr>
              <w:t>IDB/Fund Funding</w:t>
            </w:r>
          </w:p>
        </w:tc>
        <w:tc>
          <w:tcPr>
            <w:tcW w:w="1980" w:type="dxa"/>
          </w:tcPr>
          <w:p w14:paraId="3677684E" w14:textId="77777777" w:rsidR="00625B18" w:rsidRPr="004C6442" w:rsidRDefault="00CF2069" w:rsidP="004C7037">
            <w:pPr>
              <w:jc w:val="center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b/>
                <w:sz w:val="18"/>
                <w:szCs w:val="18"/>
              </w:rPr>
              <w:t>Counterpart Funding</w:t>
            </w:r>
          </w:p>
        </w:tc>
        <w:tc>
          <w:tcPr>
            <w:tcW w:w="1664" w:type="dxa"/>
          </w:tcPr>
          <w:p w14:paraId="1DE93687" w14:textId="77777777" w:rsidR="00625B18" w:rsidRPr="004C6442" w:rsidRDefault="00CF2069" w:rsidP="004C7037">
            <w:pPr>
              <w:jc w:val="center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b/>
                <w:sz w:val="18"/>
                <w:szCs w:val="18"/>
              </w:rPr>
              <w:t>Total Funding</w:t>
            </w:r>
          </w:p>
        </w:tc>
      </w:tr>
      <w:tr w:rsidR="00625B18" w14:paraId="4ED8A5B8" w14:textId="77777777" w:rsidTr="004C7037">
        <w:tc>
          <w:tcPr>
            <w:tcW w:w="3985" w:type="dxa"/>
            <w:vAlign w:val="center"/>
          </w:tcPr>
          <w:p w14:paraId="50C5A98D" w14:textId="77777777" w:rsidR="00625B18" w:rsidRPr="004C6442" w:rsidRDefault="00CF2069" w:rsidP="004C7037">
            <w:pPr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sz w:val="18"/>
                <w:szCs w:val="18"/>
              </w:rPr>
              <w:t xml:space="preserve">Development of pre-investment studies for flagship projects </w:t>
            </w:r>
          </w:p>
        </w:tc>
        <w:tc>
          <w:tcPr>
            <w:tcW w:w="1613" w:type="dxa"/>
            <w:vAlign w:val="center"/>
          </w:tcPr>
          <w:p w14:paraId="4A0663A8" w14:textId="77777777" w:rsidR="00625B18" w:rsidRPr="004C6442" w:rsidRDefault="00CF2069" w:rsidP="004C7037">
            <w:pPr>
              <w:jc w:val="right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sz w:val="18"/>
                <w:szCs w:val="18"/>
              </w:rPr>
              <w:t>US$320,000.00</w:t>
            </w:r>
          </w:p>
        </w:tc>
        <w:tc>
          <w:tcPr>
            <w:tcW w:w="1980" w:type="dxa"/>
            <w:vAlign w:val="center"/>
          </w:tcPr>
          <w:p w14:paraId="722A1146" w14:textId="77777777" w:rsidR="00625B18" w:rsidRPr="004C6442" w:rsidRDefault="00CF2069" w:rsidP="004C7037">
            <w:pPr>
              <w:jc w:val="right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1664" w:type="dxa"/>
            <w:vAlign w:val="center"/>
          </w:tcPr>
          <w:p w14:paraId="52E5A430" w14:textId="77777777" w:rsidR="00625B18" w:rsidRPr="004C6442" w:rsidRDefault="00CF2069" w:rsidP="004C7037">
            <w:pPr>
              <w:jc w:val="right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sz w:val="18"/>
                <w:szCs w:val="18"/>
              </w:rPr>
              <w:t>US$320,000.00</w:t>
            </w:r>
          </w:p>
        </w:tc>
      </w:tr>
      <w:tr w:rsidR="00625B18" w14:paraId="0C81C76F" w14:textId="77777777" w:rsidTr="004C7037">
        <w:tc>
          <w:tcPr>
            <w:tcW w:w="3985" w:type="dxa"/>
            <w:vAlign w:val="center"/>
          </w:tcPr>
          <w:p w14:paraId="685A6D57" w14:textId="77777777" w:rsidR="00625B18" w:rsidRPr="004C6442" w:rsidRDefault="00CF2069" w:rsidP="004C7037">
            <w:pPr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sz w:val="18"/>
                <w:szCs w:val="18"/>
              </w:rPr>
              <w:t xml:space="preserve">Support for development of regulatory framework and institutional capacity building </w:t>
            </w:r>
          </w:p>
        </w:tc>
        <w:tc>
          <w:tcPr>
            <w:tcW w:w="1613" w:type="dxa"/>
            <w:vAlign w:val="center"/>
          </w:tcPr>
          <w:p w14:paraId="70219937" w14:textId="77777777" w:rsidR="00625B18" w:rsidRPr="004C6442" w:rsidRDefault="00CF2069" w:rsidP="004C7037">
            <w:pPr>
              <w:jc w:val="right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sz w:val="18"/>
                <w:szCs w:val="18"/>
              </w:rPr>
              <w:t>US$130,000.00</w:t>
            </w:r>
          </w:p>
        </w:tc>
        <w:tc>
          <w:tcPr>
            <w:tcW w:w="1980" w:type="dxa"/>
            <w:vAlign w:val="center"/>
          </w:tcPr>
          <w:p w14:paraId="53FFC16D" w14:textId="77777777" w:rsidR="00625B18" w:rsidRPr="004C6442" w:rsidRDefault="00CF2069" w:rsidP="004C7037">
            <w:pPr>
              <w:jc w:val="right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1664" w:type="dxa"/>
            <w:vAlign w:val="center"/>
          </w:tcPr>
          <w:p w14:paraId="15AC428D" w14:textId="77777777" w:rsidR="00625B18" w:rsidRPr="004C6442" w:rsidRDefault="00CF2069" w:rsidP="004C7037">
            <w:pPr>
              <w:jc w:val="right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sz w:val="18"/>
                <w:szCs w:val="18"/>
              </w:rPr>
              <w:t>US$130,000.00</w:t>
            </w:r>
          </w:p>
        </w:tc>
      </w:tr>
      <w:tr w:rsidR="00625B18" w14:paraId="47414ABD" w14:textId="77777777" w:rsidTr="004C7037">
        <w:tc>
          <w:tcPr>
            <w:tcW w:w="3985" w:type="dxa"/>
            <w:vAlign w:val="center"/>
          </w:tcPr>
          <w:p w14:paraId="69CCA73E" w14:textId="77777777" w:rsidR="00625B18" w:rsidRPr="004C6442" w:rsidRDefault="00CF2069" w:rsidP="004C7037">
            <w:pPr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sz w:val="18"/>
                <w:szCs w:val="18"/>
              </w:rPr>
              <w:t>Project Management and Coordination</w:t>
            </w:r>
          </w:p>
        </w:tc>
        <w:tc>
          <w:tcPr>
            <w:tcW w:w="1613" w:type="dxa"/>
            <w:vAlign w:val="center"/>
          </w:tcPr>
          <w:p w14:paraId="6B38DF05" w14:textId="77777777" w:rsidR="00625B18" w:rsidRPr="004C6442" w:rsidRDefault="00CF2069" w:rsidP="004C7037">
            <w:pPr>
              <w:jc w:val="right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sz w:val="18"/>
                <w:szCs w:val="18"/>
              </w:rPr>
              <w:t>US$50,000.00</w:t>
            </w:r>
          </w:p>
        </w:tc>
        <w:tc>
          <w:tcPr>
            <w:tcW w:w="1980" w:type="dxa"/>
            <w:vAlign w:val="center"/>
          </w:tcPr>
          <w:p w14:paraId="7FD0B96D" w14:textId="77777777" w:rsidR="00625B18" w:rsidRPr="004C6442" w:rsidRDefault="00CF2069" w:rsidP="004C7037">
            <w:pPr>
              <w:jc w:val="right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1664" w:type="dxa"/>
            <w:vAlign w:val="center"/>
          </w:tcPr>
          <w:p w14:paraId="0566791F" w14:textId="77777777" w:rsidR="00625B18" w:rsidRPr="004C6442" w:rsidRDefault="00CF2069" w:rsidP="004C7037">
            <w:pPr>
              <w:jc w:val="right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sz w:val="18"/>
                <w:szCs w:val="18"/>
              </w:rPr>
              <w:t>US$50,000.00</w:t>
            </w:r>
          </w:p>
        </w:tc>
      </w:tr>
      <w:tr w:rsidR="00625B18" w14:paraId="4D6344B8" w14:textId="77777777" w:rsidTr="004C7037">
        <w:tc>
          <w:tcPr>
            <w:tcW w:w="3985" w:type="dxa"/>
            <w:vAlign w:val="center"/>
          </w:tcPr>
          <w:p w14:paraId="2EDD2282" w14:textId="77777777" w:rsidR="00625B18" w:rsidRPr="004C6442" w:rsidRDefault="00CF2069" w:rsidP="004C7037">
            <w:pPr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1613" w:type="dxa"/>
            <w:vAlign w:val="center"/>
          </w:tcPr>
          <w:p w14:paraId="748193A4" w14:textId="77777777" w:rsidR="00625B18" w:rsidRPr="004C6442" w:rsidRDefault="00CF2069" w:rsidP="004C7037">
            <w:pPr>
              <w:jc w:val="right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b/>
                <w:sz w:val="18"/>
                <w:szCs w:val="18"/>
              </w:rPr>
              <w:t>US$500,000.00</w:t>
            </w:r>
          </w:p>
        </w:tc>
        <w:tc>
          <w:tcPr>
            <w:tcW w:w="1980" w:type="dxa"/>
            <w:vAlign w:val="center"/>
          </w:tcPr>
          <w:p w14:paraId="2A09E02F" w14:textId="77777777" w:rsidR="00625B18" w:rsidRPr="004C6442" w:rsidRDefault="00CF2069" w:rsidP="004C7037">
            <w:pPr>
              <w:jc w:val="right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b/>
                <w:sz w:val="18"/>
                <w:szCs w:val="18"/>
              </w:rPr>
              <w:t>US$0.00</w:t>
            </w:r>
          </w:p>
        </w:tc>
        <w:tc>
          <w:tcPr>
            <w:tcW w:w="1664" w:type="dxa"/>
            <w:vAlign w:val="center"/>
          </w:tcPr>
          <w:p w14:paraId="57EA2A3D" w14:textId="77777777" w:rsidR="00625B18" w:rsidRPr="004C6442" w:rsidRDefault="00CF2069" w:rsidP="004C7037">
            <w:pPr>
              <w:jc w:val="right"/>
              <w:rPr>
                <w:sz w:val="18"/>
                <w:szCs w:val="18"/>
              </w:rPr>
            </w:pPr>
            <w:r w:rsidRPr="004C6442">
              <w:rPr>
                <w:rFonts w:ascii="Arial" w:hAnsi="Arial" w:cs="Arial"/>
                <w:b/>
                <w:sz w:val="18"/>
                <w:szCs w:val="18"/>
              </w:rPr>
              <w:t>US$500,000.00</w:t>
            </w:r>
          </w:p>
        </w:tc>
      </w:tr>
    </w:tbl>
    <w:p w14:paraId="74502985" w14:textId="77777777" w:rsidR="00625B18" w:rsidRDefault="00CF2069" w:rsidP="004C6442">
      <w:pPr>
        <w:spacing w:before="600" w:after="120"/>
        <w:ind w:left="576" w:hanging="576"/>
      </w:pPr>
      <w:r>
        <w:rPr>
          <w:rFonts w:ascii="Arial" w:hAnsi="Arial" w:cs="Arial"/>
          <w:b/>
        </w:rPr>
        <w:lastRenderedPageBreak/>
        <w:t>V.</w:t>
      </w:r>
      <w:r>
        <w:rPr>
          <w:rFonts w:ascii="Arial" w:hAnsi="Arial" w:cs="Arial"/>
          <w:b/>
        </w:rPr>
        <w:tab/>
        <w:t>Executing Agency and Execution Structure</w:t>
      </w:r>
    </w:p>
    <w:p w14:paraId="4255DBFC" w14:textId="4B249FA6" w:rsidR="00625B18" w:rsidRDefault="00CF2069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5.1</w:t>
      </w:r>
      <w:r>
        <w:rPr>
          <w:rFonts w:ascii="Arial" w:hAnsi="Arial" w:cs="Arial"/>
        </w:rPr>
        <w:tab/>
        <w:t xml:space="preserve">At the request of the beneficiary, and </w:t>
      </w:r>
      <w:r w:rsidR="004C7037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o expedite the implementation of the TC, the Executing Agency will be the IDB </w:t>
      </w:r>
      <w:r>
        <w:rPr>
          <w:rFonts w:ascii="Arial" w:hAnsi="Arial" w:cs="Arial"/>
        </w:rPr>
        <w:t xml:space="preserve">through </w:t>
      </w:r>
      <w:r w:rsidR="004C7037">
        <w:rPr>
          <w:rFonts w:ascii="Arial" w:hAnsi="Arial" w:cs="Arial"/>
        </w:rPr>
        <w:t>its</w:t>
      </w:r>
      <w:r>
        <w:rPr>
          <w:rFonts w:ascii="Arial" w:hAnsi="Arial" w:cs="Arial"/>
        </w:rPr>
        <w:t xml:space="preserve"> Energy Division (INE/ENE). Technical responsibility will rest with INE/ENE</w:t>
      </w:r>
      <w:r w:rsidR="004C703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who will closely work with the Division of Climate Change (CSD/CCS), the Mining, Geothermal Energy and Hydrocarbons (MGH) Cluster and the Bank's Representation in Chile </w:t>
      </w:r>
      <w:r>
        <w:rPr>
          <w:rFonts w:ascii="Arial" w:hAnsi="Arial" w:cs="Arial"/>
        </w:rPr>
        <w:t>(CSC/CCH). The Bank’s project team will coordinate with the team of</w:t>
      </w:r>
      <w:r>
        <w:rPr>
          <w:rFonts w:ascii="Arial" w:hAnsi="Arial" w:cs="Arial"/>
        </w:rPr>
        <w:t xml:space="preserve"> </w:t>
      </w:r>
      <w:r w:rsidR="00EE0EC6">
        <w:rPr>
          <w:rFonts w:ascii="Arial" w:hAnsi="Arial" w:cs="Arial"/>
        </w:rPr>
        <w:t>MINENERGIA</w:t>
      </w:r>
      <w:r>
        <w:rPr>
          <w:rFonts w:ascii="Arial" w:hAnsi="Arial" w:cs="Arial"/>
        </w:rPr>
        <w:t xml:space="preserve"> who will act as the focal point with relevant stakeholders in the project such as CORFO and ENAP.</w:t>
      </w:r>
    </w:p>
    <w:p w14:paraId="72E5385F" w14:textId="78F65DC7" w:rsidR="00625B18" w:rsidRDefault="00CF2069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5.2</w:t>
      </w:r>
      <w:r>
        <w:rPr>
          <w:rFonts w:ascii="Arial" w:hAnsi="Arial" w:cs="Arial"/>
        </w:rPr>
        <w:tab/>
      </w:r>
      <w:r w:rsidR="00EE0EC6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B</w:t>
      </w:r>
      <w:r w:rsidR="00EE0EC6">
        <w:rPr>
          <w:rFonts w:ascii="Arial" w:hAnsi="Arial" w:cs="Arial"/>
        </w:rPr>
        <w:t>ank</w:t>
      </w:r>
      <w:r>
        <w:rPr>
          <w:rFonts w:ascii="Arial" w:hAnsi="Arial" w:cs="Arial"/>
        </w:rPr>
        <w:t xml:space="preserve">, in collaboration with MINENERGIA, will be responsible for </w:t>
      </w:r>
      <w:r>
        <w:rPr>
          <w:rFonts w:ascii="Arial" w:hAnsi="Arial" w:cs="Arial"/>
        </w:rPr>
        <w:t xml:space="preserve">the selection and hiring of consulting firms and individual consultants which will be in accordance with IDB policies and procedures (GN-2350-9). Following </w:t>
      </w:r>
      <w:r w:rsidR="00EE0EC6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B</w:t>
      </w:r>
      <w:r w:rsidR="00EE0EC6">
        <w:rPr>
          <w:rFonts w:ascii="Arial" w:hAnsi="Arial" w:cs="Arial"/>
        </w:rPr>
        <w:t>ank’s</w:t>
      </w:r>
      <w:r>
        <w:rPr>
          <w:rFonts w:ascii="Arial" w:hAnsi="Arial" w:cs="Arial"/>
        </w:rPr>
        <w:t xml:space="preserve"> Operational Guidelines for Technical Cooperation Products </w:t>
      </w:r>
      <w:r>
        <w:rPr>
          <w:rFonts w:ascii="Arial" w:hAnsi="Arial" w:cs="Arial"/>
        </w:rPr>
        <w:t>(GN-2629-1), this TC i</w:t>
      </w:r>
      <w:r>
        <w:rPr>
          <w:rFonts w:ascii="Arial" w:hAnsi="Arial" w:cs="Arial"/>
        </w:rPr>
        <w:t>s classified as a product for Client Support.</w:t>
      </w:r>
    </w:p>
    <w:p w14:paraId="5EB08EF1" w14:textId="2C23507B" w:rsidR="00625B18" w:rsidRDefault="00CF2069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5.3</w:t>
      </w:r>
      <w:r>
        <w:rPr>
          <w:rFonts w:ascii="Arial" w:hAnsi="Arial" w:cs="Arial"/>
        </w:rPr>
        <w:tab/>
        <w:t xml:space="preserve">MINENERGIA has ample experience in executing policy loans with the Bank, such as </w:t>
      </w:r>
      <w:r>
        <w:rPr>
          <w:rFonts w:ascii="Arial" w:hAnsi="Arial" w:cs="Arial"/>
        </w:rPr>
        <w:t>the execution of loan 3821/OC-CH "Sustainable Energy Program" approved by the Bank's Board of Directors on November 30, 2016</w:t>
      </w:r>
      <w:r>
        <w:rPr>
          <w:rFonts w:ascii="Arial" w:hAnsi="Arial" w:cs="Arial"/>
        </w:rPr>
        <w:t xml:space="preserve"> and disbursed that same year and where MINENERGIA and the National Energy Commission demonstrated high technical and management capacities in implementing and achieving the </w:t>
      </w:r>
      <w:r w:rsidR="00EE0EC6">
        <w:rPr>
          <w:rFonts w:ascii="Arial" w:hAnsi="Arial" w:cs="Arial"/>
        </w:rPr>
        <w:t>p</w:t>
      </w:r>
      <w:r>
        <w:rPr>
          <w:rFonts w:ascii="Arial" w:hAnsi="Arial" w:cs="Arial"/>
        </w:rPr>
        <w:t>rogram's commitments and meeting all the policy conditionalities agreed upon in t</w:t>
      </w:r>
      <w:r>
        <w:rPr>
          <w:rFonts w:ascii="Arial" w:hAnsi="Arial" w:cs="Arial"/>
        </w:rPr>
        <w:t xml:space="preserve">he Policy Matrix. The professionals who acted as counterparts of the Program have a high level of specialized training in the energy sector and coordination skills to work as a team. </w:t>
      </w:r>
      <w:r w:rsidR="00EE0EC6">
        <w:rPr>
          <w:rFonts w:ascii="Arial" w:hAnsi="Arial" w:cs="Arial"/>
        </w:rPr>
        <w:t>Additionally</w:t>
      </w:r>
      <w:r>
        <w:rPr>
          <w:rFonts w:ascii="Arial" w:hAnsi="Arial" w:cs="Arial"/>
        </w:rPr>
        <w:t>, there is a coordinati</w:t>
      </w:r>
      <w:r>
        <w:rPr>
          <w:rFonts w:ascii="Arial" w:hAnsi="Arial" w:cs="Arial"/>
        </w:rPr>
        <w:t>n</w:t>
      </w:r>
      <w:r w:rsidR="00EE0EC6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="00EE0EC6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ffice of </w:t>
      </w:r>
      <w:r w:rsidR="00EE0EC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nternational </w:t>
      </w:r>
      <w:r w:rsidR="00EE0EC6">
        <w:rPr>
          <w:rFonts w:ascii="Arial" w:hAnsi="Arial" w:cs="Arial"/>
        </w:rPr>
        <w:t>A</w:t>
      </w:r>
      <w:r>
        <w:rPr>
          <w:rFonts w:ascii="Arial" w:hAnsi="Arial" w:cs="Arial"/>
        </w:rPr>
        <w:t>ffa</w:t>
      </w:r>
      <w:r>
        <w:rPr>
          <w:rFonts w:ascii="Arial" w:hAnsi="Arial" w:cs="Arial"/>
        </w:rPr>
        <w:t>irs</w:t>
      </w:r>
      <w:r>
        <w:rPr>
          <w:rFonts w:ascii="Arial" w:hAnsi="Arial" w:cs="Arial"/>
        </w:rPr>
        <w:t xml:space="preserve"> </w:t>
      </w:r>
      <w:r w:rsidR="00EE0EC6">
        <w:rPr>
          <w:rFonts w:ascii="Arial" w:hAnsi="Arial" w:cs="Arial"/>
        </w:rPr>
        <w:t>with who</w:t>
      </w:r>
      <w:r>
        <w:rPr>
          <w:rFonts w:ascii="Arial" w:hAnsi="Arial" w:cs="Arial"/>
        </w:rPr>
        <w:t xml:space="preserve"> the Project Team will work closely</w:t>
      </w:r>
      <w:r w:rsidR="00EE0EC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E0EC6">
        <w:rPr>
          <w:rFonts w:ascii="Arial" w:hAnsi="Arial" w:cs="Arial"/>
        </w:rPr>
        <w:t>a</w:t>
      </w:r>
      <w:r>
        <w:rPr>
          <w:rFonts w:ascii="Arial" w:hAnsi="Arial" w:cs="Arial"/>
        </w:rPr>
        <w:t>nd which will help to coordinate the TC activities within MINENERGIA.</w:t>
      </w:r>
    </w:p>
    <w:p w14:paraId="3668AC43" w14:textId="77777777" w:rsidR="00625B18" w:rsidRDefault="00CF2069">
      <w:pPr>
        <w:spacing w:before="120" w:after="120"/>
        <w:ind w:left="579" w:hanging="579"/>
      </w:pPr>
      <w:r>
        <w:rPr>
          <w:rFonts w:ascii="Arial" w:hAnsi="Arial" w:cs="Arial"/>
          <w:b/>
        </w:rPr>
        <w:t>VI.</w:t>
      </w:r>
      <w:r>
        <w:rPr>
          <w:rFonts w:ascii="Arial" w:hAnsi="Arial" w:cs="Arial"/>
          <w:b/>
        </w:rPr>
        <w:tab/>
        <w:t>Project Risks and Issues</w:t>
      </w:r>
    </w:p>
    <w:p w14:paraId="68A551B7" w14:textId="2DDC44CE" w:rsidR="00625B18" w:rsidRDefault="00CF2069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6.1</w:t>
      </w:r>
      <w:r>
        <w:rPr>
          <w:rFonts w:ascii="Arial" w:hAnsi="Arial" w:cs="Arial"/>
        </w:rPr>
        <w:tab/>
        <w:t xml:space="preserve">The main risk for the implementation of this TC lies with the technical complexity of </w:t>
      </w:r>
      <w:r w:rsidR="00EE0EC6">
        <w:rPr>
          <w:rFonts w:ascii="Arial" w:hAnsi="Arial" w:cs="Arial"/>
        </w:rPr>
        <w:t>H</w:t>
      </w:r>
      <w:r w:rsidR="00EE0EC6" w:rsidRPr="007F04EA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tec</w:t>
      </w:r>
      <w:r>
        <w:rPr>
          <w:rFonts w:ascii="Arial" w:hAnsi="Arial" w:cs="Arial"/>
        </w:rPr>
        <w:t xml:space="preserve">hnology and the coordination with all the stakeholders associated with each component. This risk is mitigated by the creation within MINENERGIA of an Executive Committee which will serve as a quality peer reviewer </w:t>
      </w:r>
      <w:r w:rsidR="007F04E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the technical aspects of the project. </w:t>
      </w:r>
      <w:r w:rsidR="00EE0EC6">
        <w:rPr>
          <w:rFonts w:ascii="Arial" w:hAnsi="Arial" w:cs="Arial"/>
        </w:rPr>
        <w:t>Also,</w:t>
      </w:r>
      <w:r>
        <w:rPr>
          <w:rFonts w:ascii="Arial" w:hAnsi="Arial" w:cs="Arial"/>
        </w:rPr>
        <w:t xml:space="preserve"> MINENERGIA has put together a strong technical team at both the operational and policy levels and the Bank has assembled a multidisciplinary team for this project as well.</w:t>
      </w:r>
    </w:p>
    <w:p w14:paraId="293CCF58" w14:textId="77777777" w:rsidR="00625B18" w:rsidRDefault="00CF2069">
      <w:pPr>
        <w:spacing w:before="120" w:after="120"/>
        <w:ind w:left="579" w:hanging="579"/>
      </w:pPr>
      <w:r>
        <w:rPr>
          <w:rFonts w:ascii="Arial" w:hAnsi="Arial" w:cs="Arial"/>
          <w:b/>
        </w:rPr>
        <w:t>VII.</w:t>
      </w:r>
      <w:r>
        <w:rPr>
          <w:rFonts w:ascii="Arial" w:hAnsi="Arial" w:cs="Arial"/>
          <w:b/>
        </w:rPr>
        <w:tab/>
        <w:t>Environmental and Social Classification</w:t>
      </w:r>
    </w:p>
    <w:p w14:paraId="1CEB3218" w14:textId="77777777" w:rsidR="00625B18" w:rsidRDefault="00CF2069">
      <w:pPr>
        <w:spacing w:before="240" w:after="120"/>
        <w:ind w:left="579" w:hanging="579"/>
        <w:jc w:val="both"/>
      </w:pPr>
      <w:r>
        <w:rPr>
          <w:rFonts w:ascii="Arial" w:hAnsi="Arial" w:cs="Arial"/>
        </w:rPr>
        <w:t>7.1</w:t>
      </w:r>
      <w:r>
        <w:rPr>
          <w:rFonts w:ascii="Arial" w:hAnsi="Arial" w:cs="Arial"/>
        </w:rPr>
        <w:tab/>
        <w:t xml:space="preserve">The ESG classification </w:t>
      </w:r>
      <w:r>
        <w:rPr>
          <w:rFonts w:ascii="Arial" w:hAnsi="Arial" w:cs="Arial"/>
        </w:rPr>
        <w:t>for this operation is "undefined".</w:t>
      </w:r>
    </w:p>
    <w:sectPr w:rsidR="00625B18" w:rsidSect="00FC30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D37C11" w14:textId="77777777" w:rsidR="00CF2069" w:rsidRDefault="00CF2069">
      <w:r>
        <w:separator/>
      </w:r>
    </w:p>
  </w:endnote>
  <w:endnote w:type="continuationSeparator" w:id="0">
    <w:p w14:paraId="43C02E54" w14:textId="77777777" w:rsidR="00CF2069" w:rsidRDefault="00CF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695B6" w14:textId="0F03DF0C" w:rsidR="00625B18" w:rsidRDefault="00CF2069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 w:rsidR="00411BC4">
      <w:fldChar w:fldCharType="separate"/>
    </w:r>
    <w:r w:rsidR="00411BC4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421167" w14:textId="77777777" w:rsidR="00CF2069" w:rsidRDefault="00CF2069">
      <w:r>
        <w:separator/>
      </w:r>
    </w:p>
  </w:footnote>
  <w:footnote w:type="continuationSeparator" w:id="0">
    <w:p w14:paraId="5CEAA74E" w14:textId="77777777" w:rsidR="00CF2069" w:rsidRDefault="00CF2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110C0"/>
    <w:rsid w:val="001915A3"/>
    <w:rsid w:val="00217F62"/>
    <w:rsid w:val="00411BC4"/>
    <w:rsid w:val="004C6442"/>
    <w:rsid w:val="004C7037"/>
    <w:rsid w:val="00625B18"/>
    <w:rsid w:val="007F04EA"/>
    <w:rsid w:val="0086532D"/>
    <w:rsid w:val="0096546B"/>
    <w:rsid w:val="00A906D8"/>
    <w:rsid w:val="00AB5A74"/>
    <w:rsid w:val="00B67E49"/>
    <w:rsid w:val="00BF52FD"/>
    <w:rsid w:val="00CB76A9"/>
    <w:rsid w:val="00CF2069"/>
    <w:rsid w:val="00EE0EC6"/>
    <w:rsid w:val="00F02EAF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3528B"/>
  <w15:docId w15:val="{9680D66A-B08F-406D-962D-6E6A2196B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  <w:style w:type="paragraph" w:styleId="Header">
    <w:name w:val="header"/>
    <w:basedOn w:val="Normal"/>
    <w:link w:val="HeaderChar"/>
    <w:uiPriority w:val="99"/>
    <w:unhideWhenUsed/>
    <w:rsid w:val="004C70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7037"/>
  </w:style>
  <w:style w:type="paragraph" w:styleId="Footer">
    <w:name w:val="footer"/>
    <w:basedOn w:val="Normal"/>
    <w:link w:val="FooterChar"/>
    <w:uiPriority w:val="99"/>
    <w:unhideWhenUsed/>
    <w:rsid w:val="004C70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7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AF37DF456950D4FA83DC069F33754CD" ma:contentTypeVersion="0" ma:contentTypeDescription="The base project type from which other project content types inherit their information." ma:contentTypeScope="" ma:versionID="a3356c6b7829bcbd0a40d19b75e3537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bce68541fdabd15f80412c6f1d7076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CH-T1235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BD4A460A6973A4591B1360EA4E62EB7" ma:contentTypeVersion="0" ma:contentTypeDescription="A content type to manage public (operations) IDB documents" ma:contentTypeScope="" ma:versionID="c271d02072965c76cbe782bb9404e2f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23e631bb8907f862d3a362cc64edf9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H-T123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</TermName>
          <TermId xmlns="http://schemas.microsoft.com/office/infopath/2007/PartnerControls">0646c65c-e431-42e3-a932-0671c6b608b9</TermId>
        </TermInfo>
      </Terms>
    </ic46d7e087fd4a108fb86518ca413cc6>
    <IDBDocs_x0020_Number xmlns="cdc7663a-08f0-4737-9e8c-148ce897a09c" xsi:nil="true"/>
    <Division_x0020_or_x0020_Unit xmlns="cdc7663a-08f0-4737-9e8c-148ce897a09c">INE/ENE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Marzolf Natacha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EN-TBC</TermName>
          <TermId xmlns="http://schemas.microsoft.com/office/infopath/2007/PartnerControls">d825adc5-5250-459c-98ae-544e63cfea7b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JSF</TermName>
          <TermId xmlns="http://schemas.microsoft.com/office/infopath/2007/PartnerControls">42e89227-ec0a-483f-91bb-7a753aa184bd</TermId>
        </TermInfo>
      </Terms>
    </g511464f9e53401d84b16fa9b379a574>
    <Related_x0020_SisCor_x0020_Number xmlns="cdc7663a-08f0-4737-9e8c-148ce897a09c" xsi:nil="true"/>
    <TaxCatchAll xmlns="cdc7663a-08f0-4737-9e8c-148ce897a09c">
      <Value>398</Value>
      <Value>26</Value>
      <Value>31</Value>
      <Value>2</Value>
      <Value>253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CH-T1235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 xsi:nil="true"/>
    <_dlc_DocId xmlns="cdc7663a-08f0-4737-9e8c-148ce897a09c">EZSHARE-349294412-1</_dlc_DocId>
    <_dlc_DocIdUrl xmlns="cdc7663a-08f0-4737-9e8c-148ce897a09c">
      <Url>https://idbg.sharepoint.com/teams/EZ-CH-TCP/CH-T1235/_layouts/15/DocIdRedir.aspx?ID=EZSHARE-349294412-1</Url>
      <Description>EZSHARE-349294412-1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D703483A-60D4-4CB1-A189-3DAA7FA84FFA}"/>
</file>

<file path=customXml/itemProps2.xml><?xml version="1.0" encoding="utf-8"?>
<ds:datastoreItem xmlns:ds="http://schemas.openxmlformats.org/officeDocument/2006/customXml" ds:itemID="{250BA0EE-5740-4C5A-97FB-C8ED219491CC}"/>
</file>

<file path=customXml/itemProps3.xml><?xml version="1.0" encoding="utf-8"?>
<ds:datastoreItem xmlns:ds="http://schemas.openxmlformats.org/officeDocument/2006/customXml" ds:itemID="{56965808-1753-4175-AEA6-9B3E74FACAB2}"/>
</file>

<file path=customXml/itemProps4.xml><?xml version="1.0" encoding="utf-8"?>
<ds:datastoreItem xmlns:ds="http://schemas.openxmlformats.org/officeDocument/2006/customXml" ds:itemID="{481ED591-D7D4-48A8-A90B-07EC36E8CA62}"/>
</file>

<file path=customXml/itemProps5.xml><?xml version="1.0" encoding="utf-8"?>
<ds:datastoreItem xmlns:ds="http://schemas.openxmlformats.org/officeDocument/2006/customXml" ds:itemID="{64D7E455-8084-4ABD-B8D1-6A3AF0258601}"/>
</file>

<file path=customXml/itemProps6.xml><?xml version="1.0" encoding="utf-8"?>
<ds:datastoreItem xmlns:ds="http://schemas.openxmlformats.org/officeDocument/2006/customXml" ds:itemID="{57D14EF7-B541-4F4D-A12A-9804970C72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/>
  <cp:lastModifiedBy>Marquez Barroeta, Fidel</cp:lastModifiedBy>
  <cp:revision>8</cp:revision>
  <dcterms:created xsi:type="dcterms:W3CDTF">2020-07-24T21:42:00Z</dcterms:created>
  <dcterms:modified xsi:type="dcterms:W3CDTF">2020-07-24T23:35:00Z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26;#CH|0646c65c-e431-42e3-a932-0671c6b608b9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2;#Project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253;#EN-TBC|d825adc5-5250-459c-98ae-544e63cfea7b</vt:lpwstr>
  </property>
  <property fmtid="{D5CDD505-2E9C-101B-9397-08002B2CF9AE}" pid="13" name="Fund IDB">
    <vt:lpwstr>398;#JSF|42e89227-ec0a-483f-91bb-7a753aa184bd</vt:lpwstr>
  </property>
  <property fmtid="{D5CDD505-2E9C-101B-9397-08002B2CF9AE}" pid="14" name="Sector IDB">
    <vt:lpwstr>31;#EN|4fed196a-cd0b-4970-87de-42da17f9b203</vt:lpwstr>
  </property>
  <property fmtid="{D5CDD505-2E9C-101B-9397-08002B2CF9AE}" pid="15" name="_dlc_DocIdItemGuid">
    <vt:lpwstr>6d0278f3-ca71-4548-bf70-5dd05b40cebf</vt:lpwstr>
  </property>
  <property fmtid="{D5CDD505-2E9C-101B-9397-08002B2CF9AE}" pid="16" name="Disclosure Activity">
    <vt:lpwstr>TC Abstract</vt:lpwstr>
  </property>
  <property fmtid="{D5CDD505-2E9C-101B-9397-08002B2CF9AE}" pid="17" name="ContentTypeId">
    <vt:lpwstr>0x0101001A458A224826124E8B45B1D613300CFC00EBD4A460A6973A4591B1360EA4E62EB7</vt:lpwstr>
  </property>
  <property fmtid="{D5CDD505-2E9C-101B-9397-08002B2CF9AE}" pid="18" name="Series Operations IDB">
    <vt:lpwstr/>
  </property>
</Properties>
</file>