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6F9" w:rsidRPr="00A51392" w:rsidRDefault="007150E6" w:rsidP="008A36F9">
      <w:pPr>
        <w:jc w:val="center"/>
        <w:rPr>
          <w:rFonts w:ascii="Arial" w:hAnsi="Arial" w:cs="Arial"/>
          <w:b/>
          <w:sz w:val="20"/>
          <w:szCs w:val="20"/>
          <w:lang w:val="fr-HT"/>
        </w:rPr>
      </w:pPr>
      <w:r w:rsidRPr="00A51392">
        <w:rPr>
          <w:rFonts w:ascii="Arial" w:hAnsi="Arial" w:cs="Arial"/>
          <w:b/>
          <w:sz w:val="20"/>
          <w:szCs w:val="20"/>
          <w:lang w:val="fr-HT"/>
        </w:rPr>
        <w:t xml:space="preserve">OBLIGATIONS </w:t>
      </w:r>
      <w:r w:rsidR="00441B22" w:rsidRPr="00A51392">
        <w:rPr>
          <w:rFonts w:ascii="Arial" w:hAnsi="Arial" w:cs="Arial"/>
          <w:b/>
          <w:sz w:val="20"/>
          <w:szCs w:val="20"/>
          <w:lang w:val="fr-HT"/>
        </w:rPr>
        <w:t>D’</w:t>
      </w:r>
      <w:r w:rsidRPr="00A51392">
        <w:rPr>
          <w:rFonts w:ascii="Arial" w:hAnsi="Arial" w:cs="Arial"/>
          <w:b/>
          <w:sz w:val="20"/>
          <w:szCs w:val="20"/>
          <w:lang w:val="fr-HT"/>
        </w:rPr>
        <w:t>ESS MINIMALES POUR LES CONTRACTANTS</w:t>
      </w:r>
    </w:p>
    <w:p w:rsidR="008A36F9" w:rsidRPr="00A51392" w:rsidRDefault="008A36F9" w:rsidP="008A36F9">
      <w:pPr>
        <w:jc w:val="center"/>
        <w:rPr>
          <w:rFonts w:ascii="Arial" w:hAnsi="Arial" w:cs="Arial"/>
          <w:b/>
          <w:sz w:val="20"/>
          <w:szCs w:val="20"/>
          <w:lang w:val="fr-HT"/>
        </w:rPr>
      </w:pPr>
      <w:r w:rsidRPr="00A51392">
        <w:rPr>
          <w:rFonts w:ascii="Arial" w:hAnsi="Arial" w:cs="Arial"/>
          <w:b/>
          <w:sz w:val="20"/>
          <w:szCs w:val="20"/>
          <w:lang w:val="fr-HT"/>
        </w:rPr>
        <w:t>PHASE</w:t>
      </w:r>
      <w:r w:rsidR="007150E6" w:rsidRPr="00A51392">
        <w:rPr>
          <w:rFonts w:ascii="Arial" w:hAnsi="Arial" w:cs="Arial"/>
          <w:b/>
          <w:sz w:val="20"/>
          <w:szCs w:val="20"/>
          <w:lang w:val="fr-HT"/>
        </w:rPr>
        <w:t xml:space="preserve"> DE CONSTRUCTION</w:t>
      </w:r>
    </w:p>
    <w:p w:rsidR="008A36F9" w:rsidRPr="00A51392" w:rsidRDefault="00D3152D" w:rsidP="008A36F9">
      <w:pPr>
        <w:jc w:val="center"/>
        <w:rPr>
          <w:rFonts w:ascii="Arial" w:hAnsi="Arial" w:cs="Arial"/>
          <w:b/>
          <w:sz w:val="20"/>
          <w:szCs w:val="20"/>
          <w:lang w:val="fr-HT"/>
        </w:rPr>
      </w:pPr>
      <w:r>
        <w:rPr>
          <w:rFonts w:ascii="Arial" w:hAnsi="Arial" w:cs="Arial"/>
          <w:b/>
          <w:sz w:val="20"/>
          <w:szCs w:val="20"/>
          <w:lang w:val="fr-HT"/>
        </w:rPr>
        <w:t>PYE KABWET</w:t>
      </w:r>
    </w:p>
    <w:p w:rsidR="009A77D0" w:rsidRPr="00A51392" w:rsidRDefault="007150E6">
      <w:pPr>
        <w:rPr>
          <w:rFonts w:ascii="Arial" w:hAnsi="Arial" w:cs="Arial"/>
          <w:sz w:val="20"/>
          <w:szCs w:val="20"/>
          <w:lang w:val="fr-HT"/>
        </w:rPr>
      </w:pPr>
      <w:r w:rsidRPr="00A51392">
        <w:rPr>
          <w:rFonts w:ascii="Arial" w:hAnsi="Arial" w:cs="Arial"/>
          <w:sz w:val="20"/>
          <w:szCs w:val="20"/>
          <w:lang w:val="fr-HT"/>
        </w:rPr>
        <w:t>Pendant la phase de construction, le Contractant devrait dével</w:t>
      </w:r>
      <w:r w:rsidR="0006759E" w:rsidRPr="00A51392">
        <w:rPr>
          <w:rFonts w:ascii="Arial" w:hAnsi="Arial" w:cs="Arial"/>
          <w:sz w:val="20"/>
          <w:szCs w:val="20"/>
          <w:lang w:val="fr-HT"/>
        </w:rPr>
        <w:t>opp</w:t>
      </w:r>
      <w:r w:rsidR="009607A9" w:rsidRPr="00A51392">
        <w:rPr>
          <w:rFonts w:ascii="Arial" w:hAnsi="Arial" w:cs="Arial"/>
          <w:sz w:val="20"/>
          <w:szCs w:val="20"/>
          <w:lang w:val="fr-HT"/>
        </w:rPr>
        <w:t>er et mettre en œuvre</w:t>
      </w:r>
      <w:r w:rsidR="0006759E" w:rsidRPr="00A51392">
        <w:rPr>
          <w:rFonts w:ascii="Arial" w:hAnsi="Arial" w:cs="Arial"/>
          <w:sz w:val="20"/>
          <w:szCs w:val="20"/>
          <w:lang w:val="fr-HT"/>
        </w:rPr>
        <w:t xml:space="preserve"> un Cadre</w:t>
      </w:r>
      <w:r w:rsidRPr="00A51392">
        <w:rPr>
          <w:rFonts w:ascii="Arial" w:hAnsi="Arial" w:cs="Arial"/>
          <w:sz w:val="20"/>
          <w:szCs w:val="20"/>
          <w:lang w:val="fr-HT"/>
        </w:rPr>
        <w:t xml:space="preserve"> de Gestion Environnementale, Sociale et de la Santé et Sécurité (ESS) qui conforme avec la législation Haïtien et les normes et meilleures pratiques internationales soulignés par le IFC</w:t>
      </w:r>
      <w:r w:rsidR="00255E57">
        <w:rPr>
          <w:rFonts w:ascii="Arial" w:hAnsi="Arial" w:cs="Arial"/>
          <w:sz w:val="20"/>
          <w:szCs w:val="20"/>
          <w:lang w:val="fr-HT"/>
        </w:rPr>
        <w:t xml:space="preserve"> (Société Financière Internationale/Groupe de la Banque Mondiale) </w:t>
      </w:r>
      <w:r w:rsidRPr="00A51392">
        <w:rPr>
          <w:rFonts w:ascii="Arial" w:hAnsi="Arial" w:cs="Arial"/>
          <w:sz w:val="20"/>
          <w:szCs w:val="20"/>
          <w:lang w:val="fr-HT"/>
        </w:rPr>
        <w:t xml:space="preserve">dans leurs </w:t>
      </w:r>
      <w:r w:rsidR="00441B22" w:rsidRPr="00A51392">
        <w:rPr>
          <w:rFonts w:ascii="Arial" w:hAnsi="Arial" w:cs="Arial"/>
          <w:sz w:val="20"/>
          <w:szCs w:val="20"/>
          <w:lang w:val="fr-HT"/>
        </w:rPr>
        <w:t>Directives environnementales, sanitaires et sécuritaires</w:t>
      </w:r>
      <w:r w:rsidRPr="00A51392">
        <w:rPr>
          <w:rFonts w:ascii="Arial" w:hAnsi="Arial" w:cs="Arial"/>
          <w:sz w:val="20"/>
          <w:szCs w:val="20"/>
          <w:lang w:val="fr-HT"/>
        </w:rPr>
        <w:t xml:space="preserve">.  </w:t>
      </w:r>
    </w:p>
    <w:p w:rsidR="003671CA" w:rsidRPr="00A51392" w:rsidRDefault="0006759E" w:rsidP="003671CA">
      <w:pPr>
        <w:rPr>
          <w:rFonts w:ascii="Arial" w:hAnsi="Arial" w:cs="Arial"/>
          <w:sz w:val="20"/>
          <w:szCs w:val="20"/>
          <w:lang w:val="fr-HT"/>
        </w:rPr>
      </w:pPr>
      <w:r w:rsidRPr="00A51392">
        <w:rPr>
          <w:rFonts w:ascii="Arial" w:hAnsi="Arial" w:cs="Arial"/>
          <w:sz w:val="20"/>
          <w:szCs w:val="20"/>
          <w:lang w:val="fr-HT"/>
        </w:rPr>
        <w:t>Le Cadre de Gestion ESS devrait inclu</w:t>
      </w:r>
      <w:r w:rsidR="00441B22" w:rsidRPr="00A51392">
        <w:rPr>
          <w:rFonts w:ascii="Arial" w:hAnsi="Arial" w:cs="Arial"/>
          <w:sz w:val="20"/>
          <w:szCs w:val="20"/>
          <w:lang w:val="fr-HT"/>
        </w:rPr>
        <w:t>re, au minimum, les plans de gestion suivants</w:t>
      </w:r>
      <w:r w:rsidR="00255E57">
        <w:rPr>
          <w:rFonts w:ascii="Arial" w:hAnsi="Arial" w:cs="Arial"/>
          <w:sz w:val="20"/>
          <w:szCs w:val="20"/>
          <w:lang w:val="fr-HT"/>
        </w:rPr>
        <w:t xml:space="preserve">, selon il soit </w:t>
      </w:r>
      <w:proofErr w:type="gramStart"/>
      <w:r w:rsidR="00255E57">
        <w:rPr>
          <w:rFonts w:ascii="Arial" w:hAnsi="Arial" w:cs="Arial"/>
          <w:sz w:val="20"/>
          <w:szCs w:val="20"/>
          <w:lang w:val="fr-HT"/>
        </w:rPr>
        <w:t>applicable</w:t>
      </w:r>
      <w:r w:rsidR="00255E57" w:rsidRPr="00A51392">
        <w:rPr>
          <w:rFonts w:ascii="Arial" w:hAnsi="Arial" w:cs="Arial"/>
          <w:sz w:val="20"/>
          <w:szCs w:val="20"/>
          <w:lang w:val="fr-HT"/>
        </w:rPr>
        <w:t> </w:t>
      </w:r>
      <w:r w:rsidR="00441B22" w:rsidRPr="00A51392">
        <w:rPr>
          <w:rFonts w:ascii="Arial" w:hAnsi="Arial" w:cs="Arial"/>
          <w:sz w:val="20"/>
          <w:szCs w:val="20"/>
          <w:lang w:val="fr-HT"/>
        </w:rPr>
        <w:t> :</w:t>
      </w:r>
      <w:proofErr w:type="gramEnd"/>
      <w:r w:rsidR="003671CA" w:rsidRPr="00A51392">
        <w:rPr>
          <w:rFonts w:ascii="Arial" w:hAnsi="Arial" w:cs="Arial"/>
          <w:sz w:val="20"/>
          <w:szCs w:val="20"/>
          <w:lang w:val="fr-HT"/>
        </w:rPr>
        <w:t xml:space="preserve"> </w:t>
      </w:r>
    </w:p>
    <w:p w:rsidR="009607A9" w:rsidRPr="00A51392" w:rsidRDefault="00E06A64" w:rsidP="003671CA">
      <w:pPr>
        <w:pStyle w:val="PlainText"/>
        <w:numPr>
          <w:ilvl w:val="0"/>
          <w:numId w:val="2"/>
        </w:numPr>
        <w:autoSpaceDE w:val="0"/>
        <w:autoSpaceDN w:val="0"/>
        <w:adjustRightInd w:val="0"/>
        <w:ind w:left="360"/>
        <w:jc w:val="both"/>
        <w:rPr>
          <w:rFonts w:ascii="Arial" w:hAnsi="Arial" w:cs="Arial"/>
          <w:sz w:val="20"/>
          <w:szCs w:val="20"/>
          <w:lang w:val="fr-HT"/>
        </w:rPr>
      </w:pPr>
      <w:r w:rsidRPr="00A51392">
        <w:rPr>
          <w:rFonts w:ascii="Arial" w:hAnsi="Arial" w:cs="Arial"/>
          <w:b/>
          <w:sz w:val="20"/>
          <w:szCs w:val="20"/>
          <w:lang w:val="fr-HT"/>
        </w:rPr>
        <w:t>Plan de Gestion d’</w:t>
      </w:r>
      <w:r w:rsidR="003671CA" w:rsidRPr="00A51392">
        <w:rPr>
          <w:rFonts w:ascii="Arial" w:hAnsi="Arial" w:cs="Arial"/>
          <w:b/>
          <w:sz w:val="20"/>
          <w:szCs w:val="20"/>
          <w:lang w:val="fr-HT"/>
        </w:rPr>
        <w:t>Influx</w:t>
      </w:r>
      <w:r w:rsidR="003671CA" w:rsidRPr="00A51392">
        <w:rPr>
          <w:rFonts w:ascii="Arial" w:hAnsi="Arial" w:cs="Arial"/>
          <w:sz w:val="20"/>
          <w:szCs w:val="20"/>
          <w:lang w:val="fr-HT"/>
        </w:rPr>
        <w:t xml:space="preserve">, </w:t>
      </w:r>
      <w:r w:rsidR="009607A9" w:rsidRPr="00A51392">
        <w:rPr>
          <w:rFonts w:ascii="Arial" w:hAnsi="Arial" w:cs="Arial"/>
          <w:sz w:val="20"/>
          <w:szCs w:val="20"/>
          <w:lang w:val="fr-HT"/>
        </w:rPr>
        <w:t>y compris gestion de limites, politique et procédures d’embauche locale, plan de communication :</w:t>
      </w:r>
    </w:p>
    <w:p w:rsidR="003671CA" w:rsidRPr="00A51392" w:rsidRDefault="003671CA" w:rsidP="009607A9">
      <w:pPr>
        <w:pStyle w:val="PlainText"/>
        <w:autoSpaceDE w:val="0"/>
        <w:autoSpaceDN w:val="0"/>
        <w:adjustRightInd w:val="0"/>
        <w:ind w:left="360"/>
        <w:jc w:val="both"/>
        <w:rPr>
          <w:rFonts w:ascii="Arial" w:hAnsi="Arial" w:cs="Arial"/>
          <w:sz w:val="20"/>
          <w:szCs w:val="20"/>
          <w:lang w:val="fr-HT"/>
        </w:rPr>
      </w:pPr>
      <w:r w:rsidRPr="00A51392">
        <w:rPr>
          <w:rFonts w:ascii="Arial" w:hAnsi="Arial" w:cs="Arial"/>
          <w:sz w:val="20"/>
          <w:szCs w:val="20"/>
          <w:lang w:val="fr-HT"/>
        </w:rPr>
        <w:t xml:space="preserve"> </w:t>
      </w:r>
    </w:p>
    <w:p w:rsidR="003671CA" w:rsidRDefault="009C6FDA"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proofErr w:type="spellStart"/>
      <w:r>
        <w:rPr>
          <w:rFonts w:ascii="Arial" w:hAnsi="Arial" w:cs="Arial"/>
          <w:i/>
          <w:sz w:val="20"/>
          <w:szCs w:val="20"/>
          <w:lang w:val="fr-HT"/>
        </w:rPr>
        <w:t>Clô</w:t>
      </w:r>
      <w:r w:rsidR="00921326" w:rsidRPr="00A51392">
        <w:rPr>
          <w:rFonts w:ascii="Arial" w:hAnsi="Arial" w:cs="Arial"/>
          <w:i/>
          <w:sz w:val="20"/>
          <w:szCs w:val="20"/>
          <w:lang w:val="fr-HT"/>
        </w:rPr>
        <w:t>turage</w:t>
      </w:r>
      <w:proofErr w:type="spellEnd"/>
      <w:r w:rsidR="00921326" w:rsidRPr="00A51392">
        <w:rPr>
          <w:rFonts w:ascii="Arial" w:hAnsi="Arial" w:cs="Arial"/>
          <w:i/>
          <w:sz w:val="20"/>
          <w:szCs w:val="20"/>
          <w:lang w:val="fr-HT"/>
        </w:rPr>
        <w:t xml:space="preserve"> et gestion des limites</w:t>
      </w:r>
      <w:r w:rsidR="003671CA" w:rsidRPr="00A51392">
        <w:rPr>
          <w:rFonts w:ascii="Arial" w:hAnsi="Arial" w:cs="Arial"/>
          <w:sz w:val="20"/>
          <w:szCs w:val="20"/>
          <w:lang w:val="fr-HT"/>
        </w:rPr>
        <w:t xml:space="preserve">: </w:t>
      </w:r>
      <w:r w:rsidR="00921326" w:rsidRPr="00A51392">
        <w:rPr>
          <w:rFonts w:ascii="Arial" w:hAnsi="Arial" w:cs="Arial"/>
          <w:sz w:val="20"/>
          <w:szCs w:val="20"/>
          <w:lang w:val="fr-HT"/>
        </w:rPr>
        <w:t xml:space="preserve">la clôture devrait rendre le site </w:t>
      </w:r>
      <w:r w:rsidR="003671CA" w:rsidRPr="00A51392">
        <w:rPr>
          <w:rFonts w:ascii="Arial" w:hAnsi="Arial" w:cs="Arial"/>
          <w:sz w:val="20"/>
          <w:szCs w:val="20"/>
          <w:lang w:val="fr-HT"/>
        </w:rPr>
        <w:t xml:space="preserve">inaccessible </w:t>
      </w:r>
      <w:r w:rsidR="00921326" w:rsidRPr="00A51392">
        <w:rPr>
          <w:rFonts w:ascii="Arial" w:hAnsi="Arial" w:cs="Arial"/>
          <w:sz w:val="20"/>
          <w:szCs w:val="20"/>
          <w:lang w:val="fr-HT"/>
        </w:rPr>
        <w:t>aux individus non autorisés, signalisation appropriée, et surveillance constante.</w:t>
      </w:r>
      <w:r w:rsidR="003671CA" w:rsidRPr="00A51392">
        <w:rPr>
          <w:rFonts w:ascii="Arial" w:hAnsi="Arial" w:cs="Arial"/>
          <w:sz w:val="20"/>
          <w:szCs w:val="20"/>
          <w:lang w:val="fr-HT"/>
        </w:rPr>
        <w:t xml:space="preserve"> </w:t>
      </w:r>
    </w:p>
    <w:p w:rsidR="00E8104E" w:rsidRPr="00A51392" w:rsidRDefault="00E8104E" w:rsidP="00E8104E">
      <w:pPr>
        <w:pStyle w:val="ListParagraph"/>
        <w:autoSpaceDE w:val="0"/>
        <w:autoSpaceDN w:val="0"/>
        <w:adjustRightInd w:val="0"/>
        <w:spacing w:after="0" w:line="240" w:lineRule="auto"/>
        <w:jc w:val="both"/>
        <w:rPr>
          <w:rFonts w:ascii="Arial" w:hAnsi="Arial" w:cs="Arial"/>
          <w:sz w:val="20"/>
          <w:szCs w:val="20"/>
          <w:lang w:val="fr-HT"/>
        </w:rPr>
      </w:pPr>
    </w:p>
    <w:p w:rsidR="003671CA" w:rsidRPr="00A51392" w:rsidRDefault="00921326"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r w:rsidRPr="00A51392">
        <w:rPr>
          <w:rFonts w:ascii="Arial" w:hAnsi="Arial" w:cs="Arial"/>
          <w:i/>
          <w:sz w:val="20"/>
          <w:szCs w:val="20"/>
          <w:lang w:val="fr-HT"/>
        </w:rPr>
        <w:t>Embauche locale/</w:t>
      </w:r>
      <w:r w:rsidR="003671CA" w:rsidRPr="00A51392">
        <w:rPr>
          <w:rFonts w:ascii="Arial" w:hAnsi="Arial" w:cs="Arial"/>
          <w:i/>
          <w:sz w:val="20"/>
          <w:szCs w:val="20"/>
          <w:lang w:val="fr-HT"/>
        </w:rPr>
        <w:t>plan</w:t>
      </w:r>
      <w:r w:rsidRPr="00A51392">
        <w:rPr>
          <w:rFonts w:ascii="Arial" w:hAnsi="Arial" w:cs="Arial"/>
          <w:i/>
          <w:sz w:val="20"/>
          <w:szCs w:val="20"/>
          <w:lang w:val="fr-HT"/>
        </w:rPr>
        <w:t xml:space="preserve"> de recrutement</w:t>
      </w:r>
      <w:r w:rsidR="003671CA" w:rsidRPr="00A51392">
        <w:rPr>
          <w:rFonts w:ascii="Arial" w:hAnsi="Arial" w:cs="Arial"/>
          <w:sz w:val="20"/>
          <w:szCs w:val="20"/>
          <w:lang w:val="fr-HT"/>
        </w:rPr>
        <w:t xml:space="preserve">/ </w:t>
      </w:r>
      <w:r w:rsidRPr="00A51392">
        <w:rPr>
          <w:rFonts w:ascii="Arial" w:hAnsi="Arial" w:cs="Arial"/>
          <w:sz w:val="20"/>
          <w:szCs w:val="20"/>
          <w:lang w:val="fr-HT"/>
        </w:rPr>
        <w:t xml:space="preserve">politique de recrutement et </w:t>
      </w:r>
      <w:r w:rsidR="00A51392" w:rsidRPr="00A51392">
        <w:rPr>
          <w:rFonts w:ascii="Arial" w:hAnsi="Arial" w:cs="Arial"/>
          <w:sz w:val="20"/>
          <w:szCs w:val="20"/>
          <w:lang w:val="fr-HT"/>
        </w:rPr>
        <w:t>politique d’acquisition de biens et services :</w:t>
      </w:r>
      <w:r w:rsidR="003671CA" w:rsidRPr="00A51392">
        <w:rPr>
          <w:rFonts w:ascii="Arial" w:hAnsi="Arial" w:cs="Arial"/>
          <w:sz w:val="20"/>
          <w:szCs w:val="20"/>
          <w:lang w:val="fr-HT"/>
        </w:rPr>
        <w:t xml:space="preserve">  </w:t>
      </w:r>
    </w:p>
    <w:p w:rsidR="00CC2C8E" w:rsidRPr="00CC2C8E" w:rsidRDefault="00CC2C8E"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 xml:space="preserve">Consultation </w:t>
      </w:r>
      <w:r w:rsidRPr="00CC2C8E">
        <w:rPr>
          <w:rFonts w:ascii="Arial" w:hAnsi="Arial" w:cs="Arial"/>
          <w:sz w:val="20"/>
          <w:lang w:val="fr-FR"/>
        </w:rPr>
        <w:t>sur et mise en œuvre de projets de développement en partenariat avec le gouvernement local et des ONG. Elaboration et application d’un plan de recrutement au niveau local, et établissement de mesures viables pour la publication des postes disponibles.</w:t>
      </w:r>
    </w:p>
    <w:p w:rsidR="00A51392" w:rsidRDefault="00A51392"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sidRPr="00CC2C8E">
        <w:rPr>
          <w:rFonts w:ascii="Arial" w:hAnsi="Arial" w:cs="Arial"/>
          <w:sz w:val="20"/>
          <w:szCs w:val="20"/>
          <w:lang w:val="fr-HT"/>
        </w:rPr>
        <w:t>Les procédures d’embauche et d’acquisition devraient être largement diffusées</w:t>
      </w:r>
      <w:r w:rsidRPr="00A51392">
        <w:rPr>
          <w:rFonts w:ascii="Arial" w:hAnsi="Arial" w:cs="Arial"/>
          <w:sz w:val="20"/>
          <w:szCs w:val="20"/>
          <w:lang w:val="fr-HT"/>
        </w:rPr>
        <w:t xml:space="preserve"> au grand public à partir des bureaux de recrutement (bureaux administratives locaux tels comme la mairie) et les agents de relations communautaires pour éviter absolument tout recrutement ou acquisition “à la porte”. </w:t>
      </w:r>
    </w:p>
    <w:p w:rsidR="00A51392"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Des avertissements tel</w:t>
      </w:r>
      <w:r w:rsidR="00A51392">
        <w:rPr>
          <w:rFonts w:ascii="Arial" w:hAnsi="Arial" w:cs="Arial"/>
          <w:sz w:val="20"/>
          <w:szCs w:val="20"/>
          <w:lang w:val="fr-HT"/>
        </w:rPr>
        <w:t>s comme des brochures devraient être développées et distrib</w:t>
      </w:r>
      <w:r>
        <w:rPr>
          <w:rFonts w:ascii="Arial" w:hAnsi="Arial" w:cs="Arial"/>
          <w:sz w:val="20"/>
          <w:szCs w:val="20"/>
          <w:lang w:val="fr-HT"/>
        </w:rPr>
        <w:t>uées dans les communautés locales</w:t>
      </w:r>
      <w:r w:rsidR="00A51392">
        <w:rPr>
          <w:rFonts w:ascii="Arial" w:hAnsi="Arial" w:cs="Arial"/>
          <w:sz w:val="20"/>
          <w:szCs w:val="20"/>
          <w:lang w:val="fr-HT"/>
        </w:rPr>
        <w:t xml:space="preserve">, </w:t>
      </w:r>
      <w:r>
        <w:rPr>
          <w:rFonts w:ascii="Arial" w:hAnsi="Arial" w:cs="Arial"/>
          <w:sz w:val="20"/>
          <w:szCs w:val="20"/>
          <w:lang w:val="fr-HT"/>
        </w:rPr>
        <w:t>ainsi que dans les communautés d’où la migration est anticipée de provenir.</w:t>
      </w:r>
    </w:p>
    <w:p w:rsidR="00BB7F8D"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 xml:space="preserve">Le recrutement devrait être également distribué entre les communautés locales. Le contractant devrait fournir une liste d’offres d’emploi aux bureaux de recrutement, y compris le formulaire de candidature officiel. </w:t>
      </w:r>
    </w:p>
    <w:p w:rsidR="00E8104E" w:rsidRPr="00A51392" w:rsidRDefault="00E8104E" w:rsidP="00E8104E">
      <w:pPr>
        <w:pStyle w:val="ListParagraph"/>
        <w:autoSpaceDE w:val="0"/>
        <w:autoSpaceDN w:val="0"/>
        <w:adjustRightInd w:val="0"/>
        <w:spacing w:after="0" w:line="240" w:lineRule="auto"/>
        <w:ind w:left="1440"/>
        <w:jc w:val="both"/>
        <w:rPr>
          <w:rFonts w:ascii="Arial" w:hAnsi="Arial" w:cs="Arial"/>
          <w:sz w:val="20"/>
          <w:szCs w:val="20"/>
          <w:lang w:val="fr-HT"/>
        </w:rPr>
      </w:pPr>
    </w:p>
    <w:p w:rsidR="00E54040" w:rsidRPr="00BB7F8D" w:rsidRDefault="00BB7F8D" w:rsidP="00BB7F8D">
      <w:pPr>
        <w:pStyle w:val="ListParagraph"/>
        <w:numPr>
          <w:ilvl w:val="0"/>
          <w:numId w:val="3"/>
        </w:numPr>
        <w:autoSpaceDE w:val="0"/>
        <w:autoSpaceDN w:val="0"/>
        <w:adjustRightInd w:val="0"/>
        <w:spacing w:after="0" w:line="240" w:lineRule="auto"/>
        <w:jc w:val="both"/>
        <w:rPr>
          <w:rFonts w:ascii="Arial" w:hAnsi="Arial" w:cs="Arial"/>
          <w:i/>
          <w:sz w:val="20"/>
          <w:szCs w:val="20"/>
          <w:lang w:val="fr-HT"/>
        </w:rPr>
      </w:pPr>
      <w:r>
        <w:rPr>
          <w:rFonts w:ascii="Arial" w:hAnsi="Arial" w:cs="Arial"/>
          <w:i/>
          <w:sz w:val="20"/>
          <w:szCs w:val="20"/>
          <w:lang w:val="fr-HT"/>
        </w:rPr>
        <w:t>Stratégie de communication</w:t>
      </w:r>
      <w:r w:rsidR="003671CA" w:rsidRPr="00A51392">
        <w:rPr>
          <w:rFonts w:ascii="Arial" w:hAnsi="Arial" w:cs="Arial"/>
          <w:i/>
          <w:sz w:val="20"/>
          <w:szCs w:val="20"/>
          <w:lang w:val="fr-HT"/>
        </w:rPr>
        <w:t>:</w:t>
      </w:r>
      <w:r w:rsidR="003671CA" w:rsidRPr="00BB7F8D">
        <w:rPr>
          <w:rFonts w:ascii="Arial" w:hAnsi="Arial" w:cs="Arial"/>
          <w:i/>
          <w:sz w:val="20"/>
          <w:szCs w:val="20"/>
          <w:lang w:val="fr-HT"/>
        </w:rPr>
        <w:t xml:space="preserve"> </w:t>
      </w:r>
    </w:p>
    <w:p w:rsidR="00CC2C8E" w:rsidRPr="00CC2C8E" w:rsidRDefault="00CC2C8E"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sidRPr="00CC2C8E">
        <w:rPr>
          <w:rFonts w:ascii="Arial" w:hAnsi="Arial" w:cs="Arial"/>
          <w:sz w:val="20"/>
          <w:szCs w:val="20"/>
          <w:lang w:val="fr-HT"/>
        </w:rPr>
        <w:t>Gestion des attentes via l’élaboration et l’application d’un Plan de Dialogue avec les Parties Prenantes.</w:t>
      </w:r>
    </w:p>
    <w:p w:rsidR="00BB7F8D" w:rsidRDefault="00BB7F8D"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Le contractant devrait mettre en œuvre un</w:t>
      </w:r>
      <w:r w:rsidR="009C6FDA">
        <w:rPr>
          <w:rFonts w:ascii="Arial" w:hAnsi="Arial" w:cs="Arial"/>
          <w:sz w:val="20"/>
          <w:szCs w:val="20"/>
          <w:lang w:val="fr-HT"/>
        </w:rPr>
        <w:t>e</w:t>
      </w:r>
      <w:r>
        <w:rPr>
          <w:rFonts w:ascii="Arial" w:hAnsi="Arial" w:cs="Arial"/>
          <w:sz w:val="20"/>
          <w:szCs w:val="20"/>
          <w:lang w:val="fr-HT"/>
        </w:rPr>
        <w:t xml:space="preserve"> campagne énergique (par radio, brochures et autres moyens appropriés à la culture locale) pour fournir des informations à propos du Projet et les procédures d’embauche, dans toute communauté d’où on attend la migration.</w:t>
      </w:r>
    </w:p>
    <w:p w:rsidR="00BB7F8D" w:rsidRPr="00E8104E" w:rsidRDefault="00BB7F8D"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sidRPr="00E8104E">
        <w:rPr>
          <w:rFonts w:ascii="Arial" w:hAnsi="Arial" w:cs="Arial"/>
          <w:sz w:val="20"/>
          <w:szCs w:val="20"/>
          <w:lang w:val="fr-HT"/>
        </w:rPr>
        <w:t>Le contractant ou le Projet devrait installer des Bureaux de Projet dans les communautés locales. Alternativement, les Bureaux de Project devraient être mobiles.</w:t>
      </w:r>
    </w:p>
    <w:p w:rsidR="00512A92" w:rsidRDefault="00512A92"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 xml:space="preserve">Le contractant devrait avoir, en minimum, un agent de relations communautaire pour faire la liaison directe avec les communautés, et pour gérer le système de réclamation </w:t>
      </w:r>
    </w:p>
    <w:p w:rsidR="00E8104E" w:rsidRDefault="00E8104E" w:rsidP="00E8104E">
      <w:pPr>
        <w:pStyle w:val="ListParagraph"/>
        <w:tabs>
          <w:tab w:val="left" w:pos="1440"/>
        </w:tabs>
        <w:autoSpaceDE w:val="0"/>
        <w:autoSpaceDN w:val="0"/>
        <w:adjustRightInd w:val="0"/>
        <w:spacing w:after="0" w:line="240" w:lineRule="auto"/>
        <w:ind w:left="1440"/>
        <w:jc w:val="both"/>
        <w:rPr>
          <w:rFonts w:ascii="Arial" w:hAnsi="Arial" w:cs="Arial"/>
          <w:sz w:val="20"/>
          <w:szCs w:val="20"/>
          <w:lang w:val="fr-HT"/>
        </w:rPr>
      </w:pPr>
    </w:p>
    <w:p w:rsidR="00A77585" w:rsidRPr="00A51392" w:rsidRDefault="00512A92" w:rsidP="00A77585">
      <w:pPr>
        <w:pStyle w:val="ListParagraph"/>
        <w:numPr>
          <w:ilvl w:val="0"/>
          <w:numId w:val="3"/>
        </w:numPr>
        <w:autoSpaceDE w:val="0"/>
        <w:autoSpaceDN w:val="0"/>
        <w:adjustRightInd w:val="0"/>
        <w:spacing w:after="0" w:line="240" w:lineRule="auto"/>
        <w:jc w:val="both"/>
        <w:rPr>
          <w:rFonts w:ascii="Arial" w:hAnsi="Arial" w:cs="Arial"/>
          <w:i/>
          <w:sz w:val="20"/>
          <w:szCs w:val="20"/>
          <w:lang w:val="fr-HT"/>
        </w:rPr>
      </w:pPr>
      <w:r>
        <w:rPr>
          <w:rFonts w:ascii="Arial" w:hAnsi="Arial" w:cs="Arial"/>
          <w:i/>
          <w:sz w:val="20"/>
          <w:szCs w:val="20"/>
          <w:lang w:val="fr-HT"/>
        </w:rPr>
        <w:t>Politique et procédures de t</w:t>
      </w:r>
      <w:r w:rsidR="00A77585" w:rsidRPr="00A51392">
        <w:rPr>
          <w:rFonts w:ascii="Arial" w:hAnsi="Arial" w:cs="Arial"/>
          <w:i/>
          <w:sz w:val="20"/>
          <w:szCs w:val="20"/>
          <w:lang w:val="fr-HT"/>
        </w:rPr>
        <w:t>ransportation</w:t>
      </w:r>
      <w:r>
        <w:rPr>
          <w:rFonts w:ascii="Arial" w:hAnsi="Arial" w:cs="Arial"/>
          <w:i/>
          <w:sz w:val="20"/>
          <w:szCs w:val="20"/>
          <w:lang w:val="fr-HT"/>
        </w:rPr>
        <w:t xml:space="preserve"> et logistiques</w:t>
      </w:r>
      <w:r w:rsidR="00A77585" w:rsidRPr="00A51392">
        <w:rPr>
          <w:rFonts w:ascii="Arial" w:hAnsi="Arial" w:cs="Arial"/>
          <w:i/>
          <w:sz w:val="20"/>
          <w:szCs w:val="20"/>
          <w:lang w:val="fr-HT"/>
        </w:rPr>
        <w:t>:</w:t>
      </w:r>
    </w:p>
    <w:p w:rsidR="00512A92" w:rsidRDefault="00255E57" w:rsidP="00A77585">
      <w:pPr>
        <w:pStyle w:val="ListParagraph"/>
        <w:numPr>
          <w:ilvl w:val="0"/>
          <w:numId w:val="7"/>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En cas qu’il aura besoin de transporter de ouvriers aux sites des travaux, l</w:t>
      </w:r>
      <w:r w:rsidR="00512A92">
        <w:rPr>
          <w:rFonts w:ascii="Arial" w:hAnsi="Arial" w:cs="Arial"/>
          <w:sz w:val="20"/>
          <w:szCs w:val="20"/>
          <w:lang w:val="fr-HT"/>
        </w:rPr>
        <w:t xml:space="preserve">e contractant devrait assurer que les ouvriers sont transportés au chantier directement à </w:t>
      </w:r>
      <w:proofErr w:type="gramStart"/>
      <w:r w:rsidR="00512A92">
        <w:rPr>
          <w:rFonts w:ascii="Arial" w:hAnsi="Arial" w:cs="Arial"/>
          <w:sz w:val="20"/>
          <w:szCs w:val="20"/>
          <w:lang w:val="fr-HT"/>
        </w:rPr>
        <w:t>partir de points</w:t>
      </w:r>
      <w:proofErr w:type="gramEnd"/>
      <w:r w:rsidR="00512A92">
        <w:rPr>
          <w:rFonts w:ascii="Arial" w:hAnsi="Arial" w:cs="Arial"/>
          <w:sz w:val="20"/>
          <w:szCs w:val="20"/>
          <w:lang w:val="fr-HT"/>
        </w:rPr>
        <w:t xml:space="preserve"> d’embarquement préétablis, avec véhicules désignés pour le Projet</w:t>
      </w:r>
    </w:p>
    <w:p w:rsidR="00512A92" w:rsidRDefault="00512A92" w:rsidP="00A77585">
      <w:pPr>
        <w:pStyle w:val="ListParagraph"/>
        <w:numPr>
          <w:ilvl w:val="0"/>
          <w:numId w:val="7"/>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lastRenderedPageBreak/>
        <w:t xml:space="preserve">Le plan de transportation devrait assurer que l’itinéraire d’embarquement/de débarquement évite des situations d’interaction entre les ouvriers et les communautés autre que la communauté du ouvrier.  </w:t>
      </w:r>
    </w:p>
    <w:p w:rsidR="00512A92" w:rsidRDefault="00512A92" w:rsidP="00A77585">
      <w:pPr>
        <w:pStyle w:val="ListParagraph"/>
        <w:numPr>
          <w:ilvl w:val="0"/>
          <w:numId w:val="7"/>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 xml:space="preserve">En développant le plan de logistiques et pendant la sélection de routes d’accès, le contractant devrait prendre en compte le potentiel </w:t>
      </w:r>
      <w:r w:rsidR="00091B52">
        <w:rPr>
          <w:rFonts w:ascii="Arial" w:hAnsi="Arial" w:cs="Arial"/>
          <w:sz w:val="20"/>
          <w:szCs w:val="20"/>
          <w:lang w:val="fr-HT"/>
        </w:rPr>
        <w:t>de provoquer l’influx au site, ainsi que la sécurité de la communauté affectée.</w:t>
      </w:r>
      <w:r>
        <w:rPr>
          <w:rFonts w:ascii="Arial" w:hAnsi="Arial" w:cs="Arial"/>
          <w:sz w:val="20"/>
          <w:szCs w:val="20"/>
          <w:lang w:val="fr-HT"/>
        </w:rPr>
        <w:t xml:space="preserve"> </w:t>
      </w:r>
    </w:p>
    <w:p w:rsidR="00893BFF" w:rsidRDefault="00091B52" w:rsidP="003671CA">
      <w:pPr>
        <w:pStyle w:val="ListParagraph"/>
        <w:numPr>
          <w:ilvl w:val="0"/>
          <w:numId w:val="7"/>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Pendant la sélection de routes d’accès, le contractant devrait planifier la route, les logistiques et les procédures pour transporter les équipements et charges lourdes, identifiant tous</w:t>
      </w:r>
      <w:r w:rsidR="0036027C">
        <w:rPr>
          <w:rFonts w:ascii="Arial" w:hAnsi="Arial" w:cs="Arial"/>
          <w:sz w:val="20"/>
          <w:szCs w:val="20"/>
          <w:lang w:val="fr-HT"/>
        </w:rPr>
        <w:t xml:space="preserve"> les zones de risque potentiel</w:t>
      </w:r>
      <w:r>
        <w:rPr>
          <w:rFonts w:ascii="Arial" w:hAnsi="Arial" w:cs="Arial"/>
          <w:sz w:val="20"/>
          <w:szCs w:val="20"/>
          <w:lang w:val="fr-HT"/>
        </w:rPr>
        <w:t xml:space="preserve"> en relation au transport ainsi que la sécurité communautaire, et éviter ces zones au mesure possible ou fournir </w:t>
      </w:r>
      <w:proofErr w:type="gramStart"/>
      <w:r>
        <w:rPr>
          <w:rFonts w:ascii="Arial" w:hAnsi="Arial" w:cs="Arial"/>
          <w:sz w:val="20"/>
          <w:szCs w:val="20"/>
          <w:lang w:val="fr-HT"/>
        </w:rPr>
        <w:t>des mesures appropriés</w:t>
      </w:r>
      <w:proofErr w:type="gramEnd"/>
      <w:r>
        <w:rPr>
          <w:rFonts w:ascii="Arial" w:hAnsi="Arial" w:cs="Arial"/>
          <w:sz w:val="20"/>
          <w:szCs w:val="20"/>
          <w:lang w:val="fr-HT"/>
        </w:rPr>
        <w:t xml:space="preserve"> pour réduire les risques</w:t>
      </w:r>
      <w:r w:rsidR="00E70940" w:rsidRPr="00091B52">
        <w:rPr>
          <w:rFonts w:ascii="Arial" w:hAnsi="Arial" w:cs="Arial"/>
          <w:sz w:val="20"/>
          <w:szCs w:val="20"/>
          <w:lang w:val="fr-HT"/>
        </w:rPr>
        <w:t>.</w:t>
      </w:r>
    </w:p>
    <w:p w:rsidR="003068BA" w:rsidRPr="003068BA" w:rsidRDefault="003068BA" w:rsidP="003068BA">
      <w:pPr>
        <w:pStyle w:val="PlainText"/>
        <w:tabs>
          <w:tab w:val="left" w:pos="0"/>
        </w:tabs>
        <w:rPr>
          <w:rFonts w:ascii="Arial" w:hAnsi="Arial" w:cs="Arial"/>
          <w:sz w:val="20"/>
          <w:szCs w:val="20"/>
          <w:lang w:val="fr-HT"/>
        </w:rPr>
      </w:pPr>
    </w:p>
    <w:p w:rsidR="00091B52" w:rsidRPr="00E8104E" w:rsidRDefault="00091B52" w:rsidP="00E8104E">
      <w:pPr>
        <w:pStyle w:val="PlainText"/>
        <w:numPr>
          <w:ilvl w:val="0"/>
          <w:numId w:val="34"/>
        </w:numPr>
        <w:tabs>
          <w:tab w:val="left" w:pos="0"/>
        </w:tabs>
        <w:ind w:left="270" w:hanging="270"/>
        <w:rPr>
          <w:rFonts w:ascii="Arial" w:hAnsi="Arial" w:cs="Arial"/>
          <w:sz w:val="20"/>
          <w:szCs w:val="20"/>
          <w:lang w:val="fr-HT"/>
        </w:rPr>
      </w:pPr>
      <w:r w:rsidRPr="00E8104E">
        <w:rPr>
          <w:rFonts w:ascii="Arial" w:hAnsi="Arial" w:cs="Arial"/>
          <w:i/>
          <w:sz w:val="20"/>
          <w:szCs w:val="20"/>
          <w:lang w:val="fr-HT"/>
        </w:rPr>
        <w:t>Système de réclamation</w:t>
      </w:r>
      <w:r>
        <w:rPr>
          <w:rFonts w:ascii="Arial" w:hAnsi="Arial" w:cs="Arial"/>
          <w:sz w:val="20"/>
          <w:szCs w:val="20"/>
          <w:lang w:val="fr-HT"/>
        </w:rPr>
        <w:t xml:space="preserve"> : </w:t>
      </w:r>
      <w:r w:rsidRPr="00E8104E">
        <w:rPr>
          <w:rFonts w:ascii="Arial" w:hAnsi="Arial" w:cs="Arial"/>
          <w:sz w:val="20"/>
          <w:szCs w:val="20"/>
          <w:lang w:val="fr-HT"/>
        </w:rPr>
        <w:t xml:space="preserve">Conformément aux meilleurs pratiques internationaux soulignés dans les normes de performance de l’IFC, le contractant (directement ou via le promoteur du Projet) devrait développer un système de réclamation proportionnelle aux risques et impacts potentiels du Projet. Il devrait inclure un mécanisme pour répondre aux préoccupations des ouvriers et les communautés, dans une manière ponctuelle, transparent, facile à comprendre et appropriée à la culture locale. </w:t>
      </w:r>
      <w:r w:rsidR="00F065F8" w:rsidRPr="00E8104E">
        <w:rPr>
          <w:rFonts w:ascii="Arial" w:hAnsi="Arial" w:cs="Arial"/>
          <w:sz w:val="20"/>
          <w:szCs w:val="20"/>
          <w:lang w:val="fr-HT"/>
        </w:rPr>
        <w:t xml:space="preserve">Le système doit être facilement accessible à tous les segments de la population, gratuitement et sans rétribution. </w:t>
      </w:r>
    </w:p>
    <w:p w:rsidR="00F065F8" w:rsidRDefault="00F065F8" w:rsidP="00726C2B">
      <w:pPr>
        <w:pStyle w:val="PlainText"/>
        <w:numPr>
          <w:ilvl w:val="0"/>
          <w:numId w:val="24"/>
        </w:numPr>
        <w:rPr>
          <w:rFonts w:ascii="Arial" w:hAnsi="Arial" w:cs="Arial"/>
          <w:sz w:val="20"/>
          <w:szCs w:val="20"/>
          <w:lang w:val="fr-HT"/>
        </w:rPr>
      </w:pPr>
      <w:r>
        <w:rPr>
          <w:rFonts w:ascii="Arial" w:hAnsi="Arial" w:cs="Arial"/>
          <w:sz w:val="20"/>
          <w:szCs w:val="20"/>
          <w:lang w:val="fr-HT"/>
        </w:rPr>
        <w:t>Le mécanisme ne devrait pas remplacer ou entraver l’accès aux recours judiciaire ou administratif.</w:t>
      </w:r>
    </w:p>
    <w:p w:rsidR="00F065F8" w:rsidRDefault="00F065F8" w:rsidP="00726C2B">
      <w:pPr>
        <w:pStyle w:val="PlainText"/>
        <w:numPr>
          <w:ilvl w:val="0"/>
          <w:numId w:val="24"/>
        </w:numPr>
        <w:rPr>
          <w:rFonts w:ascii="Arial" w:hAnsi="Arial" w:cs="Arial"/>
          <w:sz w:val="20"/>
          <w:szCs w:val="20"/>
          <w:lang w:val="fr-HT"/>
        </w:rPr>
      </w:pPr>
      <w:r>
        <w:rPr>
          <w:rFonts w:ascii="Arial" w:hAnsi="Arial" w:cs="Arial"/>
          <w:sz w:val="20"/>
          <w:szCs w:val="20"/>
          <w:lang w:val="fr-HT"/>
        </w:rPr>
        <w:t xml:space="preserve">Le contractant devrait renseigner les communautés affectées sur le mécanisme au cours de son processus d’engagement communautaire. </w:t>
      </w:r>
    </w:p>
    <w:p w:rsidR="00F065F8" w:rsidRDefault="00F065F8" w:rsidP="00726C2B">
      <w:pPr>
        <w:pStyle w:val="PlainText"/>
        <w:numPr>
          <w:ilvl w:val="0"/>
          <w:numId w:val="24"/>
        </w:numPr>
        <w:rPr>
          <w:rFonts w:ascii="Arial" w:hAnsi="Arial" w:cs="Arial"/>
          <w:sz w:val="20"/>
          <w:szCs w:val="20"/>
          <w:lang w:val="fr-HT"/>
        </w:rPr>
      </w:pPr>
      <w:r>
        <w:rPr>
          <w:rFonts w:ascii="Arial" w:hAnsi="Arial" w:cs="Arial"/>
          <w:sz w:val="20"/>
          <w:szCs w:val="20"/>
          <w:lang w:val="fr-HT"/>
        </w:rPr>
        <w:t xml:space="preserve">Des informations écrites dans la langue ou dialecte appropriée devraient être disponibles dans tous les bureaux du Projet. Ces informations devraient inclure les procédures pour accéder les recours judiciaires et administratifs, dans les cas où un consensus ne peut être atteint. </w:t>
      </w:r>
    </w:p>
    <w:p w:rsidR="00726C2B" w:rsidRPr="00E8104E" w:rsidRDefault="00F065F8" w:rsidP="00726C2B">
      <w:pPr>
        <w:pStyle w:val="PlainText"/>
        <w:numPr>
          <w:ilvl w:val="0"/>
          <w:numId w:val="24"/>
        </w:numPr>
        <w:rPr>
          <w:rFonts w:ascii="Arial" w:hAnsi="Arial" w:cs="Arial"/>
          <w:sz w:val="20"/>
          <w:szCs w:val="20"/>
          <w:lang w:val="fr-HT"/>
        </w:rPr>
      </w:pPr>
      <w:r>
        <w:rPr>
          <w:rFonts w:ascii="Arial" w:hAnsi="Arial" w:cs="Arial"/>
          <w:sz w:val="20"/>
          <w:szCs w:val="20"/>
          <w:lang w:val="fr-HT"/>
        </w:rPr>
        <w:t>Les agents de relations communautaires devraient être bien informés sur le système de réclamation pour pouvoir répondre rapidement à toute question posé par les membres des communautés affectées.</w:t>
      </w:r>
    </w:p>
    <w:p w:rsidR="009C6FDA" w:rsidRPr="009C6FDA" w:rsidRDefault="009C6FDA" w:rsidP="00726C2B">
      <w:pPr>
        <w:pStyle w:val="ListParagraph"/>
        <w:numPr>
          <w:ilvl w:val="0"/>
          <w:numId w:val="34"/>
        </w:numPr>
        <w:autoSpaceDE w:val="0"/>
        <w:autoSpaceDN w:val="0"/>
        <w:adjustRightInd w:val="0"/>
        <w:spacing w:before="100" w:beforeAutospacing="1" w:after="100" w:afterAutospacing="1" w:line="240" w:lineRule="auto"/>
        <w:ind w:left="270" w:hanging="270"/>
        <w:jc w:val="both"/>
        <w:rPr>
          <w:rFonts w:ascii="Arial" w:hAnsi="Arial" w:cs="Arial"/>
          <w:sz w:val="20"/>
          <w:szCs w:val="20"/>
          <w:lang w:val="fr-HT"/>
        </w:rPr>
      </w:pPr>
      <w:r w:rsidRPr="00126FF1">
        <w:rPr>
          <w:rFonts w:ascii="Arial" w:hAnsi="Arial" w:cs="Arial"/>
          <w:i/>
          <w:sz w:val="20"/>
          <w:szCs w:val="20"/>
          <w:lang w:val="fr-HT"/>
        </w:rPr>
        <w:t>Plan de sécurité</w:t>
      </w:r>
      <w:r>
        <w:rPr>
          <w:rFonts w:ascii="Arial" w:hAnsi="Arial" w:cs="Arial"/>
          <w:sz w:val="20"/>
          <w:szCs w:val="20"/>
          <w:lang w:val="fr-HT"/>
        </w:rPr>
        <w:t> : Ce plan fait partie de la gestion d’influx et doit être soigneusement planifié et exécuté pour assurer que le contactant et le Projet adhérent aux Principes Volontaires sur la Sécurité et Droits de l’Homme, afin de minimiser les risques de réputation pour la BID. Un plan de sécurité bien coordonné avec les autorités gouvernementales</w:t>
      </w:r>
      <w:r w:rsidR="00126FF1">
        <w:rPr>
          <w:rFonts w:ascii="Arial" w:hAnsi="Arial" w:cs="Arial"/>
          <w:sz w:val="20"/>
          <w:szCs w:val="20"/>
          <w:lang w:val="fr-HT"/>
        </w:rPr>
        <w:t xml:space="preserve"> doit être en place pour </w:t>
      </w:r>
      <w:r w:rsidR="00255E57">
        <w:rPr>
          <w:rFonts w:ascii="Arial" w:hAnsi="Arial" w:cs="Arial"/>
          <w:sz w:val="20"/>
          <w:szCs w:val="20"/>
          <w:lang w:val="fr-HT"/>
        </w:rPr>
        <w:t xml:space="preserve">assurer la sécurité des machines et équipements, ainsi que </w:t>
      </w:r>
      <w:r w:rsidR="00126FF1">
        <w:rPr>
          <w:rFonts w:ascii="Arial" w:hAnsi="Arial" w:cs="Arial"/>
          <w:sz w:val="20"/>
          <w:szCs w:val="20"/>
          <w:lang w:val="fr-HT"/>
        </w:rPr>
        <w:t>décourager tout</w:t>
      </w:r>
      <w:r w:rsidR="0036027C">
        <w:rPr>
          <w:rFonts w:ascii="Arial" w:hAnsi="Arial" w:cs="Arial"/>
          <w:sz w:val="20"/>
          <w:szCs w:val="20"/>
          <w:lang w:val="fr-HT"/>
        </w:rPr>
        <w:t>e</w:t>
      </w:r>
      <w:r w:rsidR="00126FF1">
        <w:rPr>
          <w:rFonts w:ascii="Arial" w:hAnsi="Arial" w:cs="Arial"/>
          <w:sz w:val="20"/>
          <w:szCs w:val="20"/>
          <w:lang w:val="fr-HT"/>
        </w:rPr>
        <w:t xml:space="preserve"> intention d’influx par les squatters.</w:t>
      </w:r>
    </w:p>
    <w:p w:rsidR="003671CA" w:rsidRPr="00A51392" w:rsidRDefault="003671CA" w:rsidP="003671CA">
      <w:pPr>
        <w:pStyle w:val="PlainText"/>
        <w:rPr>
          <w:rFonts w:ascii="Arial" w:hAnsi="Arial" w:cs="Arial"/>
          <w:sz w:val="20"/>
          <w:szCs w:val="20"/>
          <w:lang w:val="fr-HT"/>
        </w:rPr>
      </w:pPr>
    </w:p>
    <w:p w:rsidR="00126FF1" w:rsidRPr="00126FF1" w:rsidRDefault="00126FF1" w:rsidP="00A77585">
      <w:pPr>
        <w:pStyle w:val="PlainText"/>
        <w:numPr>
          <w:ilvl w:val="0"/>
          <w:numId w:val="2"/>
        </w:numPr>
        <w:tabs>
          <w:tab w:val="left" w:pos="450"/>
        </w:tabs>
        <w:ind w:left="450" w:hanging="450"/>
        <w:rPr>
          <w:rFonts w:ascii="Arial" w:hAnsi="Arial" w:cs="Arial"/>
          <w:color w:val="0000FF"/>
          <w:sz w:val="20"/>
          <w:szCs w:val="20"/>
          <w:lang w:val="fr-HT"/>
        </w:rPr>
      </w:pPr>
      <w:r>
        <w:rPr>
          <w:rFonts w:ascii="Arial" w:hAnsi="Arial" w:cs="Arial"/>
          <w:b/>
          <w:sz w:val="20"/>
          <w:szCs w:val="20"/>
          <w:lang w:val="fr-HT"/>
        </w:rPr>
        <w:t xml:space="preserve">Contrôle et Surveillance de la </w:t>
      </w:r>
      <w:r w:rsidR="00A77585" w:rsidRPr="00A51392">
        <w:rPr>
          <w:rFonts w:ascii="Arial" w:hAnsi="Arial" w:cs="Arial"/>
          <w:b/>
          <w:sz w:val="20"/>
          <w:szCs w:val="20"/>
          <w:lang w:val="fr-HT"/>
        </w:rPr>
        <w:t>P</w:t>
      </w:r>
      <w:r w:rsidR="003671CA" w:rsidRPr="00A51392">
        <w:rPr>
          <w:rFonts w:ascii="Arial" w:hAnsi="Arial" w:cs="Arial"/>
          <w:b/>
          <w:sz w:val="20"/>
          <w:szCs w:val="20"/>
          <w:lang w:val="fr-HT"/>
        </w:rPr>
        <w:t>ollution</w:t>
      </w:r>
      <w:r>
        <w:rPr>
          <w:rFonts w:ascii="Arial" w:hAnsi="Arial" w:cs="Arial"/>
          <w:b/>
          <w:sz w:val="20"/>
          <w:szCs w:val="20"/>
          <w:lang w:val="fr-HT"/>
        </w:rPr>
        <w:t xml:space="preserve">, </w:t>
      </w:r>
      <w:r>
        <w:rPr>
          <w:rFonts w:ascii="Arial" w:hAnsi="Arial" w:cs="Arial"/>
          <w:sz w:val="20"/>
          <w:szCs w:val="20"/>
          <w:lang w:val="fr-HT"/>
        </w:rPr>
        <w:t>y compris l’eau, eaux usées, déchets solides et déchets dangereux, bruit et émissions atmosphériques, érosion et sédimentatio</w:t>
      </w:r>
      <w:r w:rsidR="0051078B">
        <w:rPr>
          <w:rFonts w:ascii="Arial" w:hAnsi="Arial" w:cs="Arial"/>
          <w:sz w:val="20"/>
          <w:szCs w:val="20"/>
          <w:lang w:val="fr-HT"/>
        </w:rPr>
        <w:t>n, plan de gestion et suivi, con</w:t>
      </w:r>
      <w:r>
        <w:rPr>
          <w:rFonts w:ascii="Arial" w:hAnsi="Arial" w:cs="Arial"/>
          <w:sz w:val="20"/>
          <w:szCs w:val="20"/>
          <w:lang w:val="fr-HT"/>
        </w:rPr>
        <w:t xml:space="preserve">formément avec les Directives   </w:t>
      </w:r>
      <w:r w:rsidR="0051078B">
        <w:rPr>
          <w:rFonts w:ascii="Arial" w:hAnsi="Arial" w:cs="Arial"/>
          <w:sz w:val="20"/>
          <w:szCs w:val="20"/>
          <w:lang w:val="fr-HT"/>
        </w:rPr>
        <w:t>environnementales, sanitaires et sécuritaires pour la construction et démantèlement</w:t>
      </w:r>
      <w:r w:rsidR="00F957B8">
        <w:rPr>
          <w:rFonts w:ascii="Arial" w:hAnsi="Arial" w:cs="Arial"/>
          <w:sz w:val="20"/>
          <w:szCs w:val="20"/>
          <w:lang w:val="fr-HT"/>
        </w:rPr>
        <w:t xml:space="preserve"> de l’IFC</w:t>
      </w:r>
      <w:r w:rsidR="0051078B">
        <w:rPr>
          <w:rFonts w:ascii="Arial" w:hAnsi="Arial" w:cs="Arial"/>
          <w:sz w:val="20"/>
          <w:szCs w:val="20"/>
          <w:lang w:val="fr-HT"/>
        </w:rPr>
        <w:t>.</w:t>
      </w:r>
    </w:p>
    <w:p w:rsidR="003671CA" w:rsidRPr="00A51392" w:rsidRDefault="003671CA" w:rsidP="003671CA">
      <w:pPr>
        <w:pStyle w:val="PlainText"/>
        <w:rPr>
          <w:rFonts w:ascii="Arial" w:hAnsi="Arial" w:cs="Arial"/>
          <w:color w:val="0000FF"/>
          <w:sz w:val="20"/>
          <w:szCs w:val="20"/>
          <w:lang w:val="fr-HT"/>
        </w:rPr>
      </w:pPr>
    </w:p>
    <w:p w:rsidR="00DF1D99" w:rsidRPr="00E8104E" w:rsidRDefault="0051078B" w:rsidP="0050457E">
      <w:pPr>
        <w:pStyle w:val="PlainText"/>
        <w:numPr>
          <w:ilvl w:val="0"/>
          <w:numId w:val="11"/>
        </w:numPr>
        <w:rPr>
          <w:rFonts w:ascii="Arial" w:hAnsi="Arial" w:cs="Arial"/>
          <w:i/>
          <w:sz w:val="20"/>
          <w:szCs w:val="20"/>
          <w:lang w:val="fr-HT"/>
        </w:rPr>
      </w:pPr>
      <w:r w:rsidRPr="00E8104E">
        <w:rPr>
          <w:rFonts w:ascii="Arial" w:hAnsi="Arial" w:cs="Arial"/>
          <w:i/>
          <w:sz w:val="20"/>
          <w:szCs w:val="20"/>
          <w:lang w:val="fr-HT"/>
        </w:rPr>
        <w:t>Eau</w:t>
      </w:r>
      <w:r w:rsidR="005F07B8" w:rsidRPr="00E8104E">
        <w:rPr>
          <w:rFonts w:ascii="Arial" w:hAnsi="Arial" w:cs="Arial"/>
          <w:i/>
          <w:sz w:val="20"/>
          <w:szCs w:val="20"/>
          <w:lang w:val="fr-HT"/>
        </w:rPr>
        <w:t xml:space="preserve"> potable</w:t>
      </w:r>
      <w:r w:rsidRPr="00E8104E">
        <w:rPr>
          <w:rFonts w:ascii="Arial" w:hAnsi="Arial" w:cs="Arial"/>
          <w:i/>
          <w:sz w:val="20"/>
          <w:szCs w:val="20"/>
          <w:lang w:val="fr-HT"/>
        </w:rPr>
        <w:t xml:space="preserve"> et eaux usées</w:t>
      </w:r>
      <w:r w:rsidR="0050457E" w:rsidRPr="00E8104E">
        <w:rPr>
          <w:rFonts w:ascii="Arial" w:hAnsi="Arial" w:cs="Arial"/>
          <w:i/>
          <w:sz w:val="20"/>
          <w:szCs w:val="20"/>
          <w:lang w:val="fr-HT"/>
        </w:rPr>
        <w:t>:</w:t>
      </w:r>
    </w:p>
    <w:p w:rsidR="0051078B" w:rsidRDefault="0051078B" w:rsidP="00E8104E">
      <w:pPr>
        <w:pStyle w:val="PlainText"/>
        <w:numPr>
          <w:ilvl w:val="0"/>
          <w:numId w:val="13"/>
        </w:numPr>
        <w:ind w:left="1440" w:hanging="270"/>
        <w:rPr>
          <w:rFonts w:ascii="Arial" w:hAnsi="Arial" w:cs="Arial"/>
          <w:sz w:val="20"/>
          <w:szCs w:val="20"/>
          <w:lang w:val="fr-HT"/>
        </w:rPr>
      </w:pPr>
      <w:r>
        <w:rPr>
          <w:rFonts w:ascii="Arial" w:hAnsi="Arial" w:cs="Arial"/>
          <w:sz w:val="20"/>
          <w:szCs w:val="20"/>
          <w:lang w:val="fr-HT"/>
        </w:rPr>
        <w:t>Le contractant devrait fournir l’</w:t>
      </w:r>
      <w:r w:rsidR="009B693C">
        <w:rPr>
          <w:rFonts w:ascii="Arial" w:hAnsi="Arial" w:cs="Arial"/>
          <w:sz w:val="20"/>
          <w:szCs w:val="20"/>
          <w:lang w:val="fr-HT"/>
        </w:rPr>
        <w:t>eau potable, et le traitement approprié des eaux usées conformément avec la législation Ha</w:t>
      </w:r>
      <w:r w:rsidR="00F957B8">
        <w:rPr>
          <w:rFonts w:ascii="Arial" w:hAnsi="Arial" w:cs="Arial"/>
          <w:sz w:val="20"/>
          <w:szCs w:val="20"/>
          <w:lang w:val="fr-HT"/>
        </w:rPr>
        <w:t xml:space="preserve">ïtien et les directives environnementales, sanitaires et sécuritaires pour la construction et démantèlement de l’IFC, aussi bien que les directives générales </w:t>
      </w:r>
      <w:r w:rsidR="0036027C">
        <w:rPr>
          <w:rFonts w:ascii="Arial" w:hAnsi="Arial" w:cs="Arial"/>
          <w:sz w:val="20"/>
          <w:szCs w:val="20"/>
          <w:lang w:val="fr-HT"/>
        </w:rPr>
        <w:t>ESS</w:t>
      </w:r>
      <w:r w:rsidR="00F957B8">
        <w:rPr>
          <w:rFonts w:ascii="Arial" w:hAnsi="Arial" w:cs="Arial"/>
          <w:sz w:val="20"/>
          <w:szCs w:val="20"/>
          <w:lang w:val="fr-HT"/>
        </w:rPr>
        <w:t xml:space="preserve"> de l’IFC.</w:t>
      </w:r>
    </w:p>
    <w:p w:rsidR="00DF1D99" w:rsidRPr="00A51392" w:rsidRDefault="00F957B8" w:rsidP="00E8104E">
      <w:pPr>
        <w:pStyle w:val="PlainText"/>
        <w:numPr>
          <w:ilvl w:val="0"/>
          <w:numId w:val="12"/>
        </w:numPr>
        <w:ind w:left="1440" w:hanging="270"/>
        <w:rPr>
          <w:rFonts w:ascii="Arial" w:hAnsi="Arial" w:cs="Arial"/>
          <w:sz w:val="20"/>
          <w:szCs w:val="20"/>
          <w:lang w:val="fr-HT"/>
        </w:rPr>
      </w:pPr>
      <w:r>
        <w:rPr>
          <w:rFonts w:ascii="Arial" w:hAnsi="Arial" w:cs="Arial"/>
          <w:sz w:val="20"/>
          <w:szCs w:val="20"/>
          <w:lang w:val="fr-HT"/>
        </w:rPr>
        <w:t>Les eaux usées non traités ne devraient jamais être déchargées sur les terrains ou dans les eaux de surface.</w:t>
      </w:r>
    </w:p>
    <w:p w:rsidR="00C607C0" w:rsidRPr="00C607C0" w:rsidRDefault="00C607C0" w:rsidP="000B5AB3">
      <w:pPr>
        <w:pStyle w:val="PlainText"/>
        <w:tabs>
          <w:tab w:val="left" w:pos="0"/>
        </w:tabs>
        <w:rPr>
          <w:rFonts w:ascii="Arial" w:hAnsi="Arial" w:cs="Arial"/>
          <w:sz w:val="20"/>
          <w:szCs w:val="20"/>
          <w:lang w:val="fr-HT"/>
        </w:rPr>
      </w:pPr>
    </w:p>
    <w:p w:rsidR="003068BA" w:rsidRDefault="003068BA" w:rsidP="003068BA">
      <w:pPr>
        <w:pStyle w:val="PlainText"/>
        <w:numPr>
          <w:ilvl w:val="0"/>
          <w:numId w:val="11"/>
        </w:numPr>
        <w:tabs>
          <w:tab w:val="left" w:pos="0"/>
        </w:tabs>
        <w:rPr>
          <w:rFonts w:ascii="Arial" w:hAnsi="Arial" w:cs="Arial"/>
          <w:sz w:val="20"/>
          <w:szCs w:val="20"/>
          <w:lang w:val="fr-HT"/>
        </w:rPr>
      </w:pPr>
      <w:r w:rsidRPr="003068BA">
        <w:rPr>
          <w:rFonts w:ascii="Arial" w:hAnsi="Arial" w:cs="Arial"/>
          <w:i/>
          <w:sz w:val="20"/>
          <w:szCs w:val="20"/>
          <w:lang w:val="fr-HT"/>
        </w:rPr>
        <w:t>Erosion et Sédimentation des Sols:</w:t>
      </w:r>
      <w:r>
        <w:rPr>
          <w:rFonts w:ascii="Arial" w:hAnsi="Arial" w:cs="Arial"/>
          <w:sz w:val="20"/>
          <w:szCs w:val="20"/>
          <w:lang w:val="fr-HT"/>
        </w:rPr>
        <w:t xml:space="preserve"> </w:t>
      </w:r>
    </w:p>
    <w:p w:rsidR="003068BA" w:rsidRPr="003068BA" w:rsidRDefault="003068BA" w:rsidP="003068BA">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 xml:space="preserve">Le contractant doit élaborer un plan de Contrôle de l’Erosion et de la Sédimentation des Sols, qui doit inclure des contrôles de l’érosion comme la minimisation de l’étendue des aires perturbées et </w:t>
      </w:r>
      <w:r w:rsidRPr="003068BA">
        <w:rPr>
          <w:rFonts w:ascii="Arial" w:hAnsi="Arial" w:cs="Arial"/>
          <w:sz w:val="20"/>
          <w:szCs w:val="20"/>
          <w:lang w:val="fr-HT"/>
        </w:rPr>
        <w:t xml:space="preserve">la </w:t>
      </w:r>
      <w:r w:rsidRPr="003068BA">
        <w:rPr>
          <w:rFonts w:ascii="Arial" w:hAnsi="Arial" w:cs="Arial"/>
          <w:sz w:val="20"/>
          <w:lang w:val="fr-FR"/>
        </w:rPr>
        <w:t xml:space="preserve">stabilisation/ végétalisation des aires perturbées aussi rapidement </w:t>
      </w:r>
      <w:r w:rsidRPr="003068BA">
        <w:rPr>
          <w:rFonts w:ascii="Arial" w:hAnsi="Arial" w:cs="Arial"/>
          <w:sz w:val="20"/>
          <w:lang w:val="fr-FR"/>
        </w:rPr>
        <w:lastRenderedPageBreak/>
        <w:t xml:space="preserve">que possible, et les contrôles de la sédimentation tels que les bottes de foin, les barrières aux boues, l’ancrage des roches, </w:t>
      </w:r>
      <w:r>
        <w:rPr>
          <w:rFonts w:ascii="Arial" w:hAnsi="Arial" w:cs="Arial"/>
          <w:sz w:val="20"/>
          <w:lang w:val="fr-FR"/>
        </w:rPr>
        <w:t xml:space="preserve">et la protection à </w:t>
      </w:r>
      <w:proofErr w:type="spellStart"/>
      <w:r>
        <w:rPr>
          <w:rFonts w:ascii="Arial" w:hAnsi="Arial" w:cs="Arial"/>
          <w:sz w:val="20"/>
          <w:lang w:val="fr-FR"/>
        </w:rPr>
        <w:t>mi-pente</w:t>
      </w:r>
      <w:proofErr w:type="spellEnd"/>
      <w:r>
        <w:rPr>
          <w:rFonts w:ascii="Arial" w:hAnsi="Arial" w:cs="Arial"/>
          <w:sz w:val="20"/>
          <w:lang w:val="fr-FR"/>
        </w:rPr>
        <w:t xml:space="preserve">. </w:t>
      </w:r>
    </w:p>
    <w:p w:rsidR="003068BA" w:rsidRPr="003068BA" w:rsidRDefault="003068BA" w:rsidP="003068BA">
      <w:pPr>
        <w:pStyle w:val="PlainText"/>
        <w:numPr>
          <w:ilvl w:val="1"/>
          <w:numId w:val="11"/>
        </w:numPr>
        <w:ind w:left="1440" w:hanging="270"/>
        <w:rPr>
          <w:rFonts w:ascii="Arial" w:hAnsi="Arial" w:cs="Arial"/>
          <w:sz w:val="20"/>
          <w:szCs w:val="20"/>
          <w:lang w:val="fr-HT"/>
        </w:rPr>
      </w:pPr>
      <w:r>
        <w:rPr>
          <w:rFonts w:ascii="Arial" w:hAnsi="Arial" w:cs="Arial"/>
          <w:sz w:val="20"/>
          <w:lang w:val="fr-FR"/>
        </w:rPr>
        <w:t>Le plan</w:t>
      </w:r>
      <w:r w:rsidRPr="003068BA">
        <w:rPr>
          <w:rFonts w:ascii="Arial" w:hAnsi="Arial" w:cs="Arial"/>
          <w:sz w:val="20"/>
          <w:lang w:val="fr-FR"/>
        </w:rPr>
        <w:t xml:space="preserve"> </w:t>
      </w:r>
      <w:r>
        <w:rPr>
          <w:rFonts w:ascii="Arial" w:hAnsi="Arial" w:cs="Arial"/>
          <w:sz w:val="20"/>
          <w:lang w:val="fr-FR"/>
        </w:rPr>
        <w:t>doit</w:t>
      </w:r>
      <w:r w:rsidRPr="003068BA">
        <w:rPr>
          <w:rFonts w:ascii="Arial" w:hAnsi="Arial" w:cs="Arial"/>
          <w:sz w:val="20"/>
          <w:lang w:val="fr-FR"/>
        </w:rPr>
        <w:t xml:space="preserve"> prévoir les fortes chutes de pluie aux fins de gestion des risques d’inondation localisée.</w:t>
      </w:r>
    </w:p>
    <w:p w:rsidR="003068BA" w:rsidRDefault="003068BA" w:rsidP="003068BA">
      <w:pPr>
        <w:pStyle w:val="PlainText"/>
        <w:autoSpaceDE w:val="0"/>
        <w:autoSpaceDN w:val="0"/>
        <w:adjustRightInd w:val="0"/>
        <w:ind w:left="1170"/>
        <w:rPr>
          <w:rFonts w:ascii="Arial" w:hAnsi="Arial" w:cs="Arial"/>
          <w:i/>
          <w:sz w:val="20"/>
          <w:szCs w:val="20"/>
          <w:lang w:val="fr-HT"/>
        </w:rPr>
      </w:pPr>
    </w:p>
    <w:p w:rsidR="00BF4595" w:rsidRPr="00E8104E" w:rsidRDefault="00F957B8" w:rsidP="00DF1D99">
      <w:pPr>
        <w:pStyle w:val="PlainText"/>
        <w:numPr>
          <w:ilvl w:val="0"/>
          <w:numId w:val="11"/>
        </w:numPr>
        <w:autoSpaceDE w:val="0"/>
        <w:autoSpaceDN w:val="0"/>
        <w:adjustRightInd w:val="0"/>
        <w:rPr>
          <w:rFonts w:ascii="Arial" w:hAnsi="Arial" w:cs="Arial"/>
          <w:i/>
          <w:sz w:val="20"/>
          <w:szCs w:val="20"/>
          <w:lang w:val="fr-HT"/>
        </w:rPr>
      </w:pPr>
      <w:r w:rsidRPr="00E8104E">
        <w:rPr>
          <w:rFonts w:ascii="Arial" w:hAnsi="Arial" w:cs="Arial"/>
          <w:i/>
          <w:sz w:val="20"/>
          <w:szCs w:val="20"/>
          <w:lang w:val="fr-HT"/>
        </w:rPr>
        <w:t>Bruit </w:t>
      </w:r>
      <w:r w:rsidR="00452128" w:rsidRPr="00E8104E">
        <w:rPr>
          <w:rFonts w:ascii="Arial" w:hAnsi="Arial" w:cs="Arial"/>
          <w:i/>
          <w:sz w:val="20"/>
          <w:szCs w:val="20"/>
          <w:lang w:val="fr-HT"/>
        </w:rPr>
        <w:t>et vibrations</w:t>
      </w:r>
      <w:r w:rsidRPr="00E8104E">
        <w:rPr>
          <w:rFonts w:ascii="Arial" w:hAnsi="Arial" w:cs="Arial"/>
          <w:i/>
          <w:sz w:val="20"/>
          <w:szCs w:val="20"/>
          <w:lang w:val="fr-HT"/>
        </w:rPr>
        <w:t xml:space="preserve">: </w:t>
      </w:r>
    </w:p>
    <w:p w:rsidR="00BF4595" w:rsidRDefault="00F957B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 xml:space="preserve">Le contractant devrait surveiller le bruit généré pendant la phase de construction pour assurer qu’il ne dépasse pas </w:t>
      </w:r>
      <w:r w:rsidR="00255E57">
        <w:rPr>
          <w:rFonts w:ascii="Arial" w:hAnsi="Arial" w:cs="Arial"/>
          <w:sz w:val="20"/>
          <w:szCs w:val="20"/>
          <w:lang w:val="fr-HT"/>
        </w:rPr>
        <w:t xml:space="preserve">les valeurs dans le Tableau de l’IFC ci-dessous, ou se traduit par une augmentation maximale de 3 </w:t>
      </w:r>
      <w:proofErr w:type="spellStart"/>
      <w:r w:rsidR="00255E57">
        <w:rPr>
          <w:rFonts w:ascii="Arial" w:hAnsi="Arial" w:cs="Arial"/>
          <w:sz w:val="20"/>
          <w:szCs w:val="20"/>
          <w:lang w:val="fr-HT"/>
        </w:rPr>
        <w:t>dBA</w:t>
      </w:r>
      <w:proofErr w:type="spellEnd"/>
      <w:r w:rsidR="00255E57">
        <w:rPr>
          <w:rFonts w:ascii="Arial" w:hAnsi="Arial" w:cs="Arial"/>
          <w:sz w:val="20"/>
          <w:szCs w:val="20"/>
          <w:lang w:val="fr-HT"/>
        </w:rPr>
        <w:t xml:space="preserve"> sur </w:t>
      </w:r>
      <w:r>
        <w:rPr>
          <w:rFonts w:ascii="Arial" w:hAnsi="Arial" w:cs="Arial"/>
          <w:sz w:val="20"/>
          <w:szCs w:val="20"/>
          <w:lang w:val="fr-HT"/>
        </w:rPr>
        <w:t xml:space="preserve">les niveaux de fond applicable aux points les plus sensibles. </w:t>
      </w:r>
    </w:p>
    <w:p w:rsidR="00255E57" w:rsidRDefault="00255E57" w:rsidP="00255E57">
      <w:pPr>
        <w:pStyle w:val="PlainText"/>
        <w:autoSpaceDE w:val="0"/>
        <w:autoSpaceDN w:val="0"/>
        <w:adjustRightInd w:val="0"/>
        <w:rPr>
          <w:rFonts w:ascii="Arial" w:hAnsi="Arial" w:cs="Arial"/>
          <w:sz w:val="20"/>
          <w:szCs w:val="20"/>
          <w:lang w:val="fr-HT"/>
        </w:rPr>
      </w:pPr>
    </w:p>
    <w:p w:rsidR="00255E57" w:rsidRDefault="00255E57" w:rsidP="00255E57">
      <w:pPr>
        <w:pStyle w:val="PlainText"/>
        <w:autoSpaceDE w:val="0"/>
        <w:autoSpaceDN w:val="0"/>
        <w:adjustRightInd w:val="0"/>
        <w:rPr>
          <w:rFonts w:ascii="Arial" w:hAnsi="Arial" w:cs="Arial"/>
          <w:sz w:val="20"/>
          <w:szCs w:val="20"/>
          <w:lang w:val="fr-HT"/>
        </w:rPr>
      </w:pPr>
      <w:r>
        <w:rPr>
          <w:noProof/>
        </w:rPr>
        <w:drawing>
          <wp:inline distT="0" distB="0" distL="0" distR="0" wp14:anchorId="00FE2DE7" wp14:editId="32339989">
            <wp:extent cx="5943600" cy="210516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105168"/>
                    </a:xfrm>
                    <a:prstGeom prst="rect">
                      <a:avLst/>
                    </a:prstGeom>
                  </pic:spPr>
                </pic:pic>
              </a:graphicData>
            </a:graphic>
          </wp:inline>
        </w:drawing>
      </w:r>
    </w:p>
    <w:p w:rsidR="00255E57" w:rsidRDefault="00255E57" w:rsidP="00255E57">
      <w:pPr>
        <w:pStyle w:val="PlainText"/>
        <w:autoSpaceDE w:val="0"/>
        <w:autoSpaceDN w:val="0"/>
        <w:adjustRightInd w:val="0"/>
        <w:rPr>
          <w:rFonts w:ascii="Arial" w:hAnsi="Arial" w:cs="Arial"/>
          <w:sz w:val="20"/>
          <w:szCs w:val="20"/>
          <w:lang w:val="fr-HT"/>
        </w:rPr>
      </w:pPr>
      <w:bookmarkStart w:id="0" w:name="_Hlk488421387"/>
      <w:r w:rsidRPr="002010D3">
        <w:rPr>
          <w:vertAlign w:val="superscript"/>
          <w:lang w:val="fr-FR"/>
        </w:rPr>
        <w:t>54</w:t>
      </w:r>
      <w:r w:rsidRPr="002010D3">
        <w:rPr>
          <w:lang w:val="fr-FR"/>
        </w:rPr>
        <w:t xml:space="preserve"> </w:t>
      </w:r>
      <w:r w:rsidRPr="002010D3">
        <w:rPr>
          <w:rFonts w:ascii="Courier New" w:hAnsi="Courier New" w:cs="Courier New"/>
          <w:sz w:val="18"/>
          <w:szCs w:val="18"/>
          <w:lang w:val="fr-FR"/>
        </w:rPr>
        <w:t xml:space="preserve">Les valeurs recommandées concernent les niveaux de bruit mesurés en plein air. </w:t>
      </w:r>
      <w:proofErr w:type="gramStart"/>
      <w:r w:rsidRPr="002010D3">
        <w:rPr>
          <w:rFonts w:ascii="Courier New" w:hAnsi="Courier New" w:cs="Courier New"/>
          <w:sz w:val="18"/>
          <w:szCs w:val="18"/>
          <w:lang w:val="fr-FR"/>
        </w:rPr>
        <w:t>Source:</w:t>
      </w:r>
      <w:proofErr w:type="gramEnd"/>
      <w:r w:rsidRPr="002010D3">
        <w:rPr>
          <w:rFonts w:ascii="Courier New" w:hAnsi="Courier New" w:cs="Courier New"/>
          <w:sz w:val="18"/>
          <w:szCs w:val="18"/>
          <w:lang w:val="fr-FR"/>
        </w:rPr>
        <w:t xml:space="preserve"> Guidelines for Community Noise, Organisation mondiale de la santé (OMS), 1999.</w:t>
      </w:r>
      <w:bookmarkEnd w:id="0"/>
    </w:p>
    <w:p w:rsidR="00255E57" w:rsidRDefault="00255E57" w:rsidP="00255E57">
      <w:pPr>
        <w:pStyle w:val="PlainText"/>
        <w:autoSpaceDE w:val="0"/>
        <w:autoSpaceDN w:val="0"/>
        <w:adjustRightInd w:val="0"/>
        <w:rPr>
          <w:rFonts w:ascii="Arial" w:hAnsi="Arial" w:cs="Arial"/>
          <w:sz w:val="20"/>
          <w:szCs w:val="20"/>
          <w:lang w:val="fr-HT"/>
        </w:rPr>
      </w:pPr>
    </w:p>
    <w:p w:rsidR="00255E57" w:rsidRDefault="00255E57" w:rsidP="00255E57">
      <w:pPr>
        <w:pStyle w:val="PlainText"/>
        <w:autoSpaceDE w:val="0"/>
        <w:autoSpaceDN w:val="0"/>
        <w:adjustRightInd w:val="0"/>
        <w:rPr>
          <w:rFonts w:ascii="Arial" w:hAnsi="Arial" w:cs="Arial"/>
          <w:sz w:val="20"/>
          <w:szCs w:val="20"/>
          <w:lang w:val="fr-HT"/>
        </w:rPr>
      </w:pPr>
    </w:p>
    <w:p w:rsidR="00255E57" w:rsidRDefault="00255E57" w:rsidP="00255E57">
      <w:pPr>
        <w:pStyle w:val="PlainText"/>
        <w:autoSpaceDE w:val="0"/>
        <w:autoSpaceDN w:val="0"/>
        <w:adjustRightInd w:val="0"/>
        <w:rPr>
          <w:rFonts w:ascii="Arial" w:hAnsi="Arial" w:cs="Arial"/>
          <w:sz w:val="20"/>
          <w:szCs w:val="20"/>
          <w:lang w:val="fr-HT"/>
        </w:rPr>
      </w:pPr>
    </w:p>
    <w:p w:rsidR="00BF4595" w:rsidRDefault="00F957B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 devrait</w:t>
      </w:r>
      <w:r w:rsidR="00BF4595">
        <w:rPr>
          <w:rFonts w:ascii="Arial" w:hAnsi="Arial" w:cs="Arial"/>
          <w:sz w:val="20"/>
          <w:szCs w:val="20"/>
          <w:lang w:val="fr-HT"/>
        </w:rPr>
        <w:t xml:space="preserve"> </w:t>
      </w:r>
      <w:r>
        <w:rPr>
          <w:rFonts w:ascii="Arial" w:hAnsi="Arial" w:cs="Arial"/>
          <w:sz w:val="20"/>
          <w:szCs w:val="20"/>
          <w:lang w:val="fr-HT"/>
        </w:rPr>
        <w:t xml:space="preserve">limiter les heures d’activités de construction </w:t>
      </w:r>
      <w:r w:rsidR="004708BA">
        <w:rPr>
          <w:rFonts w:ascii="Arial" w:hAnsi="Arial" w:cs="Arial"/>
          <w:sz w:val="20"/>
          <w:szCs w:val="20"/>
          <w:lang w:val="fr-HT"/>
        </w:rPr>
        <w:t xml:space="preserve">en ligne avec le Tableau ci-dessus </w:t>
      </w:r>
      <w:r>
        <w:rPr>
          <w:rFonts w:ascii="Arial" w:hAnsi="Arial" w:cs="Arial"/>
          <w:sz w:val="20"/>
          <w:szCs w:val="20"/>
          <w:lang w:val="fr-HT"/>
        </w:rPr>
        <w:t>de manière à éviter les travaux faits la nuit près des récepteurs sensibles (</w:t>
      </w:r>
      <w:r w:rsidR="005F07B8">
        <w:rPr>
          <w:rFonts w:ascii="Arial" w:hAnsi="Arial" w:cs="Arial"/>
          <w:sz w:val="20"/>
          <w:szCs w:val="20"/>
          <w:lang w:val="fr-HT"/>
        </w:rPr>
        <w:t>par ex</w:t>
      </w:r>
      <w:r w:rsidR="00BF4595">
        <w:rPr>
          <w:rFonts w:ascii="Arial" w:hAnsi="Arial" w:cs="Arial"/>
          <w:sz w:val="20"/>
          <w:szCs w:val="20"/>
          <w:lang w:val="fr-HT"/>
        </w:rPr>
        <w:t xml:space="preserve">. </w:t>
      </w:r>
      <w:r>
        <w:rPr>
          <w:rFonts w:ascii="Arial" w:hAnsi="Arial" w:cs="Arial"/>
          <w:sz w:val="20"/>
          <w:szCs w:val="20"/>
          <w:lang w:val="fr-HT"/>
        </w:rPr>
        <w:t>maisons, hôpitaux).</w:t>
      </w:r>
    </w:p>
    <w:p w:rsidR="00452128" w:rsidRPr="00452128" w:rsidRDefault="0045212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lang w:val="fr-FR"/>
        </w:rPr>
        <w:t>Le contractant devrait i</w:t>
      </w:r>
      <w:r w:rsidRPr="00452128">
        <w:rPr>
          <w:rFonts w:ascii="Arial" w:hAnsi="Arial" w:cs="Arial"/>
          <w:sz w:val="20"/>
          <w:lang w:val="fr-FR"/>
        </w:rPr>
        <w:t xml:space="preserve">dentifier tout espèce </w:t>
      </w:r>
      <w:r>
        <w:rPr>
          <w:rFonts w:ascii="Arial" w:hAnsi="Arial" w:cs="Arial"/>
          <w:sz w:val="20"/>
          <w:lang w:val="fr-FR"/>
        </w:rPr>
        <w:t xml:space="preserve">de faune </w:t>
      </w:r>
      <w:r w:rsidRPr="00452128">
        <w:rPr>
          <w:rFonts w:ascii="Arial" w:hAnsi="Arial" w:cs="Arial"/>
          <w:sz w:val="20"/>
          <w:lang w:val="fr-FR"/>
        </w:rPr>
        <w:t xml:space="preserve">sensible au bruit dans la zone du Projet (i.e., des espèces menacées, oiseaux nicheurs) et élaborer un plan d’action si ces espèces identifiées se trouvent dans le voisinage du </w:t>
      </w:r>
      <w:r>
        <w:rPr>
          <w:rFonts w:ascii="Arial" w:hAnsi="Arial" w:cs="Arial"/>
          <w:sz w:val="20"/>
          <w:lang w:val="fr-FR"/>
        </w:rPr>
        <w:t>chantier. Le personnel de construction devrait recevoir une f</w:t>
      </w:r>
      <w:r w:rsidRPr="00452128">
        <w:rPr>
          <w:rFonts w:ascii="Arial" w:hAnsi="Arial" w:cs="Arial"/>
          <w:sz w:val="20"/>
          <w:lang w:val="fr-FR"/>
        </w:rPr>
        <w:t>or</w:t>
      </w:r>
      <w:r>
        <w:rPr>
          <w:rFonts w:ascii="Arial" w:hAnsi="Arial" w:cs="Arial"/>
          <w:sz w:val="20"/>
          <w:lang w:val="fr-FR"/>
        </w:rPr>
        <w:t>mation à la sensibilisation</w:t>
      </w:r>
      <w:r w:rsidRPr="00452128">
        <w:rPr>
          <w:rFonts w:ascii="Arial" w:hAnsi="Arial" w:cs="Arial"/>
          <w:sz w:val="20"/>
          <w:lang w:val="fr-FR"/>
        </w:rPr>
        <w:t>.</w:t>
      </w:r>
    </w:p>
    <w:p w:rsidR="00F957B8" w:rsidRDefault="00BF4595"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w:t>
      </w:r>
      <w:r w:rsidR="00F957B8">
        <w:rPr>
          <w:rFonts w:ascii="Arial" w:hAnsi="Arial" w:cs="Arial"/>
          <w:sz w:val="20"/>
          <w:szCs w:val="20"/>
          <w:lang w:val="fr-HT"/>
        </w:rPr>
        <w:t xml:space="preserve"> </w:t>
      </w:r>
      <w:r>
        <w:rPr>
          <w:rFonts w:ascii="Arial" w:hAnsi="Arial" w:cs="Arial"/>
          <w:sz w:val="20"/>
          <w:szCs w:val="20"/>
          <w:lang w:val="fr-HT"/>
        </w:rPr>
        <w:t>devrait fournir un EP</w:t>
      </w:r>
      <w:r w:rsidR="00276612">
        <w:rPr>
          <w:rFonts w:ascii="Arial" w:hAnsi="Arial" w:cs="Arial"/>
          <w:sz w:val="20"/>
          <w:szCs w:val="20"/>
          <w:lang w:val="fr-HT"/>
        </w:rPr>
        <w:t xml:space="preserve">I (Equipement de protection </w:t>
      </w:r>
      <w:proofErr w:type="gramStart"/>
      <w:r w:rsidR="00276612">
        <w:rPr>
          <w:rFonts w:ascii="Arial" w:hAnsi="Arial" w:cs="Arial"/>
          <w:sz w:val="20"/>
          <w:szCs w:val="20"/>
          <w:lang w:val="fr-HT"/>
        </w:rPr>
        <w:t xml:space="preserve">individuelle) </w:t>
      </w:r>
      <w:r>
        <w:rPr>
          <w:rFonts w:ascii="Arial" w:hAnsi="Arial" w:cs="Arial"/>
          <w:sz w:val="20"/>
          <w:szCs w:val="20"/>
          <w:lang w:val="fr-HT"/>
        </w:rPr>
        <w:t xml:space="preserve"> approprié</w:t>
      </w:r>
      <w:proofErr w:type="gramEnd"/>
      <w:r>
        <w:rPr>
          <w:rFonts w:ascii="Arial" w:hAnsi="Arial" w:cs="Arial"/>
          <w:sz w:val="20"/>
          <w:szCs w:val="20"/>
          <w:lang w:val="fr-HT"/>
        </w:rPr>
        <w:t xml:space="preserve"> à la main d’œuvre pour la protection auditive.</w:t>
      </w:r>
    </w:p>
    <w:p w:rsidR="00452128" w:rsidRDefault="0045212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 devrait compléter un cadastre de l’état des maisons et autres constructions a long de la route que sont susceptibles à la vibration, préalablement au commencement des activités de construction.</w:t>
      </w:r>
    </w:p>
    <w:p w:rsidR="00452128" w:rsidRPr="00C607C0" w:rsidRDefault="00452128" w:rsidP="00E8104E">
      <w:pPr>
        <w:pStyle w:val="PlainText"/>
        <w:numPr>
          <w:ilvl w:val="1"/>
          <w:numId w:val="11"/>
        </w:numPr>
        <w:autoSpaceDE w:val="0"/>
        <w:autoSpaceDN w:val="0"/>
        <w:adjustRightInd w:val="0"/>
        <w:ind w:left="1440" w:hanging="270"/>
        <w:rPr>
          <w:rFonts w:ascii="Arial" w:hAnsi="Arial" w:cs="Arial"/>
          <w:sz w:val="20"/>
          <w:szCs w:val="20"/>
          <w:lang w:val="fr-HT"/>
        </w:rPr>
      </w:pPr>
      <w:r w:rsidRPr="00452128">
        <w:rPr>
          <w:rFonts w:ascii="Arial" w:hAnsi="Arial" w:cs="Arial"/>
          <w:sz w:val="20"/>
          <w:lang w:val="fr-FR"/>
        </w:rPr>
        <w:t>Elaborer un plan d’action si les travaux de construction sont inévitables dans le voisinage des structures sensibles.</w:t>
      </w:r>
    </w:p>
    <w:p w:rsidR="00452128" w:rsidRDefault="00452128" w:rsidP="00452128">
      <w:pPr>
        <w:pStyle w:val="PlainText"/>
        <w:tabs>
          <w:tab w:val="left" w:pos="1170"/>
        </w:tabs>
        <w:autoSpaceDE w:val="0"/>
        <w:autoSpaceDN w:val="0"/>
        <w:adjustRightInd w:val="0"/>
        <w:ind w:left="810"/>
        <w:rPr>
          <w:rFonts w:ascii="Arial" w:hAnsi="Arial" w:cs="Arial"/>
          <w:sz w:val="20"/>
          <w:szCs w:val="20"/>
          <w:lang w:val="fr-HT"/>
        </w:rPr>
      </w:pPr>
    </w:p>
    <w:p w:rsidR="001C7C29" w:rsidRPr="00E8104E" w:rsidRDefault="001C7C29" w:rsidP="001C7C29">
      <w:pPr>
        <w:pStyle w:val="PlainText"/>
        <w:autoSpaceDE w:val="0"/>
        <w:autoSpaceDN w:val="0"/>
        <w:adjustRightInd w:val="0"/>
        <w:jc w:val="both"/>
        <w:rPr>
          <w:rFonts w:ascii="Arial" w:hAnsi="Arial" w:cs="Arial"/>
          <w:i/>
          <w:sz w:val="20"/>
          <w:szCs w:val="20"/>
          <w:lang w:val="fr-HT"/>
        </w:rPr>
      </w:pPr>
    </w:p>
    <w:p w:rsidR="005F07B8" w:rsidRPr="00E8104E" w:rsidRDefault="00BF4595" w:rsidP="00C60C1A">
      <w:pPr>
        <w:pStyle w:val="PlainText"/>
        <w:numPr>
          <w:ilvl w:val="0"/>
          <w:numId w:val="11"/>
        </w:numPr>
        <w:rPr>
          <w:rFonts w:ascii="Arial" w:hAnsi="Arial" w:cs="Arial"/>
          <w:i/>
          <w:sz w:val="20"/>
          <w:szCs w:val="20"/>
          <w:lang w:val="fr-HT"/>
        </w:rPr>
      </w:pPr>
      <w:r w:rsidRPr="00E8104E">
        <w:rPr>
          <w:rFonts w:ascii="Arial" w:hAnsi="Arial" w:cs="Arial"/>
          <w:i/>
          <w:sz w:val="20"/>
          <w:szCs w:val="20"/>
          <w:lang w:val="fr-HT"/>
        </w:rPr>
        <w:t xml:space="preserve">Emissions de l’air : </w:t>
      </w:r>
    </w:p>
    <w:p w:rsidR="00BF4595" w:rsidRDefault="00BF4595"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 xml:space="preserve">Le contractant devrait </w:t>
      </w:r>
      <w:r w:rsidR="005F07B8">
        <w:rPr>
          <w:rFonts w:ascii="Arial" w:hAnsi="Arial" w:cs="Arial"/>
          <w:sz w:val="20"/>
          <w:szCs w:val="20"/>
          <w:lang w:val="fr-HT"/>
        </w:rPr>
        <w:t>assurer que les véhicules et équipements de construction sont correctement entretenus, et limiter la marche au ralenti des véhicules de construction.</w:t>
      </w:r>
    </w:p>
    <w:p w:rsidR="005F07B8" w:rsidRDefault="005F07B8"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Le contractant devrait interdire la brûlure de déchets solides (par ex. les ordures) sur le site, et assurer leur élimination appropriée.</w:t>
      </w:r>
    </w:p>
    <w:p w:rsidR="005F07B8" w:rsidRDefault="00F17E72"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Le contractant devrait minimiser l’étendue des sols exposés en tout temps, et utiliser les camions d’arrosage selon le besoin pour supprimer la poussière diffuse générée par le mouvement de véhicules.</w:t>
      </w:r>
    </w:p>
    <w:p w:rsidR="00F17E72" w:rsidRPr="00BF4595" w:rsidRDefault="00F17E72"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lastRenderedPageBreak/>
        <w:t>Un EP</w:t>
      </w:r>
      <w:r w:rsidR="00276612">
        <w:rPr>
          <w:rFonts w:ascii="Arial" w:hAnsi="Arial" w:cs="Arial"/>
          <w:sz w:val="20"/>
          <w:szCs w:val="20"/>
          <w:lang w:val="fr-HT"/>
        </w:rPr>
        <w:t>I</w:t>
      </w:r>
      <w:r>
        <w:rPr>
          <w:rFonts w:ascii="Arial" w:hAnsi="Arial" w:cs="Arial"/>
          <w:sz w:val="20"/>
          <w:szCs w:val="20"/>
          <w:lang w:val="fr-HT"/>
        </w:rPr>
        <w:t xml:space="preserve"> approprié devrait être porté par le main d’œuvre lorsque le niveau de poussière est excessif.</w:t>
      </w:r>
    </w:p>
    <w:p w:rsidR="00DF1D99" w:rsidRPr="00A51392" w:rsidRDefault="00DF1D99" w:rsidP="000965CB">
      <w:pPr>
        <w:autoSpaceDE w:val="0"/>
        <w:autoSpaceDN w:val="0"/>
        <w:adjustRightInd w:val="0"/>
        <w:spacing w:after="0" w:line="240" w:lineRule="auto"/>
        <w:rPr>
          <w:rFonts w:ascii="Arial" w:hAnsi="Arial" w:cs="Arial"/>
          <w:color w:val="FFFFFF"/>
          <w:sz w:val="20"/>
          <w:szCs w:val="20"/>
          <w:lang w:val="fr-HT"/>
        </w:rPr>
      </w:pPr>
      <w:r w:rsidRPr="00A51392">
        <w:rPr>
          <w:rFonts w:ascii="Arial" w:hAnsi="Arial" w:cs="Arial"/>
          <w:color w:val="FFFFFF"/>
          <w:sz w:val="20"/>
          <w:szCs w:val="20"/>
          <w:lang w:val="fr-HT"/>
        </w:rPr>
        <w:t>Table 1.7.</w:t>
      </w:r>
      <w:r w:rsidR="000965CB" w:rsidRPr="00A51392">
        <w:rPr>
          <w:rFonts w:ascii="Arial" w:hAnsi="Arial" w:cs="Arial"/>
          <w:color w:val="FFFFFF"/>
          <w:sz w:val="20"/>
          <w:szCs w:val="20"/>
          <w:lang w:val="fr-HT"/>
        </w:rPr>
        <w:t xml:space="preserve">d. </w:t>
      </w:r>
      <w:r w:rsidRPr="00A51392">
        <w:rPr>
          <w:rFonts w:ascii="Arial" w:hAnsi="Arial" w:cs="Arial"/>
          <w:color w:val="FFFFFF"/>
          <w:sz w:val="20"/>
          <w:szCs w:val="20"/>
          <w:lang w:val="fr-HT"/>
        </w:rPr>
        <w:t>1- Noise Guidelines54</w:t>
      </w:r>
    </w:p>
    <w:p w:rsidR="000965CB" w:rsidRPr="00CC2C8E" w:rsidRDefault="00F17E72" w:rsidP="00CC2C8E">
      <w:pPr>
        <w:pStyle w:val="PlainText"/>
        <w:numPr>
          <w:ilvl w:val="0"/>
          <w:numId w:val="11"/>
        </w:numPr>
        <w:tabs>
          <w:tab w:val="left" w:pos="0"/>
        </w:tabs>
        <w:jc w:val="both"/>
        <w:rPr>
          <w:rFonts w:ascii="Arial" w:hAnsi="Arial" w:cs="Arial"/>
          <w:sz w:val="20"/>
          <w:szCs w:val="20"/>
          <w:lang w:val="fr-HT"/>
        </w:rPr>
      </w:pPr>
      <w:r w:rsidRPr="00E8104E">
        <w:rPr>
          <w:rFonts w:ascii="Arial" w:hAnsi="Arial" w:cs="Arial"/>
          <w:i/>
          <w:sz w:val="20"/>
          <w:szCs w:val="20"/>
          <w:lang w:val="fr-HT"/>
        </w:rPr>
        <w:t>Déchets solides et déchets dangereux</w:t>
      </w:r>
      <w:r>
        <w:rPr>
          <w:rFonts w:ascii="Arial" w:hAnsi="Arial" w:cs="Arial"/>
          <w:sz w:val="20"/>
          <w:szCs w:val="20"/>
          <w:lang w:val="fr-HT"/>
        </w:rPr>
        <w:t> :</w:t>
      </w:r>
      <w:r w:rsidR="000965CB" w:rsidRPr="00A51392">
        <w:rPr>
          <w:rFonts w:ascii="Arial" w:hAnsi="Arial" w:cs="Arial"/>
          <w:sz w:val="20"/>
          <w:szCs w:val="20"/>
          <w:lang w:val="fr-HT"/>
        </w:rPr>
        <w:t xml:space="preserve"> </w:t>
      </w:r>
      <w:r w:rsidR="00AB7F36">
        <w:rPr>
          <w:rFonts w:ascii="Arial" w:hAnsi="Arial" w:cs="Arial"/>
          <w:sz w:val="20"/>
          <w:szCs w:val="20"/>
          <w:lang w:val="fr-HT"/>
        </w:rPr>
        <w:t>Les déchets devraient être gérer conformément aux directives environnementales, sanitaires et sécuritaires pour la construction et démantèlement de l’IFC, ainsi qu’aux</w:t>
      </w:r>
      <w:r w:rsidR="0036027C">
        <w:rPr>
          <w:rFonts w:ascii="Arial" w:hAnsi="Arial" w:cs="Arial"/>
          <w:sz w:val="20"/>
          <w:szCs w:val="20"/>
          <w:lang w:val="fr-HT"/>
        </w:rPr>
        <w:t xml:space="preserve"> directives ESS</w:t>
      </w:r>
      <w:r w:rsidR="00AB7F36">
        <w:rPr>
          <w:rFonts w:ascii="Arial" w:hAnsi="Arial" w:cs="Arial"/>
          <w:sz w:val="20"/>
          <w:szCs w:val="20"/>
          <w:lang w:val="fr-HT"/>
        </w:rPr>
        <w:t xml:space="preserve"> générales. </w:t>
      </w:r>
      <w:r>
        <w:rPr>
          <w:rFonts w:ascii="Arial" w:hAnsi="Arial" w:cs="Arial"/>
          <w:sz w:val="20"/>
          <w:szCs w:val="20"/>
          <w:lang w:val="fr-HT"/>
        </w:rPr>
        <w:t>Au</w:t>
      </w:r>
      <w:r w:rsidR="000965CB" w:rsidRPr="00A51392">
        <w:rPr>
          <w:rFonts w:ascii="Arial" w:hAnsi="Arial" w:cs="Arial"/>
          <w:sz w:val="20"/>
          <w:szCs w:val="20"/>
          <w:lang w:val="fr-HT"/>
        </w:rPr>
        <w:t xml:space="preserve"> minimum, </w:t>
      </w:r>
      <w:r>
        <w:rPr>
          <w:rFonts w:ascii="Arial" w:hAnsi="Arial" w:cs="Arial"/>
          <w:sz w:val="20"/>
          <w:szCs w:val="20"/>
          <w:lang w:val="fr-HT"/>
        </w:rPr>
        <w:t>le contractant devrait</w:t>
      </w:r>
      <w:r w:rsidR="000965CB" w:rsidRPr="00A51392">
        <w:rPr>
          <w:rFonts w:ascii="Arial" w:hAnsi="Arial" w:cs="Arial"/>
          <w:sz w:val="20"/>
          <w:szCs w:val="20"/>
          <w:lang w:val="fr-HT"/>
        </w:rPr>
        <w:t>:</w:t>
      </w:r>
    </w:p>
    <w:p w:rsidR="00AB7F36" w:rsidRDefault="00AB7F36"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Développer un plan de gestion</w:t>
      </w:r>
      <w:r w:rsidR="003068BA">
        <w:rPr>
          <w:rFonts w:ascii="Arial" w:hAnsi="Arial" w:cs="Arial"/>
          <w:sz w:val="20"/>
          <w:szCs w:val="20"/>
          <w:lang w:val="fr-HT"/>
        </w:rPr>
        <w:t xml:space="preserve"> identifiant des méthodes acceptables de </w:t>
      </w:r>
      <w:r w:rsidR="003068BA" w:rsidRPr="003068BA">
        <w:rPr>
          <w:rFonts w:ascii="Arial" w:hAnsi="Arial" w:cs="Arial"/>
          <w:sz w:val="20"/>
          <w:szCs w:val="20"/>
          <w:lang w:val="fr-HT"/>
        </w:rPr>
        <w:t xml:space="preserve">ségrégation, réduction, réutilisation et </w:t>
      </w:r>
      <w:r w:rsidR="003068BA">
        <w:rPr>
          <w:rFonts w:ascii="Arial" w:hAnsi="Arial" w:cs="Arial"/>
          <w:sz w:val="20"/>
          <w:szCs w:val="20"/>
          <w:lang w:val="fr-HT"/>
        </w:rPr>
        <w:t>recyclage des déchets solides et</w:t>
      </w:r>
      <w:r>
        <w:rPr>
          <w:rFonts w:ascii="Arial" w:hAnsi="Arial" w:cs="Arial"/>
          <w:sz w:val="20"/>
          <w:szCs w:val="20"/>
          <w:lang w:val="fr-HT"/>
        </w:rPr>
        <w:t xml:space="preserve"> dangereux,</w:t>
      </w:r>
      <w:r w:rsidR="003068BA">
        <w:rPr>
          <w:rFonts w:ascii="Arial" w:hAnsi="Arial" w:cs="Arial"/>
          <w:sz w:val="20"/>
          <w:szCs w:val="20"/>
          <w:lang w:val="fr-HT"/>
        </w:rPr>
        <w:t xml:space="preserve"> y compris les sols co</w:t>
      </w:r>
      <w:r w:rsidR="00C607C0">
        <w:rPr>
          <w:rFonts w:ascii="Arial" w:hAnsi="Arial" w:cs="Arial"/>
          <w:sz w:val="20"/>
          <w:szCs w:val="20"/>
          <w:lang w:val="fr-HT"/>
        </w:rPr>
        <w:t>ntaminés et les déchets humains ;</w:t>
      </w:r>
    </w:p>
    <w:p w:rsidR="00AB7F36" w:rsidRDefault="00AB7F36"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Fournir les bacs appropriés pour le stockage et séparation des déchets ;</w:t>
      </w:r>
    </w:p>
    <w:p w:rsidR="00AB7F36" w:rsidRDefault="00AB7F36"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Fournir </w:t>
      </w:r>
      <w:r w:rsidR="002D5809">
        <w:rPr>
          <w:rFonts w:ascii="Arial" w:hAnsi="Arial" w:cs="Arial"/>
          <w:sz w:val="20"/>
          <w:szCs w:val="20"/>
          <w:lang w:val="fr-HT"/>
        </w:rPr>
        <w:t>un</w:t>
      </w:r>
      <w:r w:rsidR="000227BC">
        <w:rPr>
          <w:rFonts w:ascii="Arial" w:hAnsi="Arial" w:cs="Arial"/>
          <w:sz w:val="20"/>
          <w:szCs w:val="20"/>
          <w:lang w:val="fr-HT"/>
        </w:rPr>
        <w:t>e formation pour la</w:t>
      </w:r>
      <w:r w:rsidR="002D5809">
        <w:rPr>
          <w:rFonts w:ascii="Arial" w:hAnsi="Arial" w:cs="Arial"/>
          <w:sz w:val="20"/>
          <w:szCs w:val="20"/>
          <w:lang w:val="fr-HT"/>
        </w:rPr>
        <w:t xml:space="preserve"> </w:t>
      </w:r>
      <w:r w:rsidR="000227BC">
        <w:rPr>
          <w:rFonts w:ascii="Arial" w:hAnsi="Arial" w:cs="Arial"/>
          <w:sz w:val="20"/>
          <w:szCs w:val="20"/>
          <w:lang w:val="fr-HT"/>
        </w:rPr>
        <w:t>main d’œuvre sur la gestion appropriée de déchets et déchets dangereux</w:t>
      </w:r>
      <w:r>
        <w:rPr>
          <w:rFonts w:ascii="Arial" w:hAnsi="Arial" w:cs="Arial"/>
          <w:sz w:val="20"/>
          <w:szCs w:val="20"/>
          <w:lang w:val="fr-HT"/>
        </w:rPr>
        <w:t xml:space="preserve"> </w:t>
      </w:r>
    </w:p>
    <w:p w:rsidR="000227BC" w:rsidRDefault="000227BC"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Etablir procédures pour la collection, gestion, stockage, transport et disposition finale de déchets et déchets dangereux, conformément aux meilleures pratiques internationales ;</w:t>
      </w:r>
    </w:p>
    <w:p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Assurer le confinement secondaire adéquat pour les réservoirs de stockage de carburants et stockage temporaire d’autres hydrocarbures (par ex. huiles lubrifiants et fluides hydrauliques) ;</w:t>
      </w:r>
    </w:p>
    <w:p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Installer des surfaces imperméables pour les zones de ravitaillement et </w:t>
      </w:r>
      <w:r w:rsidR="00C607C0">
        <w:rPr>
          <w:rFonts w:ascii="Arial" w:hAnsi="Arial" w:cs="Arial"/>
          <w:sz w:val="20"/>
          <w:szCs w:val="20"/>
          <w:lang w:val="fr-HT"/>
        </w:rPr>
        <w:t xml:space="preserve">entretien de véhicules, et </w:t>
      </w:r>
      <w:r>
        <w:rPr>
          <w:rFonts w:ascii="Arial" w:hAnsi="Arial" w:cs="Arial"/>
          <w:sz w:val="20"/>
          <w:szCs w:val="20"/>
          <w:lang w:val="fr-HT"/>
        </w:rPr>
        <w:t>autres zones où</w:t>
      </w:r>
      <w:r w:rsidR="00C607C0">
        <w:rPr>
          <w:rFonts w:ascii="Arial" w:hAnsi="Arial" w:cs="Arial"/>
          <w:sz w:val="20"/>
          <w:szCs w:val="20"/>
          <w:lang w:val="fr-HT"/>
        </w:rPr>
        <w:t xml:space="preserve"> le transfert de fluides à lieu, munis de dispositifs de contention et de contrôle des déversements</w:t>
      </w:r>
      <w:r>
        <w:rPr>
          <w:rFonts w:ascii="Arial" w:hAnsi="Arial" w:cs="Arial"/>
          <w:sz w:val="20"/>
          <w:szCs w:val="20"/>
          <w:lang w:val="fr-HT"/>
        </w:rPr>
        <w:t>;</w:t>
      </w:r>
    </w:p>
    <w:p w:rsidR="00EE0B74" w:rsidRDefault="00FE7399"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sidRPr="00A51392">
        <w:rPr>
          <w:rFonts w:ascii="Arial" w:hAnsi="Arial" w:cs="Arial"/>
          <w:sz w:val="20"/>
          <w:szCs w:val="20"/>
          <w:lang w:val="fr-HT"/>
        </w:rPr>
        <w:t>D</w:t>
      </w:r>
      <w:r w:rsidR="00EE0B74">
        <w:rPr>
          <w:rFonts w:ascii="Arial" w:hAnsi="Arial" w:cs="Arial"/>
          <w:sz w:val="20"/>
          <w:szCs w:val="20"/>
          <w:lang w:val="fr-HT"/>
        </w:rPr>
        <w:t>évelopper un plan d’intervention d’urgence ;</w:t>
      </w:r>
    </w:p>
    <w:p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Fournir une formation appropriée à la main d’œuvre sur le transfert et gestion de carburants et produits chimiques, et l’intervention aux déversements </w:t>
      </w:r>
    </w:p>
    <w:p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Fournir les équipements pour le confinement et nettoyage de déversements sur le site’</w:t>
      </w:r>
    </w:p>
    <w:p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Eviter l’usage de matériaux dangereux dans ou sur les matériaux de construction (par ex. </w:t>
      </w:r>
      <w:proofErr w:type="spellStart"/>
      <w:r>
        <w:rPr>
          <w:rFonts w:ascii="Arial" w:hAnsi="Arial" w:cs="Arial"/>
          <w:sz w:val="20"/>
          <w:szCs w:val="20"/>
          <w:lang w:val="fr-HT"/>
        </w:rPr>
        <w:t>PCBs</w:t>
      </w:r>
      <w:proofErr w:type="spellEnd"/>
      <w:r>
        <w:rPr>
          <w:rFonts w:ascii="Arial" w:hAnsi="Arial" w:cs="Arial"/>
          <w:sz w:val="20"/>
          <w:szCs w:val="20"/>
          <w:lang w:val="fr-HT"/>
        </w:rPr>
        <w:t xml:space="preserve">, </w:t>
      </w:r>
      <w:proofErr w:type="spellStart"/>
      <w:r>
        <w:rPr>
          <w:rFonts w:ascii="Arial" w:hAnsi="Arial" w:cs="Arial"/>
          <w:sz w:val="20"/>
          <w:szCs w:val="20"/>
          <w:lang w:val="fr-HT"/>
        </w:rPr>
        <w:t>asbestos</w:t>
      </w:r>
      <w:proofErr w:type="spellEnd"/>
      <w:r>
        <w:rPr>
          <w:rFonts w:ascii="Arial" w:hAnsi="Arial" w:cs="Arial"/>
          <w:sz w:val="20"/>
          <w:szCs w:val="20"/>
          <w:lang w:val="fr-HT"/>
        </w:rPr>
        <w:t>)</w:t>
      </w:r>
    </w:p>
    <w:p w:rsidR="00C607C0" w:rsidRPr="00C607C0" w:rsidRDefault="00C607C0" w:rsidP="006B7AC6">
      <w:pPr>
        <w:pStyle w:val="ListParagraph"/>
        <w:numPr>
          <w:ilvl w:val="0"/>
          <w:numId w:val="32"/>
        </w:numPr>
        <w:tabs>
          <w:tab w:val="left" w:pos="1440"/>
        </w:tabs>
        <w:autoSpaceDE w:val="0"/>
        <w:autoSpaceDN w:val="0"/>
        <w:adjustRightInd w:val="0"/>
        <w:spacing w:after="0"/>
        <w:ind w:left="1440" w:hanging="270"/>
        <w:rPr>
          <w:rFonts w:ascii="Arial" w:hAnsi="Arial" w:cs="Arial"/>
          <w:bCs/>
          <w:iCs/>
          <w:sz w:val="20"/>
          <w:szCs w:val="20"/>
          <w:lang w:val="fr-FR"/>
        </w:rPr>
      </w:pPr>
      <w:r>
        <w:rPr>
          <w:rFonts w:ascii="Arial" w:hAnsi="Arial" w:cs="Arial"/>
          <w:sz w:val="20"/>
          <w:szCs w:val="20"/>
          <w:lang w:val="fr-HT"/>
        </w:rPr>
        <w:t xml:space="preserve">Interdire l’utilisation des sacs </w:t>
      </w:r>
      <w:r w:rsidRPr="00C607C0">
        <w:rPr>
          <w:rFonts w:ascii="Arial" w:hAnsi="Arial" w:cs="Arial"/>
          <w:bCs/>
          <w:iCs/>
          <w:sz w:val="20"/>
          <w:szCs w:val="20"/>
          <w:lang w:val="fr-FR"/>
        </w:rPr>
        <w:t xml:space="preserve">en polyéthylène et des intrants et objets en polystyrène expansé (PSE ou PS cristal ou </w:t>
      </w:r>
      <w:proofErr w:type="spellStart"/>
      <w:r w:rsidRPr="00C607C0">
        <w:rPr>
          <w:rFonts w:ascii="Arial" w:hAnsi="Arial" w:cs="Arial"/>
          <w:bCs/>
          <w:iCs/>
          <w:sz w:val="20"/>
          <w:szCs w:val="20"/>
          <w:lang w:val="fr-FR"/>
        </w:rPr>
        <w:t>styrofoam</w:t>
      </w:r>
      <w:proofErr w:type="spellEnd"/>
      <w:r w:rsidRPr="00C607C0">
        <w:rPr>
          <w:rFonts w:ascii="Arial" w:hAnsi="Arial" w:cs="Arial"/>
          <w:bCs/>
          <w:iCs/>
          <w:sz w:val="20"/>
          <w:szCs w:val="20"/>
          <w:lang w:val="fr-FR"/>
        </w:rPr>
        <w:t xml:space="preserve">) à usage alimentaire unique, tels que plateaux, barquettes, bouteilles, sachets, gobelets et assiettes. </w:t>
      </w:r>
    </w:p>
    <w:p w:rsidR="000965CB" w:rsidRPr="00A51392" w:rsidRDefault="000965CB" w:rsidP="003671CA">
      <w:pPr>
        <w:pStyle w:val="PlainText"/>
        <w:rPr>
          <w:rFonts w:ascii="Arial" w:hAnsi="Arial" w:cs="Arial"/>
          <w:sz w:val="20"/>
          <w:szCs w:val="20"/>
          <w:lang w:val="fr-HT"/>
        </w:rPr>
      </w:pPr>
    </w:p>
    <w:p w:rsidR="00C607C0" w:rsidRPr="000B5AB3" w:rsidRDefault="00C607C0" w:rsidP="00E8104E">
      <w:pPr>
        <w:pStyle w:val="PlainText"/>
        <w:numPr>
          <w:ilvl w:val="0"/>
          <w:numId w:val="11"/>
        </w:numPr>
        <w:jc w:val="both"/>
        <w:rPr>
          <w:rFonts w:ascii="Arial" w:hAnsi="Arial" w:cs="Arial"/>
          <w:i/>
          <w:sz w:val="20"/>
          <w:szCs w:val="20"/>
          <w:lang w:val="fr-HT"/>
        </w:rPr>
      </w:pPr>
      <w:r w:rsidRPr="000B5AB3">
        <w:rPr>
          <w:rFonts w:ascii="Arial" w:hAnsi="Arial" w:cs="Arial"/>
          <w:i/>
          <w:sz w:val="20"/>
          <w:szCs w:val="20"/>
          <w:lang w:val="fr-HT"/>
        </w:rPr>
        <w:t>Ressources biologiques :</w:t>
      </w:r>
    </w:p>
    <w:p w:rsidR="00C607C0" w:rsidRPr="00C607C0" w:rsidRDefault="00C607C0" w:rsidP="006B7AC6">
      <w:pPr>
        <w:pStyle w:val="PlainText"/>
        <w:numPr>
          <w:ilvl w:val="1"/>
          <w:numId w:val="11"/>
        </w:numPr>
        <w:ind w:left="1440" w:hanging="270"/>
        <w:jc w:val="both"/>
        <w:rPr>
          <w:rFonts w:ascii="Arial" w:hAnsi="Arial" w:cs="Arial"/>
          <w:sz w:val="20"/>
          <w:szCs w:val="20"/>
          <w:lang w:val="fr-HT"/>
        </w:rPr>
      </w:pPr>
      <w:r w:rsidRPr="00C607C0">
        <w:rPr>
          <w:rFonts w:ascii="Arial" w:hAnsi="Arial" w:cs="Arial"/>
          <w:sz w:val="20"/>
          <w:lang w:val="fr-FR"/>
        </w:rPr>
        <w:t>Enquête pré-construction sur l’habitat et micro-routage des canalisations, captages et forages pour minimiser l’impact sur les habitats naturels/boisés</w:t>
      </w:r>
    </w:p>
    <w:p w:rsidR="00C607C0" w:rsidRPr="00C607C0" w:rsidRDefault="00C607C0" w:rsidP="006B7AC6">
      <w:pPr>
        <w:pStyle w:val="PlainText"/>
        <w:numPr>
          <w:ilvl w:val="1"/>
          <w:numId w:val="11"/>
        </w:numPr>
        <w:ind w:left="1440" w:hanging="270"/>
        <w:jc w:val="both"/>
        <w:rPr>
          <w:rFonts w:ascii="Arial" w:hAnsi="Arial" w:cs="Arial"/>
          <w:sz w:val="20"/>
          <w:szCs w:val="20"/>
          <w:lang w:val="fr-HT"/>
        </w:rPr>
      </w:pPr>
      <w:r w:rsidRPr="00C607C0">
        <w:rPr>
          <w:rFonts w:ascii="Arial" w:hAnsi="Arial" w:cs="Arial"/>
          <w:sz w:val="20"/>
          <w:szCs w:val="20"/>
          <w:lang w:val="fr-FR"/>
        </w:rPr>
        <w:t>Monter une liste des espèces importantes, et élaborer des directives d’identification et un plan d’action si des espèces sont identifiés sur le chantier</w:t>
      </w:r>
    </w:p>
    <w:p w:rsidR="00A76D9E" w:rsidRPr="000B5AB3" w:rsidRDefault="00A76D9E" w:rsidP="00171F96">
      <w:pPr>
        <w:pStyle w:val="PlainText"/>
        <w:jc w:val="both"/>
        <w:rPr>
          <w:rFonts w:ascii="Arial" w:hAnsi="Arial" w:cs="Arial"/>
          <w:sz w:val="20"/>
          <w:szCs w:val="20"/>
          <w:lang w:val="fr-HT"/>
        </w:rPr>
      </w:pPr>
    </w:p>
    <w:p w:rsidR="006B7AC6" w:rsidRPr="006B7AC6" w:rsidRDefault="006B7AC6" w:rsidP="006B7AC6">
      <w:pPr>
        <w:pStyle w:val="PlainText"/>
        <w:numPr>
          <w:ilvl w:val="0"/>
          <w:numId w:val="11"/>
        </w:numPr>
        <w:jc w:val="both"/>
        <w:rPr>
          <w:rFonts w:ascii="Arial" w:hAnsi="Arial" w:cs="Arial"/>
          <w:i/>
          <w:sz w:val="20"/>
          <w:szCs w:val="20"/>
          <w:lang w:val="fr-HT"/>
        </w:rPr>
      </w:pPr>
      <w:r w:rsidRPr="006B7AC6">
        <w:rPr>
          <w:rFonts w:ascii="Arial" w:hAnsi="Arial" w:cs="Arial"/>
          <w:i/>
          <w:sz w:val="20"/>
          <w:szCs w:val="20"/>
          <w:lang w:val="fr-HT"/>
        </w:rPr>
        <w:t>Désastres naturels</w:t>
      </w:r>
      <w:r>
        <w:rPr>
          <w:rFonts w:ascii="Arial" w:hAnsi="Arial" w:cs="Arial"/>
          <w:i/>
          <w:sz w:val="20"/>
          <w:szCs w:val="20"/>
          <w:lang w:val="fr-HT"/>
        </w:rPr>
        <w:t xml:space="preserve"> : </w:t>
      </w:r>
      <w:r w:rsidRPr="006B7AC6">
        <w:rPr>
          <w:rFonts w:ascii="Arial" w:hAnsi="Arial" w:cs="Arial"/>
          <w:sz w:val="20"/>
          <w:szCs w:val="20"/>
          <w:lang w:val="fr-FR"/>
        </w:rPr>
        <w:t>Elaborer un Plan de Réponse aux Urgences décrivant les procédures à appliquer en cas d’alerte météorologique (i.e. cyclone ou tempête tropicale) ou d’événement imprévisibles (i.e., séisme). Cela impliquerait d’assurer la sécurité de l’équipement et des matériaux, de stabiliser les aires perturbées, et d’autres actions similaires.</w:t>
      </w:r>
    </w:p>
    <w:p w:rsidR="006B7AC6" w:rsidRPr="006B7AC6" w:rsidRDefault="006B7AC6" w:rsidP="006B7AC6">
      <w:pPr>
        <w:pStyle w:val="PlainText"/>
        <w:ind w:left="1890"/>
        <w:jc w:val="both"/>
        <w:rPr>
          <w:rFonts w:ascii="Arial" w:hAnsi="Arial" w:cs="Arial"/>
          <w:sz w:val="20"/>
          <w:szCs w:val="20"/>
          <w:lang w:val="fr-HT"/>
        </w:rPr>
      </w:pPr>
    </w:p>
    <w:p w:rsidR="000965CB" w:rsidRDefault="0036027C" w:rsidP="00E8104E">
      <w:pPr>
        <w:pStyle w:val="PlainText"/>
        <w:numPr>
          <w:ilvl w:val="0"/>
          <w:numId w:val="11"/>
        </w:numPr>
        <w:jc w:val="both"/>
        <w:rPr>
          <w:rFonts w:ascii="Arial" w:hAnsi="Arial" w:cs="Arial"/>
          <w:sz w:val="20"/>
          <w:szCs w:val="20"/>
          <w:lang w:val="fr-HT"/>
        </w:rPr>
      </w:pPr>
      <w:r w:rsidRPr="00E8104E">
        <w:rPr>
          <w:rFonts w:ascii="Arial" w:hAnsi="Arial" w:cs="Arial"/>
          <w:i/>
          <w:sz w:val="20"/>
          <w:szCs w:val="20"/>
          <w:lang w:val="fr-HT"/>
        </w:rPr>
        <w:t xml:space="preserve">Surveillance </w:t>
      </w:r>
      <w:proofErr w:type="gramStart"/>
      <w:r w:rsidRPr="00E8104E">
        <w:rPr>
          <w:rFonts w:ascii="Arial" w:hAnsi="Arial" w:cs="Arial"/>
          <w:i/>
          <w:sz w:val="20"/>
          <w:szCs w:val="20"/>
          <w:lang w:val="fr-HT"/>
        </w:rPr>
        <w:t>ES</w:t>
      </w:r>
      <w:r w:rsidR="000965CB" w:rsidRPr="00E8104E">
        <w:rPr>
          <w:rFonts w:ascii="Arial" w:hAnsi="Arial" w:cs="Arial"/>
          <w:i/>
          <w:sz w:val="20"/>
          <w:szCs w:val="20"/>
          <w:lang w:val="fr-HT"/>
        </w:rPr>
        <w:t>S</w:t>
      </w:r>
      <w:r w:rsidR="000965CB" w:rsidRPr="00A51392">
        <w:rPr>
          <w:rFonts w:ascii="Arial" w:hAnsi="Arial" w:cs="Arial"/>
          <w:sz w:val="20"/>
          <w:szCs w:val="20"/>
          <w:lang w:val="fr-HT"/>
        </w:rPr>
        <w:t>:</w:t>
      </w:r>
      <w:proofErr w:type="gramEnd"/>
      <w:r w:rsidR="00F244F6" w:rsidRPr="00A51392">
        <w:rPr>
          <w:rFonts w:ascii="Arial" w:hAnsi="Arial" w:cs="Arial"/>
          <w:sz w:val="20"/>
          <w:szCs w:val="20"/>
          <w:lang w:val="fr-HT"/>
        </w:rPr>
        <w:t xml:space="preserve"> </w:t>
      </w:r>
      <w:r w:rsidR="00C74A7F">
        <w:rPr>
          <w:rFonts w:ascii="Arial" w:hAnsi="Arial" w:cs="Arial"/>
          <w:sz w:val="20"/>
          <w:szCs w:val="20"/>
          <w:lang w:val="fr-HT"/>
        </w:rPr>
        <w:t xml:space="preserve">Préalablement à tout activité d’excavation ou construction, le contractant devrait développer un plan de suivi de ESS. Le plan doit </w:t>
      </w:r>
      <w:r w:rsidR="005458D1">
        <w:rPr>
          <w:rFonts w:ascii="Arial" w:hAnsi="Arial" w:cs="Arial"/>
          <w:sz w:val="20"/>
          <w:szCs w:val="20"/>
          <w:lang w:val="fr-HT"/>
        </w:rPr>
        <w:t>identifier</w:t>
      </w:r>
      <w:r w:rsidR="00C74A7F">
        <w:rPr>
          <w:rFonts w:ascii="Arial" w:hAnsi="Arial" w:cs="Arial"/>
          <w:sz w:val="20"/>
          <w:szCs w:val="20"/>
          <w:lang w:val="fr-HT"/>
        </w:rPr>
        <w:t xml:space="preserve"> la ligne de base de tout indicateur </w:t>
      </w:r>
      <w:r w:rsidR="00D562E7">
        <w:rPr>
          <w:rFonts w:ascii="Arial" w:hAnsi="Arial" w:cs="Arial"/>
          <w:sz w:val="20"/>
          <w:szCs w:val="20"/>
          <w:lang w:val="fr-HT"/>
        </w:rPr>
        <w:t>établi (qualité et quantité d’eau</w:t>
      </w:r>
      <w:r w:rsidR="005458D1">
        <w:rPr>
          <w:rFonts w:ascii="Arial" w:hAnsi="Arial" w:cs="Arial"/>
          <w:sz w:val="20"/>
          <w:szCs w:val="20"/>
          <w:lang w:val="fr-HT"/>
        </w:rPr>
        <w:t>, bruit, émissions atmosphériques, au minimum</w:t>
      </w:r>
      <w:r w:rsidR="00D562E7">
        <w:rPr>
          <w:rFonts w:ascii="Arial" w:hAnsi="Arial" w:cs="Arial"/>
          <w:sz w:val="20"/>
          <w:szCs w:val="20"/>
          <w:lang w:val="fr-HT"/>
        </w:rPr>
        <w:t>)</w:t>
      </w:r>
      <w:r w:rsidR="005458D1">
        <w:rPr>
          <w:rFonts w:ascii="Arial" w:hAnsi="Arial" w:cs="Arial"/>
          <w:sz w:val="20"/>
          <w:szCs w:val="20"/>
          <w:lang w:val="fr-HT"/>
        </w:rPr>
        <w:t xml:space="preserve"> </w:t>
      </w:r>
    </w:p>
    <w:p w:rsidR="000965CB" w:rsidRPr="00A51392" w:rsidRDefault="000965CB" w:rsidP="003671CA">
      <w:pPr>
        <w:pStyle w:val="PlainText"/>
        <w:rPr>
          <w:rFonts w:ascii="Arial" w:hAnsi="Arial" w:cs="Arial"/>
          <w:sz w:val="20"/>
          <w:szCs w:val="20"/>
          <w:lang w:val="fr-HT"/>
        </w:rPr>
      </w:pPr>
    </w:p>
    <w:p w:rsidR="006B7AC6" w:rsidRPr="006B7AC6" w:rsidRDefault="006B7AC6" w:rsidP="006B7AC6">
      <w:pPr>
        <w:pStyle w:val="PlainText"/>
        <w:rPr>
          <w:rFonts w:ascii="Arial" w:hAnsi="Arial" w:cs="Arial"/>
          <w:sz w:val="20"/>
          <w:szCs w:val="20"/>
          <w:lang w:val="fr-HT"/>
        </w:rPr>
      </w:pPr>
    </w:p>
    <w:p w:rsidR="00893BFF" w:rsidRDefault="00171F96" w:rsidP="00171F96">
      <w:pPr>
        <w:pStyle w:val="PlainText"/>
        <w:numPr>
          <w:ilvl w:val="0"/>
          <w:numId w:val="2"/>
        </w:numPr>
        <w:rPr>
          <w:rFonts w:ascii="Arial" w:hAnsi="Arial" w:cs="Arial"/>
          <w:b/>
          <w:sz w:val="20"/>
          <w:szCs w:val="20"/>
          <w:lang w:val="fr-HT"/>
        </w:rPr>
      </w:pPr>
      <w:r w:rsidRPr="00171F96">
        <w:rPr>
          <w:rFonts w:ascii="Arial" w:hAnsi="Arial" w:cs="Arial"/>
          <w:b/>
          <w:sz w:val="20"/>
          <w:szCs w:val="20"/>
          <w:lang w:val="fr-HT"/>
        </w:rPr>
        <w:t>Contrôle et surveillance d’impacts sociaux</w:t>
      </w:r>
    </w:p>
    <w:p w:rsidR="00171F96" w:rsidRPr="00CC2C8E" w:rsidRDefault="00171F96" w:rsidP="00171F96">
      <w:pPr>
        <w:pStyle w:val="PlainText"/>
        <w:numPr>
          <w:ilvl w:val="0"/>
          <w:numId w:val="42"/>
        </w:numPr>
        <w:jc w:val="both"/>
        <w:rPr>
          <w:rFonts w:ascii="Arial" w:hAnsi="Arial" w:cs="Arial"/>
          <w:i/>
          <w:sz w:val="20"/>
          <w:szCs w:val="20"/>
          <w:lang w:val="fr-HT"/>
        </w:rPr>
      </w:pPr>
      <w:r w:rsidRPr="00CC2C8E">
        <w:rPr>
          <w:rFonts w:ascii="Arial" w:hAnsi="Arial" w:cs="Arial"/>
          <w:i/>
          <w:sz w:val="20"/>
          <w:szCs w:val="20"/>
          <w:lang w:val="fr-HT"/>
        </w:rPr>
        <w:t xml:space="preserve">Santé et </w:t>
      </w:r>
      <w:r>
        <w:rPr>
          <w:rFonts w:ascii="Arial" w:hAnsi="Arial" w:cs="Arial"/>
          <w:i/>
          <w:sz w:val="20"/>
          <w:szCs w:val="20"/>
          <w:lang w:val="fr-HT"/>
        </w:rPr>
        <w:t>sécurité au t</w:t>
      </w:r>
      <w:r w:rsidRPr="00CC2C8E">
        <w:rPr>
          <w:rFonts w:ascii="Arial" w:hAnsi="Arial" w:cs="Arial"/>
          <w:i/>
          <w:sz w:val="20"/>
          <w:szCs w:val="20"/>
          <w:lang w:val="fr-HT"/>
        </w:rPr>
        <w:t xml:space="preserve">ravail : </w:t>
      </w:r>
    </w:p>
    <w:p w:rsidR="00171F96" w:rsidRDefault="00171F96" w:rsidP="00171F96">
      <w:pPr>
        <w:pStyle w:val="PlainText"/>
        <w:numPr>
          <w:ilvl w:val="0"/>
          <w:numId w:val="43"/>
        </w:numPr>
        <w:jc w:val="both"/>
        <w:rPr>
          <w:rFonts w:ascii="Arial" w:hAnsi="Arial" w:cs="Arial"/>
          <w:sz w:val="20"/>
          <w:szCs w:val="20"/>
          <w:lang w:val="fr-FR"/>
        </w:rPr>
      </w:pPr>
      <w:r>
        <w:rPr>
          <w:rFonts w:ascii="Arial" w:hAnsi="Arial" w:cs="Arial"/>
          <w:sz w:val="20"/>
          <w:szCs w:val="20"/>
          <w:lang w:val="fr-HT"/>
        </w:rPr>
        <w:t xml:space="preserve">Le contractant devrait fournir un </w:t>
      </w:r>
      <w:r w:rsidRPr="00A76D9E">
        <w:rPr>
          <w:rFonts w:ascii="Arial" w:hAnsi="Arial" w:cs="Arial"/>
          <w:sz w:val="20"/>
          <w:szCs w:val="20"/>
          <w:lang w:val="fr-FR"/>
        </w:rPr>
        <w:t xml:space="preserve">équipement de protection </w:t>
      </w:r>
      <w:r w:rsidR="00276612">
        <w:rPr>
          <w:rFonts w:ascii="Arial" w:hAnsi="Arial" w:cs="Arial"/>
          <w:sz w:val="20"/>
          <w:szCs w:val="20"/>
          <w:lang w:val="fr-FR"/>
        </w:rPr>
        <w:t xml:space="preserve">individuelle </w:t>
      </w:r>
      <w:r w:rsidRPr="00A76D9E">
        <w:rPr>
          <w:rFonts w:ascii="Arial" w:hAnsi="Arial" w:cs="Arial"/>
          <w:sz w:val="20"/>
          <w:szCs w:val="20"/>
          <w:lang w:val="fr-FR"/>
        </w:rPr>
        <w:t>(EP</w:t>
      </w:r>
      <w:r w:rsidR="00276612">
        <w:rPr>
          <w:rFonts w:ascii="Arial" w:hAnsi="Arial" w:cs="Arial"/>
          <w:sz w:val="20"/>
          <w:szCs w:val="20"/>
          <w:lang w:val="fr-FR"/>
        </w:rPr>
        <w:t>I</w:t>
      </w:r>
      <w:r w:rsidRPr="00A76D9E">
        <w:rPr>
          <w:rFonts w:ascii="Arial" w:hAnsi="Arial" w:cs="Arial"/>
          <w:sz w:val="20"/>
          <w:szCs w:val="20"/>
          <w:lang w:val="fr-FR"/>
        </w:rPr>
        <w:t xml:space="preserve">) approprié, comme des casques de sécurité, des gilets de sécurité, des gants, une protection des oreilles et des yeux, et des masques. </w:t>
      </w:r>
    </w:p>
    <w:p w:rsidR="00171F96" w:rsidRPr="00A76D9E" w:rsidRDefault="00171F96" w:rsidP="00171F96">
      <w:pPr>
        <w:pStyle w:val="PlainText"/>
        <w:numPr>
          <w:ilvl w:val="0"/>
          <w:numId w:val="43"/>
        </w:numPr>
        <w:jc w:val="both"/>
        <w:rPr>
          <w:rFonts w:ascii="Arial" w:hAnsi="Arial" w:cs="Arial"/>
          <w:sz w:val="20"/>
          <w:szCs w:val="20"/>
          <w:lang w:val="fr-FR"/>
        </w:rPr>
      </w:pPr>
      <w:r w:rsidRPr="00A76D9E">
        <w:rPr>
          <w:rFonts w:ascii="Arial" w:hAnsi="Arial" w:cs="Arial"/>
          <w:sz w:val="20"/>
          <w:szCs w:val="20"/>
          <w:lang w:val="fr-FR"/>
        </w:rPr>
        <w:t>Un plan et un système adéquat de gestion de la santé et de la sécurité au travail doivent être élaborés et mis en place, y compris des procédures appropriée</w:t>
      </w:r>
      <w:bookmarkStart w:id="1" w:name="_GoBack"/>
      <w:bookmarkEnd w:id="1"/>
      <w:r w:rsidRPr="00A76D9E">
        <w:rPr>
          <w:rFonts w:ascii="Arial" w:hAnsi="Arial" w:cs="Arial"/>
          <w:sz w:val="20"/>
          <w:szCs w:val="20"/>
          <w:lang w:val="fr-FR"/>
        </w:rPr>
        <w:t xml:space="preserve">s pour l’excavation et le </w:t>
      </w:r>
      <w:r w:rsidRPr="00A76D9E">
        <w:rPr>
          <w:rFonts w:ascii="Arial" w:hAnsi="Arial" w:cs="Arial"/>
          <w:sz w:val="20"/>
          <w:szCs w:val="20"/>
          <w:lang w:val="fr-FR"/>
        </w:rPr>
        <w:lastRenderedPageBreak/>
        <w:t>creusement de fossés, la circulation, et les contrôles du bruit et des vibrations. Des mesures spéciales doivent être adoptées pour le cas où les activités d’excavation mettraient à jour des matériels dangereux (i.e., sols contaminés, eaux usées).</w:t>
      </w:r>
    </w:p>
    <w:p w:rsidR="00171F96" w:rsidRDefault="00171F96" w:rsidP="00171F96">
      <w:pPr>
        <w:pStyle w:val="PlainText"/>
        <w:numPr>
          <w:ilvl w:val="0"/>
          <w:numId w:val="43"/>
        </w:numPr>
        <w:jc w:val="both"/>
        <w:rPr>
          <w:rFonts w:ascii="Arial" w:hAnsi="Arial" w:cs="Arial"/>
          <w:sz w:val="20"/>
          <w:szCs w:val="20"/>
          <w:lang w:val="fr-FR"/>
        </w:rPr>
      </w:pPr>
      <w:r w:rsidRPr="00A76D9E">
        <w:rPr>
          <w:rFonts w:ascii="Arial" w:hAnsi="Arial" w:cs="Arial"/>
          <w:sz w:val="20"/>
          <w:szCs w:val="20"/>
          <w:lang w:val="fr-FR"/>
        </w:rPr>
        <w:t xml:space="preserve"> L’entreprise de construction devrait aussi disposer d’un plan d’action d’urgence pour la réponse aux aléas naturels.</w:t>
      </w:r>
    </w:p>
    <w:p w:rsidR="00171F96" w:rsidRDefault="00171F96" w:rsidP="00171F96">
      <w:pPr>
        <w:pStyle w:val="PlainText"/>
        <w:ind w:left="1080"/>
        <w:jc w:val="both"/>
        <w:rPr>
          <w:rFonts w:ascii="Arial" w:hAnsi="Arial" w:cs="Arial"/>
          <w:sz w:val="20"/>
          <w:szCs w:val="20"/>
          <w:lang w:val="fr-FR"/>
        </w:rPr>
      </w:pPr>
    </w:p>
    <w:p w:rsidR="00171F96" w:rsidRPr="00171F96" w:rsidRDefault="00171F96" w:rsidP="00171F96">
      <w:pPr>
        <w:pStyle w:val="PlainText"/>
        <w:numPr>
          <w:ilvl w:val="0"/>
          <w:numId w:val="42"/>
        </w:numPr>
        <w:jc w:val="both"/>
        <w:rPr>
          <w:rFonts w:ascii="Arial" w:hAnsi="Arial" w:cs="Arial"/>
          <w:sz w:val="20"/>
          <w:szCs w:val="20"/>
          <w:lang w:val="fr-FR"/>
        </w:rPr>
      </w:pPr>
      <w:r w:rsidRPr="00171F96">
        <w:rPr>
          <w:rFonts w:ascii="Arial" w:hAnsi="Arial" w:cs="Arial"/>
          <w:i/>
          <w:sz w:val="20"/>
          <w:szCs w:val="20"/>
          <w:lang w:val="fr-HT"/>
        </w:rPr>
        <w:t>Logistiques de transport et santé et sécurité communautaire</w:t>
      </w:r>
      <w:r w:rsidRPr="00171F96">
        <w:rPr>
          <w:rFonts w:ascii="Arial" w:hAnsi="Arial" w:cs="Arial"/>
          <w:sz w:val="20"/>
          <w:szCs w:val="20"/>
          <w:lang w:val="fr-HT"/>
        </w:rPr>
        <w:t xml:space="preserve"> : </w:t>
      </w:r>
    </w:p>
    <w:p w:rsidR="00171F96" w:rsidRPr="006B7AC6" w:rsidRDefault="00171F96" w:rsidP="00171F96">
      <w:pPr>
        <w:pStyle w:val="PlainText"/>
        <w:numPr>
          <w:ilvl w:val="1"/>
          <w:numId w:val="11"/>
        </w:numPr>
        <w:ind w:left="1080"/>
        <w:jc w:val="both"/>
        <w:rPr>
          <w:rFonts w:ascii="Arial" w:hAnsi="Arial" w:cs="Arial"/>
          <w:sz w:val="20"/>
          <w:szCs w:val="20"/>
          <w:lang w:val="fr-HT"/>
        </w:rPr>
      </w:pPr>
      <w:r w:rsidRPr="006B7AC6">
        <w:rPr>
          <w:rFonts w:ascii="Arial" w:hAnsi="Arial" w:cs="Arial"/>
          <w:sz w:val="20"/>
          <w:szCs w:val="20"/>
          <w:lang w:val="fr-HT"/>
        </w:rPr>
        <w:t>Elaboration et application d’un Plan de Gestion de la Circulation incluant les composants suivants :</w:t>
      </w:r>
    </w:p>
    <w:p w:rsidR="00171F96" w:rsidRPr="006B7AC6" w:rsidRDefault="00171F96" w:rsidP="00D3152D">
      <w:pPr>
        <w:pStyle w:val="PlainText"/>
        <w:numPr>
          <w:ilvl w:val="2"/>
          <w:numId w:val="11"/>
        </w:numPr>
        <w:tabs>
          <w:tab w:val="left" w:pos="1980"/>
        </w:tabs>
        <w:ind w:left="1980" w:hanging="270"/>
        <w:jc w:val="both"/>
        <w:rPr>
          <w:rFonts w:ascii="Arial" w:hAnsi="Arial" w:cs="Arial"/>
          <w:sz w:val="20"/>
          <w:szCs w:val="20"/>
          <w:lang w:val="fr-HT"/>
        </w:rPr>
      </w:pPr>
      <w:r w:rsidRPr="006B7AC6">
        <w:rPr>
          <w:rFonts w:ascii="Arial" w:hAnsi="Arial" w:cs="Arial"/>
          <w:sz w:val="20"/>
          <w:szCs w:val="20"/>
          <w:lang w:val="fr-HT"/>
        </w:rPr>
        <w:t>Etablissement de routes alternatives d’accès aux espaces critiques (écoles, hôpitaux, cliniques, etc.) ;</w:t>
      </w:r>
    </w:p>
    <w:p w:rsidR="00171F96" w:rsidRPr="006B7AC6" w:rsidRDefault="00171F96" w:rsidP="00D3152D">
      <w:pPr>
        <w:pStyle w:val="PlainText"/>
        <w:numPr>
          <w:ilvl w:val="2"/>
          <w:numId w:val="11"/>
        </w:numPr>
        <w:tabs>
          <w:tab w:val="left" w:pos="1980"/>
        </w:tabs>
        <w:ind w:left="1980" w:hanging="270"/>
        <w:jc w:val="both"/>
        <w:rPr>
          <w:rFonts w:ascii="Arial" w:hAnsi="Arial" w:cs="Arial"/>
          <w:sz w:val="20"/>
          <w:szCs w:val="20"/>
          <w:lang w:val="fr-HT"/>
        </w:rPr>
      </w:pPr>
      <w:r w:rsidRPr="006B7AC6">
        <w:rPr>
          <w:rFonts w:ascii="Arial" w:hAnsi="Arial" w:cs="Arial"/>
          <w:sz w:val="20"/>
          <w:szCs w:val="20"/>
          <w:lang w:val="fr-HT"/>
        </w:rPr>
        <w:t>Segmentation des sections du projet, pour minimiser les impacts ;</w:t>
      </w:r>
    </w:p>
    <w:p w:rsidR="00171F96" w:rsidRDefault="00171F96" w:rsidP="00D3152D">
      <w:pPr>
        <w:pStyle w:val="PlainText"/>
        <w:numPr>
          <w:ilvl w:val="2"/>
          <w:numId w:val="11"/>
        </w:numPr>
        <w:tabs>
          <w:tab w:val="left" w:pos="1980"/>
        </w:tabs>
        <w:ind w:left="1980" w:hanging="270"/>
        <w:jc w:val="both"/>
        <w:rPr>
          <w:rFonts w:ascii="Arial" w:hAnsi="Arial" w:cs="Arial"/>
          <w:sz w:val="20"/>
          <w:szCs w:val="20"/>
          <w:lang w:val="fr-HT"/>
        </w:rPr>
      </w:pPr>
      <w:r w:rsidRPr="006B7AC6">
        <w:rPr>
          <w:rFonts w:ascii="Arial" w:hAnsi="Arial" w:cs="Arial"/>
          <w:sz w:val="20"/>
          <w:szCs w:val="20"/>
          <w:lang w:val="fr-HT"/>
        </w:rPr>
        <w:t>Préavis de fermeture des routes, signalisation des détours, et programmes/mesures de sécurité pour piétons et cyclistes.</w:t>
      </w:r>
    </w:p>
    <w:p w:rsidR="00171F96" w:rsidRPr="006B7AC6" w:rsidRDefault="00171F96" w:rsidP="00171F96">
      <w:pPr>
        <w:pStyle w:val="PlainText"/>
        <w:numPr>
          <w:ilvl w:val="1"/>
          <w:numId w:val="11"/>
        </w:numPr>
        <w:ind w:left="1080"/>
        <w:jc w:val="both"/>
        <w:rPr>
          <w:rFonts w:ascii="Arial" w:hAnsi="Arial" w:cs="Arial"/>
          <w:sz w:val="20"/>
          <w:szCs w:val="20"/>
          <w:lang w:val="fr-HT"/>
        </w:rPr>
      </w:pPr>
      <w:r>
        <w:rPr>
          <w:rFonts w:ascii="Arial" w:hAnsi="Arial" w:cs="Arial"/>
          <w:sz w:val="20"/>
          <w:szCs w:val="20"/>
          <w:lang w:val="fr-HT"/>
        </w:rPr>
        <w:t>Le contractant devrait identifier d’où parviendra les matériaux de construction, le niveau de soutien logistique requis, et l’itinéraire et horaire. Basé sur cette information, le contractant devrait développer les procédures de santé et sécurité communautaire.</w:t>
      </w:r>
    </w:p>
    <w:p w:rsidR="00171F96" w:rsidRPr="00A51392" w:rsidRDefault="00171F96" w:rsidP="00171F96">
      <w:pPr>
        <w:pStyle w:val="ListParagraph"/>
        <w:numPr>
          <w:ilvl w:val="0"/>
          <w:numId w:val="20"/>
        </w:numPr>
        <w:autoSpaceDE w:val="0"/>
        <w:autoSpaceDN w:val="0"/>
        <w:adjustRightInd w:val="0"/>
        <w:spacing w:after="0" w:line="240" w:lineRule="auto"/>
        <w:ind w:left="1080"/>
        <w:jc w:val="both"/>
        <w:rPr>
          <w:rFonts w:ascii="Arial" w:hAnsi="Arial" w:cs="Arial"/>
          <w:color w:val="000000"/>
          <w:sz w:val="20"/>
          <w:szCs w:val="20"/>
          <w:lang w:val="fr-HT"/>
        </w:rPr>
      </w:pPr>
      <w:r>
        <w:rPr>
          <w:rFonts w:ascii="Arial" w:hAnsi="Arial" w:cs="Arial"/>
          <w:color w:val="000000"/>
          <w:sz w:val="20"/>
          <w:szCs w:val="20"/>
          <w:lang w:val="fr-HT"/>
        </w:rPr>
        <w:t xml:space="preserve">Le contractant devrait identifier les risques potentiels aux communautés par suite de dangers physiques et chimiques associés avec les activités de construction, par exemple l’intrusion intentionnelle ou involontaire sur le site, contact avec les matériaux dangereux ou sols contaminés pendant le stockage ou le transport. </w:t>
      </w:r>
    </w:p>
    <w:p w:rsidR="00171F96"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Pr>
          <w:rFonts w:ascii="Arial" w:hAnsi="Arial" w:cs="Arial"/>
          <w:color w:val="000000"/>
          <w:sz w:val="20"/>
          <w:szCs w:val="20"/>
          <w:lang w:val="fr-HT"/>
        </w:rPr>
        <w:t>Le contractant devrait assurer que l’accès au site est strictement limité au personnel autorisé (sollicitation et vendeurs interdit).</w:t>
      </w:r>
    </w:p>
    <w:p w:rsidR="00171F96"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Pr>
          <w:rFonts w:ascii="Arial" w:hAnsi="Arial" w:cs="Arial"/>
          <w:color w:val="000000"/>
          <w:sz w:val="20"/>
          <w:szCs w:val="20"/>
          <w:lang w:val="fr-HT"/>
        </w:rPr>
        <w:t>Le contractant devrait assurer que l’accès aux produits chimiques et matériaux dangereux est strictement contrôlé et interdit pour les personnes non autorisés.</w:t>
      </w:r>
    </w:p>
    <w:p w:rsidR="00171F96"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sidRPr="006B7AC6">
        <w:rPr>
          <w:rFonts w:ascii="Arial" w:hAnsi="Arial" w:cs="Arial"/>
          <w:color w:val="000000"/>
          <w:sz w:val="20"/>
          <w:szCs w:val="20"/>
          <w:lang w:val="fr-HT"/>
        </w:rPr>
        <w:t>Niveler adéquatement les pentes pour assurer un bon drainage et éviter l’eau stagnante/les puisards susceptibles de propager les maladies vectorielles.</w:t>
      </w:r>
    </w:p>
    <w:p w:rsidR="00171F96" w:rsidRPr="00AC4BE4"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sidRPr="006B7AC6">
        <w:rPr>
          <w:rFonts w:ascii="Arial" w:hAnsi="Arial" w:cs="Arial"/>
          <w:color w:val="000000"/>
          <w:sz w:val="20"/>
          <w:szCs w:val="20"/>
          <w:lang w:val="fr-FR"/>
        </w:rPr>
        <w:t>Elaborer et mettre en œuvre des procédures appropriées de protection des piétons et de la communauté contre la circulation autour des chantiers.</w:t>
      </w:r>
    </w:p>
    <w:p w:rsidR="00AC4BE4" w:rsidRDefault="00AC4BE4" w:rsidP="00AC4BE4">
      <w:pPr>
        <w:pStyle w:val="ListParagraph"/>
        <w:autoSpaceDE w:val="0"/>
        <w:autoSpaceDN w:val="0"/>
        <w:adjustRightInd w:val="0"/>
        <w:spacing w:after="0" w:line="240" w:lineRule="auto"/>
        <w:ind w:left="1080"/>
        <w:rPr>
          <w:rFonts w:ascii="Arial" w:hAnsi="Arial" w:cs="Arial"/>
          <w:color w:val="000000"/>
          <w:sz w:val="20"/>
          <w:szCs w:val="20"/>
          <w:lang w:val="fr-HT"/>
        </w:rPr>
      </w:pPr>
    </w:p>
    <w:p w:rsidR="00171F96" w:rsidRPr="00171F96" w:rsidRDefault="00171F96" w:rsidP="00171F96">
      <w:pPr>
        <w:pStyle w:val="ListParagraph"/>
        <w:numPr>
          <w:ilvl w:val="0"/>
          <w:numId w:val="42"/>
        </w:numPr>
        <w:autoSpaceDE w:val="0"/>
        <w:autoSpaceDN w:val="0"/>
        <w:adjustRightInd w:val="0"/>
        <w:spacing w:after="0" w:line="240" w:lineRule="auto"/>
        <w:rPr>
          <w:rFonts w:ascii="Arial" w:hAnsi="Arial" w:cs="Arial"/>
          <w:sz w:val="20"/>
          <w:szCs w:val="20"/>
          <w:lang w:val="fr-HT"/>
        </w:rPr>
      </w:pPr>
      <w:r w:rsidRPr="00171F96">
        <w:rPr>
          <w:rFonts w:ascii="Arial" w:hAnsi="Arial" w:cs="Arial"/>
          <w:i/>
          <w:sz w:val="20"/>
          <w:szCs w:val="20"/>
          <w:lang w:val="fr-HT"/>
        </w:rPr>
        <w:t>Patrimoine culturel</w:t>
      </w:r>
    </w:p>
    <w:p w:rsidR="00171F96" w:rsidRPr="006B7AC6" w:rsidRDefault="00171F96" w:rsidP="00171F96">
      <w:pPr>
        <w:pStyle w:val="PlainText"/>
        <w:numPr>
          <w:ilvl w:val="0"/>
          <w:numId w:val="40"/>
        </w:numPr>
        <w:tabs>
          <w:tab w:val="left" w:pos="1080"/>
        </w:tabs>
        <w:ind w:left="1080"/>
        <w:rPr>
          <w:rFonts w:ascii="Arial" w:hAnsi="Arial" w:cs="Arial"/>
          <w:sz w:val="20"/>
          <w:szCs w:val="20"/>
          <w:lang w:val="fr-HT"/>
        </w:rPr>
      </w:pPr>
      <w:r w:rsidRPr="006B7AC6">
        <w:rPr>
          <w:rFonts w:ascii="Arial" w:hAnsi="Arial" w:cs="Arial"/>
          <w:sz w:val="20"/>
          <w:szCs w:val="20"/>
          <w:lang w:val="fr-HT"/>
        </w:rPr>
        <w:t>Eviter tout impact direct sur les sites culturels importants. Maximiser la séparation de toute structure culturelle importante qui pourrait être vulnérable aux impacts des vibrations. Elaborer un plan d’action s’il est impossible d’éviter des travaux de construction près d’importantes structures culturelles.</w:t>
      </w:r>
    </w:p>
    <w:p w:rsidR="00171F96" w:rsidRPr="006B7AC6" w:rsidRDefault="00171F96" w:rsidP="00171F96">
      <w:pPr>
        <w:pStyle w:val="PlainText"/>
        <w:numPr>
          <w:ilvl w:val="0"/>
          <w:numId w:val="40"/>
        </w:numPr>
        <w:tabs>
          <w:tab w:val="left" w:pos="1080"/>
        </w:tabs>
        <w:ind w:left="1080"/>
        <w:rPr>
          <w:rFonts w:ascii="Arial" w:hAnsi="Arial" w:cs="Arial"/>
          <w:sz w:val="20"/>
          <w:szCs w:val="20"/>
          <w:lang w:val="fr-HT"/>
        </w:rPr>
      </w:pPr>
      <w:r w:rsidRPr="006B7AC6">
        <w:rPr>
          <w:rFonts w:ascii="Arial" w:hAnsi="Arial" w:cs="Arial"/>
          <w:sz w:val="20"/>
          <w:szCs w:val="20"/>
          <w:lang w:val="fr-HT"/>
        </w:rPr>
        <w:t>Elaborer et mettre en place des procédures relatives aux découvertes fortuites.</w:t>
      </w:r>
    </w:p>
    <w:p w:rsidR="00171F96" w:rsidRDefault="00171F96" w:rsidP="00171F96">
      <w:pPr>
        <w:pStyle w:val="PlainText"/>
        <w:ind w:left="1080"/>
        <w:rPr>
          <w:rFonts w:ascii="Arial" w:hAnsi="Arial" w:cs="Arial"/>
          <w:b/>
          <w:sz w:val="20"/>
          <w:szCs w:val="20"/>
          <w:lang w:val="fr-HT"/>
        </w:rPr>
      </w:pPr>
    </w:p>
    <w:p w:rsidR="00AC4BE4" w:rsidRDefault="00AC4BE4" w:rsidP="00AC4BE4">
      <w:pPr>
        <w:pStyle w:val="PlainText"/>
        <w:numPr>
          <w:ilvl w:val="0"/>
          <w:numId w:val="42"/>
        </w:numPr>
        <w:rPr>
          <w:rFonts w:ascii="Arial" w:hAnsi="Arial" w:cs="Arial"/>
          <w:i/>
          <w:sz w:val="20"/>
          <w:szCs w:val="20"/>
          <w:lang w:val="fr-HT"/>
        </w:rPr>
      </w:pPr>
      <w:r w:rsidRPr="00AC4BE4">
        <w:rPr>
          <w:rFonts w:ascii="Arial" w:hAnsi="Arial" w:cs="Arial"/>
          <w:i/>
          <w:sz w:val="20"/>
          <w:szCs w:val="20"/>
          <w:lang w:val="fr-HT"/>
        </w:rPr>
        <w:t>Restauration de Moyens de Subsistance</w:t>
      </w:r>
    </w:p>
    <w:tbl>
      <w:tblPr>
        <w:tblW w:w="14924" w:type="dxa"/>
        <w:tblInd w:w="-432" w:type="dxa"/>
        <w:tblLook w:val="04A0" w:firstRow="1" w:lastRow="0" w:firstColumn="1" w:lastColumn="0" w:noHBand="0" w:noVBand="1"/>
      </w:tblPr>
      <w:tblGrid>
        <w:gridCol w:w="14924"/>
      </w:tblGrid>
      <w:tr w:rsidR="00AC4BE4" w:rsidRPr="00B820E9" w:rsidTr="00530B45">
        <w:tc>
          <w:tcPr>
            <w:tcW w:w="2207" w:type="dxa"/>
          </w:tcPr>
          <w:p w:rsidR="004B7634" w:rsidRDefault="00AC4BE4" w:rsidP="004B7634">
            <w:pPr>
              <w:pStyle w:val="PlainText"/>
              <w:numPr>
                <w:ilvl w:val="0"/>
                <w:numId w:val="44"/>
              </w:numPr>
              <w:ind w:left="1512"/>
              <w:rPr>
                <w:rFonts w:ascii="Arial" w:hAnsi="Arial" w:cs="Arial"/>
                <w:sz w:val="20"/>
                <w:szCs w:val="20"/>
                <w:lang w:val="fr-FR"/>
              </w:rPr>
            </w:pPr>
            <w:r w:rsidRPr="00AC4BE4">
              <w:rPr>
                <w:rFonts w:ascii="Arial" w:hAnsi="Arial" w:cs="Arial"/>
                <w:sz w:val="20"/>
                <w:szCs w:val="20"/>
                <w:lang w:val="fr-FR"/>
              </w:rPr>
              <w:t xml:space="preserve">Finaliser un Plan Directeur de </w:t>
            </w:r>
            <w:r w:rsidRPr="004B7634">
              <w:rPr>
                <w:rFonts w:ascii="Arial" w:hAnsi="Arial" w:cs="Arial"/>
                <w:sz w:val="20"/>
                <w:szCs w:val="20"/>
                <w:lang w:val="fr-FR"/>
              </w:rPr>
              <w:t xml:space="preserve">Relocalisation et de Restauration de Moyens de Subsistance, y compris </w:t>
            </w:r>
          </w:p>
          <w:p w:rsidR="004B7634" w:rsidRDefault="00AC4BE4" w:rsidP="004B7634">
            <w:pPr>
              <w:pStyle w:val="PlainText"/>
              <w:ind w:left="1512"/>
              <w:rPr>
                <w:rFonts w:ascii="Arial" w:hAnsi="Arial" w:cs="Arial"/>
                <w:sz w:val="20"/>
                <w:szCs w:val="20"/>
                <w:lang w:val="fr-FR"/>
              </w:rPr>
            </w:pPr>
            <w:r w:rsidRPr="004B7634">
              <w:rPr>
                <w:rFonts w:ascii="Arial" w:hAnsi="Arial" w:cs="Arial"/>
                <w:sz w:val="20"/>
                <w:szCs w:val="20"/>
                <w:lang w:val="fr-FR"/>
              </w:rPr>
              <w:t xml:space="preserve">un recensement d’activités </w:t>
            </w:r>
            <w:r w:rsidRPr="00AC4BE4">
              <w:rPr>
                <w:rFonts w:ascii="Arial" w:hAnsi="Arial" w:cs="Arial"/>
                <w:sz w:val="20"/>
                <w:szCs w:val="20"/>
                <w:lang w:val="fr-FR"/>
              </w:rPr>
              <w:t xml:space="preserve">commerciales qui pourraient être affectés,  et un vaste dialogue avec les </w:t>
            </w:r>
          </w:p>
          <w:p w:rsidR="00AC4BE4" w:rsidRPr="00AC4BE4" w:rsidRDefault="00AC4BE4" w:rsidP="004B7634">
            <w:pPr>
              <w:pStyle w:val="PlainText"/>
              <w:ind w:left="1512"/>
              <w:rPr>
                <w:rFonts w:ascii="Arial" w:hAnsi="Arial" w:cs="Arial"/>
                <w:sz w:val="20"/>
                <w:szCs w:val="20"/>
                <w:lang w:val="fr-FR"/>
              </w:rPr>
            </w:pPr>
            <w:r w:rsidRPr="00AC4BE4">
              <w:rPr>
                <w:rFonts w:ascii="Arial" w:hAnsi="Arial" w:cs="Arial"/>
                <w:sz w:val="20"/>
                <w:szCs w:val="20"/>
                <w:lang w:val="fr-FR"/>
              </w:rPr>
              <w:t>parties prenantes pour identifier les impacts et des plans de gestion viable.</w:t>
            </w:r>
          </w:p>
        </w:tc>
      </w:tr>
      <w:tr w:rsidR="00AC4BE4" w:rsidRPr="00B820E9" w:rsidTr="004B7634">
        <w:trPr>
          <w:trHeight w:val="68"/>
        </w:trPr>
        <w:tc>
          <w:tcPr>
            <w:tcW w:w="2207" w:type="dxa"/>
          </w:tcPr>
          <w:p w:rsidR="004B7634" w:rsidRPr="00AC4BE4" w:rsidRDefault="004B7634" w:rsidP="00D3152D">
            <w:pPr>
              <w:pStyle w:val="PlainText"/>
              <w:ind w:left="1152"/>
              <w:rPr>
                <w:rFonts w:ascii="Arial" w:hAnsi="Arial" w:cs="Arial"/>
                <w:sz w:val="20"/>
                <w:szCs w:val="20"/>
                <w:lang w:val="fr-FR"/>
              </w:rPr>
            </w:pPr>
          </w:p>
          <w:p w:rsidR="00AC4BE4" w:rsidRPr="00AC4BE4" w:rsidRDefault="00AC4BE4" w:rsidP="00AC4BE4">
            <w:pPr>
              <w:pStyle w:val="PlainText"/>
              <w:ind w:left="1152" w:firstLine="360"/>
              <w:rPr>
                <w:rFonts w:ascii="Arial" w:hAnsi="Arial" w:cs="Arial"/>
                <w:sz w:val="20"/>
                <w:szCs w:val="20"/>
                <w:lang w:val="fr-FR"/>
              </w:rPr>
            </w:pPr>
          </w:p>
        </w:tc>
      </w:tr>
    </w:tbl>
    <w:p w:rsidR="00AC4BE4" w:rsidRPr="00AC4BE4" w:rsidRDefault="00AC4BE4" w:rsidP="00AC4BE4">
      <w:pPr>
        <w:pStyle w:val="PlainText"/>
        <w:ind w:left="1080"/>
        <w:rPr>
          <w:rFonts w:ascii="Arial" w:hAnsi="Arial" w:cs="Arial"/>
          <w:i/>
          <w:sz w:val="20"/>
          <w:szCs w:val="20"/>
          <w:lang w:val="fr-HT"/>
        </w:rPr>
      </w:pPr>
    </w:p>
    <w:sectPr w:rsidR="00AC4BE4" w:rsidRPr="00AC4BE4" w:rsidSect="009A7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Consolas">
    <w:altName w:val="Arial"/>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80BD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2E5DB1"/>
    <w:multiLevelType w:val="hybridMultilevel"/>
    <w:tmpl w:val="4C0CDD8A"/>
    <w:lvl w:ilvl="0" w:tplc="F1560144">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67675"/>
    <w:multiLevelType w:val="hybridMultilevel"/>
    <w:tmpl w:val="589E1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67111"/>
    <w:multiLevelType w:val="hybridMultilevel"/>
    <w:tmpl w:val="F63A9EA8"/>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F56D6"/>
    <w:multiLevelType w:val="hybridMultilevel"/>
    <w:tmpl w:val="3CDE5C3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5" w15:restartNumberingAfterBreak="0">
    <w:nsid w:val="0A0F1AD2"/>
    <w:multiLevelType w:val="hybridMultilevel"/>
    <w:tmpl w:val="303E0AE0"/>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6" w15:restartNumberingAfterBreak="0">
    <w:nsid w:val="0C956889"/>
    <w:multiLevelType w:val="hybridMultilevel"/>
    <w:tmpl w:val="35D8F988"/>
    <w:lvl w:ilvl="0" w:tplc="9A8E9F5C">
      <w:start w:val="7"/>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3439C"/>
    <w:multiLevelType w:val="hybridMultilevel"/>
    <w:tmpl w:val="08DC63E2"/>
    <w:lvl w:ilvl="0" w:tplc="8EF016B2">
      <w:start w:val="4"/>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45E01"/>
    <w:multiLevelType w:val="hybridMultilevel"/>
    <w:tmpl w:val="1B528F64"/>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9" w15:restartNumberingAfterBreak="0">
    <w:nsid w:val="134F6859"/>
    <w:multiLevelType w:val="hybridMultilevel"/>
    <w:tmpl w:val="F90E4FA0"/>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35D0C87"/>
    <w:multiLevelType w:val="hybridMultilevel"/>
    <w:tmpl w:val="814CAED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15994C12"/>
    <w:multiLevelType w:val="hybridMultilevel"/>
    <w:tmpl w:val="1E64465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BF8336B"/>
    <w:multiLevelType w:val="hybridMultilevel"/>
    <w:tmpl w:val="96F241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82719B1"/>
    <w:multiLevelType w:val="hybridMultilevel"/>
    <w:tmpl w:val="BE94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30961"/>
    <w:multiLevelType w:val="hybridMultilevel"/>
    <w:tmpl w:val="EF260B64"/>
    <w:lvl w:ilvl="0" w:tplc="04090001">
      <w:start w:val="1"/>
      <w:numFmt w:val="bullet"/>
      <w:lvlText w:val=""/>
      <w:lvlJc w:val="left"/>
      <w:pPr>
        <w:ind w:left="153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2BCF677F"/>
    <w:multiLevelType w:val="hybridMultilevel"/>
    <w:tmpl w:val="65002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FD3404"/>
    <w:multiLevelType w:val="hybridMultilevel"/>
    <w:tmpl w:val="206C5B6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2F434F52"/>
    <w:multiLevelType w:val="hybridMultilevel"/>
    <w:tmpl w:val="6128D4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987BA6"/>
    <w:multiLevelType w:val="hybridMultilevel"/>
    <w:tmpl w:val="D7EC0A58"/>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9" w15:restartNumberingAfterBreak="0">
    <w:nsid w:val="31776B52"/>
    <w:multiLevelType w:val="hybridMultilevel"/>
    <w:tmpl w:val="0F126D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0" w15:restartNumberingAfterBreak="0">
    <w:nsid w:val="3600574F"/>
    <w:multiLevelType w:val="hybridMultilevel"/>
    <w:tmpl w:val="5F7CA4EA"/>
    <w:lvl w:ilvl="0" w:tplc="13DC362E">
      <w:start w:val="1"/>
      <w:numFmt w:val="lowerLetter"/>
      <w:lvlText w:val="%1."/>
      <w:lvlJc w:val="left"/>
      <w:pPr>
        <w:ind w:left="1170" w:hanging="360"/>
      </w:pPr>
      <w:rPr>
        <w:rFonts w:hint="default"/>
        <w:i/>
      </w:rPr>
    </w:lvl>
    <w:lvl w:ilvl="1" w:tplc="04090001">
      <w:start w:val="1"/>
      <w:numFmt w:val="bullet"/>
      <w:lvlText w:val=""/>
      <w:lvlJc w:val="left"/>
      <w:pPr>
        <w:ind w:left="1890" w:hanging="360"/>
      </w:pPr>
      <w:rPr>
        <w:rFonts w:ascii="Symbol" w:hAnsi="Symbol"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3A6E5DBA"/>
    <w:multiLevelType w:val="hybridMultilevel"/>
    <w:tmpl w:val="C980E1B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2" w15:restartNumberingAfterBreak="0">
    <w:nsid w:val="3CC05A6C"/>
    <w:multiLevelType w:val="hybridMultilevel"/>
    <w:tmpl w:val="78A4A1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EC5F23"/>
    <w:multiLevelType w:val="hybridMultilevel"/>
    <w:tmpl w:val="08180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684BD5"/>
    <w:multiLevelType w:val="hybridMultilevel"/>
    <w:tmpl w:val="0BB80DD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15:restartNumberingAfterBreak="0">
    <w:nsid w:val="410A6B85"/>
    <w:multiLevelType w:val="hybridMultilevel"/>
    <w:tmpl w:val="4680FF2E"/>
    <w:lvl w:ilvl="0" w:tplc="0409000F">
      <w:start w:val="1"/>
      <w:numFmt w:val="decimal"/>
      <w:lvlText w:val="%1."/>
      <w:lvlJc w:val="left"/>
      <w:pPr>
        <w:ind w:left="1446" w:hanging="360"/>
      </w:pPr>
      <w:rPr>
        <w:rFonts w:hint="default"/>
        <w:b w:val="0"/>
        <w:color w:val="auto"/>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6" w15:restartNumberingAfterBreak="0">
    <w:nsid w:val="464335CB"/>
    <w:multiLevelType w:val="hybridMultilevel"/>
    <w:tmpl w:val="D83E4FE8"/>
    <w:lvl w:ilvl="0" w:tplc="51F8E9D8">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E405B"/>
    <w:multiLevelType w:val="hybridMultilevel"/>
    <w:tmpl w:val="538C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22698D"/>
    <w:multiLevelType w:val="hybridMultilevel"/>
    <w:tmpl w:val="9B382D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9" w15:restartNumberingAfterBreak="0">
    <w:nsid w:val="4F6170C5"/>
    <w:multiLevelType w:val="hybridMultilevel"/>
    <w:tmpl w:val="05E68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D1DA6"/>
    <w:multiLevelType w:val="hybridMultilevel"/>
    <w:tmpl w:val="38AED110"/>
    <w:lvl w:ilvl="0" w:tplc="7C9AC020">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AD7F9D"/>
    <w:multiLevelType w:val="hybridMultilevel"/>
    <w:tmpl w:val="03B21A3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972B74"/>
    <w:multiLevelType w:val="hybridMultilevel"/>
    <w:tmpl w:val="6E206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CE3FEF"/>
    <w:multiLevelType w:val="hybridMultilevel"/>
    <w:tmpl w:val="2C7E566A"/>
    <w:lvl w:ilvl="0" w:tplc="AEDC9E8E">
      <w:start w:val="1"/>
      <w:numFmt w:val="lowerLetter"/>
      <w:lvlText w:val="%1."/>
      <w:lvlJc w:val="left"/>
      <w:pPr>
        <w:ind w:left="1080" w:hanging="360"/>
      </w:pPr>
      <w:rPr>
        <w:rFonts w:ascii="Arial" w:eastAsiaTheme="minorHAnsi" w:hAnsi="Arial" w:cs="Arial"/>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0CF2AE0"/>
    <w:multiLevelType w:val="hybridMultilevel"/>
    <w:tmpl w:val="E82C99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4721F3"/>
    <w:multiLevelType w:val="hybridMultilevel"/>
    <w:tmpl w:val="CF2A03B6"/>
    <w:lvl w:ilvl="0" w:tplc="D0EEC4E2">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611779"/>
    <w:multiLevelType w:val="hybridMultilevel"/>
    <w:tmpl w:val="7556FB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C22DF0"/>
    <w:multiLevelType w:val="hybridMultilevel"/>
    <w:tmpl w:val="01BCF06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8" w15:restartNumberingAfterBreak="0">
    <w:nsid w:val="627C04F2"/>
    <w:multiLevelType w:val="hybridMultilevel"/>
    <w:tmpl w:val="E758CF6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9" w15:restartNumberingAfterBreak="0">
    <w:nsid w:val="68F55907"/>
    <w:multiLevelType w:val="hybridMultilevel"/>
    <w:tmpl w:val="20BE6062"/>
    <w:lvl w:ilvl="0" w:tplc="04090019">
      <w:start w:val="1"/>
      <w:numFmt w:val="lowerLetter"/>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0" w15:restartNumberingAfterBreak="0">
    <w:nsid w:val="6A13321D"/>
    <w:multiLevelType w:val="hybridMultilevel"/>
    <w:tmpl w:val="7E9249E8"/>
    <w:lvl w:ilvl="0" w:tplc="04090001">
      <w:start w:val="1"/>
      <w:numFmt w:val="bullet"/>
      <w:lvlText w:val=""/>
      <w:lvlJc w:val="left"/>
      <w:pPr>
        <w:ind w:left="1080" w:hanging="360"/>
      </w:pPr>
      <w:rPr>
        <w:rFonts w:ascii="Symbol" w:hAnsi="Symbol"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F256D2"/>
    <w:multiLevelType w:val="hybridMultilevel"/>
    <w:tmpl w:val="085895C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6775E0"/>
    <w:multiLevelType w:val="hybridMultilevel"/>
    <w:tmpl w:val="AAC83DB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7A443F"/>
    <w:multiLevelType w:val="hybridMultilevel"/>
    <w:tmpl w:val="E6B8AE60"/>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5"/>
  </w:num>
  <w:num w:numId="3">
    <w:abstractNumId w:val="1"/>
  </w:num>
  <w:num w:numId="4">
    <w:abstractNumId w:val="12"/>
  </w:num>
  <w:num w:numId="5">
    <w:abstractNumId w:val="9"/>
  </w:num>
  <w:num w:numId="6">
    <w:abstractNumId w:val="41"/>
  </w:num>
  <w:num w:numId="7">
    <w:abstractNumId w:val="5"/>
  </w:num>
  <w:num w:numId="8">
    <w:abstractNumId w:val="18"/>
  </w:num>
  <w:num w:numId="9">
    <w:abstractNumId w:val="4"/>
  </w:num>
  <w:num w:numId="10">
    <w:abstractNumId w:val="25"/>
  </w:num>
  <w:num w:numId="11">
    <w:abstractNumId w:val="20"/>
  </w:num>
  <w:num w:numId="12">
    <w:abstractNumId w:val="24"/>
  </w:num>
  <w:num w:numId="13">
    <w:abstractNumId w:val="11"/>
  </w:num>
  <w:num w:numId="14">
    <w:abstractNumId w:val="39"/>
  </w:num>
  <w:num w:numId="15">
    <w:abstractNumId w:val="42"/>
  </w:num>
  <w:num w:numId="16">
    <w:abstractNumId w:val="3"/>
  </w:num>
  <w:num w:numId="17">
    <w:abstractNumId w:val="31"/>
  </w:num>
  <w:num w:numId="18">
    <w:abstractNumId w:val="7"/>
  </w:num>
  <w:num w:numId="19">
    <w:abstractNumId w:val="10"/>
  </w:num>
  <w:num w:numId="20">
    <w:abstractNumId w:val="28"/>
  </w:num>
  <w:num w:numId="21">
    <w:abstractNumId w:val="16"/>
  </w:num>
  <w:num w:numId="22">
    <w:abstractNumId w:val="14"/>
  </w:num>
  <w:num w:numId="23">
    <w:abstractNumId w:val="27"/>
  </w:num>
  <w:num w:numId="24">
    <w:abstractNumId w:val="15"/>
  </w:num>
  <w:num w:numId="25">
    <w:abstractNumId w:val="38"/>
  </w:num>
  <w:num w:numId="26">
    <w:abstractNumId w:val="8"/>
  </w:num>
  <w:num w:numId="27">
    <w:abstractNumId w:val="23"/>
  </w:num>
  <w:num w:numId="28">
    <w:abstractNumId w:val="22"/>
  </w:num>
  <w:num w:numId="29">
    <w:abstractNumId w:val="29"/>
  </w:num>
  <w:num w:numId="30">
    <w:abstractNumId w:val="32"/>
  </w:num>
  <w:num w:numId="31">
    <w:abstractNumId w:val="2"/>
  </w:num>
  <w:num w:numId="32">
    <w:abstractNumId w:val="19"/>
  </w:num>
  <w:num w:numId="33">
    <w:abstractNumId w:val="17"/>
  </w:num>
  <w:num w:numId="34">
    <w:abstractNumId w:val="30"/>
  </w:num>
  <w:num w:numId="35">
    <w:abstractNumId w:val="43"/>
  </w:num>
  <w:num w:numId="36">
    <w:abstractNumId w:val="26"/>
  </w:num>
  <w:num w:numId="37">
    <w:abstractNumId w:val="6"/>
  </w:num>
  <w:num w:numId="38">
    <w:abstractNumId w:val="0"/>
  </w:num>
  <w:num w:numId="39">
    <w:abstractNumId w:val="13"/>
  </w:num>
  <w:num w:numId="40">
    <w:abstractNumId w:val="37"/>
  </w:num>
  <w:num w:numId="41">
    <w:abstractNumId w:val="21"/>
  </w:num>
  <w:num w:numId="42">
    <w:abstractNumId w:val="33"/>
  </w:num>
  <w:num w:numId="43">
    <w:abstractNumId w:val="36"/>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F9"/>
    <w:rsid w:val="00004D91"/>
    <w:rsid w:val="000227BC"/>
    <w:rsid w:val="00060580"/>
    <w:rsid w:val="0006759E"/>
    <w:rsid w:val="00091B52"/>
    <w:rsid w:val="000965CB"/>
    <w:rsid w:val="000B5AB3"/>
    <w:rsid w:val="000F0FD0"/>
    <w:rsid w:val="000F6985"/>
    <w:rsid w:val="00114304"/>
    <w:rsid w:val="00126FF1"/>
    <w:rsid w:val="00131DB9"/>
    <w:rsid w:val="00171F96"/>
    <w:rsid w:val="001C7C29"/>
    <w:rsid w:val="001F5FC2"/>
    <w:rsid w:val="00255E57"/>
    <w:rsid w:val="00276612"/>
    <w:rsid w:val="002B3A29"/>
    <w:rsid w:val="002D5809"/>
    <w:rsid w:val="003068BA"/>
    <w:rsid w:val="00336EFA"/>
    <w:rsid w:val="0036027C"/>
    <w:rsid w:val="003671CA"/>
    <w:rsid w:val="00441B22"/>
    <w:rsid w:val="00452128"/>
    <w:rsid w:val="004627E7"/>
    <w:rsid w:val="004708BA"/>
    <w:rsid w:val="004B7634"/>
    <w:rsid w:val="0050457E"/>
    <w:rsid w:val="0051078B"/>
    <w:rsid w:val="00512A92"/>
    <w:rsid w:val="0052757D"/>
    <w:rsid w:val="005302CF"/>
    <w:rsid w:val="00544C54"/>
    <w:rsid w:val="005458D1"/>
    <w:rsid w:val="00551FB8"/>
    <w:rsid w:val="005F07B8"/>
    <w:rsid w:val="006B7AC6"/>
    <w:rsid w:val="006E1B94"/>
    <w:rsid w:val="007150E6"/>
    <w:rsid w:val="00726C2B"/>
    <w:rsid w:val="007737E3"/>
    <w:rsid w:val="007F3DFF"/>
    <w:rsid w:val="0085227A"/>
    <w:rsid w:val="00863340"/>
    <w:rsid w:val="00893BFF"/>
    <w:rsid w:val="008A36F9"/>
    <w:rsid w:val="008D3F3F"/>
    <w:rsid w:val="00921326"/>
    <w:rsid w:val="009607A9"/>
    <w:rsid w:val="009A77D0"/>
    <w:rsid w:val="009B693C"/>
    <w:rsid w:val="009C3399"/>
    <w:rsid w:val="009C6FDA"/>
    <w:rsid w:val="009E6141"/>
    <w:rsid w:val="00A00CA0"/>
    <w:rsid w:val="00A25ABB"/>
    <w:rsid w:val="00A51392"/>
    <w:rsid w:val="00A76D9E"/>
    <w:rsid w:val="00A77585"/>
    <w:rsid w:val="00AB7F36"/>
    <w:rsid w:val="00AC4BE4"/>
    <w:rsid w:val="00B820E9"/>
    <w:rsid w:val="00B84900"/>
    <w:rsid w:val="00BB7F8D"/>
    <w:rsid w:val="00BD2375"/>
    <w:rsid w:val="00BE4ABE"/>
    <w:rsid w:val="00BF4595"/>
    <w:rsid w:val="00C309E8"/>
    <w:rsid w:val="00C607C0"/>
    <w:rsid w:val="00C60C1A"/>
    <w:rsid w:val="00C74A7F"/>
    <w:rsid w:val="00CC10AF"/>
    <w:rsid w:val="00CC2C8E"/>
    <w:rsid w:val="00D3152D"/>
    <w:rsid w:val="00D562E7"/>
    <w:rsid w:val="00DF1D99"/>
    <w:rsid w:val="00E06A64"/>
    <w:rsid w:val="00E324B3"/>
    <w:rsid w:val="00E54040"/>
    <w:rsid w:val="00E70940"/>
    <w:rsid w:val="00E75DCF"/>
    <w:rsid w:val="00E8104E"/>
    <w:rsid w:val="00E92C09"/>
    <w:rsid w:val="00EC729F"/>
    <w:rsid w:val="00EE0B74"/>
    <w:rsid w:val="00F065F8"/>
    <w:rsid w:val="00F17E72"/>
    <w:rsid w:val="00F244F6"/>
    <w:rsid w:val="00F32AB4"/>
    <w:rsid w:val="00F957B8"/>
    <w:rsid w:val="00FA566C"/>
    <w:rsid w:val="00FE7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3671"/>
  <w15:docId w15:val="{FC655A1C-A554-408F-96FD-B6FC3A850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77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6F9"/>
    <w:pPr>
      <w:ind w:left="720"/>
      <w:contextualSpacing/>
    </w:pPr>
    <w:rPr>
      <w:rFonts w:ascii="Calibri" w:eastAsia="Calibri" w:hAnsi="Calibri" w:cs="Times New Roman"/>
    </w:rPr>
  </w:style>
  <w:style w:type="character" w:styleId="Hyperlink">
    <w:name w:val="Hyperlink"/>
    <w:basedOn w:val="DefaultParagraphFont"/>
    <w:uiPriority w:val="99"/>
    <w:unhideWhenUsed/>
    <w:rsid w:val="008A36F9"/>
    <w:rPr>
      <w:color w:val="0000FF"/>
      <w:u w:val="single"/>
    </w:rPr>
  </w:style>
  <w:style w:type="paragraph" w:styleId="PlainText">
    <w:name w:val="Plain Text"/>
    <w:basedOn w:val="Normal"/>
    <w:link w:val="PlainTextChar"/>
    <w:uiPriority w:val="99"/>
    <w:unhideWhenUsed/>
    <w:rsid w:val="003671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1CA"/>
    <w:rPr>
      <w:rFonts w:ascii="Consolas" w:hAnsi="Consolas"/>
      <w:sz w:val="21"/>
      <w:szCs w:val="21"/>
    </w:rPr>
  </w:style>
  <w:style w:type="paragraph" w:styleId="ListBullet">
    <w:name w:val="List Bullet"/>
    <w:basedOn w:val="Normal"/>
    <w:uiPriority w:val="99"/>
    <w:unhideWhenUsed/>
    <w:rsid w:val="00F065F8"/>
    <w:pPr>
      <w:numPr>
        <w:numId w:val="38"/>
      </w:numPr>
      <w:contextualSpacing/>
    </w:pPr>
  </w:style>
  <w:style w:type="character" w:styleId="FollowedHyperlink">
    <w:name w:val="FollowedHyperlink"/>
    <w:basedOn w:val="DefaultParagraphFont"/>
    <w:uiPriority w:val="99"/>
    <w:semiHidden/>
    <w:unhideWhenUsed/>
    <w:rsid w:val="009C6FDA"/>
    <w:rPr>
      <w:color w:val="800080" w:themeColor="followedHyperlink"/>
      <w:u w:val="single"/>
    </w:rPr>
  </w:style>
  <w:style w:type="paragraph" w:styleId="TOC3">
    <w:name w:val="toc 3"/>
    <w:basedOn w:val="Normal"/>
    <w:next w:val="Normal"/>
    <w:autoRedefine/>
    <w:uiPriority w:val="39"/>
    <w:semiHidden/>
    <w:unhideWhenUsed/>
    <w:rsid w:val="00A76D9E"/>
    <w:pPr>
      <w:spacing w:after="100"/>
      <w:ind w:left="440"/>
    </w:pPr>
  </w:style>
  <w:style w:type="paragraph" w:styleId="BalloonText">
    <w:name w:val="Balloon Text"/>
    <w:basedOn w:val="Normal"/>
    <w:link w:val="BalloonTextChar"/>
    <w:uiPriority w:val="99"/>
    <w:semiHidden/>
    <w:unhideWhenUsed/>
    <w:rsid w:val="00255E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E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02F92-A8D9-4745-A75C-7F7562410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2259</Words>
  <Characters>12880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IADB;ebrito@IADB.ORG</dc:creator>
  <cp:lastModifiedBy>Senosier, Soraya Marie Claire</cp:lastModifiedBy>
  <cp:revision>2</cp:revision>
  <dcterms:created xsi:type="dcterms:W3CDTF">2017-07-26T20:46:00Z</dcterms:created>
  <dcterms:modified xsi:type="dcterms:W3CDTF">2017-07-26T20:46:00Z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1340046190</vt:i4>
  </property>
  <property fmtid="{D5CDD505-2E9C-101B-9397-08002B2CF9AE}" pid="3" name="_NewReviewCycle">
    <vt:lpwstr/>
  </property>
  <property fmtid="{D5CDD505-2E9C-101B-9397-08002B2CF9AE}" pid="4" name="_EmailSubject">
    <vt:lpwstr>POD HA-L1103</vt:lpwstr>
  </property>
  <property fmtid="{D5CDD505-2E9C-101B-9397-08002B2CF9AE}" pid="5" name="_AuthorEmail">
    <vt:lpwstr>Peyun.Kok@erm.com</vt:lpwstr>
  </property>
  <property fmtid="{D5CDD505-2E9C-101B-9397-08002B2CF9AE}" pid="6" name="_AuthorEmailDisplayName">
    <vt:lpwstr>Peyun Kok</vt:lpwstr>
  </property>
  <property fmtid="{D5CDD505-2E9C-101B-9397-08002B2CF9AE}" pid="7" name="_ReviewingToolsShownOnce">
    <vt:lpwstr/>
  </property>
</Properties>
</file>