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jc w:val="center"/>
        <w:rPr>
          <w:rFonts w:ascii="Arial" w:hAnsi="Arial" w:cs="Arial"/>
          <w:smallCaps/>
          <w:sz w:val="28"/>
          <w:szCs w:val="28"/>
          <w:lang w:val="es-ES_tradnl"/>
        </w:rPr>
      </w:pPr>
      <w:bookmarkStart w:id="0" w:name="_GoBack"/>
      <w:bookmarkEnd w:id="0"/>
      <w:r>
        <w:rPr>
          <w:rFonts w:ascii="Arial" w:hAnsi="Arial" w:cs="Arial"/>
          <w:smallCaps/>
          <w:sz w:val="28"/>
          <w:szCs w:val="28"/>
          <w:lang w:val="es-ES_tradnl"/>
        </w:rPr>
        <w:t>Documento del Banco Interamericano de Desarrollo</w:t>
      </w:r>
    </w:p>
    <w:p>
      <w:pPr>
        <w:pStyle w:val="Chapter"/>
        <w:numPr>
          <w:ilvl w:val="0"/>
          <w:numId w:val="0"/>
        </w:numPr>
        <w:ind w:left="288"/>
        <w:rPr>
          <w:rFonts w:ascii="Arial" w:hAnsi="Arial" w:cs="Arial"/>
          <w:lang w:val="es-ES_tradnl"/>
        </w:rPr>
      </w:pPr>
    </w:p>
    <w:p>
      <w:pPr>
        <w:jc w:val="center"/>
        <w:rPr>
          <w:rFonts w:ascii="Arial" w:hAnsi="Arial" w:cs="Arial"/>
          <w:sz w:val="24"/>
          <w:szCs w:val="24"/>
          <w:lang w:val="es-ES_tradnl"/>
        </w:rPr>
      </w:pPr>
    </w:p>
    <w:p>
      <w:pPr>
        <w:jc w:val="center"/>
        <w:rPr>
          <w:rFonts w:ascii="Arial" w:hAnsi="Arial" w:cs="Arial"/>
          <w:sz w:val="24"/>
          <w:szCs w:val="24"/>
          <w:lang w:val="es-ES_tradnl"/>
        </w:rPr>
      </w:pPr>
    </w:p>
    <w:p>
      <w:pPr>
        <w:jc w:val="center"/>
        <w:rPr>
          <w:rFonts w:ascii="Arial" w:hAnsi="Arial" w:cs="Arial"/>
          <w:sz w:val="24"/>
          <w:szCs w:val="24"/>
          <w:lang w:val="es-ES_tradnl"/>
        </w:rPr>
      </w:pPr>
    </w:p>
    <w:p>
      <w:pPr>
        <w:pStyle w:val="Chapter"/>
        <w:numPr>
          <w:ilvl w:val="0"/>
          <w:numId w:val="0"/>
        </w:numPr>
        <w:ind w:left="288"/>
        <w:rPr>
          <w:rFonts w:ascii="Arial" w:hAnsi="Arial" w:cs="Arial"/>
          <w:sz w:val="28"/>
          <w:szCs w:val="28"/>
          <w:lang w:val="es-ES_tradnl"/>
        </w:rPr>
      </w:pPr>
      <w:r>
        <w:rPr>
          <w:rFonts w:ascii="Arial" w:hAnsi="Arial" w:cs="Arial"/>
          <w:sz w:val="28"/>
          <w:szCs w:val="28"/>
          <w:lang w:val="es-ES_tradnl"/>
        </w:rPr>
        <w:t>ARGENTINA</w:t>
      </w:r>
    </w:p>
    <w:p>
      <w:pPr>
        <w:pStyle w:val="Chapter"/>
        <w:numPr>
          <w:ilvl w:val="0"/>
          <w:numId w:val="0"/>
        </w:numPr>
        <w:ind w:left="288"/>
        <w:rPr>
          <w:rFonts w:ascii="Arial" w:hAnsi="Arial" w:cs="Arial"/>
          <w:lang w:val="es-ES_tradnl"/>
        </w:rPr>
      </w:pPr>
    </w:p>
    <w:p>
      <w:pPr>
        <w:jc w:val="center"/>
        <w:rPr>
          <w:rFonts w:ascii="Arial" w:hAnsi="Arial" w:cs="Arial"/>
          <w:sz w:val="24"/>
          <w:szCs w:val="24"/>
          <w:lang w:val="es-ES_tradnl"/>
        </w:rPr>
      </w:pPr>
    </w:p>
    <w:p>
      <w:pPr>
        <w:jc w:val="center"/>
        <w:rPr>
          <w:rFonts w:ascii="Arial" w:hAnsi="Arial" w:cs="Arial"/>
          <w:sz w:val="24"/>
          <w:szCs w:val="24"/>
          <w:lang w:val="es-ES_tradnl"/>
        </w:rPr>
      </w:pPr>
    </w:p>
    <w:p>
      <w:pPr>
        <w:pStyle w:val="Chapter"/>
        <w:numPr>
          <w:ilvl w:val="0"/>
          <w:numId w:val="0"/>
        </w:numPr>
        <w:ind w:left="288"/>
        <w:rPr>
          <w:rFonts w:ascii="Arial" w:hAnsi="Arial" w:cs="Arial"/>
          <w:sz w:val="28"/>
          <w:szCs w:val="28"/>
          <w:lang w:val="es-ES_tradnl"/>
        </w:rPr>
      </w:pPr>
      <w:r>
        <w:rPr>
          <w:rFonts w:ascii="Arial" w:hAnsi="Arial" w:cs="Arial"/>
          <w:sz w:val="28"/>
          <w:szCs w:val="28"/>
          <w:lang w:val="es-ES_tradnl"/>
        </w:rPr>
        <w:t>Programa de Mejora de la Capacidad de Gestión de la AFIP</w:t>
      </w:r>
    </w:p>
    <w:p>
      <w:pPr>
        <w:pStyle w:val="Chapter"/>
        <w:numPr>
          <w:ilvl w:val="0"/>
          <w:numId w:val="0"/>
        </w:numPr>
        <w:ind w:left="288"/>
        <w:rPr>
          <w:rFonts w:ascii="Arial" w:hAnsi="Arial" w:cs="Arial"/>
          <w:lang w:val="es-ES_tradnl"/>
        </w:rPr>
      </w:pPr>
    </w:p>
    <w:p>
      <w:pPr>
        <w:pStyle w:val="Chapter"/>
        <w:numPr>
          <w:ilvl w:val="0"/>
          <w:numId w:val="0"/>
        </w:numPr>
        <w:ind w:left="288"/>
        <w:rPr>
          <w:rFonts w:ascii="Arial" w:hAnsi="Arial" w:cs="Arial"/>
          <w:lang w:val="es-ES_tradnl"/>
        </w:rPr>
      </w:pPr>
      <w:r>
        <w:rPr>
          <w:rFonts w:ascii="Arial" w:hAnsi="Arial" w:cs="Arial"/>
          <w:sz w:val="22"/>
          <w:lang w:val="es-ES_tradnl"/>
        </w:rPr>
        <w:t>(AR-L1282)</w:t>
      </w:r>
    </w:p>
    <w:p>
      <w:pPr>
        <w:jc w:val="center"/>
        <w:rPr>
          <w:rFonts w:ascii="Arial" w:hAnsi="Arial" w:cs="Arial"/>
          <w:sz w:val="24"/>
          <w:szCs w:val="24"/>
          <w:lang w:val="es-ES_tradnl"/>
        </w:rPr>
      </w:pPr>
    </w:p>
    <w:p>
      <w:pPr>
        <w:pStyle w:val="Chapter"/>
        <w:numPr>
          <w:ilvl w:val="0"/>
          <w:numId w:val="0"/>
        </w:numPr>
        <w:ind w:left="288"/>
        <w:rPr>
          <w:rFonts w:ascii="Arial" w:hAnsi="Arial" w:cs="Arial"/>
          <w:lang w:val="es-ES_tradnl"/>
        </w:rPr>
      </w:pPr>
      <w:r>
        <w:rPr>
          <w:rFonts w:ascii="Arial" w:hAnsi="Arial" w:cs="Arial"/>
          <w:lang w:val="es-ES_tradnl"/>
        </w:rPr>
        <w:t>Análisis Económico del Proyecto</w:t>
      </w:r>
    </w:p>
    <w:p>
      <w:pPr>
        <w:jc w:val="center"/>
        <w:rPr>
          <w:rFonts w:ascii="Arial" w:hAnsi="Arial" w:cs="Arial"/>
          <w:sz w:val="24"/>
          <w:szCs w:val="24"/>
          <w:lang w:val="es-ES_tradnl"/>
        </w:rPr>
      </w:pPr>
    </w:p>
    <w:p>
      <w:pPr>
        <w:jc w:val="center"/>
        <w:rPr>
          <w:rFonts w:ascii="Arial" w:hAnsi="Arial" w:cs="Arial"/>
          <w:sz w:val="24"/>
          <w:szCs w:val="24"/>
          <w:lang w:val="es-ES_tradnl"/>
        </w:rPr>
      </w:pPr>
    </w:p>
    <w:p>
      <w:pPr>
        <w:jc w:val="center"/>
        <w:rPr>
          <w:rFonts w:ascii="Arial" w:hAnsi="Arial" w:cs="Arial"/>
          <w:sz w:val="24"/>
          <w:szCs w:val="24"/>
          <w:lang w:val="es-ES_tradnl"/>
        </w:rPr>
      </w:pPr>
    </w:p>
    <w:p>
      <w:pPr>
        <w:jc w:val="center"/>
        <w:rPr>
          <w:rFonts w:ascii="Arial" w:hAnsi="Arial" w:cs="Arial"/>
          <w:sz w:val="24"/>
          <w:szCs w:val="24"/>
          <w:lang w:val="es-ES_tradnl"/>
        </w:rPr>
      </w:pPr>
    </w:p>
    <w:p>
      <w:pPr>
        <w:jc w:val="center"/>
        <w:rPr>
          <w:rFonts w:ascii="Arial" w:hAnsi="Arial" w:cs="Arial"/>
          <w:sz w:val="24"/>
          <w:szCs w:val="24"/>
          <w:lang w:val="es-ES_tradnl"/>
        </w:rPr>
      </w:pPr>
    </w:p>
    <w:p>
      <w:pPr>
        <w:jc w:val="center"/>
        <w:rPr>
          <w:rFonts w:ascii="Arial" w:hAnsi="Arial" w:cs="Arial"/>
          <w:sz w:val="24"/>
          <w:szCs w:val="24"/>
          <w:lang w:val="es-ES_tradnl"/>
        </w:rPr>
      </w:pPr>
    </w:p>
    <w:p>
      <w:pPr>
        <w:pStyle w:val="Chapter"/>
        <w:numPr>
          <w:ilvl w:val="0"/>
          <w:numId w:val="0"/>
        </w:numPr>
        <w:ind w:left="288"/>
        <w:rPr>
          <w:rFonts w:ascii="Arial" w:eastAsiaTheme="majorEastAsia" w:hAnsi="Arial" w:cs="Arial"/>
          <w:sz w:val="32"/>
          <w:szCs w:val="32"/>
          <w:lang w:val="es-AR"/>
        </w:rPr>
      </w:pPr>
      <w:r>
        <w:rPr>
          <w:rFonts w:ascii="Arial" w:hAnsi="Arial" w:cs="Arial"/>
          <w:lang w:val="es-AR"/>
        </w:rPr>
        <w:br w:type="page"/>
      </w:r>
      <w:bookmarkStart w:id="1" w:name="_Toc339982338"/>
      <w:bookmarkStart w:id="2" w:name="_Toc462244991"/>
      <w:bookmarkStart w:id="3" w:name="_Hlk495780804"/>
    </w:p>
    <w:sdt>
      <w:sdtPr>
        <w:rPr>
          <w:rFonts w:ascii="Arial" w:eastAsiaTheme="minorHAnsi" w:hAnsi="Arial" w:cs="Arial"/>
          <w:color w:val="auto"/>
          <w:sz w:val="22"/>
          <w:szCs w:val="22"/>
          <w:lang w:val="es-ES" w:eastAsia="en-US"/>
        </w:rPr>
        <w:id w:val="1473553231"/>
        <w:docPartObj>
          <w:docPartGallery w:val="Table of Contents"/>
          <w:docPartUnique/>
        </w:docPartObj>
      </w:sdtPr>
      <w:sdtEndPr>
        <w:rPr>
          <w:b/>
          <w:bCs/>
        </w:rPr>
      </w:sdtEndPr>
      <w:sdtContent>
        <w:p>
          <w:pPr>
            <w:pStyle w:val="TOCHeading"/>
            <w:jc w:val="center"/>
            <w:rPr>
              <w:rFonts w:ascii="Arial" w:hAnsi="Arial" w:cs="Arial"/>
              <w:b/>
              <w:color w:val="000000" w:themeColor="text1"/>
              <w:sz w:val="28"/>
              <w:szCs w:val="28"/>
              <w:lang w:val="es-ES"/>
            </w:rPr>
          </w:pPr>
          <w:r>
            <w:rPr>
              <w:rFonts w:ascii="Arial" w:hAnsi="Arial" w:cs="Arial"/>
              <w:b/>
              <w:color w:val="000000" w:themeColor="text1"/>
              <w:sz w:val="28"/>
              <w:szCs w:val="28"/>
              <w:lang w:val="es-ES"/>
            </w:rPr>
            <w:t>CONTENIDO</w:t>
          </w:r>
        </w:p>
        <w:p>
          <w:pPr>
            <w:rPr>
              <w:rFonts w:ascii="Arial" w:hAnsi="Arial" w:cs="Arial"/>
              <w:lang w:val="es-ES" w:eastAsia="es-AR"/>
            </w:rPr>
          </w:pPr>
        </w:p>
        <w:p>
          <w:pPr>
            <w:pStyle w:val="TOC1"/>
            <w:tabs>
              <w:tab w:val="left" w:pos="440"/>
              <w:tab w:val="right" w:leader="dot" w:pos="8296"/>
            </w:tabs>
            <w:rPr>
              <w:rFonts w:ascii="Arial" w:eastAsiaTheme="minorEastAsia" w:hAnsi="Arial" w:cs="Arial"/>
              <w:noProof/>
              <w:lang w:val="es-ES" w:eastAsia="es-ES"/>
            </w:rPr>
          </w:pPr>
          <w:r>
            <w:rPr>
              <w:rFonts w:ascii="Arial" w:hAnsi="Arial" w:cs="Arial"/>
            </w:rPr>
            <w:fldChar w:fldCharType="begin"/>
          </w:r>
          <w:r>
            <w:rPr>
              <w:rFonts w:ascii="Arial" w:hAnsi="Arial" w:cs="Arial"/>
            </w:rPr>
            <w:instrText xml:space="preserve"> TOC \o "1-3" \h \z \u </w:instrText>
          </w:r>
          <w:r>
            <w:rPr>
              <w:rFonts w:ascii="Arial" w:hAnsi="Arial" w:cs="Arial"/>
            </w:rPr>
            <w:fldChar w:fldCharType="separate"/>
          </w:r>
          <w:hyperlink w:anchor="_Toc499930009" w:history="1">
            <w:r>
              <w:rPr>
                <w:rStyle w:val="Hyperlink"/>
                <w:rFonts w:ascii="Arial" w:eastAsia="Times New Roman" w:hAnsi="Arial" w:cs="Arial"/>
                <w:b/>
                <w:bCs/>
                <w:smallCaps/>
                <w:noProof/>
                <w:kern w:val="32"/>
                <w:lang w:val="es-ES" w:eastAsia="es-ES"/>
              </w:rPr>
              <w:t>I.</w:t>
            </w:r>
            <w:r>
              <w:rPr>
                <w:rFonts w:ascii="Arial" w:eastAsiaTheme="minorEastAsia" w:hAnsi="Arial" w:cs="Arial"/>
                <w:noProof/>
                <w:lang w:val="es-ES" w:eastAsia="es-ES"/>
              </w:rPr>
              <w:tab/>
            </w:r>
            <w:r>
              <w:rPr>
                <w:rStyle w:val="Hyperlink"/>
                <w:rFonts w:ascii="Arial" w:eastAsia="Times New Roman" w:hAnsi="Arial" w:cs="Arial"/>
                <w:b/>
                <w:bCs/>
                <w:smallCaps/>
                <w:noProof/>
                <w:kern w:val="32"/>
                <w:lang w:val="es-ES" w:eastAsia="es-ES"/>
              </w:rPr>
              <w:t>Marco Introductorio</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_Toc499930009 \h </w:instrText>
            </w:r>
            <w:r>
              <w:rPr>
                <w:rFonts w:ascii="Arial" w:hAnsi="Arial" w:cs="Arial"/>
                <w:noProof/>
                <w:webHidden/>
              </w:rPr>
            </w:r>
            <w:r>
              <w:rPr>
                <w:rFonts w:ascii="Arial" w:hAnsi="Arial" w:cs="Arial"/>
                <w:noProof/>
                <w:webHidden/>
              </w:rPr>
              <w:fldChar w:fldCharType="separate"/>
            </w:r>
            <w:r>
              <w:rPr>
                <w:rFonts w:ascii="Arial" w:hAnsi="Arial" w:cs="Arial"/>
                <w:noProof/>
                <w:webHidden/>
              </w:rPr>
              <w:t>3</w:t>
            </w:r>
            <w:r>
              <w:rPr>
                <w:rFonts w:ascii="Arial" w:hAnsi="Arial" w:cs="Arial"/>
                <w:noProof/>
                <w:webHidden/>
              </w:rPr>
              <w:fldChar w:fldCharType="end"/>
            </w:r>
          </w:hyperlink>
        </w:p>
        <w:p>
          <w:pPr>
            <w:pStyle w:val="TOC1"/>
            <w:tabs>
              <w:tab w:val="left" w:pos="660"/>
              <w:tab w:val="right" w:leader="dot" w:pos="8296"/>
            </w:tabs>
            <w:rPr>
              <w:rFonts w:ascii="Arial" w:eastAsiaTheme="minorEastAsia" w:hAnsi="Arial" w:cs="Arial"/>
              <w:noProof/>
              <w:lang w:val="es-ES" w:eastAsia="es-ES"/>
            </w:rPr>
          </w:pPr>
          <w:hyperlink w:anchor="_Toc499930010" w:history="1">
            <w:r>
              <w:rPr>
                <w:rStyle w:val="Hyperlink"/>
                <w:rFonts w:ascii="Arial" w:eastAsia="Times New Roman" w:hAnsi="Arial" w:cs="Arial"/>
                <w:b/>
                <w:bCs/>
                <w:smallCaps/>
                <w:noProof/>
                <w:kern w:val="32"/>
                <w:lang w:val="es-ES" w:eastAsia="es-ES"/>
              </w:rPr>
              <w:t>II.</w:t>
            </w:r>
            <w:r>
              <w:rPr>
                <w:rFonts w:ascii="Arial" w:eastAsiaTheme="minorEastAsia" w:hAnsi="Arial" w:cs="Arial"/>
                <w:noProof/>
                <w:lang w:val="es-ES" w:eastAsia="es-ES"/>
              </w:rPr>
              <w:tab/>
            </w:r>
            <w:r>
              <w:rPr>
                <w:rStyle w:val="Hyperlink"/>
                <w:rFonts w:ascii="Arial" w:eastAsia="Times New Roman" w:hAnsi="Arial" w:cs="Arial"/>
                <w:b/>
                <w:bCs/>
                <w:smallCaps/>
                <w:noProof/>
                <w:kern w:val="32"/>
                <w:lang w:val="es-ES" w:eastAsia="es-ES"/>
              </w:rPr>
              <w:t>Metodología</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_Toc499930010 \h </w:instrText>
            </w:r>
            <w:r>
              <w:rPr>
                <w:rFonts w:ascii="Arial" w:hAnsi="Arial" w:cs="Arial"/>
                <w:noProof/>
                <w:webHidden/>
              </w:rPr>
            </w:r>
            <w:r>
              <w:rPr>
                <w:rFonts w:ascii="Arial" w:hAnsi="Arial" w:cs="Arial"/>
                <w:noProof/>
                <w:webHidden/>
              </w:rPr>
              <w:fldChar w:fldCharType="separate"/>
            </w:r>
            <w:r>
              <w:rPr>
                <w:rFonts w:ascii="Arial" w:hAnsi="Arial" w:cs="Arial"/>
                <w:noProof/>
                <w:webHidden/>
              </w:rPr>
              <w:t>5</w:t>
            </w:r>
            <w:r>
              <w:rPr>
                <w:rFonts w:ascii="Arial" w:hAnsi="Arial" w:cs="Arial"/>
                <w:noProof/>
                <w:webHidden/>
              </w:rPr>
              <w:fldChar w:fldCharType="end"/>
            </w:r>
          </w:hyperlink>
        </w:p>
        <w:p>
          <w:pPr>
            <w:pStyle w:val="TOC2"/>
            <w:tabs>
              <w:tab w:val="right" w:leader="dot" w:pos="8296"/>
            </w:tabs>
            <w:rPr>
              <w:rFonts w:ascii="Arial" w:eastAsiaTheme="minorEastAsia" w:hAnsi="Arial" w:cs="Arial"/>
              <w:noProof/>
              <w:lang w:val="es-ES" w:eastAsia="es-ES"/>
            </w:rPr>
          </w:pPr>
          <w:hyperlink w:anchor="_Toc499930011" w:history="1">
            <w:r>
              <w:rPr>
                <w:rStyle w:val="Hyperlink"/>
                <w:rFonts w:ascii="Arial" w:hAnsi="Arial" w:cs="Arial"/>
                <w:noProof/>
                <w:lang w:val="es-AR"/>
              </w:rPr>
              <w:t>Costos Económicos</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_Toc499930011 \h </w:instrText>
            </w:r>
            <w:r>
              <w:rPr>
                <w:rFonts w:ascii="Arial" w:hAnsi="Arial" w:cs="Arial"/>
                <w:noProof/>
                <w:webHidden/>
              </w:rPr>
            </w:r>
            <w:r>
              <w:rPr>
                <w:rFonts w:ascii="Arial" w:hAnsi="Arial" w:cs="Arial"/>
                <w:noProof/>
                <w:webHidden/>
              </w:rPr>
              <w:fldChar w:fldCharType="separate"/>
            </w:r>
            <w:r>
              <w:rPr>
                <w:rFonts w:ascii="Arial" w:hAnsi="Arial" w:cs="Arial"/>
                <w:noProof/>
                <w:webHidden/>
              </w:rPr>
              <w:t>5</w:t>
            </w:r>
            <w:r>
              <w:rPr>
                <w:rFonts w:ascii="Arial" w:hAnsi="Arial" w:cs="Arial"/>
                <w:noProof/>
                <w:webHidden/>
              </w:rPr>
              <w:fldChar w:fldCharType="end"/>
            </w:r>
          </w:hyperlink>
        </w:p>
        <w:p>
          <w:pPr>
            <w:pStyle w:val="TOC2"/>
            <w:tabs>
              <w:tab w:val="right" w:leader="dot" w:pos="8296"/>
            </w:tabs>
            <w:rPr>
              <w:rFonts w:ascii="Arial" w:eastAsiaTheme="minorEastAsia" w:hAnsi="Arial" w:cs="Arial"/>
              <w:noProof/>
              <w:lang w:val="es-ES" w:eastAsia="es-ES"/>
            </w:rPr>
          </w:pPr>
          <w:hyperlink w:anchor="_Toc499930012" w:history="1">
            <w:r>
              <w:rPr>
                <w:rStyle w:val="Hyperlink"/>
                <w:rFonts w:ascii="Arial" w:hAnsi="Arial" w:cs="Arial"/>
                <w:noProof/>
                <w:lang w:val="es-AR"/>
              </w:rPr>
              <w:t>Beneficios Económicos.</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_Toc499930012 \h </w:instrText>
            </w:r>
            <w:r>
              <w:rPr>
                <w:rFonts w:ascii="Arial" w:hAnsi="Arial" w:cs="Arial"/>
                <w:noProof/>
                <w:webHidden/>
              </w:rPr>
            </w:r>
            <w:r>
              <w:rPr>
                <w:rFonts w:ascii="Arial" w:hAnsi="Arial" w:cs="Arial"/>
                <w:noProof/>
                <w:webHidden/>
              </w:rPr>
              <w:fldChar w:fldCharType="separate"/>
            </w:r>
            <w:r>
              <w:rPr>
                <w:rFonts w:ascii="Arial" w:hAnsi="Arial" w:cs="Arial"/>
                <w:noProof/>
                <w:webHidden/>
              </w:rPr>
              <w:t>6</w:t>
            </w:r>
            <w:r>
              <w:rPr>
                <w:rFonts w:ascii="Arial" w:hAnsi="Arial" w:cs="Arial"/>
                <w:noProof/>
                <w:webHidden/>
              </w:rPr>
              <w:fldChar w:fldCharType="end"/>
            </w:r>
          </w:hyperlink>
        </w:p>
        <w:p>
          <w:pPr>
            <w:pStyle w:val="TOC2"/>
            <w:tabs>
              <w:tab w:val="right" w:leader="dot" w:pos="8296"/>
            </w:tabs>
            <w:rPr>
              <w:rFonts w:ascii="Arial" w:eastAsiaTheme="minorEastAsia" w:hAnsi="Arial" w:cs="Arial"/>
              <w:noProof/>
              <w:lang w:val="es-ES" w:eastAsia="es-ES"/>
            </w:rPr>
          </w:pPr>
          <w:hyperlink w:anchor="_Toc499930013" w:history="1">
            <w:r>
              <w:rPr>
                <w:rStyle w:val="Hyperlink"/>
                <w:rFonts w:ascii="Arial" w:hAnsi="Arial" w:cs="Arial"/>
                <w:noProof/>
                <w:lang w:val="es-AR"/>
              </w:rPr>
              <w:t>Supuestos Críticos</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_Toc499930013 \h </w:instrText>
            </w:r>
            <w:r>
              <w:rPr>
                <w:rFonts w:ascii="Arial" w:hAnsi="Arial" w:cs="Arial"/>
                <w:noProof/>
                <w:webHidden/>
              </w:rPr>
            </w:r>
            <w:r>
              <w:rPr>
                <w:rFonts w:ascii="Arial" w:hAnsi="Arial" w:cs="Arial"/>
                <w:noProof/>
                <w:webHidden/>
              </w:rPr>
              <w:fldChar w:fldCharType="separate"/>
            </w:r>
            <w:r>
              <w:rPr>
                <w:rFonts w:ascii="Arial" w:hAnsi="Arial" w:cs="Arial"/>
                <w:noProof/>
                <w:webHidden/>
              </w:rPr>
              <w:t>8</w:t>
            </w:r>
            <w:r>
              <w:rPr>
                <w:rFonts w:ascii="Arial" w:hAnsi="Arial" w:cs="Arial"/>
                <w:noProof/>
                <w:webHidden/>
              </w:rPr>
              <w:fldChar w:fldCharType="end"/>
            </w:r>
          </w:hyperlink>
        </w:p>
        <w:p>
          <w:pPr>
            <w:pStyle w:val="TOC1"/>
            <w:tabs>
              <w:tab w:val="left" w:pos="660"/>
              <w:tab w:val="right" w:leader="dot" w:pos="8296"/>
            </w:tabs>
            <w:rPr>
              <w:rFonts w:ascii="Arial" w:eastAsiaTheme="minorEastAsia" w:hAnsi="Arial" w:cs="Arial"/>
              <w:noProof/>
              <w:lang w:val="es-ES" w:eastAsia="es-ES"/>
            </w:rPr>
          </w:pPr>
          <w:hyperlink w:anchor="_Toc499930014" w:history="1">
            <w:r>
              <w:rPr>
                <w:rStyle w:val="Hyperlink"/>
                <w:rFonts w:ascii="Arial" w:eastAsia="Times New Roman" w:hAnsi="Arial" w:cs="Arial"/>
                <w:b/>
                <w:bCs/>
                <w:smallCaps/>
                <w:noProof/>
                <w:kern w:val="32"/>
                <w:lang w:val="es-ES" w:eastAsia="es-ES"/>
              </w:rPr>
              <w:t>III.</w:t>
            </w:r>
            <w:r>
              <w:rPr>
                <w:rFonts w:ascii="Arial" w:eastAsiaTheme="minorEastAsia" w:hAnsi="Arial" w:cs="Arial"/>
                <w:noProof/>
                <w:lang w:val="es-ES" w:eastAsia="es-ES"/>
              </w:rPr>
              <w:tab/>
            </w:r>
            <w:r>
              <w:rPr>
                <w:rStyle w:val="Hyperlink"/>
                <w:rFonts w:ascii="Arial" w:eastAsia="Times New Roman" w:hAnsi="Arial" w:cs="Arial"/>
                <w:b/>
                <w:bCs/>
                <w:smallCaps/>
                <w:noProof/>
                <w:kern w:val="32"/>
                <w:lang w:val="es-ES" w:eastAsia="es-ES"/>
              </w:rPr>
              <w:t>Rentabilidad del Proyecto: VAN y TIR</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_Toc499930014 \h </w:instrText>
            </w:r>
            <w:r>
              <w:rPr>
                <w:rFonts w:ascii="Arial" w:hAnsi="Arial" w:cs="Arial"/>
                <w:noProof/>
                <w:webHidden/>
              </w:rPr>
            </w:r>
            <w:r>
              <w:rPr>
                <w:rFonts w:ascii="Arial" w:hAnsi="Arial" w:cs="Arial"/>
                <w:noProof/>
                <w:webHidden/>
              </w:rPr>
              <w:fldChar w:fldCharType="separate"/>
            </w:r>
            <w:r>
              <w:rPr>
                <w:rFonts w:ascii="Arial" w:hAnsi="Arial" w:cs="Arial"/>
                <w:noProof/>
                <w:webHidden/>
              </w:rPr>
              <w:t>9</w:t>
            </w:r>
            <w:r>
              <w:rPr>
                <w:rFonts w:ascii="Arial" w:hAnsi="Arial" w:cs="Arial"/>
                <w:noProof/>
                <w:webHidden/>
              </w:rPr>
              <w:fldChar w:fldCharType="end"/>
            </w:r>
          </w:hyperlink>
        </w:p>
        <w:p>
          <w:pPr>
            <w:pStyle w:val="TOC1"/>
            <w:tabs>
              <w:tab w:val="left" w:pos="660"/>
              <w:tab w:val="right" w:leader="dot" w:pos="8296"/>
            </w:tabs>
            <w:rPr>
              <w:rFonts w:ascii="Arial" w:eastAsiaTheme="minorEastAsia" w:hAnsi="Arial" w:cs="Arial"/>
              <w:noProof/>
              <w:lang w:val="es-ES" w:eastAsia="es-ES"/>
            </w:rPr>
          </w:pPr>
          <w:hyperlink w:anchor="_Toc499930015" w:history="1">
            <w:r>
              <w:rPr>
                <w:rStyle w:val="Hyperlink"/>
                <w:rFonts w:ascii="Arial" w:eastAsia="Times New Roman" w:hAnsi="Arial" w:cs="Arial"/>
                <w:b/>
                <w:bCs/>
                <w:smallCaps/>
                <w:noProof/>
                <w:kern w:val="32"/>
                <w:lang w:val="es-ES" w:eastAsia="es-ES"/>
              </w:rPr>
              <w:t>IV.</w:t>
            </w:r>
            <w:r>
              <w:rPr>
                <w:rFonts w:ascii="Arial" w:eastAsiaTheme="minorEastAsia" w:hAnsi="Arial" w:cs="Arial"/>
                <w:noProof/>
                <w:lang w:val="es-ES" w:eastAsia="es-ES"/>
              </w:rPr>
              <w:tab/>
            </w:r>
            <w:r>
              <w:rPr>
                <w:rStyle w:val="Hyperlink"/>
                <w:rFonts w:ascii="Arial" w:eastAsia="Times New Roman" w:hAnsi="Arial" w:cs="Arial"/>
                <w:b/>
                <w:bCs/>
                <w:smallCaps/>
                <w:noProof/>
                <w:kern w:val="32"/>
                <w:lang w:val="es-ES" w:eastAsia="es-ES"/>
              </w:rPr>
              <w:t>Análisis de Sensibilidad</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_Toc499930015 \h </w:instrText>
            </w:r>
            <w:r>
              <w:rPr>
                <w:rFonts w:ascii="Arial" w:hAnsi="Arial" w:cs="Arial"/>
                <w:noProof/>
                <w:webHidden/>
              </w:rPr>
            </w:r>
            <w:r>
              <w:rPr>
                <w:rFonts w:ascii="Arial" w:hAnsi="Arial" w:cs="Arial"/>
                <w:noProof/>
                <w:webHidden/>
              </w:rPr>
              <w:fldChar w:fldCharType="separate"/>
            </w:r>
            <w:r>
              <w:rPr>
                <w:rFonts w:ascii="Arial" w:hAnsi="Arial" w:cs="Arial"/>
                <w:noProof/>
                <w:webHidden/>
              </w:rPr>
              <w:t>11</w:t>
            </w:r>
            <w:r>
              <w:rPr>
                <w:rFonts w:ascii="Arial" w:hAnsi="Arial" w:cs="Arial"/>
                <w:noProof/>
                <w:webHidden/>
              </w:rPr>
              <w:fldChar w:fldCharType="end"/>
            </w:r>
          </w:hyperlink>
        </w:p>
        <w:p>
          <w:pPr>
            <w:pStyle w:val="TOC1"/>
            <w:tabs>
              <w:tab w:val="left" w:pos="440"/>
              <w:tab w:val="right" w:leader="dot" w:pos="8296"/>
            </w:tabs>
            <w:rPr>
              <w:rFonts w:ascii="Arial" w:eastAsiaTheme="minorEastAsia" w:hAnsi="Arial" w:cs="Arial"/>
              <w:noProof/>
              <w:lang w:val="es-ES" w:eastAsia="es-ES"/>
            </w:rPr>
          </w:pPr>
          <w:hyperlink w:anchor="_Toc499930016" w:history="1">
            <w:r>
              <w:rPr>
                <w:rStyle w:val="Hyperlink"/>
                <w:rFonts w:ascii="Arial" w:eastAsia="Times New Roman" w:hAnsi="Arial" w:cs="Arial"/>
                <w:b/>
                <w:bCs/>
                <w:smallCaps/>
                <w:noProof/>
                <w:kern w:val="32"/>
                <w:lang w:val="es-ES" w:eastAsia="es-ES"/>
              </w:rPr>
              <w:t>V.</w:t>
            </w:r>
            <w:r>
              <w:rPr>
                <w:rFonts w:ascii="Arial" w:eastAsiaTheme="minorEastAsia" w:hAnsi="Arial" w:cs="Arial"/>
                <w:noProof/>
                <w:lang w:val="es-ES" w:eastAsia="es-ES"/>
              </w:rPr>
              <w:tab/>
            </w:r>
            <w:r>
              <w:rPr>
                <w:rStyle w:val="Hyperlink"/>
                <w:rFonts w:ascii="Arial" w:eastAsia="Times New Roman" w:hAnsi="Arial" w:cs="Arial"/>
                <w:b/>
                <w:bCs/>
                <w:smallCaps/>
                <w:noProof/>
                <w:kern w:val="32"/>
                <w:lang w:val="es-ES" w:eastAsia="es-ES"/>
              </w:rPr>
              <w:t>Bibliografia</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_Toc499930016 \h </w:instrText>
            </w:r>
            <w:r>
              <w:rPr>
                <w:rFonts w:ascii="Arial" w:hAnsi="Arial" w:cs="Arial"/>
                <w:noProof/>
                <w:webHidden/>
              </w:rPr>
            </w:r>
            <w:r>
              <w:rPr>
                <w:rFonts w:ascii="Arial" w:hAnsi="Arial" w:cs="Arial"/>
                <w:noProof/>
                <w:webHidden/>
              </w:rPr>
              <w:fldChar w:fldCharType="separate"/>
            </w:r>
            <w:r>
              <w:rPr>
                <w:rFonts w:ascii="Arial" w:hAnsi="Arial" w:cs="Arial"/>
                <w:noProof/>
                <w:webHidden/>
              </w:rPr>
              <w:t>13</w:t>
            </w:r>
            <w:r>
              <w:rPr>
                <w:rFonts w:ascii="Arial" w:hAnsi="Arial" w:cs="Arial"/>
                <w:noProof/>
                <w:webHidden/>
              </w:rPr>
              <w:fldChar w:fldCharType="end"/>
            </w:r>
          </w:hyperlink>
        </w:p>
        <w:p>
          <w:pPr>
            <w:jc w:val="both"/>
            <w:rPr>
              <w:rFonts w:ascii="Arial" w:hAnsi="Arial" w:cs="Arial"/>
            </w:rPr>
          </w:pPr>
          <w:r>
            <w:rPr>
              <w:rFonts w:ascii="Arial" w:hAnsi="Arial" w:cs="Arial"/>
              <w:b/>
              <w:bCs/>
              <w:lang w:val="es-ES"/>
            </w:rPr>
            <w:fldChar w:fldCharType="end"/>
          </w:r>
        </w:p>
      </w:sdtContent>
    </w:sdt>
    <w:p>
      <w:pPr>
        <w:jc w:val="both"/>
        <w:rPr>
          <w:rFonts w:ascii="Arial" w:eastAsiaTheme="majorEastAsia" w:hAnsi="Arial" w:cs="Arial"/>
          <w:b/>
          <w:sz w:val="24"/>
          <w:szCs w:val="32"/>
          <w:lang w:val="es-AR"/>
        </w:rPr>
      </w:pPr>
      <w:r>
        <w:rPr>
          <w:rFonts w:ascii="Arial" w:hAnsi="Arial" w:cs="Arial"/>
          <w:b/>
          <w:sz w:val="24"/>
          <w:lang w:val="es-AR"/>
        </w:rPr>
        <w:br w:type="page"/>
      </w:r>
    </w:p>
    <w:p>
      <w:pPr>
        <w:pStyle w:val="Heading1"/>
        <w:keepLines w:val="0"/>
        <w:numPr>
          <w:ilvl w:val="0"/>
          <w:numId w:val="12"/>
        </w:numPr>
        <w:spacing w:before="120" w:after="120" w:line="240" w:lineRule="auto"/>
        <w:ind w:left="426" w:hanging="426"/>
        <w:rPr>
          <w:rFonts w:ascii="Arial" w:eastAsia="Times New Roman" w:hAnsi="Arial" w:cs="Arial"/>
          <w:b/>
          <w:bCs/>
          <w:smallCaps/>
          <w:color w:val="auto"/>
          <w:kern w:val="32"/>
          <w:sz w:val="24"/>
          <w:szCs w:val="24"/>
          <w:lang w:val="es-ES" w:eastAsia="es-ES"/>
        </w:rPr>
      </w:pPr>
      <w:bookmarkStart w:id="4" w:name="_Toc499930009"/>
      <w:r>
        <w:rPr>
          <w:rFonts w:ascii="Arial" w:eastAsia="Times New Roman" w:hAnsi="Arial" w:cs="Arial"/>
          <w:b/>
          <w:bCs/>
          <w:smallCaps/>
          <w:color w:val="auto"/>
          <w:kern w:val="32"/>
          <w:sz w:val="24"/>
          <w:szCs w:val="24"/>
          <w:lang w:val="es-ES" w:eastAsia="es-ES"/>
        </w:rPr>
        <w:lastRenderedPageBreak/>
        <w:t>Marco Introductorio</w:t>
      </w:r>
      <w:bookmarkEnd w:id="1"/>
      <w:bookmarkEnd w:id="2"/>
      <w:bookmarkEnd w:id="3"/>
      <w:bookmarkEnd w:id="4"/>
    </w:p>
    <w:p>
      <w:pPr>
        <w:pStyle w:val="ListParagraph"/>
        <w:numPr>
          <w:ilvl w:val="1"/>
          <w:numId w:val="12"/>
        </w:numPr>
        <w:spacing w:after="0" w:line="240" w:lineRule="auto"/>
        <w:ind w:left="567" w:hanging="567"/>
        <w:jc w:val="both"/>
        <w:rPr>
          <w:rFonts w:ascii="Arial" w:hAnsi="Arial" w:cs="Arial"/>
          <w:b/>
          <w:sz w:val="24"/>
          <w:szCs w:val="24"/>
          <w:lang w:val="es-AR"/>
        </w:rPr>
      </w:pPr>
      <w:r>
        <w:rPr>
          <w:rFonts w:ascii="Arial" w:hAnsi="Arial" w:cs="Arial"/>
          <w:sz w:val="24"/>
          <w:szCs w:val="24"/>
          <w:lang w:val="es-AR"/>
        </w:rPr>
        <w:t>El programa de Mejora de la Capacidad de Gestión de la AFIP AR</w:t>
      </w:r>
      <w:r>
        <w:rPr>
          <w:rFonts w:ascii="Arial" w:hAnsi="Arial" w:cs="Arial"/>
          <w:sz w:val="24"/>
          <w:szCs w:val="24"/>
          <w:lang w:val="es-AR"/>
        </w:rPr>
        <w:noBreakHyphen/>
        <w:t xml:space="preserve">L1282¸ </w:t>
      </w:r>
      <w:r>
        <w:rPr>
          <w:rFonts w:ascii="Arial" w:hAnsi="Arial" w:cs="Arial"/>
          <w:lang w:val="es-ES_tradnl"/>
        </w:rPr>
        <w:t>tiene como objetivos: (i) fortalecer la recaudación tributaria y de las contribuciones a la seguridad social reduciendo los costos de cumplimiento; y (ii) mejorar el servicio y la atención al contribuyente, así como la gestión del comercio exterior.</w:t>
      </w:r>
    </w:p>
    <w:p>
      <w:pPr>
        <w:pStyle w:val="ListParagraph"/>
        <w:spacing w:after="0" w:line="240" w:lineRule="auto"/>
        <w:ind w:left="567" w:hanging="567"/>
        <w:jc w:val="both"/>
        <w:rPr>
          <w:rFonts w:ascii="Arial" w:hAnsi="Arial" w:cs="Arial"/>
          <w:b/>
          <w:sz w:val="24"/>
          <w:szCs w:val="24"/>
          <w:lang w:val="es-AR"/>
        </w:rPr>
      </w:pPr>
    </w:p>
    <w:p>
      <w:pPr>
        <w:pStyle w:val="ListParagraph"/>
        <w:numPr>
          <w:ilvl w:val="1"/>
          <w:numId w:val="12"/>
        </w:numPr>
        <w:spacing w:after="0" w:line="240" w:lineRule="auto"/>
        <w:ind w:left="567" w:hanging="567"/>
        <w:jc w:val="both"/>
        <w:rPr>
          <w:rFonts w:ascii="Arial" w:hAnsi="Arial" w:cs="Arial"/>
          <w:b/>
          <w:sz w:val="24"/>
          <w:szCs w:val="24"/>
          <w:lang w:val="es-AR"/>
        </w:rPr>
      </w:pPr>
      <w:r>
        <w:rPr>
          <w:rFonts w:ascii="Arial" w:hAnsi="Arial" w:cs="Arial"/>
          <w:sz w:val="24"/>
          <w:szCs w:val="24"/>
          <w:lang w:val="es-ES"/>
        </w:rPr>
        <w:t>Para su ejecución se han diseñado tres componentes</w:t>
      </w:r>
      <w:r>
        <w:rPr>
          <w:rFonts w:ascii="Arial" w:hAnsi="Arial" w:cs="Arial"/>
          <w:vertAlign w:val="superscript"/>
        </w:rPr>
        <w:footnoteReference w:id="2"/>
      </w:r>
      <w:r>
        <w:rPr>
          <w:rFonts w:ascii="Arial" w:hAnsi="Arial" w:cs="Arial"/>
          <w:sz w:val="24"/>
          <w:szCs w:val="24"/>
          <w:lang w:val="es-ES"/>
        </w:rPr>
        <w:t>:</w:t>
      </w:r>
    </w:p>
    <w:p>
      <w:pPr>
        <w:pStyle w:val="ListParagraph"/>
        <w:ind w:left="567" w:hanging="567"/>
        <w:rPr>
          <w:rFonts w:ascii="Arial" w:hAnsi="Arial" w:cs="Arial"/>
          <w:sz w:val="24"/>
          <w:szCs w:val="24"/>
          <w:lang w:val="es-ES"/>
        </w:rPr>
      </w:pPr>
    </w:p>
    <w:p>
      <w:pPr>
        <w:pStyle w:val="ListParagraph"/>
        <w:numPr>
          <w:ilvl w:val="1"/>
          <w:numId w:val="12"/>
        </w:numPr>
        <w:spacing w:after="0" w:line="240" w:lineRule="auto"/>
        <w:ind w:left="567" w:hanging="567"/>
        <w:jc w:val="both"/>
        <w:rPr>
          <w:rFonts w:ascii="Arial" w:hAnsi="Arial" w:cs="Arial"/>
          <w:b/>
          <w:sz w:val="24"/>
          <w:szCs w:val="24"/>
          <w:lang w:val="es-AR"/>
        </w:rPr>
      </w:pPr>
      <w:r>
        <w:rPr>
          <w:rFonts w:ascii="Arial" w:hAnsi="Arial" w:cs="Arial"/>
          <w:sz w:val="24"/>
          <w:szCs w:val="24"/>
          <w:lang w:val="es-ES"/>
        </w:rPr>
        <w:t>Componente 1 “Fortalecimiento de la gestión de riesgo de la AFIP (US$ 48,02 Millones), tiene por objetivo incrementar la percepción de riesgo por parte de los contribuyentes, con el fin de disminuir el incumplimiento de las obligaciones impositivas, aduaneras y de los recursos de la seguridad social. Se compone de tres subcomponentes: (i) “Fortalecimiento del control y fiscalización en la administración de tributos internos”, que busca restaurar los instrumentos que permitan contar con una visión integral del contribuyente, con el fin de obtener información que permita disminuir los riesgos potenciales por segmento de contribuyentes; (ii) “</w:t>
      </w:r>
      <w:r>
        <w:rPr>
          <w:rFonts w:ascii="Arial" w:hAnsi="Arial" w:cs="Arial"/>
          <w:bCs/>
          <w:sz w:val="24"/>
          <w:szCs w:val="24"/>
          <w:lang w:val="es-ES_tradnl"/>
        </w:rPr>
        <w:t>Fortalecimiento de los controles aduaneros y nueva estrategia de control y facilitación del comercio exterior</w:t>
      </w:r>
      <w:r>
        <w:rPr>
          <w:rFonts w:ascii="Arial" w:hAnsi="Arial" w:cs="Arial"/>
          <w:sz w:val="24"/>
          <w:szCs w:val="24"/>
          <w:lang w:val="es-ES"/>
        </w:rPr>
        <w:t>”, el mismo tiene por objeto optimizar los procedimientos relacionados con las distintas operatorias del comercio exterior, con el fin de optimizar todos los procesos previos, inmediatos y posteriores utilizando tecnología para ello, utilizando medios no intrusivos; (iii) “Fortalecimiento del control y fiscalización de los recursos de la seguridad social y mejora de la formalización del sector laboral”, está orientado a fortalecer el rol que excede a la recaudación, este es el de vínculo con distintos organismos tanto privados como públicos en cuestiones vinculadas a la seguridad social.</w:t>
      </w:r>
    </w:p>
    <w:p>
      <w:pPr>
        <w:pStyle w:val="ListParagraph"/>
        <w:spacing w:after="0" w:line="240" w:lineRule="auto"/>
        <w:ind w:left="567" w:hanging="567"/>
        <w:jc w:val="both"/>
        <w:rPr>
          <w:rFonts w:ascii="Arial" w:hAnsi="Arial" w:cs="Arial"/>
          <w:b/>
          <w:sz w:val="24"/>
          <w:szCs w:val="24"/>
          <w:lang w:val="es-AR"/>
        </w:rPr>
      </w:pPr>
    </w:p>
    <w:p>
      <w:pPr>
        <w:pStyle w:val="ListParagraph"/>
        <w:numPr>
          <w:ilvl w:val="1"/>
          <w:numId w:val="12"/>
        </w:numPr>
        <w:spacing w:after="0" w:line="240" w:lineRule="auto"/>
        <w:ind w:left="567" w:hanging="567"/>
        <w:jc w:val="both"/>
        <w:rPr>
          <w:rFonts w:ascii="Arial" w:hAnsi="Arial" w:cs="Arial"/>
          <w:b/>
          <w:sz w:val="24"/>
          <w:szCs w:val="24"/>
          <w:lang w:val="es-AR"/>
        </w:rPr>
      </w:pPr>
      <w:r>
        <w:rPr>
          <w:rFonts w:ascii="Arial" w:hAnsi="Arial" w:cs="Arial"/>
          <w:sz w:val="24"/>
          <w:szCs w:val="24"/>
          <w:lang w:val="es-ES"/>
        </w:rPr>
        <w:t xml:space="preserve">Componente 2 “Fortalecimiento de los sistemas de información de la AFIP” (US$ 47,6 Millones), este componente tiene por objetivo mejorar los sistemas de información del organismo para poder hacer frente a las todas las transacciones y a su crecimiento esperado. Está compuesto por cuatro subcomponentes: (i) “Revisión y adecuación del modelo de desarrollo, arquitectura tecnológica y de infraestructura para la institución, en función de las nuevas estrategias de negocio”, busca fortalecer el área de informática de la AFIP, con el fin de responder a las demandas de transacciones y el crecimiento que se espera; (ii) “Adecuación y modernización de los sistemas centrales de cada una de las áreas de negocio”, busca proveer equipamiento y sistemas informáticos que respondan a la demanda externa e interna de transacciones y a su crecimiento esperado; (iii)Adecuación de los sistemas de apoyo de las diferentes áreas de negocio, atendiendo la cartera atrasada de la actualización y modificaciones”, este subcomponente busca acompañar los </w:t>
      </w:r>
      <w:r>
        <w:rPr>
          <w:rFonts w:ascii="Arial" w:hAnsi="Arial" w:cs="Arial"/>
          <w:sz w:val="24"/>
          <w:szCs w:val="24"/>
          <w:lang w:val="es-ES"/>
        </w:rPr>
        <w:lastRenderedPageBreak/>
        <w:t>cambios normativos y procedimentales en las distintas áreas del organismo; (iv) Consolidación del acervo tecnológico y explotación de nuevas tecnologías, este componente busca adoptar nuevas estrategias en la diagramación de cursos de acción a adoptar para la explotación integral de nuevas tecnologías.</w:t>
      </w:r>
    </w:p>
    <w:p>
      <w:pPr>
        <w:pStyle w:val="ListParagraph"/>
        <w:spacing w:after="0" w:line="240" w:lineRule="auto"/>
        <w:ind w:left="567"/>
        <w:jc w:val="both"/>
        <w:rPr>
          <w:rFonts w:ascii="Arial" w:hAnsi="Arial" w:cs="Arial"/>
          <w:b/>
          <w:sz w:val="24"/>
          <w:szCs w:val="24"/>
          <w:lang w:val="es-AR"/>
        </w:rPr>
      </w:pPr>
    </w:p>
    <w:p>
      <w:pPr>
        <w:pStyle w:val="ListParagraph"/>
        <w:numPr>
          <w:ilvl w:val="1"/>
          <w:numId w:val="12"/>
        </w:numPr>
        <w:spacing w:after="0" w:line="240" w:lineRule="auto"/>
        <w:ind w:left="567" w:hanging="567"/>
        <w:jc w:val="both"/>
        <w:rPr>
          <w:rFonts w:ascii="Arial" w:hAnsi="Arial" w:cs="Arial"/>
          <w:b/>
          <w:sz w:val="24"/>
          <w:szCs w:val="24"/>
          <w:lang w:val="es-AR"/>
        </w:rPr>
      </w:pPr>
      <w:r>
        <w:rPr>
          <w:rFonts w:ascii="Arial" w:hAnsi="Arial" w:cs="Arial"/>
          <w:sz w:val="24"/>
          <w:szCs w:val="24"/>
          <w:lang w:val="es-ES"/>
        </w:rPr>
        <w:t>Componente 3 “</w:t>
      </w:r>
      <w:r>
        <w:rPr>
          <w:rFonts w:ascii="Arial" w:hAnsi="Arial" w:cs="Arial"/>
          <w:bCs/>
          <w:sz w:val="24"/>
          <w:szCs w:val="24"/>
          <w:lang w:val="es-ES_tradnl"/>
        </w:rPr>
        <w:t>Mejora del servicio y de la atención al contribuyente y usuarios del comercio exterior</w:t>
      </w:r>
      <w:r>
        <w:rPr>
          <w:rFonts w:ascii="Arial" w:hAnsi="Arial" w:cs="Arial"/>
          <w:sz w:val="24"/>
          <w:szCs w:val="24"/>
          <w:lang w:val="es-ES"/>
        </w:rPr>
        <w:t>” (US$ 9,4 millones), tiene por objetivo mejorar los servicios de atención al contribuyente para todas las áreas de negocios. Está compuesto por tres subcomponentes: (i) “Mejora normativa, simplificación de procedimiento y cambio de enfoque en la atención”, tiene por objetivo disminuir los procesos, eliminar las redundancias, es decir, simplificar y racionalizar los procedimientos de las áreas que tiene contacto con el contribuyente; (ii) “Incorporación de nuevos medios y tecnologías y reorientación del rol de las sucursales/agencias que constituyen el despliegue territorial de la AFIP”, este busca el uso más eficiente de las nuevas tecnologías disponibles; (iii) “Nuevo modelo de gestión, planificación y organización”, busca atender los desarrollos que le competen a cada área y armonizarlos dentro de un esquema de planificación global en términos de atender la visión estratégica de la institución y apoyar, sobre todo, la integración con la nueva visión del contribuyente.</w:t>
      </w:r>
    </w:p>
    <w:p>
      <w:pPr>
        <w:pStyle w:val="ListParagraph"/>
        <w:spacing w:after="0" w:line="240" w:lineRule="auto"/>
        <w:ind w:left="567" w:hanging="567"/>
        <w:jc w:val="both"/>
        <w:rPr>
          <w:rFonts w:ascii="Arial" w:hAnsi="Arial" w:cs="Arial"/>
          <w:b/>
          <w:sz w:val="24"/>
          <w:szCs w:val="24"/>
          <w:lang w:val="es-AR"/>
        </w:rPr>
      </w:pPr>
    </w:p>
    <w:p>
      <w:pPr>
        <w:pStyle w:val="ListParagraph"/>
        <w:numPr>
          <w:ilvl w:val="1"/>
          <w:numId w:val="12"/>
        </w:numPr>
        <w:spacing w:after="0" w:line="240" w:lineRule="auto"/>
        <w:ind w:left="567" w:hanging="567"/>
        <w:jc w:val="both"/>
        <w:rPr>
          <w:rFonts w:ascii="Arial" w:hAnsi="Arial" w:cs="Arial"/>
          <w:b/>
          <w:sz w:val="24"/>
          <w:szCs w:val="24"/>
          <w:lang w:val="es-AR"/>
        </w:rPr>
      </w:pPr>
      <w:r>
        <w:rPr>
          <w:rFonts w:ascii="Arial" w:hAnsi="Arial" w:cs="Arial"/>
          <w:sz w:val="24"/>
          <w:szCs w:val="24"/>
          <w:lang w:val="es-ES"/>
        </w:rPr>
        <w:t xml:space="preserve">El Análisis Económico se centrará en el Impacto Esperado del Programa </w:t>
      </w:r>
      <w:r>
        <w:rPr>
          <w:rFonts w:ascii="Arial" w:hAnsi="Arial" w:cs="Arial"/>
          <w:i/>
          <w:sz w:val="24"/>
          <w:szCs w:val="24"/>
          <w:lang w:val="es-ES"/>
        </w:rPr>
        <w:t>“Contribuir a la reducción del déficit primario con un incremento en la recaudación realizada por AFIP</w:t>
      </w:r>
      <w:r>
        <w:rPr>
          <w:rFonts w:ascii="Arial" w:hAnsi="Arial" w:cs="Arial"/>
          <w:sz w:val="24"/>
          <w:szCs w:val="24"/>
          <w:lang w:val="es-ES"/>
        </w:rPr>
        <w:t>”</w:t>
      </w:r>
      <w:r>
        <w:rPr>
          <w:rStyle w:val="FootnoteReference"/>
          <w:rFonts w:ascii="Arial" w:hAnsi="Arial" w:cs="Arial"/>
          <w:sz w:val="24"/>
          <w:szCs w:val="24"/>
          <w:lang w:val="es-ES"/>
        </w:rPr>
        <w:footnoteReference w:id="3"/>
      </w:r>
      <w:r>
        <w:rPr>
          <w:rFonts w:ascii="Arial" w:hAnsi="Arial" w:cs="Arial"/>
          <w:sz w:val="24"/>
          <w:szCs w:val="24"/>
          <w:lang w:val="es-ES"/>
        </w:rPr>
        <w:t xml:space="preserve"> y en el Resultado </w:t>
      </w:r>
      <w:r>
        <w:rPr>
          <w:rFonts w:ascii="Arial" w:hAnsi="Arial" w:cs="Arial"/>
          <w:i/>
          <w:sz w:val="24"/>
          <w:szCs w:val="24"/>
          <w:lang w:val="es-ES"/>
        </w:rPr>
        <w:t>“Reducción de los controles asociados a operaciones aduaneras por canal rojo de selectividad”</w:t>
      </w:r>
      <w:r>
        <w:rPr>
          <w:rFonts w:ascii="Arial" w:hAnsi="Arial" w:cs="Arial"/>
          <w:sz w:val="24"/>
          <w:szCs w:val="24"/>
          <w:lang w:val="es-ES"/>
        </w:rPr>
        <w:t xml:space="preserve"> (Indicador de Resultado 3).</w:t>
      </w:r>
    </w:p>
    <w:p>
      <w:pPr>
        <w:pStyle w:val="ListParagraph"/>
        <w:ind w:left="567" w:hanging="567"/>
        <w:rPr>
          <w:rFonts w:ascii="Arial" w:eastAsia="Times New Roman" w:hAnsi="Arial" w:cs="Arial"/>
          <w:bCs/>
          <w:sz w:val="24"/>
          <w:szCs w:val="24"/>
          <w:lang w:val="es-AR"/>
        </w:rPr>
      </w:pPr>
    </w:p>
    <w:p>
      <w:pPr>
        <w:pStyle w:val="ListParagraph"/>
        <w:numPr>
          <w:ilvl w:val="1"/>
          <w:numId w:val="12"/>
        </w:numPr>
        <w:spacing w:after="0" w:line="240" w:lineRule="auto"/>
        <w:ind w:left="567" w:hanging="567"/>
        <w:jc w:val="both"/>
        <w:rPr>
          <w:rFonts w:ascii="Arial" w:eastAsia="Times New Roman" w:hAnsi="Arial" w:cs="Arial"/>
          <w:bCs/>
          <w:sz w:val="24"/>
          <w:szCs w:val="24"/>
          <w:lang w:val="es-AR"/>
        </w:rPr>
        <w:sectPr>
          <w:pgSz w:w="12240" w:h="15840" w:code="1"/>
          <w:pgMar w:top="1440" w:right="1800" w:bottom="1440" w:left="1800" w:header="720" w:footer="720" w:gutter="0"/>
          <w:cols w:space="720"/>
          <w:docGrid w:linePitch="360"/>
        </w:sectPr>
      </w:pPr>
      <w:r>
        <w:rPr>
          <w:rFonts w:ascii="Arial" w:eastAsia="Times New Roman" w:hAnsi="Arial" w:cs="Arial"/>
          <w:bCs/>
          <w:sz w:val="24"/>
          <w:szCs w:val="24"/>
          <w:lang w:val="es-AR"/>
        </w:rPr>
        <w:t>En la Tabla 1 se describen los indicadores de resultados y los beneficios asociados a dichos resultados a ser monetizados.</w:t>
      </w:r>
    </w:p>
    <w:p>
      <w:pPr>
        <w:spacing w:before="120" w:after="120" w:line="240" w:lineRule="auto"/>
        <w:jc w:val="center"/>
        <w:rPr>
          <w:rFonts w:ascii="Arial" w:hAnsi="Arial" w:cs="Arial"/>
          <w:b/>
          <w:sz w:val="20"/>
          <w:szCs w:val="20"/>
          <w:lang w:val="es-ES"/>
        </w:rPr>
      </w:pPr>
      <w:r>
        <w:rPr>
          <w:rFonts w:ascii="Arial" w:hAnsi="Arial" w:cs="Arial"/>
          <w:b/>
          <w:sz w:val="20"/>
          <w:szCs w:val="20"/>
          <w:lang w:val="es-ES"/>
        </w:rPr>
        <w:lastRenderedPageBreak/>
        <w:t>Tabla 1.  Resultados y Beneficios Esperados a considerar</w:t>
      </w:r>
    </w:p>
    <w:tbl>
      <w:tblPr>
        <w:tblW w:w="1296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90"/>
        <w:gridCol w:w="1260"/>
        <w:gridCol w:w="1260"/>
        <w:gridCol w:w="990"/>
        <w:gridCol w:w="866"/>
        <w:gridCol w:w="214"/>
        <w:gridCol w:w="630"/>
        <w:gridCol w:w="360"/>
        <w:gridCol w:w="454"/>
        <w:gridCol w:w="829"/>
        <w:gridCol w:w="1237"/>
        <w:gridCol w:w="2070"/>
      </w:tblGrid>
      <w:tr>
        <w:trPr>
          <w:trHeight w:val="20"/>
        </w:trPr>
        <w:tc>
          <w:tcPr>
            <w:tcW w:w="2790" w:type="dxa"/>
            <w:vMerge w:val="restart"/>
            <w:shd w:val="clear" w:color="auto" w:fill="D9D9D9" w:themeFill="background1" w:themeFillShade="D9"/>
            <w:vAlign w:val="center"/>
          </w:tcPr>
          <w:p>
            <w:pPr>
              <w:spacing w:after="0" w:line="240" w:lineRule="auto"/>
              <w:jc w:val="center"/>
              <w:rPr>
                <w:rFonts w:ascii="Arial" w:hAnsi="Arial" w:cs="Arial"/>
                <w:b/>
                <w:sz w:val="18"/>
                <w:szCs w:val="18"/>
                <w:lang w:val="es-ES"/>
              </w:rPr>
            </w:pPr>
            <w:r>
              <w:rPr>
                <w:rFonts w:ascii="Arial" w:hAnsi="Arial" w:cs="Arial"/>
                <w:b/>
                <w:sz w:val="18"/>
                <w:szCs w:val="18"/>
                <w:lang w:val="es-ES"/>
              </w:rPr>
              <w:t>Indicadores</w:t>
            </w:r>
          </w:p>
        </w:tc>
        <w:tc>
          <w:tcPr>
            <w:tcW w:w="1260" w:type="dxa"/>
            <w:vMerge w:val="restart"/>
            <w:shd w:val="clear" w:color="auto" w:fill="D9D9D9" w:themeFill="background1" w:themeFillShade="D9"/>
            <w:vAlign w:val="center"/>
          </w:tcPr>
          <w:p>
            <w:pPr>
              <w:spacing w:after="0" w:line="240" w:lineRule="auto"/>
              <w:jc w:val="center"/>
              <w:rPr>
                <w:rFonts w:ascii="Arial" w:hAnsi="Arial" w:cs="Arial"/>
                <w:b/>
                <w:sz w:val="18"/>
                <w:szCs w:val="18"/>
                <w:lang w:val="es-ES"/>
              </w:rPr>
            </w:pPr>
            <w:r>
              <w:rPr>
                <w:rFonts w:ascii="Arial" w:hAnsi="Arial" w:cs="Arial"/>
                <w:b/>
                <w:sz w:val="18"/>
                <w:szCs w:val="18"/>
                <w:lang w:val="es-ES"/>
              </w:rPr>
              <w:t xml:space="preserve">Unidad de medida </w:t>
            </w:r>
          </w:p>
        </w:tc>
        <w:tc>
          <w:tcPr>
            <w:tcW w:w="2250" w:type="dxa"/>
            <w:gridSpan w:val="2"/>
            <w:tcBorders>
              <w:bottom w:val="single" w:sz="4" w:space="0" w:color="000000"/>
            </w:tcBorders>
            <w:shd w:val="clear" w:color="auto" w:fill="D9D9D9" w:themeFill="background1" w:themeFillShade="D9"/>
            <w:vAlign w:val="center"/>
          </w:tcPr>
          <w:p>
            <w:pPr>
              <w:spacing w:after="0" w:line="240" w:lineRule="auto"/>
              <w:jc w:val="center"/>
              <w:rPr>
                <w:rFonts w:ascii="Arial" w:hAnsi="Arial" w:cs="Arial"/>
                <w:b/>
                <w:sz w:val="18"/>
                <w:szCs w:val="18"/>
                <w:lang w:val="es-ES"/>
              </w:rPr>
            </w:pPr>
            <w:r>
              <w:rPr>
                <w:rFonts w:ascii="Arial" w:hAnsi="Arial" w:cs="Arial"/>
                <w:b/>
                <w:sz w:val="18"/>
                <w:szCs w:val="18"/>
                <w:lang w:val="es-ES"/>
              </w:rPr>
              <w:t>Línea de base</w:t>
            </w:r>
          </w:p>
        </w:tc>
        <w:tc>
          <w:tcPr>
            <w:tcW w:w="2070" w:type="dxa"/>
            <w:gridSpan w:val="4"/>
            <w:tcBorders>
              <w:bottom w:val="single" w:sz="4" w:space="0" w:color="000000"/>
            </w:tcBorders>
            <w:shd w:val="clear" w:color="auto" w:fill="D9D9D9" w:themeFill="background1" w:themeFillShade="D9"/>
            <w:vAlign w:val="center"/>
          </w:tcPr>
          <w:p>
            <w:pPr>
              <w:spacing w:after="0" w:line="240" w:lineRule="auto"/>
              <w:jc w:val="center"/>
              <w:rPr>
                <w:rFonts w:ascii="Arial" w:hAnsi="Arial" w:cs="Arial"/>
                <w:b/>
                <w:sz w:val="18"/>
                <w:szCs w:val="18"/>
                <w:lang w:val="es-ES"/>
              </w:rPr>
            </w:pPr>
            <w:r>
              <w:rPr>
                <w:rFonts w:ascii="Arial" w:hAnsi="Arial" w:cs="Arial"/>
                <w:b/>
                <w:sz w:val="18"/>
                <w:szCs w:val="18"/>
                <w:lang w:val="es-ES"/>
              </w:rPr>
              <w:t>Metas</w:t>
            </w:r>
          </w:p>
        </w:tc>
        <w:tc>
          <w:tcPr>
            <w:tcW w:w="2520" w:type="dxa"/>
            <w:gridSpan w:val="3"/>
            <w:vMerge w:val="restart"/>
            <w:shd w:val="clear" w:color="auto" w:fill="D9D9D9" w:themeFill="background1" w:themeFillShade="D9"/>
            <w:vAlign w:val="center"/>
          </w:tcPr>
          <w:p>
            <w:pPr>
              <w:spacing w:after="0" w:line="240" w:lineRule="auto"/>
              <w:jc w:val="center"/>
              <w:rPr>
                <w:rFonts w:ascii="Arial" w:hAnsi="Arial" w:cs="Arial"/>
                <w:b/>
                <w:sz w:val="18"/>
                <w:szCs w:val="18"/>
                <w:lang w:val="es-ES"/>
              </w:rPr>
            </w:pPr>
            <w:r>
              <w:rPr>
                <w:rFonts w:ascii="Arial" w:hAnsi="Arial" w:cs="Arial"/>
                <w:b/>
                <w:sz w:val="18"/>
                <w:szCs w:val="18"/>
                <w:lang w:val="es-ES"/>
              </w:rPr>
              <w:t>Medio de verificación</w:t>
            </w:r>
          </w:p>
        </w:tc>
        <w:tc>
          <w:tcPr>
            <w:tcW w:w="2070" w:type="dxa"/>
            <w:vMerge w:val="restart"/>
            <w:shd w:val="clear" w:color="auto" w:fill="D9D9D9" w:themeFill="background1" w:themeFillShade="D9"/>
            <w:vAlign w:val="center"/>
          </w:tcPr>
          <w:p>
            <w:pPr>
              <w:spacing w:after="0" w:line="240" w:lineRule="auto"/>
              <w:jc w:val="center"/>
              <w:rPr>
                <w:rFonts w:ascii="Arial" w:hAnsi="Arial" w:cs="Arial"/>
                <w:b/>
                <w:sz w:val="18"/>
                <w:szCs w:val="18"/>
                <w:lang w:val="es-ES"/>
              </w:rPr>
            </w:pPr>
            <w:r>
              <w:rPr>
                <w:rFonts w:ascii="Arial" w:hAnsi="Arial" w:cs="Arial"/>
                <w:b/>
                <w:sz w:val="18"/>
                <w:szCs w:val="18"/>
                <w:lang w:val="es-ES"/>
              </w:rPr>
              <w:t>Observaciones</w:t>
            </w:r>
          </w:p>
        </w:tc>
      </w:tr>
      <w:tr>
        <w:trPr>
          <w:trHeight w:val="20"/>
        </w:trPr>
        <w:tc>
          <w:tcPr>
            <w:tcW w:w="2790" w:type="dxa"/>
            <w:vMerge/>
            <w:tcBorders>
              <w:bottom w:val="single" w:sz="4" w:space="0" w:color="000000"/>
            </w:tcBorders>
            <w:shd w:val="clear" w:color="auto" w:fill="FFFF99"/>
            <w:vAlign w:val="center"/>
          </w:tcPr>
          <w:p>
            <w:pPr>
              <w:spacing w:after="0" w:line="240" w:lineRule="auto"/>
              <w:jc w:val="center"/>
              <w:rPr>
                <w:rFonts w:ascii="Arial" w:hAnsi="Arial" w:cs="Arial"/>
                <w:b/>
                <w:sz w:val="18"/>
                <w:szCs w:val="18"/>
                <w:lang w:val="es-ES"/>
              </w:rPr>
            </w:pPr>
          </w:p>
        </w:tc>
        <w:tc>
          <w:tcPr>
            <w:tcW w:w="1260" w:type="dxa"/>
            <w:vMerge/>
            <w:tcBorders>
              <w:bottom w:val="single" w:sz="4" w:space="0" w:color="000000"/>
            </w:tcBorders>
            <w:shd w:val="clear" w:color="auto" w:fill="FFFF99"/>
            <w:vAlign w:val="center"/>
          </w:tcPr>
          <w:p>
            <w:pPr>
              <w:spacing w:after="0" w:line="240" w:lineRule="auto"/>
              <w:jc w:val="center"/>
              <w:rPr>
                <w:rFonts w:ascii="Arial" w:hAnsi="Arial" w:cs="Arial"/>
                <w:b/>
                <w:sz w:val="18"/>
                <w:szCs w:val="18"/>
                <w:lang w:val="es-ES"/>
              </w:rPr>
            </w:pPr>
          </w:p>
        </w:tc>
        <w:tc>
          <w:tcPr>
            <w:tcW w:w="1260" w:type="dxa"/>
            <w:tcBorders>
              <w:bottom w:val="single" w:sz="4" w:space="0" w:color="000000"/>
            </w:tcBorders>
            <w:shd w:val="clear" w:color="auto" w:fill="D9D9D9" w:themeFill="background1" w:themeFillShade="D9"/>
            <w:vAlign w:val="center"/>
          </w:tcPr>
          <w:p>
            <w:pPr>
              <w:spacing w:after="0" w:line="240" w:lineRule="auto"/>
              <w:jc w:val="center"/>
              <w:rPr>
                <w:rFonts w:ascii="Arial" w:hAnsi="Arial" w:cs="Arial"/>
                <w:b/>
                <w:sz w:val="18"/>
                <w:szCs w:val="18"/>
                <w:lang w:val="es-ES"/>
              </w:rPr>
            </w:pPr>
            <w:r>
              <w:rPr>
                <w:rFonts w:ascii="Arial" w:hAnsi="Arial" w:cs="Arial"/>
                <w:b/>
                <w:sz w:val="18"/>
                <w:szCs w:val="18"/>
                <w:lang w:val="es-ES"/>
              </w:rPr>
              <w:t>Valor</w:t>
            </w:r>
          </w:p>
        </w:tc>
        <w:tc>
          <w:tcPr>
            <w:tcW w:w="990" w:type="dxa"/>
            <w:tcBorders>
              <w:bottom w:val="single" w:sz="4" w:space="0" w:color="000000"/>
            </w:tcBorders>
            <w:shd w:val="clear" w:color="auto" w:fill="D9D9D9" w:themeFill="background1" w:themeFillShade="D9"/>
            <w:vAlign w:val="center"/>
          </w:tcPr>
          <w:p>
            <w:pPr>
              <w:spacing w:after="0" w:line="240" w:lineRule="auto"/>
              <w:jc w:val="center"/>
              <w:rPr>
                <w:rFonts w:ascii="Arial" w:hAnsi="Arial" w:cs="Arial"/>
                <w:b/>
                <w:sz w:val="18"/>
                <w:szCs w:val="18"/>
                <w:lang w:val="es-ES"/>
              </w:rPr>
            </w:pPr>
            <w:r>
              <w:rPr>
                <w:rFonts w:ascii="Arial" w:hAnsi="Arial" w:cs="Arial"/>
                <w:b/>
                <w:sz w:val="18"/>
                <w:szCs w:val="18"/>
                <w:lang w:val="es-ES"/>
              </w:rPr>
              <w:t>Año</w:t>
            </w:r>
          </w:p>
        </w:tc>
        <w:tc>
          <w:tcPr>
            <w:tcW w:w="1080" w:type="dxa"/>
            <w:gridSpan w:val="2"/>
            <w:tcBorders>
              <w:bottom w:val="single" w:sz="4" w:space="0" w:color="000000"/>
            </w:tcBorders>
            <w:shd w:val="clear" w:color="auto" w:fill="D9D9D9" w:themeFill="background1" w:themeFillShade="D9"/>
            <w:vAlign w:val="center"/>
          </w:tcPr>
          <w:p>
            <w:pPr>
              <w:spacing w:after="0" w:line="240" w:lineRule="auto"/>
              <w:jc w:val="center"/>
              <w:rPr>
                <w:rFonts w:ascii="Arial" w:hAnsi="Arial" w:cs="Arial"/>
                <w:b/>
                <w:sz w:val="18"/>
                <w:szCs w:val="18"/>
                <w:lang w:val="es-ES"/>
              </w:rPr>
            </w:pPr>
            <w:r>
              <w:rPr>
                <w:rFonts w:ascii="Arial" w:hAnsi="Arial" w:cs="Arial"/>
                <w:b/>
                <w:sz w:val="18"/>
                <w:szCs w:val="18"/>
                <w:lang w:val="es-ES"/>
              </w:rPr>
              <w:t>Valor</w:t>
            </w:r>
          </w:p>
        </w:tc>
        <w:tc>
          <w:tcPr>
            <w:tcW w:w="990" w:type="dxa"/>
            <w:gridSpan w:val="2"/>
            <w:tcBorders>
              <w:bottom w:val="single" w:sz="4" w:space="0" w:color="000000"/>
            </w:tcBorders>
            <w:shd w:val="clear" w:color="auto" w:fill="D9D9D9" w:themeFill="background1" w:themeFillShade="D9"/>
            <w:vAlign w:val="center"/>
          </w:tcPr>
          <w:p>
            <w:pPr>
              <w:spacing w:after="0" w:line="240" w:lineRule="auto"/>
              <w:jc w:val="center"/>
              <w:rPr>
                <w:rFonts w:ascii="Arial" w:hAnsi="Arial" w:cs="Arial"/>
                <w:b/>
                <w:sz w:val="18"/>
                <w:szCs w:val="18"/>
                <w:lang w:val="es-ES"/>
              </w:rPr>
            </w:pPr>
            <w:r>
              <w:rPr>
                <w:rFonts w:ascii="Arial" w:hAnsi="Arial" w:cs="Arial"/>
                <w:b/>
                <w:sz w:val="18"/>
                <w:szCs w:val="18"/>
                <w:lang w:val="es-ES"/>
              </w:rPr>
              <w:t>Año</w:t>
            </w:r>
          </w:p>
        </w:tc>
        <w:tc>
          <w:tcPr>
            <w:tcW w:w="2520" w:type="dxa"/>
            <w:gridSpan w:val="3"/>
            <w:vMerge/>
            <w:tcBorders>
              <w:bottom w:val="single" w:sz="4" w:space="0" w:color="000000"/>
            </w:tcBorders>
            <w:shd w:val="clear" w:color="auto" w:fill="FFFF99"/>
            <w:vAlign w:val="center"/>
          </w:tcPr>
          <w:p>
            <w:pPr>
              <w:spacing w:after="0" w:line="240" w:lineRule="auto"/>
              <w:jc w:val="center"/>
              <w:rPr>
                <w:rFonts w:ascii="Arial" w:hAnsi="Arial" w:cs="Arial"/>
                <w:b/>
                <w:sz w:val="18"/>
                <w:szCs w:val="18"/>
                <w:lang w:val="es-ES"/>
              </w:rPr>
            </w:pPr>
          </w:p>
        </w:tc>
        <w:tc>
          <w:tcPr>
            <w:tcW w:w="2070" w:type="dxa"/>
            <w:vMerge/>
            <w:tcBorders>
              <w:bottom w:val="single" w:sz="4" w:space="0" w:color="000000"/>
            </w:tcBorders>
            <w:shd w:val="clear" w:color="auto" w:fill="FFFF99"/>
            <w:vAlign w:val="center"/>
          </w:tcPr>
          <w:p>
            <w:pPr>
              <w:spacing w:after="0" w:line="240" w:lineRule="auto"/>
              <w:jc w:val="center"/>
              <w:rPr>
                <w:rFonts w:ascii="Arial" w:hAnsi="Arial" w:cs="Arial"/>
                <w:b/>
                <w:sz w:val="18"/>
                <w:szCs w:val="18"/>
                <w:lang w:val="es-ES"/>
              </w:rPr>
            </w:pPr>
          </w:p>
        </w:tc>
      </w:tr>
      <w:tr>
        <w:trPr>
          <w:trHeight w:val="341"/>
        </w:trPr>
        <w:tc>
          <w:tcPr>
            <w:tcW w:w="12960" w:type="dxa"/>
            <w:gridSpan w:val="12"/>
            <w:shd w:val="clear" w:color="auto" w:fill="auto"/>
            <w:vAlign w:val="center"/>
          </w:tcPr>
          <w:p>
            <w:pPr>
              <w:spacing w:after="0" w:line="240" w:lineRule="auto"/>
              <w:ind w:left="-42"/>
              <w:rPr>
                <w:rFonts w:ascii="Arial" w:hAnsi="Arial" w:cs="Arial"/>
                <w:b/>
                <w:caps/>
                <w:sz w:val="18"/>
                <w:szCs w:val="18"/>
                <w:u w:val="single"/>
                <w:lang w:val="es-ES"/>
              </w:rPr>
            </w:pPr>
            <w:r>
              <w:rPr>
                <w:rFonts w:ascii="Arial" w:hAnsi="Arial" w:cs="Arial"/>
                <w:b/>
                <w:caps/>
                <w:sz w:val="18"/>
                <w:szCs w:val="18"/>
                <w:u w:val="single"/>
                <w:lang w:val="es-ES"/>
              </w:rPr>
              <w:t>Impacto esperado</w:t>
            </w:r>
          </w:p>
        </w:tc>
      </w:tr>
      <w:tr>
        <w:trPr>
          <w:trHeight w:val="60"/>
        </w:trPr>
        <w:tc>
          <w:tcPr>
            <w:tcW w:w="2790" w:type="dxa"/>
            <w:vAlign w:val="center"/>
          </w:tcPr>
          <w:p>
            <w:pPr>
              <w:pStyle w:val="ListParagraph"/>
              <w:spacing w:after="0" w:line="240" w:lineRule="auto"/>
              <w:ind w:left="-42"/>
              <w:rPr>
                <w:rFonts w:ascii="Arial" w:hAnsi="Arial" w:cs="Arial"/>
                <w:sz w:val="18"/>
                <w:szCs w:val="18"/>
                <w:lang w:val="es-ES"/>
              </w:rPr>
            </w:pPr>
            <w:r>
              <w:rPr>
                <w:rFonts w:ascii="Arial" w:hAnsi="Arial" w:cs="Arial"/>
                <w:sz w:val="18"/>
                <w:szCs w:val="18"/>
                <w:lang w:val="es-ES_tradnl"/>
              </w:rPr>
              <w:t>Recaudación tributaria y no tributaria/ PIB rnacional</w:t>
            </w:r>
          </w:p>
        </w:tc>
        <w:tc>
          <w:tcPr>
            <w:tcW w:w="1260" w:type="dxa"/>
            <w:vAlign w:val="center"/>
          </w:tcPr>
          <w:p>
            <w:pPr>
              <w:spacing w:after="0" w:line="240" w:lineRule="auto"/>
              <w:ind w:left="-42"/>
              <w:jc w:val="center"/>
              <w:rPr>
                <w:rFonts w:ascii="Arial" w:hAnsi="Arial" w:cs="Arial"/>
                <w:sz w:val="18"/>
                <w:szCs w:val="18"/>
                <w:lang w:val="es-ES"/>
              </w:rPr>
            </w:pPr>
            <w:r>
              <w:rPr>
                <w:rFonts w:ascii="Arial" w:hAnsi="Arial" w:cs="Arial"/>
                <w:sz w:val="18"/>
                <w:szCs w:val="18"/>
                <w:lang w:val="es-ES"/>
              </w:rPr>
              <w:t>%</w:t>
            </w:r>
          </w:p>
        </w:tc>
        <w:tc>
          <w:tcPr>
            <w:tcW w:w="1260" w:type="dxa"/>
            <w:vAlign w:val="center"/>
          </w:tcPr>
          <w:p>
            <w:pPr>
              <w:spacing w:after="0" w:line="240" w:lineRule="auto"/>
              <w:ind w:left="-42"/>
              <w:jc w:val="center"/>
              <w:rPr>
                <w:rFonts w:ascii="Arial" w:hAnsi="Arial" w:cs="Arial"/>
                <w:sz w:val="18"/>
                <w:szCs w:val="18"/>
                <w:lang w:val="es-ES"/>
              </w:rPr>
            </w:pPr>
            <w:r>
              <w:rPr>
                <w:rFonts w:ascii="Arial" w:hAnsi="Arial" w:cs="Arial"/>
                <w:sz w:val="18"/>
                <w:szCs w:val="18"/>
                <w:lang w:val="es-ES"/>
              </w:rPr>
              <w:t>25,22%</w:t>
            </w:r>
          </w:p>
        </w:tc>
        <w:tc>
          <w:tcPr>
            <w:tcW w:w="990" w:type="dxa"/>
            <w:vAlign w:val="center"/>
          </w:tcPr>
          <w:p>
            <w:pPr>
              <w:spacing w:after="0" w:line="240" w:lineRule="auto"/>
              <w:ind w:left="-42"/>
              <w:jc w:val="center"/>
              <w:rPr>
                <w:rFonts w:ascii="Arial" w:hAnsi="Arial" w:cs="Arial"/>
                <w:sz w:val="18"/>
                <w:szCs w:val="18"/>
                <w:lang w:val="es-ES"/>
              </w:rPr>
            </w:pPr>
            <w:r>
              <w:rPr>
                <w:rFonts w:ascii="Arial" w:hAnsi="Arial" w:cs="Arial"/>
                <w:sz w:val="18"/>
                <w:szCs w:val="18"/>
                <w:lang w:val="es-ES"/>
              </w:rPr>
              <w:t>2017</w:t>
            </w:r>
          </w:p>
        </w:tc>
        <w:tc>
          <w:tcPr>
            <w:tcW w:w="1080" w:type="dxa"/>
            <w:gridSpan w:val="2"/>
            <w:vAlign w:val="center"/>
          </w:tcPr>
          <w:p>
            <w:pPr>
              <w:spacing w:after="0" w:line="240" w:lineRule="auto"/>
              <w:ind w:left="-42"/>
              <w:jc w:val="center"/>
              <w:rPr>
                <w:rFonts w:ascii="Arial" w:eastAsia="Arial Unicode MS" w:hAnsi="Arial" w:cs="Arial"/>
                <w:bCs/>
                <w:sz w:val="18"/>
                <w:szCs w:val="18"/>
              </w:rPr>
            </w:pPr>
            <w:r>
              <w:rPr>
                <w:rFonts w:ascii="Arial" w:eastAsia="Arial Unicode MS" w:hAnsi="Arial" w:cs="Arial"/>
                <w:bCs/>
                <w:sz w:val="18"/>
                <w:szCs w:val="18"/>
              </w:rPr>
              <w:t>25,26%</w:t>
            </w:r>
          </w:p>
        </w:tc>
        <w:tc>
          <w:tcPr>
            <w:tcW w:w="990" w:type="dxa"/>
            <w:gridSpan w:val="2"/>
            <w:vAlign w:val="center"/>
          </w:tcPr>
          <w:p>
            <w:pPr>
              <w:spacing w:after="0" w:line="240" w:lineRule="auto"/>
              <w:ind w:left="-42"/>
              <w:jc w:val="center"/>
              <w:rPr>
                <w:rFonts w:ascii="Arial" w:hAnsi="Arial" w:cs="Arial"/>
                <w:sz w:val="18"/>
                <w:szCs w:val="18"/>
                <w:lang w:val="es-ES"/>
              </w:rPr>
            </w:pPr>
            <w:r>
              <w:rPr>
                <w:rFonts w:ascii="Arial" w:hAnsi="Arial" w:cs="Arial"/>
                <w:sz w:val="18"/>
                <w:szCs w:val="18"/>
                <w:lang w:val="es-ES"/>
              </w:rPr>
              <w:t>2022</w:t>
            </w:r>
          </w:p>
        </w:tc>
        <w:tc>
          <w:tcPr>
            <w:tcW w:w="2520" w:type="dxa"/>
            <w:gridSpan w:val="3"/>
            <w:vAlign w:val="center"/>
          </w:tcPr>
          <w:p>
            <w:pPr>
              <w:spacing w:before="60" w:after="60" w:line="240" w:lineRule="auto"/>
              <w:ind w:left="-42"/>
              <w:jc w:val="center"/>
              <w:rPr>
                <w:rFonts w:ascii="Arial" w:hAnsi="Arial" w:cs="Arial"/>
                <w:sz w:val="18"/>
                <w:szCs w:val="18"/>
                <w:lang w:val="es-ES"/>
              </w:rPr>
            </w:pPr>
            <w:r>
              <w:rPr>
                <w:rFonts w:ascii="Arial" w:hAnsi="Arial" w:cs="Arial"/>
                <w:sz w:val="18"/>
                <w:szCs w:val="18"/>
                <w:lang w:val="es-ES"/>
              </w:rPr>
              <w:t xml:space="preserve">Estadísticas de recaudación de AFIP publicado en página </w:t>
            </w:r>
            <w:r>
              <w:rPr>
                <w:rFonts w:ascii="Arial" w:hAnsi="Arial" w:cs="Arial"/>
                <w:i/>
                <w:sz w:val="18"/>
                <w:szCs w:val="18"/>
                <w:lang w:val="es-ES"/>
              </w:rPr>
              <w:t>web</w:t>
            </w:r>
          </w:p>
        </w:tc>
        <w:tc>
          <w:tcPr>
            <w:tcW w:w="2070" w:type="dxa"/>
            <w:vAlign w:val="center"/>
          </w:tcPr>
          <w:p>
            <w:pPr>
              <w:spacing w:before="120" w:after="120" w:line="240" w:lineRule="auto"/>
              <w:ind w:left="-42"/>
              <w:rPr>
                <w:rFonts w:ascii="Arial" w:hAnsi="Arial" w:cs="Arial"/>
                <w:sz w:val="18"/>
                <w:szCs w:val="18"/>
                <w:lang w:val="es-ES"/>
              </w:rPr>
            </w:pPr>
            <w:r>
              <w:rPr>
                <w:rFonts w:ascii="Arial" w:hAnsi="Arial" w:cs="Arial"/>
                <w:sz w:val="18"/>
                <w:szCs w:val="18"/>
                <w:lang w:val="es-ES"/>
              </w:rPr>
              <w:t>Las principales contribuciones incluidas, son Impuesto a las Ganancias, Impuesto sobre los Débitos y Créditos en Cuenta Corriente, IVA, Contribuciones de la Seguridad Social y contribuciones aduaneras. La evaluación discriminará cuál es el crecimiento del producto atribuible al programa controlando por cambios en la política tributaria</w:t>
            </w:r>
          </w:p>
        </w:tc>
      </w:tr>
      <w:tr>
        <w:trPr>
          <w:trHeight w:val="20"/>
          <w:tblHeader/>
        </w:trPr>
        <w:tc>
          <w:tcPr>
            <w:tcW w:w="2790" w:type="dxa"/>
            <w:vMerge w:val="restart"/>
            <w:shd w:val="clear" w:color="auto" w:fill="D9D9D9" w:themeFill="background1" w:themeFillShade="D9"/>
            <w:vAlign w:val="center"/>
          </w:tcPr>
          <w:p>
            <w:pPr>
              <w:spacing w:before="20" w:after="0" w:line="240" w:lineRule="auto"/>
              <w:jc w:val="center"/>
              <w:rPr>
                <w:rFonts w:ascii="Arial" w:hAnsi="Arial" w:cs="Arial"/>
                <w:b/>
                <w:sz w:val="18"/>
                <w:szCs w:val="20"/>
                <w:lang w:val="es-ES"/>
              </w:rPr>
            </w:pPr>
            <w:r>
              <w:rPr>
                <w:rFonts w:ascii="Arial" w:hAnsi="Arial" w:cs="Arial"/>
                <w:b/>
                <w:sz w:val="18"/>
                <w:szCs w:val="20"/>
                <w:lang w:val="es-ES"/>
              </w:rPr>
              <w:t>Resultados Esperados</w:t>
            </w:r>
          </w:p>
        </w:tc>
        <w:tc>
          <w:tcPr>
            <w:tcW w:w="1260" w:type="dxa"/>
            <w:vMerge w:val="restart"/>
            <w:shd w:val="clear" w:color="auto" w:fill="D9D9D9" w:themeFill="background1" w:themeFillShade="D9"/>
            <w:vAlign w:val="center"/>
          </w:tcPr>
          <w:p>
            <w:pPr>
              <w:spacing w:before="20" w:after="0" w:line="240" w:lineRule="auto"/>
              <w:ind w:left="-132" w:right="-102"/>
              <w:jc w:val="center"/>
              <w:rPr>
                <w:rFonts w:ascii="Arial" w:hAnsi="Arial" w:cs="Arial"/>
                <w:b/>
                <w:sz w:val="18"/>
                <w:szCs w:val="20"/>
                <w:lang w:val="es-ES"/>
              </w:rPr>
            </w:pPr>
            <w:r>
              <w:rPr>
                <w:rFonts w:ascii="Arial" w:hAnsi="Arial" w:cs="Arial"/>
                <w:b/>
                <w:sz w:val="18"/>
                <w:szCs w:val="20"/>
                <w:lang w:val="es-ES"/>
              </w:rPr>
              <w:t>Unidad de medida</w:t>
            </w:r>
          </w:p>
        </w:tc>
        <w:tc>
          <w:tcPr>
            <w:tcW w:w="2250" w:type="dxa"/>
            <w:gridSpan w:val="2"/>
            <w:tcBorders>
              <w:bottom w:val="single" w:sz="4" w:space="0" w:color="000000"/>
            </w:tcBorders>
            <w:shd w:val="clear" w:color="auto" w:fill="D9D9D9" w:themeFill="background1" w:themeFillShade="D9"/>
            <w:vAlign w:val="center"/>
          </w:tcPr>
          <w:p>
            <w:pPr>
              <w:spacing w:before="20" w:after="0" w:line="240" w:lineRule="auto"/>
              <w:jc w:val="center"/>
              <w:rPr>
                <w:rFonts w:ascii="Arial" w:hAnsi="Arial" w:cs="Arial"/>
                <w:b/>
                <w:sz w:val="18"/>
                <w:szCs w:val="20"/>
                <w:lang w:val="es-ES"/>
              </w:rPr>
            </w:pPr>
            <w:r>
              <w:rPr>
                <w:rFonts w:ascii="Arial" w:hAnsi="Arial" w:cs="Arial"/>
                <w:b/>
                <w:sz w:val="18"/>
                <w:szCs w:val="20"/>
                <w:lang w:val="es-ES"/>
              </w:rPr>
              <w:t>Línea de base</w:t>
            </w:r>
          </w:p>
        </w:tc>
        <w:tc>
          <w:tcPr>
            <w:tcW w:w="1710" w:type="dxa"/>
            <w:gridSpan w:val="3"/>
            <w:tcBorders>
              <w:bottom w:val="single" w:sz="4" w:space="0" w:color="000000"/>
            </w:tcBorders>
            <w:shd w:val="clear" w:color="auto" w:fill="D9D9D9" w:themeFill="background1" w:themeFillShade="D9"/>
            <w:vAlign w:val="center"/>
          </w:tcPr>
          <w:p>
            <w:pPr>
              <w:spacing w:before="20" w:after="0" w:line="240" w:lineRule="auto"/>
              <w:jc w:val="center"/>
              <w:rPr>
                <w:rFonts w:ascii="Arial" w:hAnsi="Arial" w:cs="Arial"/>
                <w:b/>
                <w:sz w:val="18"/>
                <w:szCs w:val="20"/>
                <w:lang w:val="es-ES"/>
              </w:rPr>
            </w:pPr>
            <w:r>
              <w:rPr>
                <w:rFonts w:ascii="Arial" w:hAnsi="Arial" w:cs="Arial"/>
                <w:b/>
                <w:sz w:val="18"/>
                <w:szCs w:val="20"/>
                <w:lang w:val="es-ES"/>
              </w:rPr>
              <w:t>Intermedios</w:t>
            </w:r>
          </w:p>
        </w:tc>
        <w:tc>
          <w:tcPr>
            <w:tcW w:w="1643" w:type="dxa"/>
            <w:gridSpan w:val="3"/>
            <w:tcBorders>
              <w:bottom w:val="single" w:sz="4" w:space="0" w:color="000000"/>
            </w:tcBorders>
            <w:shd w:val="clear" w:color="auto" w:fill="D9D9D9" w:themeFill="background1" w:themeFillShade="D9"/>
            <w:vAlign w:val="center"/>
          </w:tcPr>
          <w:p>
            <w:pPr>
              <w:spacing w:before="20" w:after="0" w:line="240" w:lineRule="auto"/>
              <w:jc w:val="center"/>
              <w:rPr>
                <w:rFonts w:ascii="Arial" w:hAnsi="Arial" w:cs="Arial"/>
                <w:b/>
                <w:sz w:val="18"/>
                <w:szCs w:val="20"/>
                <w:lang w:val="es-ES"/>
              </w:rPr>
            </w:pPr>
            <w:r>
              <w:rPr>
                <w:rFonts w:ascii="Arial" w:hAnsi="Arial" w:cs="Arial"/>
                <w:b/>
                <w:sz w:val="18"/>
                <w:szCs w:val="20"/>
                <w:lang w:val="es-ES"/>
              </w:rPr>
              <w:t>Metas</w:t>
            </w:r>
          </w:p>
        </w:tc>
        <w:tc>
          <w:tcPr>
            <w:tcW w:w="1237" w:type="dxa"/>
            <w:vMerge w:val="restart"/>
            <w:shd w:val="clear" w:color="auto" w:fill="D9D9D9" w:themeFill="background1" w:themeFillShade="D9"/>
            <w:vAlign w:val="center"/>
          </w:tcPr>
          <w:p>
            <w:pPr>
              <w:spacing w:before="20" w:after="0" w:line="240" w:lineRule="auto"/>
              <w:jc w:val="center"/>
              <w:rPr>
                <w:rFonts w:ascii="Arial" w:hAnsi="Arial" w:cs="Arial"/>
                <w:b/>
                <w:sz w:val="18"/>
                <w:szCs w:val="20"/>
                <w:lang w:val="es-ES"/>
              </w:rPr>
            </w:pPr>
            <w:r>
              <w:rPr>
                <w:rFonts w:ascii="Arial" w:hAnsi="Arial" w:cs="Arial"/>
                <w:b/>
                <w:sz w:val="18"/>
                <w:szCs w:val="20"/>
                <w:lang w:val="es-ES"/>
              </w:rPr>
              <w:t>Medio de verificación</w:t>
            </w:r>
          </w:p>
        </w:tc>
        <w:tc>
          <w:tcPr>
            <w:tcW w:w="2070" w:type="dxa"/>
            <w:vMerge w:val="restart"/>
            <w:shd w:val="clear" w:color="auto" w:fill="D9D9D9" w:themeFill="background1" w:themeFillShade="D9"/>
            <w:vAlign w:val="center"/>
          </w:tcPr>
          <w:p>
            <w:pPr>
              <w:spacing w:before="20" w:after="0" w:line="240" w:lineRule="auto"/>
              <w:jc w:val="center"/>
              <w:rPr>
                <w:rFonts w:ascii="Arial" w:hAnsi="Arial" w:cs="Arial"/>
                <w:b/>
                <w:sz w:val="18"/>
                <w:szCs w:val="20"/>
                <w:lang w:val="es-ES"/>
              </w:rPr>
            </w:pPr>
            <w:r>
              <w:rPr>
                <w:rFonts w:ascii="Arial" w:hAnsi="Arial" w:cs="Arial"/>
                <w:b/>
                <w:sz w:val="18"/>
                <w:szCs w:val="20"/>
                <w:lang w:val="es-ES"/>
              </w:rPr>
              <w:t>Observaciones</w:t>
            </w:r>
          </w:p>
        </w:tc>
      </w:tr>
      <w:tr>
        <w:trPr>
          <w:trHeight w:val="20"/>
          <w:tblHeader/>
        </w:trPr>
        <w:tc>
          <w:tcPr>
            <w:tcW w:w="2790" w:type="dxa"/>
            <w:vMerge/>
            <w:tcBorders>
              <w:bottom w:val="single" w:sz="4" w:space="0" w:color="000000"/>
            </w:tcBorders>
            <w:shd w:val="clear" w:color="auto" w:fill="FFFF99"/>
            <w:vAlign w:val="center"/>
          </w:tcPr>
          <w:p>
            <w:pPr>
              <w:spacing w:before="20" w:after="0" w:line="240" w:lineRule="auto"/>
              <w:jc w:val="center"/>
              <w:rPr>
                <w:rFonts w:ascii="Arial" w:hAnsi="Arial" w:cs="Arial"/>
                <w:b/>
                <w:sz w:val="18"/>
                <w:szCs w:val="20"/>
                <w:lang w:val="es-ES"/>
              </w:rPr>
            </w:pPr>
          </w:p>
        </w:tc>
        <w:tc>
          <w:tcPr>
            <w:tcW w:w="1260" w:type="dxa"/>
            <w:vMerge/>
            <w:tcBorders>
              <w:bottom w:val="single" w:sz="4" w:space="0" w:color="000000"/>
            </w:tcBorders>
            <w:shd w:val="clear" w:color="auto" w:fill="FFFF99"/>
            <w:vAlign w:val="center"/>
          </w:tcPr>
          <w:p>
            <w:pPr>
              <w:spacing w:before="20" w:after="0" w:line="240" w:lineRule="auto"/>
              <w:ind w:left="-132" w:right="-102"/>
              <w:jc w:val="center"/>
              <w:rPr>
                <w:rFonts w:ascii="Arial" w:hAnsi="Arial" w:cs="Arial"/>
                <w:b/>
                <w:sz w:val="18"/>
                <w:szCs w:val="20"/>
                <w:lang w:val="es-ES"/>
              </w:rPr>
            </w:pPr>
          </w:p>
        </w:tc>
        <w:tc>
          <w:tcPr>
            <w:tcW w:w="1260" w:type="dxa"/>
            <w:tcBorders>
              <w:bottom w:val="single" w:sz="4" w:space="0" w:color="000000"/>
            </w:tcBorders>
            <w:shd w:val="clear" w:color="auto" w:fill="D9D9D9" w:themeFill="background1" w:themeFillShade="D9"/>
            <w:vAlign w:val="center"/>
          </w:tcPr>
          <w:p>
            <w:pPr>
              <w:spacing w:before="20" w:after="0" w:line="240" w:lineRule="auto"/>
              <w:jc w:val="center"/>
              <w:rPr>
                <w:rFonts w:ascii="Arial" w:hAnsi="Arial" w:cs="Arial"/>
                <w:b/>
                <w:sz w:val="18"/>
                <w:szCs w:val="20"/>
                <w:lang w:val="es-ES"/>
              </w:rPr>
            </w:pPr>
            <w:r>
              <w:rPr>
                <w:rFonts w:ascii="Arial" w:hAnsi="Arial" w:cs="Arial"/>
                <w:b/>
                <w:sz w:val="18"/>
                <w:szCs w:val="20"/>
                <w:lang w:val="es-ES"/>
              </w:rPr>
              <w:t>Valor</w:t>
            </w:r>
          </w:p>
        </w:tc>
        <w:tc>
          <w:tcPr>
            <w:tcW w:w="990" w:type="dxa"/>
            <w:tcBorders>
              <w:bottom w:val="single" w:sz="4" w:space="0" w:color="000000"/>
            </w:tcBorders>
            <w:shd w:val="clear" w:color="auto" w:fill="D9D9D9" w:themeFill="background1" w:themeFillShade="D9"/>
            <w:vAlign w:val="center"/>
          </w:tcPr>
          <w:p>
            <w:pPr>
              <w:spacing w:before="20" w:after="0" w:line="240" w:lineRule="auto"/>
              <w:jc w:val="center"/>
              <w:rPr>
                <w:rFonts w:ascii="Arial" w:hAnsi="Arial" w:cs="Arial"/>
                <w:b/>
                <w:sz w:val="18"/>
                <w:szCs w:val="20"/>
                <w:lang w:val="es-ES"/>
              </w:rPr>
            </w:pPr>
            <w:r>
              <w:rPr>
                <w:rFonts w:ascii="Arial" w:hAnsi="Arial" w:cs="Arial"/>
                <w:b/>
                <w:sz w:val="18"/>
                <w:szCs w:val="20"/>
                <w:lang w:val="es-ES"/>
              </w:rPr>
              <w:t>Año</w:t>
            </w:r>
          </w:p>
        </w:tc>
        <w:tc>
          <w:tcPr>
            <w:tcW w:w="866" w:type="dxa"/>
            <w:tcBorders>
              <w:bottom w:val="single" w:sz="4" w:space="0" w:color="000000"/>
            </w:tcBorders>
            <w:shd w:val="clear" w:color="auto" w:fill="D9D9D9" w:themeFill="background1" w:themeFillShade="D9"/>
            <w:vAlign w:val="center"/>
          </w:tcPr>
          <w:p>
            <w:pPr>
              <w:spacing w:before="20" w:after="0" w:line="240" w:lineRule="auto"/>
              <w:jc w:val="center"/>
              <w:rPr>
                <w:rFonts w:ascii="Arial" w:hAnsi="Arial" w:cs="Arial"/>
                <w:b/>
                <w:sz w:val="18"/>
                <w:szCs w:val="20"/>
                <w:lang w:val="es-ES"/>
              </w:rPr>
            </w:pPr>
            <w:r>
              <w:rPr>
                <w:rFonts w:ascii="Arial" w:hAnsi="Arial" w:cs="Arial"/>
                <w:b/>
                <w:sz w:val="18"/>
                <w:szCs w:val="20"/>
                <w:lang w:val="es-ES"/>
              </w:rPr>
              <w:t>Valor</w:t>
            </w:r>
          </w:p>
        </w:tc>
        <w:tc>
          <w:tcPr>
            <w:tcW w:w="844" w:type="dxa"/>
            <w:gridSpan w:val="2"/>
            <w:tcBorders>
              <w:bottom w:val="single" w:sz="4" w:space="0" w:color="000000"/>
            </w:tcBorders>
            <w:shd w:val="clear" w:color="auto" w:fill="D9D9D9" w:themeFill="background1" w:themeFillShade="D9"/>
            <w:vAlign w:val="center"/>
          </w:tcPr>
          <w:p>
            <w:pPr>
              <w:spacing w:before="20" w:after="0" w:line="240" w:lineRule="auto"/>
              <w:jc w:val="center"/>
              <w:rPr>
                <w:rFonts w:ascii="Arial" w:hAnsi="Arial" w:cs="Arial"/>
                <w:b/>
                <w:sz w:val="18"/>
                <w:szCs w:val="20"/>
                <w:lang w:val="es-ES"/>
              </w:rPr>
            </w:pPr>
            <w:r>
              <w:rPr>
                <w:rFonts w:ascii="Arial" w:hAnsi="Arial" w:cs="Arial"/>
                <w:b/>
                <w:sz w:val="18"/>
                <w:szCs w:val="20"/>
                <w:lang w:val="es-ES"/>
              </w:rPr>
              <w:t>Año</w:t>
            </w:r>
          </w:p>
        </w:tc>
        <w:tc>
          <w:tcPr>
            <w:tcW w:w="814" w:type="dxa"/>
            <w:gridSpan w:val="2"/>
            <w:tcBorders>
              <w:bottom w:val="single" w:sz="4" w:space="0" w:color="000000"/>
            </w:tcBorders>
            <w:shd w:val="clear" w:color="auto" w:fill="D9D9D9" w:themeFill="background1" w:themeFillShade="D9"/>
            <w:vAlign w:val="center"/>
          </w:tcPr>
          <w:p>
            <w:pPr>
              <w:spacing w:before="20" w:after="0" w:line="240" w:lineRule="auto"/>
              <w:jc w:val="center"/>
              <w:rPr>
                <w:rFonts w:ascii="Arial" w:hAnsi="Arial" w:cs="Arial"/>
                <w:b/>
                <w:sz w:val="18"/>
                <w:szCs w:val="20"/>
                <w:lang w:val="es-ES"/>
              </w:rPr>
            </w:pPr>
            <w:r>
              <w:rPr>
                <w:rFonts w:ascii="Arial" w:hAnsi="Arial" w:cs="Arial"/>
                <w:b/>
                <w:sz w:val="18"/>
                <w:szCs w:val="20"/>
                <w:lang w:val="es-ES"/>
              </w:rPr>
              <w:t>Valor</w:t>
            </w:r>
          </w:p>
        </w:tc>
        <w:tc>
          <w:tcPr>
            <w:tcW w:w="829" w:type="dxa"/>
            <w:tcBorders>
              <w:bottom w:val="single" w:sz="4" w:space="0" w:color="000000"/>
            </w:tcBorders>
            <w:shd w:val="clear" w:color="auto" w:fill="D9D9D9" w:themeFill="background1" w:themeFillShade="D9"/>
            <w:vAlign w:val="center"/>
          </w:tcPr>
          <w:p>
            <w:pPr>
              <w:spacing w:before="20" w:after="0" w:line="240" w:lineRule="auto"/>
              <w:jc w:val="center"/>
              <w:rPr>
                <w:rFonts w:ascii="Arial" w:hAnsi="Arial" w:cs="Arial"/>
                <w:b/>
                <w:sz w:val="18"/>
                <w:szCs w:val="20"/>
                <w:lang w:val="es-ES"/>
              </w:rPr>
            </w:pPr>
            <w:r>
              <w:rPr>
                <w:rFonts w:ascii="Arial" w:hAnsi="Arial" w:cs="Arial"/>
                <w:b/>
                <w:sz w:val="18"/>
                <w:szCs w:val="20"/>
                <w:lang w:val="es-ES"/>
              </w:rPr>
              <w:t>Año</w:t>
            </w:r>
          </w:p>
        </w:tc>
        <w:tc>
          <w:tcPr>
            <w:tcW w:w="1237" w:type="dxa"/>
            <w:vMerge/>
            <w:tcBorders>
              <w:bottom w:val="single" w:sz="4" w:space="0" w:color="000000"/>
            </w:tcBorders>
            <w:shd w:val="clear" w:color="auto" w:fill="FFFF99"/>
            <w:vAlign w:val="center"/>
          </w:tcPr>
          <w:p>
            <w:pPr>
              <w:spacing w:before="20" w:after="0" w:line="240" w:lineRule="auto"/>
              <w:jc w:val="center"/>
              <w:rPr>
                <w:rFonts w:ascii="Arial" w:hAnsi="Arial" w:cs="Arial"/>
                <w:b/>
                <w:sz w:val="18"/>
                <w:szCs w:val="20"/>
                <w:lang w:val="es-ES"/>
              </w:rPr>
            </w:pPr>
          </w:p>
        </w:tc>
        <w:tc>
          <w:tcPr>
            <w:tcW w:w="2070" w:type="dxa"/>
            <w:vMerge/>
            <w:tcBorders>
              <w:bottom w:val="single" w:sz="4" w:space="0" w:color="000000"/>
            </w:tcBorders>
            <w:shd w:val="clear" w:color="auto" w:fill="FFFF99"/>
            <w:vAlign w:val="center"/>
          </w:tcPr>
          <w:p>
            <w:pPr>
              <w:spacing w:before="20" w:after="0" w:line="240" w:lineRule="auto"/>
              <w:jc w:val="center"/>
              <w:rPr>
                <w:rFonts w:ascii="Arial" w:hAnsi="Arial" w:cs="Arial"/>
                <w:b/>
                <w:sz w:val="18"/>
                <w:szCs w:val="20"/>
                <w:lang w:val="es-ES"/>
              </w:rPr>
            </w:pPr>
          </w:p>
        </w:tc>
      </w:tr>
      <w:tr>
        <w:trPr>
          <w:trHeight w:val="332"/>
        </w:trPr>
        <w:tc>
          <w:tcPr>
            <w:tcW w:w="12960" w:type="dxa"/>
            <w:gridSpan w:val="12"/>
            <w:shd w:val="clear" w:color="auto" w:fill="auto"/>
            <w:vAlign w:val="center"/>
          </w:tcPr>
          <w:p>
            <w:pPr>
              <w:spacing w:before="20" w:after="0" w:line="240" w:lineRule="auto"/>
              <w:ind w:left="-42" w:right="-102"/>
              <w:rPr>
                <w:rFonts w:ascii="Arial" w:hAnsi="Arial" w:cs="Arial"/>
                <w:b/>
                <w:caps/>
                <w:sz w:val="18"/>
                <w:szCs w:val="20"/>
                <w:u w:val="single"/>
                <w:lang w:val="es-ES"/>
              </w:rPr>
            </w:pPr>
            <w:r>
              <w:rPr>
                <w:rFonts w:ascii="Arial" w:hAnsi="Arial" w:cs="Arial"/>
                <w:b/>
                <w:caps/>
                <w:sz w:val="18"/>
                <w:szCs w:val="20"/>
                <w:u w:val="single"/>
                <w:lang w:val="es-ES"/>
              </w:rPr>
              <w:t>Resultado esperado</w:t>
            </w:r>
          </w:p>
        </w:tc>
      </w:tr>
      <w:tr>
        <w:trPr>
          <w:trHeight w:val="20"/>
        </w:trPr>
        <w:tc>
          <w:tcPr>
            <w:tcW w:w="2790" w:type="dxa"/>
            <w:vAlign w:val="center"/>
          </w:tcPr>
          <w:p>
            <w:pPr>
              <w:spacing w:before="20" w:after="0" w:line="240" w:lineRule="auto"/>
              <w:ind w:left="-42"/>
              <w:rPr>
                <w:rFonts w:ascii="Arial" w:hAnsi="Arial" w:cs="Arial"/>
                <w:b/>
                <w:bCs/>
                <w:sz w:val="18"/>
                <w:szCs w:val="20"/>
                <w:lang w:val="es-ES"/>
              </w:rPr>
            </w:pPr>
            <w:r>
              <w:rPr>
                <w:rFonts w:ascii="Arial" w:hAnsi="Arial" w:cs="Arial"/>
                <w:b/>
                <w:bCs/>
                <w:sz w:val="18"/>
                <w:szCs w:val="20"/>
                <w:lang w:val="es-ES"/>
              </w:rPr>
              <w:t>Resultado 3</w:t>
            </w:r>
          </w:p>
          <w:p>
            <w:pPr>
              <w:pStyle w:val="ListParagraph"/>
              <w:spacing w:before="20" w:after="0" w:line="240" w:lineRule="auto"/>
              <w:ind w:left="-42"/>
              <w:contextualSpacing w:val="0"/>
              <w:rPr>
                <w:rFonts w:ascii="Arial" w:hAnsi="Arial" w:cs="Arial"/>
                <w:sz w:val="18"/>
                <w:szCs w:val="20"/>
                <w:lang w:val="es-ES"/>
              </w:rPr>
            </w:pPr>
            <w:r>
              <w:rPr>
                <w:rFonts w:ascii="Arial" w:hAnsi="Arial" w:cs="Arial"/>
                <w:bCs/>
                <w:sz w:val="18"/>
                <w:szCs w:val="20"/>
              </w:rPr>
              <w:t xml:space="preserve">Operaciones de comercio exterior por canal rojo/ Total de Operaciones </w:t>
            </w:r>
          </w:p>
        </w:tc>
        <w:tc>
          <w:tcPr>
            <w:tcW w:w="1260" w:type="dxa"/>
            <w:vAlign w:val="center"/>
          </w:tcPr>
          <w:p>
            <w:pPr>
              <w:spacing w:before="20" w:after="0" w:line="240" w:lineRule="auto"/>
              <w:ind w:left="-42" w:right="-102"/>
              <w:jc w:val="center"/>
              <w:rPr>
                <w:rFonts w:ascii="Arial" w:eastAsia="Arial Unicode MS" w:hAnsi="Arial" w:cs="Arial"/>
                <w:sz w:val="18"/>
                <w:szCs w:val="20"/>
                <w:lang w:val="es-ES"/>
              </w:rPr>
            </w:pPr>
            <w:r>
              <w:rPr>
                <w:rFonts w:ascii="Arial" w:hAnsi="Arial" w:cs="Arial"/>
                <w:sz w:val="18"/>
                <w:szCs w:val="20"/>
                <w:lang w:val="es-ES"/>
              </w:rPr>
              <w:t>%</w:t>
            </w:r>
          </w:p>
        </w:tc>
        <w:tc>
          <w:tcPr>
            <w:tcW w:w="1260" w:type="dxa"/>
            <w:vAlign w:val="center"/>
          </w:tcPr>
          <w:p>
            <w:pPr>
              <w:spacing w:before="20" w:after="0" w:line="240" w:lineRule="auto"/>
              <w:ind w:left="-42"/>
              <w:jc w:val="center"/>
              <w:rPr>
                <w:rFonts w:ascii="Arial" w:eastAsia="Arial Unicode MS" w:hAnsi="Arial" w:cs="Arial"/>
                <w:bCs/>
                <w:sz w:val="18"/>
                <w:szCs w:val="20"/>
                <w:lang w:val="es-ES"/>
              </w:rPr>
            </w:pPr>
            <w:r>
              <w:rPr>
                <w:rFonts w:ascii="Arial" w:eastAsia="Arial Unicode MS" w:hAnsi="Arial" w:cs="Arial"/>
                <w:bCs/>
                <w:sz w:val="18"/>
                <w:szCs w:val="20"/>
                <w:lang w:val="es-ES"/>
              </w:rPr>
              <w:t>30%</w:t>
            </w:r>
          </w:p>
        </w:tc>
        <w:tc>
          <w:tcPr>
            <w:tcW w:w="990" w:type="dxa"/>
            <w:vAlign w:val="center"/>
          </w:tcPr>
          <w:p>
            <w:pPr>
              <w:spacing w:before="20" w:after="0" w:line="240" w:lineRule="auto"/>
              <w:ind w:left="-42"/>
              <w:jc w:val="center"/>
              <w:rPr>
                <w:rFonts w:ascii="Arial" w:hAnsi="Arial" w:cs="Arial"/>
                <w:sz w:val="18"/>
                <w:szCs w:val="20"/>
                <w:lang w:val="es-ES"/>
              </w:rPr>
            </w:pPr>
            <w:r>
              <w:rPr>
                <w:rFonts w:ascii="Arial" w:hAnsi="Arial" w:cs="Arial"/>
                <w:sz w:val="18"/>
                <w:szCs w:val="20"/>
                <w:lang w:val="es-ES"/>
              </w:rPr>
              <w:t>2016</w:t>
            </w:r>
          </w:p>
        </w:tc>
        <w:tc>
          <w:tcPr>
            <w:tcW w:w="866" w:type="dxa"/>
            <w:vAlign w:val="center"/>
          </w:tcPr>
          <w:p>
            <w:pPr>
              <w:spacing w:before="20" w:after="0" w:line="240" w:lineRule="auto"/>
              <w:ind w:left="-42"/>
              <w:jc w:val="center"/>
              <w:rPr>
                <w:rFonts w:ascii="Arial" w:eastAsia="Arial Unicode MS" w:hAnsi="Arial" w:cs="Arial"/>
                <w:bCs/>
                <w:sz w:val="18"/>
                <w:szCs w:val="20"/>
                <w:lang w:val="es-ES"/>
              </w:rPr>
            </w:pPr>
            <w:r>
              <w:rPr>
                <w:rFonts w:ascii="Arial" w:eastAsia="Arial Unicode MS" w:hAnsi="Arial" w:cs="Arial"/>
                <w:bCs/>
                <w:sz w:val="18"/>
                <w:szCs w:val="20"/>
                <w:lang w:val="es-ES"/>
              </w:rPr>
              <w:t>22%</w:t>
            </w:r>
          </w:p>
        </w:tc>
        <w:tc>
          <w:tcPr>
            <w:tcW w:w="844" w:type="dxa"/>
            <w:gridSpan w:val="2"/>
            <w:vAlign w:val="center"/>
          </w:tcPr>
          <w:p>
            <w:pPr>
              <w:spacing w:before="20" w:after="0" w:line="240" w:lineRule="auto"/>
              <w:ind w:left="-42"/>
              <w:jc w:val="center"/>
              <w:rPr>
                <w:rFonts w:ascii="Arial" w:hAnsi="Arial" w:cs="Arial"/>
                <w:sz w:val="18"/>
                <w:szCs w:val="20"/>
                <w:lang w:val="es-ES"/>
              </w:rPr>
            </w:pPr>
            <w:r>
              <w:rPr>
                <w:rFonts w:ascii="Arial" w:hAnsi="Arial" w:cs="Arial"/>
                <w:sz w:val="18"/>
                <w:szCs w:val="20"/>
                <w:lang w:val="es-ES"/>
              </w:rPr>
              <w:t>2020</w:t>
            </w:r>
          </w:p>
        </w:tc>
        <w:tc>
          <w:tcPr>
            <w:tcW w:w="814" w:type="dxa"/>
            <w:gridSpan w:val="2"/>
            <w:vAlign w:val="center"/>
          </w:tcPr>
          <w:p>
            <w:pPr>
              <w:spacing w:before="20" w:after="0" w:line="240" w:lineRule="auto"/>
              <w:ind w:left="-42"/>
              <w:jc w:val="center"/>
              <w:rPr>
                <w:rFonts w:ascii="Arial" w:eastAsia="Arial Unicode MS" w:hAnsi="Arial" w:cs="Arial"/>
                <w:bCs/>
                <w:sz w:val="18"/>
                <w:szCs w:val="20"/>
                <w:lang w:val="es-ES"/>
              </w:rPr>
            </w:pPr>
            <w:r>
              <w:rPr>
                <w:rFonts w:ascii="Arial" w:eastAsia="Arial Unicode MS" w:hAnsi="Arial" w:cs="Arial"/>
                <w:bCs/>
                <w:sz w:val="18"/>
                <w:szCs w:val="20"/>
                <w:lang w:val="es-ES"/>
              </w:rPr>
              <w:t>15%</w:t>
            </w:r>
          </w:p>
        </w:tc>
        <w:tc>
          <w:tcPr>
            <w:tcW w:w="829" w:type="dxa"/>
            <w:vAlign w:val="center"/>
          </w:tcPr>
          <w:p>
            <w:pPr>
              <w:spacing w:before="20" w:after="0" w:line="240" w:lineRule="auto"/>
              <w:ind w:left="-42"/>
              <w:jc w:val="center"/>
              <w:rPr>
                <w:rFonts w:ascii="Arial" w:hAnsi="Arial" w:cs="Arial"/>
                <w:sz w:val="18"/>
                <w:szCs w:val="20"/>
                <w:lang w:val="es-ES"/>
              </w:rPr>
            </w:pPr>
            <w:r>
              <w:rPr>
                <w:rFonts w:ascii="Arial" w:hAnsi="Arial" w:cs="Arial"/>
                <w:sz w:val="18"/>
                <w:szCs w:val="20"/>
                <w:lang w:val="es-ES"/>
              </w:rPr>
              <w:t>2022</w:t>
            </w:r>
          </w:p>
        </w:tc>
        <w:tc>
          <w:tcPr>
            <w:tcW w:w="1237" w:type="dxa"/>
            <w:vAlign w:val="center"/>
          </w:tcPr>
          <w:p>
            <w:pPr>
              <w:spacing w:before="20" w:after="0" w:line="240" w:lineRule="auto"/>
              <w:ind w:left="-42"/>
              <w:jc w:val="center"/>
              <w:rPr>
                <w:rFonts w:ascii="Arial" w:hAnsi="Arial" w:cs="Arial"/>
                <w:iCs/>
                <w:sz w:val="18"/>
                <w:szCs w:val="20"/>
                <w:lang w:val="es-ES"/>
              </w:rPr>
            </w:pPr>
            <w:r>
              <w:rPr>
                <w:rFonts w:ascii="Arial" w:hAnsi="Arial" w:cs="Arial"/>
                <w:iCs/>
                <w:sz w:val="18"/>
                <w:szCs w:val="20"/>
                <w:lang w:val="es-ES"/>
              </w:rPr>
              <w:t xml:space="preserve">Informes Anuales de AFIP publicado en página </w:t>
            </w:r>
            <w:r>
              <w:rPr>
                <w:rFonts w:ascii="Arial" w:hAnsi="Arial" w:cs="Arial"/>
                <w:i/>
                <w:iCs/>
                <w:sz w:val="18"/>
                <w:szCs w:val="20"/>
                <w:lang w:val="es-ES"/>
              </w:rPr>
              <w:t>web</w:t>
            </w:r>
          </w:p>
        </w:tc>
        <w:tc>
          <w:tcPr>
            <w:tcW w:w="2070" w:type="dxa"/>
          </w:tcPr>
          <w:p>
            <w:pPr>
              <w:spacing w:before="20" w:after="0" w:line="240" w:lineRule="auto"/>
              <w:ind w:left="-42"/>
              <w:rPr>
                <w:rFonts w:ascii="Arial" w:hAnsi="Arial" w:cs="Arial"/>
                <w:sz w:val="18"/>
                <w:szCs w:val="20"/>
                <w:lang w:val="es-ES"/>
              </w:rPr>
            </w:pPr>
            <w:r>
              <w:rPr>
                <w:rFonts w:ascii="Arial" w:hAnsi="Arial" w:cs="Arial"/>
                <w:sz w:val="18"/>
                <w:szCs w:val="20"/>
                <w:lang w:val="es-ES"/>
              </w:rPr>
              <w:t>Por canal rojo se refiere a aquellas operaciones que implican una inspección física de los contenedores</w:t>
            </w:r>
          </w:p>
        </w:tc>
      </w:tr>
    </w:tbl>
    <w:p>
      <w:pPr>
        <w:rPr>
          <w:rFonts w:ascii="Arial" w:hAnsi="Arial" w:cs="Arial"/>
          <w:sz w:val="20"/>
          <w:szCs w:val="20"/>
          <w:lang w:val="es-ES"/>
        </w:rPr>
        <w:sectPr>
          <w:pgSz w:w="16838" w:h="11906" w:orient="landscape"/>
          <w:pgMar w:top="1800" w:right="1440" w:bottom="1800" w:left="1440" w:header="720" w:footer="720" w:gutter="0"/>
          <w:cols w:space="720"/>
          <w:docGrid w:linePitch="360"/>
        </w:sectPr>
      </w:pPr>
      <w:r>
        <w:rPr>
          <w:rFonts w:ascii="Arial" w:hAnsi="Arial" w:cs="Arial"/>
          <w:sz w:val="20"/>
          <w:szCs w:val="20"/>
          <w:lang w:val="es-ES"/>
        </w:rPr>
        <w:t>Fuente: Matriz de Resultados del Programa</w:t>
      </w:r>
    </w:p>
    <w:p>
      <w:pPr>
        <w:jc w:val="center"/>
        <w:rPr>
          <w:rFonts w:ascii="Arial" w:hAnsi="Arial" w:cs="Arial"/>
          <w:sz w:val="20"/>
          <w:szCs w:val="20"/>
          <w:lang w:val="es-ES"/>
        </w:rPr>
      </w:pPr>
    </w:p>
    <w:p>
      <w:pPr>
        <w:pStyle w:val="Heading1"/>
        <w:keepLines w:val="0"/>
        <w:numPr>
          <w:ilvl w:val="0"/>
          <w:numId w:val="12"/>
        </w:numPr>
        <w:spacing w:before="120" w:after="120" w:line="240" w:lineRule="auto"/>
        <w:ind w:left="567" w:hanging="567"/>
        <w:rPr>
          <w:rFonts w:ascii="Arial" w:eastAsia="Times New Roman" w:hAnsi="Arial" w:cs="Arial"/>
          <w:b/>
          <w:bCs/>
          <w:smallCaps/>
          <w:color w:val="auto"/>
          <w:kern w:val="32"/>
          <w:sz w:val="24"/>
          <w:szCs w:val="24"/>
          <w:lang w:val="es-ES" w:eastAsia="es-ES"/>
        </w:rPr>
      </w:pPr>
      <w:bookmarkStart w:id="5" w:name="_Toc499930010"/>
      <w:r>
        <w:rPr>
          <w:rFonts w:ascii="Arial" w:eastAsia="Times New Roman" w:hAnsi="Arial" w:cs="Arial"/>
          <w:b/>
          <w:bCs/>
          <w:smallCaps/>
          <w:color w:val="auto"/>
          <w:kern w:val="32"/>
          <w:sz w:val="24"/>
          <w:szCs w:val="24"/>
          <w:lang w:val="es-ES" w:eastAsia="es-ES"/>
        </w:rPr>
        <w:t>Metodología</w:t>
      </w:r>
      <w:bookmarkEnd w:id="5"/>
    </w:p>
    <w:p>
      <w:pPr>
        <w:pStyle w:val="ListParagraph"/>
        <w:numPr>
          <w:ilvl w:val="1"/>
          <w:numId w:val="12"/>
        </w:numPr>
        <w:spacing w:after="0" w:line="240" w:lineRule="auto"/>
        <w:ind w:left="567" w:hanging="567"/>
        <w:jc w:val="both"/>
        <w:rPr>
          <w:rFonts w:ascii="Arial" w:eastAsia="Times New Roman" w:hAnsi="Arial" w:cs="Arial"/>
          <w:bCs/>
          <w:sz w:val="24"/>
          <w:szCs w:val="24"/>
          <w:lang w:val="es-AR"/>
        </w:rPr>
      </w:pPr>
      <w:r>
        <w:rPr>
          <w:rFonts w:ascii="Arial" w:eastAsia="Times New Roman" w:hAnsi="Arial" w:cs="Arial"/>
          <w:bCs/>
          <w:sz w:val="24"/>
          <w:szCs w:val="24"/>
          <w:lang w:val="es-AR"/>
        </w:rPr>
        <w:t>Para la evaluación del Programa se adoptó el método de Análisis de Costo- Beneficio que permite, a partir de la comparación de costos y beneficios resultantes de cada intervención, analizar su rentabilidad económica. La metodología requiere estimar los flujos económicos que cada proyecto genera al conjunto de la sociedad independientemente de quienes sean sus beneficiaros o financiadores. El análisis evalúa los beneficios y costos incrementales de cada intervención del programa de manera de la “situación con programa” con la que se hubiese dado en ausencia del mismo, la “situación sin programa”.</w:t>
      </w:r>
    </w:p>
    <w:p>
      <w:pPr>
        <w:pStyle w:val="Heading2"/>
        <w:ind w:left="0"/>
        <w:rPr>
          <w:rFonts w:ascii="Arial" w:hAnsi="Arial" w:cs="Arial"/>
          <w:lang w:val="es-AR"/>
        </w:rPr>
      </w:pPr>
      <w:bookmarkStart w:id="6" w:name="_Toc499930011"/>
      <w:r>
        <w:rPr>
          <w:rFonts w:ascii="Arial" w:hAnsi="Arial" w:cs="Arial"/>
          <w:lang w:val="es-AR"/>
        </w:rPr>
        <w:t>Costos Económicos</w:t>
      </w:r>
      <w:bookmarkEnd w:id="6"/>
    </w:p>
    <w:p>
      <w:pPr>
        <w:spacing w:after="0" w:line="240" w:lineRule="auto"/>
        <w:ind w:left="567" w:hanging="567"/>
        <w:jc w:val="both"/>
        <w:rPr>
          <w:rFonts w:ascii="Arial" w:eastAsia="Times New Roman" w:hAnsi="Arial" w:cs="Arial"/>
          <w:bCs/>
          <w:sz w:val="24"/>
          <w:szCs w:val="24"/>
          <w:lang w:val="es-AR"/>
        </w:rPr>
      </w:pPr>
    </w:p>
    <w:p>
      <w:pPr>
        <w:pStyle w:val="ListParagraph"/>
        <w:numPr>
          <w:ilvl w:val="1"/>
          <w:numId w:val="12"/>
        </w:numPr>
        <w:spacing w:after="0" w:line="240" w:lineRule="auto"/>
        <w:ind w:left="567" w:hanging="567"/>
        <w:jc w:val="both"/>
        <w:rPr>
          <w:rFonts w:ascii="Arial" w:eastAsia="Times New Roman" w:hAnsi="Arial" w:cs="Arial"/>
          <w:bCs/>
          <w:sz w:val="24"/>
          <w:szCs w:val="24"/>
          <w:lang w:val="es-AR"/>
        </w:rPr>
      </w:pPr>
      <w:r>
        <w:rPr>
          <w:rFonts w:ascii="Arial" w:eastAsia="Times New Roman" w:hAnsi="Arial" w:cs="Arial"/>
          <w:bCs/>
          <w:sz w:val="24"/>
          <w:szCs w:val="24"/>
          <w:lang w:val="es-AR"/>
        </w:rPr>
        <w:t>La siguiente tabla muestra la Matriz Financiera del Programa para todo el periodo de ejecución.</w:t>
      </w:r>
    </w:p>
    <w:p>
      <w:pPr>
        <w:spacing w:before="120" w:after="120" w:line="240" w:lineRule="auto"/>
        <w:ind w:left="567" w:hanging="567"/>
        <w:jc w:val="center"/>
        <w:rPr>
          <w:rFonts w:ascii="Arial" w:hAnsi="Arial" w:cs="Arial"/>
          <w:b/>
          <w:sz w:val="20"/>
          <w:szCs w:val="20"/>
          <w:lang w:val="es-AR"/>
        </w:rPr>
      </w:pPr>
      <w:r>
        <w:rPr>
          <w:rFonts w:ascii="Arial" w:hAnsi="Arial" w:cs="Arial"/>
          <w:b/>
          <w:bCs/>
          <w:sz w:val="20"/>
          <w:szCs w:val="20"/>
          <w:lang w:val="es-AR"/>
        </w:rPr>
        <w:t>Tabla 2. Matriz de Financiamiento del Programa (En millones de U$D)</w:t>
      </w:r>
    </w:p>
    <w:tbl>
      <w:tblPr>
        <w:tblW w:w="9660" w:type="dxa"/>
        <w:jc w:val="center"/>
        <w:tblCellMar>
          <w:left w:w="70" w:type="dxa"/>
          <w:right w:w="70" w:type="dxa"/>
        </w:tblCellMar>
        <w:tblLook w:val="04A0" w:firstRow="1" w:lastRow="0" w:firstColumn="1" w:lastColumn="0" w:noHBand="0" w:noVBand="1"/>
      </w:tblPr>
      <w:tblGrid>
        <w:gridCol w:w="567"/>
        <w:gridCol w:w="5529"/>
        <w:gridCol w:w="992"/>
        <w:gridCol w:w="992"/>
        <w:gridCol w:w="851"/>
        <w:gridCol w:w="729"/>
      </w:tblGrid>
      <w:tr>
        <w:trPr>
          <w:trHeight w:val="70"/>
          <w:jc w:val="center"/>
        </w:trPr>
        <w:tc>
          <w:tcPr>
            <w:tcW w:w="609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COMPONENTE</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FUENTE</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TOTAL</w:t>
            </w:r>
          </w:p>
        </w:tc>
        <w:tc>
          <w:tcPr>
            <w:tcW w:w="7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w:t>
            </w:r>
          </w:p>
        </w:tc>
      </w:tr>
      <w:tr>
        <w:trPr>
          <w:trHeight w:val="70"/>
          <w:jc w:val="center"/>
        </w:trPr>
        <w:tc>
          <w:tcPr>
            <w:tcW w:w="6096" w:type="dxa"/>
            <w:gridSpan w:val="2"/>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ind w:left="567" w:hanging="567"/>
              <w:rPr>
                <w:rFonts w:ascii="Arial" w:eastAsia="Times New Roman" w:hAnsi="Arial" w:cs="Arial"/>
                <w:sz w:val="18"/>
                <w:szCs w:val="18"/>
                <w:lang w:val="es-AR" w:eastAsia="es-AR"/>
              </w:rPr>
            </w:pP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EXTERNA</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LOCAL</w:t>
            </w:r>
          </w:p>
        </w:tc>
        <w:tc>
          <w:tcPr>
            <w:tcW w:w="851"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ind w:left="567" w:hanging="567"/>
              <w:rPr>
                <w:rFonts w:ascii="Arial" w:eastAsia="Times New Roman" w:hAnsi="Arial" w:cs="Arial"/>
                <w:sz w:val="18"/>
                <w:szCs w:val="18"/>
                <w:lang w:val="es-AR" w:eastAsia="es-AR"/>
              </w:rPr>
            </w:pPr>
          </w:p>
        </w:tc>
        <w:tc>
          <w:tcPr>
            <w:tcW w:w="729"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ind w:left="567" w:hanging="567"/>
              <w:rPr>
                <w:rFonts w:ascii="Arial" w:eastAsia="Times New Roman" w:hAnsi="Arial" w:cs="Arial"/>
                <w:sz w:val="18"/>
                <w:szCs w:val="18"/>
                <w:lang w:val="es-AR" w:eastAsia="es-AR"/>
              </w:rPr>
            </w:pPr>
          </w:p>
        </w:tc>
      </w:tr>
      <w:tr>
        <w:trPr>
          <w:trHeight w:val="70"/>
          <w:jc w:val="center"/>
        </w:trPr>
        <w:tc>
          <w:tcPr>
            <w:tcW w:w="567" w:type="dxa"/>
            <w:tcBorders>
              <w:top w:val="nil"/>
              <w:left w:val="single" w:sz="4" w:space="0" w:color="auto"/>
              <w:bottom w:val="single" w:sz="4" w:space="0" w:color="auto"/>
              <w:right w:val="single" w:sz="4" w:space="0" w:color="auto"/>
            </w:tcBorders>
            <w:shd w:val="clear" w:color="000000" w:fill="BFBFBF"/>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1</w:t>
            </w:r>
          </w:p>
        </w:tc>
        <w:tc>
          <w:tcPr>
            <w:tcW w:w="5529" w:type="dxa"/>
            <w:tcBorders>
              <w:top w:val="nil"/>
              <w:left w:val="nil"/>
              <w:bottom w:val="single" w:sz="4" w:space="0" w:color="auto"/>
              <w:right w:val="single" w:sz="4" w:space="0" w:color="auto"/>
            </w:tcBorders>
            <w:shd w:val="clear" w:color="000000" w:fill="BFBFBF"/>
            <w:vAlign w:val="center"/>
            <w:hideMark/>
          </w:tcPr>
          <w:p>
            <w:pPr>
              <w:spacing w:after="0" w:line="240" w:lineRule="auto"/>
              <w:ind w:left="567" w:hanging="567"/>
              <w:rPr>
                <w:rFonts w:ascii="Arial" w:eastAsia="Times New Roman" w:hAnsi="Arial" w:cs="Arial"/>
                <w:b/>
                <w:sz w:val="18"/>
                <w:szCs w:val="18"/>
                <w:lang w:val="es-AR" w:eastAsia="es-AR"/>
              </w:rPr>
            </w:pPr>
            <w:r>
              <w:rPr>
                <w:rFonts w:ascii="Arial" w:eastAsia="Times New Roman" w:hAnsi="Arial" w:cs="Arial"/>
                <w:b/>
                <w:sz w:val="18"/>
                <w:szCs w:val="18"/>
                <w:lang w:val="es-AR" w:eastAsia="es-AR"/>
              </w:rPr>
              <w:t>Fortalecimiento de la gestión de riesgo de la AFIP</w:t>
            </w:r>
          </w:p>
        </w:tc>
        <w:tc>
          <w:tcPr>
            <w:tcW w:w="992" w:type="dxa"/>
            <w:tcBorders>
              <w:top w:val="nil"/>
              <w:left w:val="nil"/>
              <w:bottom w:val="single" w:sz="4" w:space="0" w:color="auto"/>
              <w:right w:val="single" w:sz="4" w:space="0" w:color="auto"/>
            </w:tcBorders>
            <w:shd w:val="clear" w:color="000000" w:fill="BFBFBF"/>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43.220</w:t>
            </w:r>
          </w:p>
        </w:tc>
        <w:tc>
          <w:tcPr>
            <w:tcW w:w="992" w:type="dxa"/>
            <w:tcBorders>
              <w:top w:val="nil"/>
              <w:left w:val="nil"/>
              <w:bottom w:val="single" w:sz="4" w:space="0" w:color="auto"/>
              <w:right w:val="single" w:sz="4" w:space="0" w:color="auto"/>
            </w:tcBorders>
            <w:shd w:val="clear" w:color="000000" w:fill="BFBFBF"/>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4.802</w:t>
            </w:r>
          </w:p>
        </w:tc>
        <w:tc>
          <w:tcPr>
            <w:tcW w:w="851" w:type="dxa"/>
            <w:tcBorders>
              <w:top w:val="nil"/>
              <w:left w:val="nil"/>
              <w:bottom w:val="single" w:sz="4" w:space="0" w:color="auto"/>
              <w:right w:val="single" w:sz="4" w:space="0" w:color="auto"/>
            </w:tcBorders>
            <w:shd w:val="clear" w:color="000000" w:fill="BFBFBF"/>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48.022</w:t>
            </w:r>
          </w:p>
        </w:tc>
        <w:tc>
          <w:tcPr>
            <w:tcW w:w="729" w:type="dxa"/>
            <w:tcBorders>
              <w:top w:val="nil"/>
              <w:left w:val="nil"/>
              <w:bottom w:val="single" w:sz="4" w:space="0" w:color="auto"/>
              <w:right w:val="single" w:sz="4" w:space="0" w:color="auto"/>
            </w:tcBorders>
            <w:shd w:val="clear" w:color="000000" w:fill="BFBFBF"/>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43%</w:t>
            </w:r>
          </w:p>
        </w:tc>
      </w:tr>
      <w:tr>
        <w:trPr>
          <w:trHeight w:val="30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1.1</w:t>
            </w:r>
          </w:p>
        </w:tc>
        <w:tc>
          <w:tcPr>
            <w:tcW w:w="5529" w:type="dxa"/>
            <w:tcBorders>
              <w:top w:val="nil"/>
              <w:left w:val="nil"/>
              <w:bottom w:val="single" w:sz="4" w:space="0" w:color="auto"/>
              <w:right w:val="single" w:sz="4" w:space="0" w:color="auto"/>
            </w:tcBorders>
            <w:shd w:val="clear" w:color="auto" w:fill="auto"/>
            <w:vAlign w:val="center"/>
            <w:hideMark/>
          </w:tcPr>
          <w:p>
            <w:pPr>
              <w:spacing w:after="0" w:line="240" w:lineRule="auto"/>
              <w:rPr>
                <w:rFonts w:ascii="Arial" w:eastAsia="Times New Roman" w:hAnsi="Arial" w:cs="Arial"/>
                <w:sz w:val="18"/>
                <w:szCs w:val="18"/>
                <w:lang w:val="es-AR" w:eastAsia="es-AR"/>
              </w:rPr>
            </w:pPr>
            <w:r>
              <w:rPr>
                <w:rFonts w:ascii="Arial" w:eastAsia="Times New Roman" w:hAnsi="Arial" w:cs="Arial"/>
                <w:sz w:val="18"/>
                <w:szCs w:val="18"/>
                <w:lang w:val="es-AR" w:eastAsia="es-AR"/>
              </w:rPr>
              <w:t xml:space="preserve">Fortalecimiento del control y fiscalización en la administración de tributos internos </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11.097</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1.233</w:t>
            </w:r>
          </w:p>
        </w:tc>
        <w:tc>
          <w:tcPr>
            <w:tcW w:w="851"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12.330</w:t>
            </w:r>
          </w:p>
        </w:tc>
        <w:tc>
          <w:tcPr>
            <w:tcW w:w="729"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11%</w:t>
            </w:r>
          </w:p>
        </w:tc>
      </w:tr>
      <w:tr>
        <w:trPr>
          <w:trHeight w:val="239"/>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1.1.1</w:t>
            </w:r>
          </w:p>
        </w:tc>
        <w:tc>
          <w:tcPr>
            <w:tcW w:w="5529" w:type="dxa"/>
            <w:tcBorders>
              <w:top w:val="nil"/>
              <w:left w:val="nil"/>
              <w:bottom w:val="single" w:sz="4" w:space="0" w:color="auto"/>
              <w:right w:val="single" w:sz="4" w:space="0" w:color="auto"/>
            </w:tcBorders>
            <w:shd w:val="clear" w:color="auto" w:fill="auto"/>
            <w:vAlign w:val="center"/>
            <w:hideMark/>
          </w:tcPr>
          <w:p>
            <w:pPr>
              <w:spacing w:after="0" w:line="240" w:lineRule="auto"/>
              <w:rPr>
                <w:rFonts w:ascii="Arial" w:eastAsia="Times New Roman" w:hAnsi="Arial" w:cs="Arial"/>
                <w:sz w:val="18"/>
                <w:szCs w:val="18"/>
                <w:lang w:val="es-AR" w:eastAsia="es-AR"/>
              </w:rPr>
            </w:pPr>
            <w:r>
              <w:rPr>
                <w:rFonts w:ascii="Arial" w:eastAsia="Times New Roman" w:hAnsi="Arial" w:cs="Arial"/>
                <w:sz w:val="18"/>
                <w:szCs w:val="18"/>
                <w:lang w:val="es-AR" w:eastAsia="es-AR"/>
              </w:rPr>
              <w:t>Reforma del Sistema de Cuentas Tributarias</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3.412</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379</w:t>
            </w:r>
          </w:p>
        </w:tc>
        <w:tc>
          <w:tcPr>
            <w:tcW w:w="851"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3.791</w:t>
            </w:r>
          </w:p>
        </w:tc>
        <w:tc>
          <w:tcPr>
            <w:tcW w:w="729"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p>
        </w:tc>
      </w:tr>
      <w:tr>
        <w:trPr>
          <w:trHeight w:val="30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1.1.2</w:t>
            </w:r>
          </w:p>
        </w:tc>
        <w:tc>
          <w:tcPr>
            <w:tcW w:w="5529" w:type="dxa"/>
            <w:tcBorders>
              <w:top w:val="nil"/>
              <w:left w:val="nil"/>
              <w:bottom w:val="single" w:sz="4" w:space="0" w:color="auto"/>
              <w:right w:val="single" w:sz="4" w:space="0" w:color="auto"/>
            </w:tcBorders>
            <w:shd w:val="clear" w:color="auto" w:fill="auto"/>
            <w:vAlign w:val="center"/>
            <w:hideMark/>
          </w:tcPr>
          <w:p>
            <w:pPr>
              <w:spacing w:after="0" w:line="240" w:lineRule="auto"/>
              <w:rPr>
                <w:rFonts w:ascii="Arial" w:eastAsia="Times New Roman" w:hAnsi="Arial" w:cs="Arial"/>
                <w:sz w:val="18"/>
                <w:szCs w:val="18"/>
                <w:lang w:val="es-AR" w:eastAsia="es-AR"/>
              </w:rPr>
            </w:pPr>
            <w:r>
              <w:rPr>
                <w:rFonts w:ascii="Arial" w:eastAsia="Times New Roman" w:hAnsi="Arial" w:cs="Arial"/>
                <w:sz w:val="18"/>
                <w:szCs w:val="18"/>
                <w:lang w:val="es-AR" w:eastAsia="es-AR"/>
              </w:rPr>
              <w:t>Actualización de los sistemas de informática tributaria</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2.048</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228</w:t>
            </w:r>
          </w:p>
        </w:tc>
        <w:tc>
          <w:tcPr>
            <w:tcW w:w="851"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2.275</w:t>
            </w:r>
          </w:p>
        </w:tc>
        <w:tc>
          <w:tcPr>
            <w:tcW w:w="729"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p>
        </w:tc>
      </w:tr>
      <w:tr>
        <w:trPr>
          <w:trHeight w:val="30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1.1.3</w:t>
            </w:r>
          </w:p>
        </w:tc>
        <w:tc>
          <w:tcPr>
            <w:tcW w:w="5529" w:type="dxa"/>
            <w:tcBorders>
              <w:top w:val="nil"/>
              <w:left w:val="nil"/>
              <w:bottom w:val="single" w:sz="4" w:space="0" w:color="auto"/>
              <w:right w:val="single" w:sz="4" w:space="0" w:color="auto"/>
            </w:tcBorders>
            <w:shd w:val="clear" w:color="auto" w:fill="auto"/>
            <w:vAlign w:val="center"/>
            <w:hideMark/>
          </w:tcPr>
          <w:p>
            <w:pPr>
              <w:spacing w:after="0" w:line="240" w:lineRule="auto"/>
              <w:rPr>
                <w:rFonts w:ascii="Arial" w:eastAsia="Times New Roman" w:hAnsi="Arial" w:cs="Arial"/>
                <w:sz w:val="18"/>
                <w:szCs w:val="18"/>
                <w:lang w:val="es-AR" w:eastAsia="es-AR"/>
              </w:rPr>
            </w:pPr>
            <w:r>
              <w:rPr>
                <w:rFonts w:ascii="Arial" w:eastAsia="Times New Roman" w:hAnsi="Arial" w:cs="Arial"/>
                <w:sz w:val="18"/>
                <w:szCs w:val="18"/>
                <w:lang w:val="es-AR" w:eastAsia="es-AR"/>
              </w:rPr>
              <w:t>Desarrollo e implementación de sistemas de fiscalización y perfil de riesgo</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3.540</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393</w:t>
            </w:r>
          </w:p>
        </w:tc>
        <w:tc>
          <w:tcPr>
            <w:tcW w:w="851"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3.933</w:t>
            </w:r>
          </w:p>
        </w:tc>
        <w:tc>
          <w:tcPr>
            <w:tcW w:w="729"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p>
        </w:tc>
      </w:tr>
      <w:tr>
        <w:trPr>
          <w:trHeight w:val="113"/>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1.1.4</w:t>
            </w:r>
          </w:p>
        </w:tc>
        <w:tc>
          <w:tcPr>
            <w:tcW w:w="5529" w:type="dxa"/>
            <w:tcBorders>
              <w:top w:val="nil"/>
              <w:left w:val="nil"/>
              <w:bottom w:val="single" w:sz="4" w:space="0" w:color="auto"/>
              <w:right w:val="single" w:sz="4" w:space="0" w:color="auto"/>
            </w:tcBorders>
            <w:shd w:val="clear" w:color="auto" w:fill="auto"/>
            <w:vAlign w:val="center"/>
            <w:hideMark/>
          </w:tcPr>
          <w:p>
            <w:pPr>
              <w:spacing w:after="0" w:line="240" w:lineRule="auto"/>
              <w:rPr>
                <w:rFonts w:ascii="Arial" w:eastAsia="Times New Roman" w:hAnsi="Arial" w:cs="Arial"/>
                <w:sz w:val="18"/>
                <w:szCs w:val="18"/>
                <w:lang w:val="es-AR" w:eastAsia="es-AR"/>
              </w:rPr>
            </w:pPr>
            <w:r>
              <w:rPr>
                <w:rFonts w:ascii="Arial" w:eastAsia="Times New Roman" w:hAnsi="Arial" w:cs="Arial"/>
                <w:sz w:val="18"/>
                <w:szCs w:val="18"/>
                <w:lang w:val="es-AR" w:eastAsia="es-AR"/>
              </w:rPr>
              <w:t>Desarrollo e implementación de sistemas de seguimiento jurídico</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748</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83</w:t>
            </w:r>
          </w:p>
        </w:tc>
        <w:tc>
          <w:tcPr>
            <w:tcW w:w="851"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831</w:t>
            </w:r>
          </w:p>
        </w:tc>
        <w:tc>
          <w:tcPr>
            <w:tcW w:w="729"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p>
        </w:tc>
      </w:tr>
      <w:tr>
        <w:trPr>
          <w:trHeight w:val="317"/>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1.1.5</w:t>
            </w:r>
          </w:p>
        </w:tc>
        <w:tc>
          <w:tcPr>
            <w:tcW w:w="5529" w:type="dxa"/>
            <w:tcBorders>
              <w:top w:val="nil"/>
              <w:left w:val="nil"/>
              <w:bottom w:val="single" w:sz="4" w:space="0" w:color="auto"/>
              <w:right w:val="single" w:sz="4" w:space="0" w:color="auto"/>
            </w:tcBorders>
            <w:shd w:val="clear" w:color="auto" w:fill="auto"/>
            <w:vAlign w:val="center"/>
            <w:hideMark/>
          </w:tcPr>
          <w:p>
            <w:pPr>
              <w:spacing w:after="0" w:line="240" w:lineRule="auto"/>
              <w:rPr>
                <w:rFonts w:ascii="Arial" w:eastAsia="Times New Roman" w:hAnsi="Arial" w:cs="Arial"/>
                <w:sz w:val="18"/>
                <w:szCs w:val="18"/>
                <w:lang w:val="es-AR" w:eastAsia="es-AR"/>
              </w:rPr>
            </w:pPr>
            <w:r>
              <w:rPr>
                <w:rFonts w:ascii="Arial" w:eastAsia="Times New Roman" w:hAnsi="Arial" w:cs="Arial"/>
                <w:sz w:val="18"/>
                <w:szCs w:val="18"/>
                <w:lang w:val="es-AR" w:eastAsia="es-AR"/>
              </w:rPr>
              <w:t>Consolidación del acervo tecnológico y capacitación de nuevas tecnologías (Minería de datos, Analytics, Big Data, capacitación)</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1.350</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150</w:t>
            </w:r>
          </w:p>
        </w:tc>
        <w:tc>
          <w:tcPr>
            <w:tcW w:w="851"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1.500</w:t>
            </w:r>
          </w:p>
        </w:tc>
        <w:tc>
          <w:tcPr>
            <w:tcW w:w="729"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p>
        </w:tc>
      </w:tr>
      <w:tr>
        <w:trPr>
          <w:trHeight w:val="337"/>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1.2</w:t>
            </w:r>
          </w:p>
        </w:tc>
        <w:tc>
          <w:tcPr>
            <w:tcW w:w="5529" w:type="dxa"/>
            <w:tcBorders>
              <w:top w:val="nil"/>
              <w:left w:val="nil"/>
              <w:bottom w:val="single" w:sz="4" w:space="0" w:color="auto"/>
              <w:right w:val="single" w:sz="4" w:space="0" w:color="auto"/>
            </w:tcBorders>
            <w:shd w:val="clear" w:color="auto" w:fill="auto"/>
            <w:vAlign w:val="center"/>
            <w:hideMark/>
          </w:tcPr>
          <w:p>
            <w:pPr>
              <w:spacing w:after="0" w:line="240" w:lineRule="auto"/>
              <w:rPr>
                <w:rFonts w:ascii="Arial" w:eastAsia="Times New Roman" w:hAnsi="Arial" w:cs="Arial"/>
                <w:sz w:val="18"/>
                <w:szCs w:val="18"/>
                <w:lang w:val="es-AR" w:eastAsia="es-AR"/>
              </w:rPr>
            </w:pPr>
            <w:r>
              <w:rPr>
                <w:rFonts w:ascii="Arial" w:eastAsia="Times New Roman" w:hAnsi="Arial" w:cs="Arial"/>
                <w:bCs/>
                <w:sz w:val="18"/>
                <w:szCs w:val="18"/>
                <w:lang w:val="es-ES_tradnl" w:eastAsia="es-AR"/>
              </w:rPr>
              <w:t>Fortalecimiento de los controles aduaneros y nueva estrategia de control y facilitación del comercio exterior</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29.393</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3.266</w:t>
            </w:r>
          </w:p>
        </w:tc>
        <w:tc>
          <w:tcPr>
            <w:tcW w:w="851"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32.659</w:t>
            </w:r>
          </w:p>
        </w:tc>
        <w:tc>
          <w:tcPr>
            <w:tcW w:w="729"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30%</w:t>
            </w:r>
          </w:p>
        </w:tc>
      </w:tr>
      <w:tr>
        <w:trPr>
          <w:trHeight w:val="20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1.2.1</w:t>
            </w:r>
          </w:p>
        </w:tc>
        <w:tc>
          <w:tcPr>
            <w:tcW w:w="5529" w:type="dxa"/>
            <w:tcBorders>
              <w:top w:val="nil"/>
              <w:left w:val="nil"/>
              <w:bottom w:val="single" w:sz="4" w:space="0" w:color="auto"/>
              <w:right w:val="single" w:sz="4" w:space="0" w:color="auto"/>
            </w:tcBorders>
            <w:shd w:val="clear" w:color="auto" w:fill="auto"/>
            <w:vAlign w:val="center"/>
            <w:hideMark/>
          </w:tcPr>
          <w:p>
            <w:pPr>
              <w:spacing w:after="0" w:line="240" w:lineRule="auto"/>
              <w:rPr>
                <w:rFonts w:ascii="Arial" w:eastAsia="Times New Roman" w:hAnsi="Arial" w:cs="Arial"/>
                <w:sz w:val="18"/>
                <w:szCs w:val="18"/>
                <w:lang w:val="es-AR" w:eastAsia="es-AR"/>
              </w:rPr>
            </w:pPr>
            <w:r>
              <w:rPr>
                <w:rFonts w:ascii="Arial" w:eastAsia="Times New Roman" w:hAnsi="Arial" w:cs="Arial"/>
                <w:sz w:val="18"/>
                <w:szCs w:val="18"/>
                <w:lang w:val="es-AR" w:eastAsia="es-AR"/>
              </w:rPr>
              <w:t>Modelo Integral de Riesgo</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5.260</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584</w:t>
            </w:r>
          </w:p>
        </w:tc>
        <w:tc>
          <w:tcPr>
            <w:tcW w:w="851"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5.844</w:t>
            </w:r>
          </w:p>
        </w:tc>
        <w:tc>
          <w:tcPr>
            <w:tcW w:w="729"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p>
        </w:tc>
      </w:tr>
      <w:tr>
        <w:trPr>
          <w:trHeight w:val="209"/>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1.2.2</w:t>
            </w:r>
          </w:p>
        </w:tc>
        <w:tc>
          <w:tcPr>
            <w:tcW w:w="5529" w:type="dxa"/>
            <w:tcBorders>
              <w:top w:val="nil"/>
              <w:left w:val="nil"/>
              <w:bottom w:val="single" w:sz="4" w:space="0" w:color="auto"/>
              <w:right w:val="single" w:sz="4" w:space="0" w:color="auto"/>
            </w:tcBorders>
            <w:shd w:val="clear" w:color="auto" w:fill="auto"/>
            <w:vAlign w:val="center"/>
            <w:hideMark/>
          </w:tcPr>
          <w:p>
            <w:pPr>
              <w:spacing w:after="0" w:line="240" w:lineRule="auto"/>
              <w:rPr>
                <w:rFonts w:ascii="Arial" w:eastAsia="Times New Roman" w:hAnsi="Arial" w:cs="Arial"/>
                <w:sz w:val="18"/>
                <w:szCs w:val="18"/>
                <w:lang w:val="es-AR" w:eastAsia="es-AR"/>
              </w:rPr>
            </w:pPr>
            <w:r>
              <w:rPr>
                <w:rFonts w:ascii="Arial" w:eastAsia="Times New Roman" w:hAnsi="Arial" w:cs="Arial"/>
                <w:sz w:val="18"/>
                <w:szCs w:val="18"/>
                <w:lang w:val="es-AR" w:eastAsia="es-AR"/>
              </w:rPr>
              <w:t>Actualización del SIM</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12.924</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1.436</w:t>
            </w:r>
          </w:p>
        </w:tc>
        <w:tc>
          <w:tcPr>
            <w:tcW w:w="851"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14.360</w:t>
            </w:r>
          </w:p>
        </w:tc>
        <w:tc>
          <w:tcPr>
            <w:tcW w:w="729"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p>
        </w:tc>
      </w:tr>
      <w:tr>
        <w:trPr>
          <w:trHeight w:val="18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1.2.3</w:t>
            </w:r>
          </w:p>
        </w:tc>
        <w:tc>
          <w:tcPr>
            <w:tcW w:w="5529" w:type="dxa"/>
            <w:tcBorders>
              <w:top w:val="nil"/>
              <w:left w:val="nil"/>
              <w:bottom w:val="single" w:sz="4" w:space="0" w:color="auto"/>
              <w:right w:val="single" w:sz="4" w:space="0" w:color="auto"/>
            </w:tcBorders>
            <w:shd w:val="clear" w:color="auto" w:fill="auto"/>
            <w:vAlign w:val="center"/>
            <w:hideMark/>
          </w:tcPr>
          <w:p>
            <w:pPr>
              <w:spacing w:after="0" w:line="240" w:lineRule="auto"/>
              <w:rPr>
                <w:rFonts w:ascii="Arial" w:eastAsia="Times New Roman" w:hAnsi="Arial" w:cs="Arial"/>
                <w:sz w:val="18"/>
                <w:szCs w:val="18"/>
                <w:lang w:val="es-AR" w:eastAsia="es-AR"/>
              </w:rPr>
            </w:pPr>
            <w:r>
              <w:rPr>
                <w:rFonts w:ascii="Arial" w:eastAsia="Times New Roman" w:hAnsi="Arial" w:cs="Arial"/>
                <w:sz w:val="18"/>
                <w:szCs w:val="18"/>
                <w:lang w:val="es-AR" w:eastAsia="es-AR"/>
              </w:rPr>
              <w:t>Actualización de Infraestructura Tecnológica</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9.000</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1.000</w:t>
            </w:r>
          </w:p>
        </w:tc>
        <w:tc>
          <w:tcPr>
            <w:tcW w:w="851"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10.000</w:t>
            </w:r>
          </w:p>
        </w:tc>
        <w:tc>
          <w:tcPr>
            <w:tcW w:w="729"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p>
        </w:tc>
      </w:tr>
      <w:tr>
        <w:trPr>
          <w:trHeight w:val="161"/>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1.2.4</w:t>
            </w:r>
          </w:p>
        </w:tc>
        <w:tc>
          <w:tcPr>
            <w:tcW w:w="5529" w:type="dxa"/>
            <w:tcBorders>
              <w:top w:val="nil"/>
              <w:left w:val="nil"/>
              <w:bottom w:val="single" w:sz="4" w:space="0" w:color="auto"/>
              <w:right w:val="single" w:sz="4" w:space="0" w:color="auto"/>
            </w:tcBorders>
            <w:shd w:val="clear" w:color="auto" w:fill="auto"/>
            <w:vAlign w:val="center"/>
            <w:hideMark/>
          </w:tcPr>
          <w:p>
            <w:pPr>
              <w:spacing w:after="0" w:line="240" w:lineRule="auto"/>
              <w:rPr>
                <w:rFonts w:ascii="Arial" w:eastAsia="Times New Roman" w:hAnsi="Arial" w:cs="Arial"/>
                <w:sz w:val="18"/>
                <w:szCs w:val="18"/>
                <w:lang w:val="es-AR" w:eastAsia="es-AR"/>
              </w:rPr>
            </w:pPr>
            <w:r>
              <w:rPr>
                <w:rFonts w:ascii="Arial" w:eastAsia="Times New Roman" w:hAnsi="Arial" w:cs="Arial"/>
                <w:sz w:val="18"/>
                <w:szCs w:val="18"/>
                <w:lang w:val="es-AR" w:eastAsia="es-AR"/>
              </w:rPr>
              <w:t>Nuevo Sistema de Atención en Frontera</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2.209</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245</w:t>
            </w:r>
          </w:p>
        </w:tc>
        <w:tc>
          <w:tcPr>
            <w:tcW w:w="851"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2.455</w:t>
            </w:r>
          </w:p>
        </w:tc>
        <w:tc>
          <w:tcPr>
            <w:tcW w:w="729"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p>
        </w:tc>
      </w:tr>
      <w:tr>
        <w:trPr>
          <w:trHeight w:val="389"/>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1.3</w:t>
            </w:r>
          </w:p>
        </w:tc>
        <w:tc>
          <w:tcPr>
            <w:tcW w:w="5529" w:type="dxa"/>
            <w:tcBorders>
              <w:top w:val="nil"/>
              <w:left w:val="nil"/>
              <w:bottom w:val="single" w:sz="4" w:space="0" w:color="auto"/>
              <w:right w:val="single" w:sz="4" w:space="0" w:color="auto"/>
            </w:tcBorders>
            <w:shd w:val="clear" w:color="auto" w:fill="auto"/>
            <w:vAlign w:val="center"/>
            <w:hideMark/>
          </w:tcPr>
          <w:p>
            <w:pPr>
              <w:spacing w:after="0" w:line="240" w:lineRule="auto"/>
              <w:rPr>
                <w:rFonts w:ascii="Arial" w:eastAsia="Times New Roman" w:hAnsi="Arial" w:cs="Arial"/>
                <w:sz w:val="18"/>
                <w:szCs w:val="18"/>
                <w:lang w:val="es-AR" w:eastAsia="es-AR"/>
              </w:rPr>
            </w:pPr>
            <w:r>
              <w:rPr>
                <w:rFonts w:ascii="Arial" w:eastAsia="Times New Roman" w:hAnsi="Arial" w:cs="Arial"/>
                <w:sz w:val="18"/>
                <w:szCs w:val="18"/>
                <w:lang w:val="es-AR" w:eastAsia="es-AR"/>
              </w:rPr>
              <w:t>Fortalecimiento del control y fiscalización de los recursos de la seguridad social y mejora de la formalización del sector laboral</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2.730</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303</w:t>
            </w:r>
          </w:p>
        </w:tc>
        <w:tc>
          <w:tcPr>
            <w:tcW w:w="851"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3.033</w:t>
            </w:r>
          </w:p>
        </w:tc>
        <w:tc>
          <w:tcPr>
            <w:tcW w:w="729"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3%</w:t>
            </w:r>
          </w:p>
        </w:tc>
      </w:tr>
      <w:tr>
        <w:trPr>
          <w:trHeight w:val="187"/>
          <w:jc w:val="center"/>
        </w:trPr>
        <w:tc>
          <w:tcPr>
            <w:tcW w:w="567" w:type="dxa"/>
            <w:tcBorders>
              <w:top w:val="nil"/>
              <w:left w:val="single" w:sz="4" w:space="0" w:color="auto"/>
              <w:bottom w:val="single" w:sz="4" w:space="0" w:color="auto"/>
              <w:right w:val="single" w:sz="4" w:space="0" w:color="auto"/>
            </w:tcBorders>
            <w:shd w:val="clear" w:color="000000" w:fill="BFBFBF"/>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2</w:t>
            </w:r>
          </w:p>
        </w:tc>
        <w:tc>
          <w:tcPr>
            <w:tcW w:w="5529" w:type="dxa"/>
            <w:tcBorders>
              <w:top w:val="nil"/>
              <w:left w:val="nil"/>
              <w:bottom w:val="single" w:sz="4" w:space="0" w:color="auto"/>
              <w:right w:val="single" w:sz="4" w:space="0" w:color="auto"/>
            </w:tcBorders>
            <w:shd w:val="clear" w:color="000000" w:fill="BFBFBF"/>
            <w:vAlign w:val="center"/>
            <w:hideMark/>
          </w:tcPr>
          <w:p>
            <w:pPr>
              <w:spacing w:after="0" w:line="240" w:lineRule="auto"/>
              <w:ind w:left="567" w:hanging="567"/>
              <w:rPr>
                <w:rFonts w:ascii="Arial" w:eastAsia="Times New Roman" w:hAnsi="Arial" w:cs="Arial"/>
                <w:b/>
                <w:sz w:val="18"/>
                <w:szCs w:val="18"/>
                <w:lang w:val="es-AR" w:eastAsia="es-AR"/>
              </w:rPr>
            </w:pPr>
            <w:r>
              <w:rPr>
                <w:rFonts w:ascii="Arial" w:eastAsia="Times New Roman" w:hAnsi="Arial" w:cs="Arial"/>
                <w:b/>
                <w:sz w:val="18"/>
                <w:szCs w:val="18"/>
                <w:lang w:val="es-AR" w:eastAsia="es-AR"/>
              </w:rPr>
              <w:t>Fortalecimiento de los sistemas de información de la AFIP</w:t>
            </w:r>
          </w:p>
        </w:tc>
        <w:tc>
          <w:tcPr>
            <w:tcW w:w="992" w:type="dxa"/>
            <w:tcBorders>
              <w:top w:val="nil"/>
              <w:left w:val="nil"/>
              <w:bottom w:val="single" w:sz="4" w:space="0" w:color="auto"/>
              <w:right w:val="single" w:sz="4" w:space="0" w:color="auto"/>
            </w:tcBorders>
            <w:shd w:val="clear" w:color="000000" w:fill="BFBFBF"/>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42.840</w:t>
            </w:r>
          </w:p>
        </w:tc>
        <w:tc>
          <w:tcPr>
            <w:tcW w:w="992" w:type="dxa"/>
            <w:tcBorders>
              <w:top w:val="nil"/>
              <w:left w:val="nil"/>
              <w:bottom w:val="single" w:sz="4" w:space="0" w:color="auto"/>
              <w:right w:val="single" w:sz="4" w:space="0" w:color="auto"/>
            </w:tcBorders>
            <w:shd w:val="clear" w:color="000000" w:fill="BFBFBF"/>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4.760</w:t>
            </w:r>
          </w:p>
        </w:tc>
        <w:tc>
          <w:tcPr>
            <w:tcW w:w="851" w:type="dxa"/>
            <w:tcBorders>
              <w:top w:val="nil"/>
              <w:left w:val="nil"/>
              <w:bottom w:val="single" w:sz="4" w:space="0" w:color="auto"/>
              <w:right w:val="single" w:sz="4" w:space="0" w:color="auto"/>
            </w:tcBorders>
            <w:shd w:val="clear" w:color="000000" w:fill="BFBFBF"/>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47.600</w:t>
            </w:r>
          </w:p>
        </w:tc>
        <w:tc>
          <w:tcPr>
            <w:tcW w:w="729" w:type="dxa"/>
            <w:tcBorders>
              <w:top w:val="nil"/>
              <w:left w:val="nil"/>
              <w:bottom w:val="single" w:sz="4" w:space="0" w:color="auto"/>
              <w:right w:val="single" w:sz="4" w:space="0" w:color="auto"/>
            </w:tcBorders>
            <w:shd w:val="clear" w:color="000000" w:fill="BFBFBF"/>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43%</w:t>
            </w:r>
          </w:p>
        </w:tc>
      </w:tr>
      <w:tr>
        <w:trPr>
          <w:trHeight w:val="87"/>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2.1</w:t>
            </w:r>
          </w:p>
        </w:tc>
        <w:tc>
          <w:tcPr>
            <w:tcW w:w="5529" w:type="dxa"/>
            <w:tcBorders>
              <w:top w:val="nil"/>
              <w:left w:val="nil"/>
              <w:bottom w:val="single" w:sz="4" w:space="0" w:color="auto"/>
              <w:right w:val="single" w:sz="4" w:space="0" w:color="auto"/>
            </w:tcBorders>
            <w:shd w:val="clear" w:color="auto" w:fill="auto"/>
            <w:vAlign w:val="center"/>
            <w:hideMark/>
          </w:tcPr>
          <w:p>
            <w:pPr>
              <w:spacing w:after="0" w:line="240" w:lineRule="auto"/>
              <w:rPr>
                <w:rFonts w:ascii="Arial" w:eastAsia="Times New Roman" w:hAnsi="Arial" w:cs="Arial"/>
                <w:sz w:val="18"/>
                <w:szCs w:val="18"/>
                <w:lang w:val="es-AR" w:eastAsia="es-AR"/>
              </w:rPr>
            </w:pPr>
            <w:r>
              <w:rPr>
                <w:rFonts w:ascii="Arial" w:eastAsia="Times New Roman" w:hAnsi="Arial" w:cs="Arial"/>
                <w:sz w:val="18"/>
                <w:szCs w:val="18"/>
                <w:lang w:val="es-AR" w:eastAsia="es-AR"/>
              </w:rPr>
              <w:t>Data Center (</w:t>
            </w:r>
            <w:r>
              <w:rPr>
                <w:rFonts w:ascii="Arial" w:eastAsia="Times New Roman" w:hAnsi="Arial" w:cs="Arial"/>
                <w:i/>
                <w:sz w:val="18"/>
                <w:szCs w:val="18"/>
                <w:lang w:val="es-AR" w:eastAsia="es-AR"/>
              </w:rPr>
              <w:t xml:space="preserve">Software&amp;Hardware </w:t>
            </w:r>
            <w:r>
              <w:rPr>
                <w:rFonts w:ascii="Arial" w:eastAsia="Times New Roman" w:hAnsi="Arial" w:cs="Arial"/>
                <w:sz w:val="18"/>
                <w:szCs w:val="18"/>
                <w:lang w:val="es-AR" w:eastAsia="es-AR"/>
              </w:rPr>
              <w:t>y Capacitación)</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21.060</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2.340</w:t>
            </w:r>
          </w:p>
        </w:tc>
        <w:tc>
          <w:tcPr>
            <w:tcW w:w="851"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23.400</w:t>
            </w:r>
          </w:p>
        </w:tc>
        <w:tc>
          <w:tcPr>
            <w:tcW w:w="729"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21%</w:t>
            </w:r>
          </w:p>
        </w:tc>
      </w:tr>
      <w:tr>
        <w:trPr>
          <w:trHeight w:val="30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2.2</w:t>
            </w:r>
          </w:p>
        </w:tc>
        <w:tc>
          <w:tcPr>
            <w:tcW w:w="5529" w:type="dxa"/>
            <w:tcBorders>
              <w:top w:val="nil"/>
              <w:left w:val="nil"/>
              <w:bottom w:val="single" w:sz="4" w:space="0" w:color="auto"/>
              <w:right w:val="single" w:sz="4" w:space="0" w:color="auto"/>
            </w:tcBorders>
            <w:shd w:val="clear" w:color="auto" w:fill="auto"/>
            <w:vAlign w:val="center"/>
            <w:hideMark/>
          </w:tcPr>
          <w:p>
            <w:pPr>
              <w:spacing w:after="0" w:line="240" w:lineRule="auto"/>
              <w:rPr>
                <w:rFonts w:ascii="Arial" w:eastAsia="Times New Roman" w:hAnsi="Arial" w:cs="Arial"/>
                <w:sz w:val="18"/>
                <w:szCs w:val="18"/>
                <w:lang w:val="es-AR" w:eastAsia="es-AR"/>
              </w:rPr>
            </w:pPr>
            <w:r>
              <w:rPr>
                <w:rFonts w:ascii="Arial" w:eastAsia="Times New Roman" w:hAnsi="Arial" w:cs="Arial"/>
                <w:sz w:val="18"/>
                <w:szCs w:val="18"/>
                <w:lang w:val="es-AR" w:eastAsia="es-AR"/>
              </w:rPr>
              <w:t>Comunicaciones (adquisición de equipos y actualización de sistemas)</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10.836</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1.204</w:t>
            </w:r>
          </w:p>
        </w:tc>
        <w:tc>
          <w:tcPr>
            <w:tcW w:w="851"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12.040</w:t>
            </w:r>
          </w:p>
        </w:tc>
        <w:tc>
          <w:tcPr>
            <w:tcW w:w="729"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11%</w:t>
            </w:r>
          </w:p>
        </w:tc>
      </w:tr>
      <w:tr>
        <w:trPr>
          <w:trHeight w:val="30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2.3</w:t>
            </w:r>
          </w:p>
        </w:tc>
        <w:tc>
          <w:tcPr>
            <w:tcW w:w="5529" w:type="dxa"/>
            <w:tcBorders>
              <w:top w:val="nil"/>
              <w:left w:val="nil"/>
              <w:bottom w:val="single" w:sz="4" w:space="0" w:color="auto"/>
              <w:right w:val="single" w:sz="4" w:space="0" w:color="auto"/>
            </w:tcBorders>
            <w:shd w:val="clear" w:color="auto" w:fill="auto"/>
            <w:vAlign w:val="center"/>
            <w:hideMark/>
          </w:tcPr>
          <w:p>
            <w:pPr>
              <w:spacing w:after="0" w:line="240" w:lineRule="auto"/>
              <w:rPr>
                <w:rFonts w:ascii="Arial" w:eastAsia="Times New Roman" w:hAnsi="Arial" w:cs="Arial"/>
                <w:sz w:val="18"/>
                <w:szCs w:val="18"/>
                <w:lang w:val="es-AR" w:eastAsia="es-AR"/>
              </w:rPr>
            </w:pPr>
            <w:r>
              <w:rPr>
                <w:rFonts w:ascii="Arial" w:eastAsia="Times New Roman" w:hAnsi="Arial" w:cs="Arial"/>
                <w:sz w:val="18"/>
                <w:szCs w:val="18"/>
                <w:lang w:val="es-AR" w:eastAsia="es-AR"/>
              </w:rPr>
              <w:t>Seguridad Informática (adquisición de equipos y actualización de sistemas)</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10.944</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1.216</w:t>
            </w:r>
          </w:p>
        </w:tc>
        <w:tc>
          <w:tcPr>
            <w:tcW w:w="851"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12.160</w:t>
            </w:r>
          </w:p>
        </w:tc>
        <w:tc>
          <w:tcPr>
            <w:tcW w:w="729"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11%</w:t>
            </w:r>
          </w:p>
        </w:tc>
      </w:tr>
      <w:tr>
        <w:trPr>
          <w:trHeight w:val="463"/>
          <w:jc w:val="center"/>
        </w:trPr>
        <w:tc>
          <w:tcPr>
            <w:tcW w:w="567" w:type="dxa"/>
            <w:tcBorders>
              <w:top w:val="nil"/>
              <w:left w:val="single" w:sz="4" w:space="0" w:color="auto"/>
              <w:bottom w:val="single" w:sz="4" w:space="0" w:color="auto"/>
              <w:right w:val="single" w:sz="4" w:space="0" w:color="auto"/>
            </w:tcBorders>
            <w:shd w:val="clear" w:color="000000" w:fill="BFBFBF"/>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3</w:t>
            </w:r>
          </w:p>
        </w:tc>
        <w:tc>
          <w:tcPr>
            <w:tcW w:w="5529" w:type="dxa"/>
            <w:tcBorders>
              <w:top w:val="nil"/>
              <w:left w:val="nil"/>
              <w:bottom w:val="single" w:sz="4" w:space="0" w:color="auto"/>
              <w:right w:val="single" w:sz="4" w:space="0" w:color="auto"/>
            </w:tcBorders>
            <w:shd w:val="clear" w:color="000000" w:fill="BFBFBF"/>
            <w:vAlign w:val="center"/>
            <w:hideMark/>
          </w:tcPr>
          <w:p>
            <w:pPr>
              <w:spacing w:after="0" w:line="240" w:lineRule="auto"/>
              <w:rPr>
                <w:rFonts w:ascii="Arial" w:eastAsia="Times New Roman" w:hAnsi="Arial" w:cs="Arial"/>
                <w:b/>
                <w:sz w:val="18"/>
                <w:szCs w:val="18"/>
                <w:lang w:val="es-AR" w:eastAsia="es-AR"/>
              </w:rPr>
            </w:pPr>
            <w:r>
              <w:rPr>
                <w:rFonts w:ascii="Arial" w:eastAsia="Times New Roman" w:hAnsi="Arial" w:cs="Arial"/>
                <w:b/>
                <w:bCs/>
                <w:sz w:val="18"/>
                <w:szCs w:val="18"/>
                <w:lang w:val="es-ES_tradnl" w:eastAsia="es-AR"/>
              </w:rPr>
              <w:t>Mejora del servicio y de la atención al contribuyente y usuarios del comercio exterior</w:t>
            </w:r>
          </w:p>
        </w:tc>
        <w:tc>
          <w:tcPr>
            <w:tcW w:w="992" w:type="dxa"/>
            <w:tcBorders>
              <w:top w:val="nil"/>
              <w:left w:val="nil"/>
              <w:bottom w:val="single" w:sz="4" w:space="0" w:color="auto"/>
              <w:right w:val="single" w:sz="4" w:space="0" w:color="auto"/>
            </w:tcBorders>
            <w:shd w:val="clear" w:color="000000" w:fill="BFBFBF"/>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8.440</w:t>
            </w:r>
          </w:p>
        </w:tc>
        <w:tc>
          <w:tcPr>
            <w:tcW w:w="992" w:type="dxa"/>
            <w:tcBorders>
              <w:top w:val="nil"/>
              <w:left w:val="nil"/>
              <w:bottom w:val="single" w:sz="4" w:space="0" w:color="auto"/>
              <w:right w:val="single" w:sz="4" w:space="0" w:color="auto"/>
            </w:tcBorders>
            <w:shd w:val="clear" w:color="000000" w:fill="BFBFBF"/>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938</w:t>
            </w:r>
          </w:p>
        </w:tc>
        <w:tc>
          <w:tcPr>
            <w:tcW w:w="851" w:type="dxa"/>
            <w:tcBorders>
              <w:top w:val="nil"/>
              <w:left w:val="nil"/>
              <w:bottom w:val="single" w:sz="4" w:space="0" w:color="auto"/>
              <w:right w:val="single" w:sz="4" w:space="0" w:color="auto"/>
            </w:tcBorders>
            <w:shd w:val="clear" w:color="000000" w:fill="BFBFBF"/>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9.378</w:t>
            </w:r>
          </w:p>
        </w:tc>
        <w:tc>
          <w:tcPr>
            <w:tcW w:w="729" w:type="dxa"/>
            <w:tcBorders>
              <w:top w:val="nil"/>
              <w:left w:val="nil"/>
              <w:bottom w:val="single" w:sz="4" w:space="0" w:color="auto"/>
              <w:right w:val="single" w:sz="4" w:space="0" w:color="auto"/>
            </w:tcBorders>
            <w:shd w:val="clear" w:color="000000" w:fill="BFBFBF"/>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8%</w:t>
            </w:r>
          </w:p>
        </w:tc>
      </w:tr>
      <w:tr>
        <w:trPr>
          <w:trHeight w:val="7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3.1</w:t>
            </w:r>
          </w:p>
        </w:tc>
        <w:tc>
          <w:tcPr>
            <w:tcW w:w="5529" w:type="dxa"/>
            <w:tcBorders>
              <w:top w:val="nil"/>
              <w:left w:val="nil"/>
              <w:bottom w:val="single" w:sz="4" w:space="0" w:color="auto"/>
              <w:right w:val="single" w:sz="4" w:space="0" w:color="auto"/>
            </w:tcBorders>
            <w:shd w:val="clear" w:color="auto" w:fill="auto"/>
            <w:vAlign w:val="center"/>
            <w:hideMark/>
          </w:tcPr>
          <w:p>
            <w:pPr>
              <w:spacing w:after="0" w:line="240" w:lineRule="auto"/>
              <w:rPr>
                <w:rFonts w:ascii="Arial" w:eastAsia="Times New Roman" w:hAnsi="Arial" w:cs="Arial"/>
                <w:sz w:val="18"/>
                <w:szCs w:val="18"/>
                <w:lang w:val="es-AR" w:eastAsia="es-AR"/>
              </w:rPr>
            </w:pPr>
            <w:r>
              <w:rPr>
                <w:rFonts w:ascii="Arial" w:eastAsia="Times New Roman" w:hAnsi="Arial" w:cs="Arial"/>
                <w:sz w:val="18"/>
                <w:szCs w:val="18"/>
                <w:lang w:val="es-AR" w:eastAsia="es-AR"/>
              </w:rPr>
              <w:t>Mejora normativa, simplificación de procedimientos y cambio de enfoque en la atención (CRM)</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4.095</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455</w:t>
            </w:r>
          </w:p>
        </w:tc>
        <w:tc>
          <w:tcPr>
            <w:tcW w:w="851"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4.550</w:t>
            </w:r>
          </w:p>
        </w:tc>
        <w:tc>
          <w:tcPr>
            <w:tcW w:w="729"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4%</w:t>
            </w:r>
          </w:p>
        </w:tc>
      </w:tr>
      <w:tr>
        <w:trPr>
          <w:trHeight w:val="423"/>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3.2</w:t>
            </w:r>
          </w:p>
        </w:tc>
        <w:tc>
          <w:tcPr>
            <w:tcW w:w="5529" w:type="dxa"/>
            <w:tcBorders>
              <w:top w:val="nil"/>
              <w:left w:val="nil"/>
              <w:bottom w:val="single" w:sz="4" w:space="0" w:color="auto"/>
              <w:right w:val="single" w:sz="4" w:space="0" w:color="auto"/>
            </w:tcBorders>
            <w:shd w:val="clear" w:color="auto" w:fill="auto"/>
            <w:vAlign w:val="center"/>
            <w:hideMark/>
          </w:tcPr>
          <w:p>
            <w:pPr>
              <w:spacing w:after="0" w:line="240" w:lineRule="auto"/>
              <w:rPr>
                <w:rFonts w:ascii="Arial" w:eastAsia="Times New Roman" w:hAnsi="Arial" w:cs="Arial"/>
                <w:sz w:val="18"/>
                <w:szCs w:val="18"/>
                <w:lang w:val="es-AR" w:eastAsia="es-AR"/>
              </w:rPr>
            </w:pPr>
            <w:r>
              <w:rPr>
                <w:rFonts w:ascii="Arial" w:eastAsia="Times New Roman" w:hAnsi="Arial" w:cs="Arial"/>
                <w:sz w:val="18"/>
                <w:szCs w:val="18"/>
                <w:lang w:val="es-AR" w:eastAsia="es-AR"/>
              </w:rPr>
              <w:t>Incorporación de nuevos medios y tecnologías y reorientación del rol de las sucursales/agencias que constituyen el despliegue territorial de la AFIP</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1.950</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217</w:t>
            </w:r>
          </w:p>
        </w:tc>
        <w:tc>
          <w:tcPr>
            <w:tcW w:w="851"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2.167</w:t>
            </w:r>
          </w:p>
        </w:tc>
        <w:tc>
          <w:tcPr>
            <w:tcW w:w="729"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2%</w:t>
            </w:r>
          </w:p>
        </w:tc>
      </w:tr>
      <w:tr>
        <w:trPr>
          <w:trHeight w:val="30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3.3</w:t>
            </w:r>
          </w:p>
        </w:tc>
        <w:tc>
          <w:tcPr>
            <w:tcW w:w="5529" w:type="dxa"/>
            <w:tcBorders>
              <w:top w:val="nil"/>
              <w:left w:val="nil"/>
              <w:bottom w:val="single" w:sz="4" w:space="0" w:color="auto"/>
              <w:right w:val="single" w:sz="4" w:space="0" w:color="auto"/>
            </w:tcBorders>
            <w:shd w:val="clear" w:color="auto" w:fill="auto"/>
            <w:vAlign w:val="center"/>
            <w:hideMark/>
          </w:tcPr>
          <w:p>
            <w:pPr>
              <w:spacing w:after="0" w:line="240" w:lineRule="auto"/>
              <w:rPr>
                <w:rFonts w:ascii="Arial" w:eastAsia="Times New Roman" w:hAnsi="Arial" w:cs="Arial"/>
                <w:sz w:val="18"/>
                <w:szCs w:val="18"/>
                <w:lang w:val="es-AR" w:eastAsia="es-AR"/>
              </w:rPr>
            </w:pPr>
            <w:r>
              <w:rPr>
                <w:rFonts w:ascii="Arial" w:eastAsia="Times New Roman" w:hAnsi="Arial" w:cs="Arial"/>
                <w:sz w:val="18"/>
                <w:szCs w:val="18"/>
                <w:lang w:val="es-AR" w:eastAsia="es-AR"/>
              </w:rPr>
              <w:t>Nuevo modelo de gestión, planificación y organización</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2.395</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266</w:t>
            </w:r>
          </w:p>
        </w:tc>
        <w:tc>
          <w:tcPr>
            <w:tcW w:w="851"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2.661</w:t>
            </w:r>
          </w:p>
        </w:tc>
        <w:tc>
          <w:tcPr>
            <w:tcW w:w="729"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sz w:val="18"/>
                <w:szCs w:val="18"/>
                <w:lang w:val="es-AR" w:eastAsia="es-AR"/>
              </w:rPr>
            </w:pPr>
            <w:r>
              <w:rPr>
                <w:rFonts w:ascii="Arial" w:eastAsia="Times New Roman" w:hAnsi="Arial" w:cs="Arial"/>
                <w:sz w:val="18"/>
                <w:szCs w:val="18"/>
                <w:lang w:val="es-AR" w:eastAsia="es-AR"/>
              </w:rPr>
              <w:t>2%</w:t>
            </w:r>
          </w:p>
        </w:tc>
      </w:tr>
      <w:tr>
        <w:trPr>
          <w:trHeight w:val="70"/>
          <w:jc w:val="center"/>
        </w:trPr>
        <w:tc>
          <w:tcPr>
            <w:tcW w:w="567" w:type="dxa"/>
            <w:tcBorders>
              <w:top w:val="nil"/>
              <w:left w:val="single" w:sz="4" w:space="0" w:color="auto"/>
              <w:bottom w:val="single" w:sz="4" w:space="0" w:color="auto"/>
              <w:right w:val="single" w:sz="4" w:space="0" w:color="auto"/>
            </w:tcBorders>
            <w:shd w:val="clear" w:color="000000" w:fill="BFBFBF"/>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4</w:t>
            </w:r>
          </w:p>
        </w:tc>
        <w:tc>
          <w:tcPr>
            <w:tcW w:w="5529" w:type="dxa"/>
            <w:tcBorders>
              <w:top w:val="nil"/>
              <w:left w:val="nil"/>
              <w:bottom w:val="single" w:sz="4" w:space="0" w:color="auto"/>
              <w:right w:val="single" w:sz="4" w:space="0" w:color="auto"/>
            </w:tcBorders>
            <w:shd w:val="clear" w:color="000000" w:fill="BFBFBF"/>
            <w:vAlign w:val="center"/>
            <w:hideMark/>
          </w:tcPr>
          <w:p>
            <w:pPr>
              <w:spacing w:after="0" w:line="240" w:lineRule="auto"/>
              <w:ind w:left="567" w:hanging="567"/>
              <w:rPr>
                <w:rFonts w:ascii="Arial" w:eastAsia="Times New Roman" w:hAnsi="Arial" w:cs="Arial"/>
                <w:b/>
                <w:sz w:val="18"/>
                <w:szCs w:val="18"/>
                <w:lang w:val="es-AR" w:eastAsia="es-AR"/>
              </w:rPr>
            </w:pPr>
            <w:r>
              <w:rPr>
                <w:rFonts w:ascii="Arial" w:eastAsia="Times New Roman" w:hAnsi="Arial" w:cs="Arial"/>
                <w:b/>
                <w:sz w:val="18"/>
                <w:szCs w:val="18"/>
                <w:lang w:val="es-AR" w:eastAsia="es-AR"/>
              </w:rPr>
              <w:t>Administración y gestión del programa</w:t>
            </w:r>
          </w:p>
        </w:tc>
        <w:tc>
          <w:tcPr>
            <w:tcW w:w="992" w:type="dxa"/>
            <w:tcBorders>
              <w:top w:val="nil"/>
              <w:left w:val="nil"/>
              <w:bottom w:val="single" w:sz="4" w:space="0" w:color="auto"/>
              <w:right w:val="single" w:sz="4" w:space="0" w:color="auto"/>
            </w:tcBorders>
            <w:shd w:val="clear" w:color="000000" w:fill="BFBFBF"/>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5.500</w:t>
            </w:r>
          </w:p>
        </w:tc>
        <w:tc>
          <w:tcPr>
            <w:tcW w:w="992" w:type="dxa"/>
            <w:tcBorders>
              <w:top w:val="nil"/>
              <w:left w:val="nil"/>
              <w:bottom w:val="single" w:sz="4" w:space="0" w:color="auto"/>
              <w:right w:val="single" w:sz="4" w:space="0" w:color="auto"/>
            </w:tcBorders>
            <w:shd w:val="clear" w:color="000000" w:fill="BFBFBF"/>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w:t>
            </w:r>
          </w:p>
        </w:tc>
        <w:tc>
          <w:tcPr>
            <w:tcW w:w="851" w:type="dxa"/>
            <w:tcBorders>
              <w:top w:val="nil"/>
              <w:left w:val="nil"/>
              <w:bottom w:val="single" w:sz="4" w:space="0" w:color="auto"/>
              <w:right w:val="single" w:sz="4" w:space="0" w:color="auto"/>
            </w:tcBorders>
            <w:shd w:val="clear" w:color="000000" w:fill="BFBFBF"/>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5.500</w:t>
            </w:r>
          </w:p>
        </w:tc>
        <w:tc>
          <w:tcPr>
            <w:tcW w:w="729" w:type="dxa"/>
            <w:tcBorders>
              <w:top w:val="nil"/>
              <w:left w:val="nil"/>
              <w:bottom w:val="single" w:sz="4" w:space="0" w:color="auto"/>
              <w:right w:val="single" w:sz="4" w:space="0" w:color="auto"/>
            </w:tcBorders>
            <w:shd w:val="clear" w:color="000000" w:fill="BFBFBF"/>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5%</w:t>
            </w:r>
          </w:p>
        </w:tc>
      </w:tr>
      <w:tr>
        <w:trPr>
          <w:trHeight w:val="70"/>
          <w:jc w:val="center"/>
        </w:trPr>
        <w:tc>
          <w:tcPr>
            <w:tcW w:w="6096" w:type="dxa"/>
            <w:gridSpan w:val="2"/>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TOTAL</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100.000</w:t>
            </w:r>
          </w:p>
        </w:tc>
        <w:tc>
          <w:tcPr>
            <w:tcW w:w="992"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10.500</w:t>
            </w:r>
          </w:p>
        </w:tc>
        <w:tc>
          <w:tcPr>
            <w:tcW w:w="851"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110.500</w:t>
            </w:r>
          </w:p>
        </w:tc>
        <w:tc>
          <w:tcPr>
            <w:tcW w:w="729" w:type="dxa"/>
            <w:tcBorders>
              <w:top w:val="nil"/>
              <w:left w:val="nil"/>
              <w:bottom w:val="single" w:sz="4" w:space="0" w:color="auto"/>
              <w:right w:val="single" w:sz="4" w:space="0" w:color="auto"/>
            </w:tcBorders>
            <w:shd w:val="clear" w:color="auto" w:fill="auto"/>
            <w:vAlign w:val="center"/>
            <w:hideMark/>
          </w:tcPr>
          <w:p>
            <w:pPr>
              <w:spacing w:after="0" w:line="240" w:lineRule="auto"/>
              <w:ind w:left="567" w:hanging="567"/>
              <w:jc w:val="center"/>
              <w:rPr>
                <w:rFonts w:ascii="Arial" w:eastAsia="Times New Roman" w:hAnsi="Arial" w:cs="Arial"/>
                <w:b/>
                <w:sz w:val="18"/>
                <w:szCs w:val="18"/>
                <w:lang w:val="es-AR" w:eastAsia="es-AR"/>
              </w:rPr>
            </w:pPr>
            <w:r>
              <w:rPr>
                <w:rFonts w:ascii="Arial" w:eastAsia="Times New Roman" w:hAnsi="Arial" w:cs="Arial"/>
                <w:b/>
                <w:sz w:val="18"/>
                <w:szCs w:val="18"/>
                <w:lang w:val="es-AR" w:eastAsia="es-AR"/>
              </w:rPr>
              <w:t>100%</w:t>
            </w:r>
          </w:p>
        </w:tc>
      </w:tr>
    </w:tbl>
    <w:p>
      <w:pPr>
        <w:ind w:left="567" w:hanging="567"/>
        <w:jc w:val="center"/>
        <w:rPr>
          <w:rFonts w:ascii="Arial" w:hAnsi="Arial" w:cs="Arial"/>
          <w:b/>
          <w:bCs/>
          <w:sz w:val="18"/>
          <w:lang w:val="es-AR"/>
        </w:rPr>
      </w:pPr>
      <w:r>
        <w:rPr>
          <w:rFonts w:ascii="Arial" w:hAnsi="Arial" w:cs="Arial"/>
          <w:bCs/>
          <w:sz w:val="18"/>
          <w:lang w:val="es-AR"/>
        </w:rPr>
        <w:t xml:space="preserve">Fuente: </w:t>
      </w:r>
      <w:r>
        <w:rPr>
          <w:rFonts w:ascii="Arial" w:hAnsi="Arial" w:cs="Arial"/>
          <w:b/>
          <w:bCs/>
          <w:sz w:val="18"/>
          <w:lang w:val="es-AR"/>
        </w:rPr>
        <w:t>Matriz de Financiamiento del Programa</w:t>
      </w:r>
    </w:p>
    <w:p>
      <w:pPr>
        <w:pStyle w:val="ListParagraph"/>
        <w:numPr>
          <w:ilvl w:val="1"/>
          <w:numId w:val="12"/>
        </w:numPr>
        <w:spacing w:after="0" w:line="240" w:lineRule="auto"/>
        <w:ind w:left="567" w:hanging="567"/>
        <w:jc w:val="both"/>
        <w:rPr>
          <w:rFonts w:ascii="Arial" w:eastAsia="Times New Roman" w:hAnsi="Arial" w:cs="Arial"/>
          <w:bCs/>
          <w:sz w:val="24"/>
          <w:szCs w:val="24"/>
          <w:lang w:val="es-AR"/>
        </w:rPr>
      </w:pPr>
      <w:r>
        <w:rPr>
          <w:rFonts w:ascii="Arial" w:eastAsia="Times New Roman" w:hAnsi="Arial" w:cs="Arial"/>
          <w:bCs/>
          <w:sz w:val="24"/>
          <w:szCs w:val="24"/>
          <w:lang w:val="es-AR"/>
        </w:rPr>
        <w:t xml:space="preserve">En la identificación de los costos económicos se incluyó el costo de las inversiones durante los períodos de ejecución, tanto por el </w:t>
      </w:r>
      <w:r>
        <w:rPr>
          <w:rFonts w:ascii="Arial" w:eastAsia="Times New Roman" w:hAnsi="Arial" w:cs="Arial"/>
          <w:bCs/>
          <w:sz w:val="24"/>
          <w:szCs w:val="24"/>
          <w:lang w:val="es-AR"/>
        </w:rPr>
        <w:lastRenderedPageBreak/>
        <w:t xml:space="preserve">financiamiento del Banco como con recursos de contrapartida. No se computan los costos de posibles externalidades negativas sobre el bienestar de algún grupo de la sociedad ya que, de acuerdo a la documentación suministrada por el Programa, no se las consideran ni significativas ni permanentes. </w:t>
      </w:r>
    </w:p>
    <w:p>
      <w:pPr>
        <w:pStyle w:val="ListParagraph"/>
        <w:spacing w:after="0" w:line="240" w:lineRule="auto"/>
        <w:ind w:left="567" w:hanging="567"/>
        <w:jc w:val="both"/>
        <w:rPr>
          <w:rFonts w:ascii="Arial" w:eastAsia="Times New Roman" w:hAnsi="Arial" w:cs="Arial"/>
          <w:bCs/>
          <w:sz w:val="24"/>
          <w:szCs w:val="24"/>
          <w:lang w:val="es-AR"/>
        </w:rPr>
      </w:pPr>
    </w:p>
    <w:p>
      <w:pPr>
        <w:pStyle w:val="ListParagraph"/>
        <w:numPr>
          <w:ilvl w:val="1"/>
          <w:numId w:val="12"/>
        </w:numPr>
        <w:spacing w:after="0" w:line="240" w:lineRule="auto"/>
        <w:ind w:left="567" w:hanging="567"/>
        <w:jc w:val="both"/>
        <w:rPr>
          <w:rFonts w:ascii="Arial" w:eastAsia="Times New Roman" w:hAnsi="Arial" w:cs="Arial"/>
          <w:bCs/>
          <w:sz w:val="24"/>
          <w:szCs w:val="24"/>
          <w:lang w:val="es-AR"/>
        </w:rPr>
      </w:pPr>
      <w:r>
        <w:rPr>
          <w:rFonts w:ascii="Arial" w:eastAsia="Times New Roman" w:hAnsi="Arial" w:cs="Arial"/>
          <w:bCs/>
          <w:sz w:val="24"/>
          <w:szCs w:val="24"/>
          <w:lang w:val="es-AR"/>
        </w:rPr>
        <w:t>Dado que los precios de mercado no reflejan el costo real de oportunidad de los recursos, debido a la presencia de imperfecciones tales como impuestos (subsidios), dichos precios de mercado deben corregirse considerando factores de conversión que transforman un precio de mercado en un precio social (precio sombra). Para realizar dicha conversión se aplicaron los factores de conversión para los subcomponentes que incluyeran la adquisición de maquinaria, software, harware, etc</w:t>
      </w:r>
      <w:r>
        <w:rPr>
          <w:rStyle w:val="FootnoteReference"/>
          <w:rFonts w:ascii="Arial" w:hAnsi="Arial" w:cs="Arial"/>
          <w:sz w:val="24"/>
          <w:szCs w:val="24"/>
          <w:lang w:val="es-ES"/>
        </w:rPr>
        <w:footnoteReference w:id="4"/>
      </w:r>
      <w:r>
        <w:rPr>
          <w:rFonts w:ascii="Arial" w:eastAsia="Times New Roman" w:hAnsi="Arial" w:cs="Arial"/>
          <w:bCs/>
          <w:sz w:val="24"/>
          <w:szCs w:val="24"/>
          <w:lang w:val="es-AR"/>
        </w:rPr>
        <w:t>.</w:t>
      </w:r>
    </w:p>
    <w:p>
      <w:pPr>
        <w:pStyle w:val="ListParagraph"/>
        <w:rPr>
          <w:rFonts w:ascii="Arial" w:eastAsia="Times New Roman" w:hAnsi="Arial" w:cs="Arial"/>
          <w:bCs/>
          <w:sz w:val="24"/>
          <w:szCs w:val="24"/>
          <w:lang w:val="es-AR"/>
        </w:rPr>
      </w:pPr>
    </w:p>
    <w:p>
      <w:pPr>
        <w:pStyle w:val="ListParagraph"/>
        <w:numPr>
          <w:ilvl w:val="1"/>
          <w:numId w:val="12"/>
        </w:numPr>
        <w:spacing w:after="0" w:line="240" w:lineRule="auto"/>
        <w:ind w:left="567" w:hanging="567"/>
        <w:jc w:val="both"/>
        <w:rPr>
          <w:rFonts w:ascii="Arial" w:eastAsia="Times New Roman" w:hAnsi="Arial" w:cs="Arial"/>
          <w:bCs/>
          <w:sz w:val="24"/>
          <w:szCs w:val="24"/>
          <w:lang w:val="es-AR"/>
        </w:rPr>
      </w:pPr>
      <w:r>
        <w:rPr>
          <w:rFonts w:ascii="Arial" w:eastAsia="Times New Roman" w:hAnsi="Arial" w:cs="Arial"/>
          <w:bCs/>
          <w:sz w:val="24"/>
          <w:szCs w:val="24"/>
          <w:lang w:val="es-AR"/>
        </w:rPr>
        <w:t>Para estimar la curva de inversión en valores sociales se procedió primero en identificar los componentes mencionados en el inciso anterior y su incidencia en la misma. Una vez identificados, se utilizó el coeficiente de re expresión para llevaros a valores sociales.</w:t>
      </w:r>
    </w:p>
    <w:p>
      <w:pPr>
        <w:pStyle w:val="ListParagraph"/>
        <w:ind w:left="567" w:hanging="567"/>
        <w:rPr>
          <w:rFonts w:ascii="Arial" w:eastAsia="Times New Roman" w:hAnsi="Arial" w:cs="Arial"/>
          <w:bCs/>
          <w:sz w:val="24"/>
          <w:szCs w:val="24"/>
          <w:lang w:val="es-AR"/>
        </w:rPr>
      </w:pPr>
    </w:p>
    <w:p>
      <w:pPr>
        <w:pStyle w:val="ListParagraph"/>
        <w:numPr>
          <w:ilvl w:val="1"/>
          <w:numId w:val="12"/>
        </w:numPr>
        <w:spacing w:after="0" w:line="240" w:lineRule="auto"/>
        <w:ind w:left="567" w:hanging="567"/>
        <w:jc w:val="both"/>
        <w:rPr>
          <w:rFonts w:ascii="Arial" w:eastAsia="Times New Roman" w:hAnsi="Arial" w:cs="Arial"/>
          <w:bCs/>
          <w:sz w:val="24"/>
          <w:szCs w:val="24"/>
          <w:lang w:val="es-AR"/>
        </w:rPr>
      </w:pPr>
      <w:r>
        <w:rPr>
          <w:rFonts w:ascii="Arial" w:eastAsia="Times New Roman" w:hAnsi="Arial" w:cs="Arial"/>
          <w:bCs/>
          <w:sz w:val="24"/>
          <w:szCs w:val="24"/>
          <w:lang w:val="es-AR"/>
        </w:rPr>
        <w:t>Los costos expresados a costos sociales ascienden a U$S 96.16 millones, y se ejecutarán según la siguiente curva de inversión</w:t>
      </w:r>
    </w:p>
    <w:p>
      <w:pPr>
        <w:pStyle w:val="ListParagraph"/>
        <w:ind w:left="567" w:hanging="567"/>
        <w:jc w:val="center"/>
        <w:rPr>
          <w:rFonts w:ascii="Arial" w:eastAsia="Times New Roman" w:hAnsi="Arial" w:cs="Arial"/>
          <w:b/>
          <w:bCs/>
          <w:lang w:val="es-AR"/>
        </w:rPr>
      </w:pPr>
    </w:p>
    <w:p>
      <w:pPr>
        <w:pStyle w:val="ListParagraph"/>
        <w:spacing w:before="120" w:after="120" w:line="240" w:lineRule="auto"/>
        <w:ind w:left="567" w:hanging="567"/>
        <w:jc w:val="center"/>
        <w:rPr>
          <w:rFonts w:ascii="Arial" w:eastAsia="Times New Roman" w:hAnsi="Arial" w:cs="Arial"/>
          <w:bCs/>
          <w:sz w:val="20"/>
          <w:szCs w:val="20"/>
          <w:lang w:val="es-AR"/>
        </w:rPr>
      </w:pPr>
      <w:r>
        <w:rPr>
          <w:rFonts w:ascii="Arial" w:eastAsia="Times New Roman" w:hAnsi="Arial" w:cs="Arial"/>
          <w:b/>
          <w:bCs/>
          <w:sz w:val="20"/>
          <w:szCs w:val="20"/>
          <w:lang w:val="es-AR"/>
        </w:rPr>
        <w:t>Tabla 3.</w:t>
      </w:r>
      <w:r>
        <w:rPr>
          <w:rFonts w:ascii="Arial" w:eastAsia="Times New Roman" w:hAnsi="Arial" w:cs="Arial"/>
          <w:bCs/>
          <w:sz w:val="20"/>
          <w:szCs w:val="20"/>
          <w:lang w:val="es-AR"/>
        </w:rPr>
        <w:t xml:space="preserve"> </w:t>
      </w:r>
      <w:r>
        <w:rPr>
          <w:rFonts w:ascii="Arial" w:eastAsia="Times New Roman" w:hAnsi="Arial" w:cs="Arial"/>
          <w:b/>
          <w:bCs/>
          <w:sz w:val="20"/>
          <w:szCs w:val="20"/>
          <w:lang w:val="es-AR"/>
        </w:rPr>
        <w:t>Curva de Inversión (en U$S)</w:t>
      </w:r>
    </w:p>
    <w:tbl>
      <w:tblPr>
        <w:tblW w:w="4360" w:type="dxa"/>
        <w:jc w:val="center"/>
        <w:tblCellMar>
          <w:left w:w="70" w:type="dxa"/>
          <w:right w:w="70" w:type="dxa"/>
        </w:tblCellMar>
        <w:tblLook w:val="04A0" w:firstRow="1" w:lastRow="0" w:firstColumn="1" w:lastColumn="0" w:noHBand="0" w:noVBand="1"/>
      </w:tblPr>
      <w:tblGrid>
        <w:gridCol w:w="1500"/>
        <w:gridCol w:w="2157"/>
        <w:gridCol w:w="1163"/>
      </w:tblGrid>
      <w:tr>
        <w:trPr>
          <w:trHeight w:val="330"/>
          <w:jc w:val="center"/>
        </w:trPr>
        <w:tc>
          <w:tcPr>
            <w:tcW w:w="1500" w:type="dxa"/>
            <w:tcBorders>
              <w:top w:val="single" w:sz="8" w:space="0" w:color="auto"/>
              <w:left w:val="single" w:sz="8" w:space="0" w:color="auto"/>
              <w:bottom w:val="single" w:sz="8" w:space="0" w:color="auto"/>
              <w:right w:val="single" w:sz="8" w:space="0" w:color="auto"/>
            </w:tcBorders>
            <w:shd w:val="clear" w:color="auto" w:fill="A6A6A6" w:themeFill="background1" w:themeFillShade="A6"/>
            <w:noWrap/>
            <w:vAlign w:val="center"/>
            <w:hideMark/>
          </w:tcPr>
          <w:p>
            <w:pPr>
              <w:spacing w:before="120" w:after="120" w:line="240" w:lineRule="auto"/>
              <w:ind w:left="567" w:hanging="567"/>
              <w:jc w:val="center"/>
              <w:rPr>
                <w:rFonts w:ascii="Arial" w:eastAsia="Times New Roman" w:hAnsi="Arial" w:cs="Arial"/>
                <w:b/>
                <w:color w:val="000000"/>
                <w:sz w:val="20"/>
                <w:szCs w:val="20"/>
                <w:lang w:val="es-AR" w:eastAsia="es-AR"/>
              </w:rPr>
            </w:pPr>
            <w:r>
              <w:rPr>
                <w:rFonts w:ascii="Arial" w:eastAsia="Times New Roman" w:hAnsi="Arial" w:cs="Arial"/>
                <w:b/>
                <w:color w:val="000000"/>
                <w:sz w:val="20"/>
                <w:szCs w:val="20"/>
                <w:lang w:val="es-AR" w:eastAsia="es-AR"/>
              </w:rPr>
              <w:t>Años</w:t>
            </w:r>
          </w:p>
        </w:tc>
        <w:tc>
          <w:tcPr>
            <w:tcW w:w="2157"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pPr>
              <w:spacing w:before="120" w:after="120" w:line="240" w:lineRule="auto"/>
              <w:ind w:left="567" w:hanging="567"/>
              <w:jc w:val="center"/>
              <w:rPr>
                <w:rFonts w:ascii="Arial" w:eastAsia="Times New Roman" w:hAnsi="Arial" w:cs="Arial"/>
                <w:b/>
                <w:color w:val="000000"/>
                <w:sz w:val="20"/>
                <w:szCs w:val="20"/>
                <w:lang w:val="es-AR" w:eastAsia="es-AR"/>
              </w:rPr>
            </w:pPr>
            <w:r>
              <w:rPr>
                <w:rFonts w:ascii="Arial" w:eastAsia="Times New Roman" w:hAnsi="Arial" w:cs="Arial"/>
                <w:b/>
                <w:color w:val="000000"/>
                <w:sz w:val="20"/>
                <w:szCs w:val="20"/>
                <w:lang w:val="es-AR" w:eastAsia="es-AR"/>
              </w:rPr>
              <w:t>Inversión en US$</w:t>
            </w:r>
          </w:p>
        </w:tc>
        <w:tc>
          <w:tcPr>
            <w:tcW w:w="703"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pPr>
              <w:spacing w:before="120" w:after="120" w:line="240" w:lineRule="auto"/>
              <w:ind w:left="567" w:hanging="567"/>
              <w:jc w:val="center"/>
              <w:rPr>
                <w:rFonts w:ascii="Arial" w:eastAsia="Times New Roman" w:hAnsi="Arial" w:cs="Arial"/>
                <w:b/>
                <w:color w:val="000000"/>
                <w:sz w:val="20"/>
                <w:szCs w:val="20"/>
                <w:lang w:val="es-AR" w:eastAsia="es-AR"/>
              </w:rPr>
            </w:pPr>
            <w:r>
              <w:rPr>
                <w:rFonts w:ascii="Arial" w:eastAsia="Times New Roman" w:hAnsi="Arial" w:cs="Arial"/>
                <w:b/>
                <w:color w:val="000000"/>
                <w:sz w:val="20"/>
                <w:szCs w:val="20"/>
                <w:lang w:val="es-AR" w:eastAsia="es-AR"/>
              </w:rPr>
              <w:t>Porcentaje</w:t>
            </w:r>
          </w:p>
        </w:tc>
      </w:tr>
      <w:tr>
        <w:trPr>
          <w:trHeight w:val="330"/>
          <w:jc w:val="center"/>
        </w:trPr>
        <w:tc>
          <w:tcPr>
            <w:tcW w:w="1500" w:type="dxa"/>
            <w:tcBorders>
              <w:top w:val="nil"/>
              <w:left w:val="single" w:sz="8" w:space="0" w:color="auto"/>
              <w:bottom w:val="single" w:sz="8" w:space="0" w:color="auto"/>
              <w:right w:val="single" w:sz="8" w:space="0" w:color="auto"/>
            </w:tcBorders>
            <w:shd w:val="clear" w:color="auto" w:fill="auto"/>
            <w:vAlign w:val="center"/>
            <w:hideMark/>
          </w:tcPr>
          <w:p>
            <w:pPr>
              <w:spacing w:after="0" w:line="240" w:lineRule="auto"/>
              <w:ind w:left="567" w:hanging="567"/>
              <w:rPr>
                <w:rFonts w:ascii="Arial" w:eastAsia="Times New Roman" w:hAnsi="Arial" w:cs="Arial"/>
                <w:color w:val="000000"/>
                <w:sz w:val="20"/>
                <w:szCs w:val="20"/>
                <w:lang w:val="es-AR" w:eastAsia="es-AR"/>
              </w:rPr>
            </w:pPr>
            <w:r>
              <w:rPr>
                <w:rFonts w:ascii="Arial" w:eastAsia="Times New Roman" w:hAnsi="Arial" w:cs="Arial"/>
                <w:color w:val="000000"/>
                <w:sz w:val="20"/>
                <w:szCs w:val="20"/>
                <w:lang w:val="es-AR" w:eastAsia="es-AR"/>
              </w:rPr>
              <w:t>Año 1</w:t>
            </w:r>
          </w:p>
        </w:tc>
        <w:tc>
          <w:tcPr>
            <w:tcW w:w="2157" w:type="dxa"/>
            <w:tcBorders>
              <w:top w:val="nil"/>
              <w:left w:val="nil"/>
              <w:bottom w:val="single" w:sz="8" w:space="0" w:color="auto"/>
              <w:right w:val="single" w:sz="8" w:space="0" w:color="auto"/>
            </w:tcBorders>
            <w:shd w:val="clear" w:color="auto" w:fill="auto"/>
            <w:vAlign w:val="center"/>
            <w:hideMark/>
          </w:tcPr>
          <w:p>
            <w:pPr>
              <w:spacing w:after="0" w:line="240" w:lineRule="auto"/>
              <w:ind w:left="567" w:hanging="567"/>
              <w:jc w:val="center"/>
              <w:rPr>
                <w:rFonts w:ascii="Arial" w:eastAsia="Times New Roman" w:hAnsi="Arial" w:cs="Arial"/>
                <w:color w:val="000000"/>
                <w:sz w:val="20"/>
                <w:szCs w:val="20"/>
                <w:lang w:val="es-AR" w:eastAsia="es-AR"/>
              </w:rPr>
            </w:pPr>
            <w:r>
              <w:rPr>
                <w:rFonts w:ascii="Arial" w:eastAsia="Times New Roman" w:hAnsi="Arial" w:cs="Arial"/>
                <w:color w:val="000000"/>
                <w:sz w:val="20"/>
                <w:szCs w:val="20"/>
                <w:lang w:val="es-AR" w:eastAsia="es-AR"/>
              </w:rPr>
              <w:t>19.008.802</w:t>
            </w:r>
          </w:p>
        </w:tc>
        <w:tc>
          <w:tcPr>
            <w:tcW w:w="703" w:type="dxa"/>
            <w:tcBorders>
              <w:top w:val="nil"/>
              <w:left w:val="nil"/>
              <w:bottom w:val="single" w:sz="8" w:space="0" w:color="auto"/>
              <w:right w:val="single" w:sz="8" w:space="0" w:color="auto"/>
            </w:tcBorders>
            <w:shd w:val="clear" w:color="auto" w:fill="auto"/>
            <w:vAlign w:val="center"/>
            <w:hideMark/>
          </w:tcPr>
          <w:p>
            <w:pPr>
              <w:spacing w:after="0" w:line="240" w:lineRule="auto"/>
              <w:ind w:left="567" w:hanging="567"/>
              <w:jc w:val="center"/>
              <w:rPr>
                <w:rFonts w:ascii="Arial" w:eastAsia="Times New Roman" w:hAnsi="Arial" w:cs="Arial"/>
                <w:color w:val="000000"/>
                <w:sz w:val="20"/>
                <w:szCs w:val="20"/>
                <w:lang w:val="es-AR" w:eastAsia="es-AR"/>
              </w:rPr>
            </w:pPr>
            <w:r>
              <w:rPr>
                <w:rFonts w:ascii="Arial" w:eastAsia="Times New Roman" w:hAnsi="Arial" w:cs="Arial"/>
                <w:color w:val="000000"/>
                <w:sz w:val="20"/>
                <w:szCs w:val="20"/>
                <w:lang w:val="es-AR" w:eastAsia="es-AR"/>
              </w:rPr>
              <w:t>20%</w:t>
            </w:r>
          </w:p>
        </w:tc>
      </w:tr>
      <w:tr>
        <w:trPr>
          <w:trHeight w:val="330"/>
          <w:jc w:val="center"/>
        </w:trPr>
        <w:tc>
          <w:tcPr>
            <w:tcW w:w="1500" w:type="dxa"/>
            <w:tcBorders>
              <w:top w:val="nil"/>
              <w:left w:val="single" w:sz="8" w:space="0" w:color="auto"/>
              <w:bottom w:val="single" w:sz="8" w:space="0" w:color="auto"/>
              <w:right w:val="single" w:sz="8" w:space="0" w:color="auto"/>
            </w:tcBorders>
            <w:shd w:val="clear" w:color="auto" w:fill="auto"/>
            <w:vAlign w:val="center"/>
            <w:hideMark/>
          </w:tcPr>
          <w:p>
            <w:pPr>
              <w:spacing w:after="0" w:line="240" w:lineRule="auto"/>
              <w:ind w:left="567" w:hanging="567"/>
              <w:rPr>
                <w:rFonts w:ascii="Arial" w:eastAsia="Times New Roman" w:hAnsi="Arial" w:cs="Arial"/>
                <w:color w:val="000000"/>
                <w:sz w:val="20"/>
                <w:szCs w:val="20"/>
                <w:lang w:val="es-AR" w:eastAsia="es-AR"/>
              </w:rPr>
            </w:pPr>
            <w:r>
              <w:rPr>
                <w:rFonts w:ascii="Arial" w:eastAsia="Times New Roman" w:hAnsi="Arial" w:cs="Arial"/>
                <w:color w:val="000000"/>
                <w:sz w:val="20"/>
                <w:szCs w:val="20"/>
                <w:lang w:val="es-AR" w:eastAsia="es-AR"/>
              </w:rPr>
              <w:t>Año 2</w:t>
            </w:r>
          </w:p>
        </w:tc>
        <w:tc>
          <w:tcPr>
            <w:tcW w:w="2157" w:type="dxa"/>
            <w:tcBorders>
              <w:top w:val="nil"/>
              <w:left w:val="nil"/>
              <w:bottom w:val="single" w:sz="8" w:space="0" w:color="auto"/>
              <w:right w:val="single" w:sz="8" w:space="0" w:color="auto"/>
            </w:tcBorders>
            <w:shd w:val="clear" w:color="auto" w:fill="auto"/>
            <w:vAlign w:val="center"/>
            <w:hideMark/>
          </w:tcPr>
          <w:p>
            <w:pPr>
              <w:spacing w:after="0" w:line="240" w:lineRule="auto"/>
              <w:ind w:left="567" w:hanging="567"/>
              <w:jc w:val="center"/>
              <w:rPr>
                <w:rFonts w:ascii="Arial" w:eastAsia="Times New Roman" w:hAnsi="Arial" w:cs="Arial"/>
                <w:color w:val="000000"/>
                <w:sz w:val="20"/>
                <w:szCs w:val="20"/>
                <w:lang w:val="es-AR" w:eastAsia="es-AR"/>
              </w:rPr>
            </w:pPr>
            <w:r>
              <w:rPr>
                <w:rFonts w:ascii="Arial" w:eastAsia="Times New Roman" w:hAnsi="Arial" w:cs="Arial"/>
                <w:color w:val="000000"/>
                <w:sz w:val="20"/>
                <w:szCs w:val="20"/>
                <w:lang w:val="es-AR" w:eastAsia="es-AR"/>
              </w:rPr>
              <w:t>39.566.974</w:t>
            </w:r>
          </w:p>
        </w:tc>
        <w:tc>
          <w:tcPr>
            <w:tcW w:w="703" w:type="dxa"/>
            <w:tcBorders>
              <w:top w:val="nil"/>
              <w:left w:val="nil"/>
              <w:bottom w:val="single" w:sz="8" w:space="0" w:color="auto"/>
              <w:right w:val="single" w:sz="8" w:space="0" w:color="auto"/>
            </w:tcBorders>
            <w:shd w:val="clear" w:color="auto" w:fill="auto"/>
            <w:vAlign w:val="center"/>
            <w:hideMark/>
          </w:tcPr>
          <w:p>
            <w:pPr>
              <w:spacing w:after="0" w:line="240" w:lineRule="auto"/>
              <w:ind w:left="567" w:hanging="567"/>
              <w:jc w:val="center"/>
              <w:rPr>
                <w:rFonts w:ascii="Arial" w:eastAsia="Times New Roman" w:hAnsi="Arial" w:cs="Arial"/>
                <w:color w:val="000000"/>
                <w:sz w:val="20"/>
                <w:szCs w:val="20"/>
                <w:lang w:val="es-AR" w:eastAsia="es-AR"/>
              </w:rPr>
            </w:pPr>
            <w:r>
              <w:rPr>
                <w:rFonts w:ascii="Arial" w:eastAsia="Times New Roman" w:hAnsi="Arial" w:cs="Arial"/>
                <w:color w:val="000000"/>
                <w:sz w:val="20"/>
                <w:szCs w:val="20"/>
                <w:lang w:val="es-AR" w:eastAsia="es-AR"/>
              </w:rPr>
              <w:t>41%</w:t>
            </w:r>
          </w:p>
        </w:tc>
      </w:tr>
      <w:tr>
        <w:trPr>
          <w:trHeight w:val="330"/>
          <w:jc w:val="center"/>
        </w:trPr>
        <w:tc>
          <w:tcPr>
            <w:tcW w:w="1500" w:type="dxa"/>
            <w:tcBorders>
              <w:top w:val="nil"/>
              <w:left w:val="single" w:sz="8" w:space="0" w:color="auto"/>
              <w:bottom w:val="single" w:sz="8" w:space="0" w:color="auto"/>
              <w:right w:val="single" w:sz="8" w:space="0" w:color="auto"/>
            </w:tcBorders>
            <w:shd w:val="clear" w:color="auto" w:fill="auto"/>
            <w:vAlign w:val="center"/>
            <w:hideMark/>
          </w:tcPr>
          <w:p>
            <w:pPr>
              <w:spacing w:after="0" w:line="240" w:lineRule="auto"/>
              <w:ind w:left="567" w:hanging="567"/>
              <w:rPr>
                <w:rFonts w:ascii="Arial" w:eastAsia="Times New Roman" w:hAnsi="Arial" w:cs="Arial"/>
                <w:color w:val="000000"/>
                <w:sz w:val="20"/>
                <w:szCs w:val="20"/>
                <w:lang w:val="es-AR" w:eastAsia="es-AR"/>
              </w:rPr>
            </w:pPr>
            <w:r>
              <w:rPr>
                <w:rFonts w:ascii="Arial" w:eastAsia="Times New Roman" w:hAnsi="Arial" w:cs="Arial"/>
                <w:color w:val="000000"/>
                <w:sz w:val="20"/>
                <w:szCs w:val="20"/>
                <w:lang w:val="es-AR" w:eastAsia="es-AR"/>
              </w:rPr>
              <w:t>Año 3</w:t>
            </w:r>
          </w:p>
        </w:tc>
        <w:tc>
          <w:tcPr>
            <w:tcW w:w="2157" w:type="dxa"/>
            <w:tcBorders>
              <w:top w:val="nil"/>
              <w:left w:val="nil"/>
              <w:bottom w:val="single" w:sz="8" w:space="0" w:color="auto"/>
              <w:right w:val="single" w:sz="8" w:space="0" w:color="auto"/>
            </w:tcBorders>
            <w:shd w:val="clear" w:color="auto" w:fill="auto"/>
            <w:vAlign w:val="center"/>
            <w:hideMark/>
          </w:tcPr>
          <w:p>
            <w:pPr>
              <w:spacing w:after="0" w:line="240" w:lineRule="auto"/>
              <w:ind w:left="567" w:hanging="567"/>
              <w:jc w:val="center"/>
              <w:rPr>
                <w:rFonts w:ascii="Arial" w:eastAsia="Times New Roman" w:hAnsi="Arial" w:cs="Arial"/>
                <w:color w:val="000000"/>
                <w:sz w:val="20"/>
                <w:szCs w:val="20"/>
                <w:lang w:val="es-AR" w:eastAsia="es-AR"/>
              </w:rPr>
            </w:pPr>
            <w:r>
              <w:rPr>
                <w:rFonts w:ascii="Arial" w:eastAsia="Times New Roman" w:hAnsi="Arial" w:cs="Arial"/>
                <w:color w:val="000000"/>
                <w:sz w:val="20"/>
                <w:szCs w:val="20"/>
                <w:lang w:val="es-AR" w:eastAsia="es-AR"/>
              </w:rPr>
              <w:t>25.794.886</w:t>
            </w:r>
          </w:p>
        </w:tc>
        <w:tc>
          <w:tcPr>
            <w:tcW w:w="703" w:type="dxa"/>
            <w:tcBorders>
              <w:top w:val="nil"/>
              <w:left w:val="nil"/>
              <w:bottom w:val="single" w:sz="8" w:space="0" w:color="auto"/>
              <w:right w:val="single" w:sz="8" w:space="0" w:color="auto"/>
            </w:tcBorders>
            <w:shd w:val="clear" w:color="auto" w:fill="auto"/>
            <w:vAlign w:val="center"/>
            <w:hideMark/>
          </w:tcPr>
          <w:p>
            <w:pPr>
              <w:spacing w:after="0" w:line="240" w:lineRule="auto"/>
              <w:ind w:left="567" w:hanging="567"/>
              <w:jc w:val="center"/>
              <w:rPr>
                <w:rFonts w:ascii="Arial" w:eastAsia="Times New Roman" w:hAnsi="Arial" w:cs="Arial"/>
                <w:color w:val="000000"/>
                <w:sz w:val="20"/>
                <w:szCs w:val="20"/>
                <w:lang w:val="es-AR" w:eastAsia="es-AR"/>
              </w:rPr>
            </w:pPr>
            <w:r>
              <w:rPr>
                <w:rFonts w:ascii="Arial" w:eastAsia="Times New Roman" w:hAnsi="Arial" w:cs="Arial"/>
                <w:color w:val="000000"/>
                <w:sz w:val="20"/>
                <w:szCs w:val="20"/>
                <w:lang w:val="es-AR" w:eastAsia="es-AR"/>
              </w:rPr>
              <w:t>27%</w:t>
            </w:r>
          </w:p>
        </w:tc>
      </w:tr>
      <w:tr>
        <w:trPr>
          <w:trHeight w:val="330"/>
          <w:jc w:val="center"/>
        </w:trPr>
        <w:tc>
          <w:tcPr>
            <w:tcW w:w="1500" w:type="dxa"/>
            <w:tcBorders>
              <w:top w:val="nil"/>
              <w:left w:val="single" w:sz="8" w:space="0" w:color="auto"/>
              <w:bottom w:val="single" w:sz="8" w:space="0" w:color="auto"/>
              <w:right w:val="single" w:sz="8" w:space="0" w:color="auto"/>
            </w:tcBorders>
            <w:shd w:val="clear" w:color="auto" w:fill="auto"/>
            <w:vAlign w:val="center"/>
            <w:hideMark/>
          </w:tcPr>
          <w:p>
            <w:pPr>
              <w:spacing w:after="0" w:line="240" w:lineRule="auto"/>
              <w:ind w:left="567" w:hanging="567"/>
              <w:rPr>
                <w:rFonts w:ascii="Arial" w:eastAsia="Times New Roman" w:hAnsi="Arial" w:cs="Arial"/>
                <w:color w:val="000000"/>
                <w:sz w:val="20"/>
                <w:szCs w:val="20"/>
                <w:lang w:val="es-AR" w:eastAsia="es-AR"/>
              </w:rPr>
            </w:pPr>
            <w:r>
              <w:rPr>
                <w:rFonts w:ascii="Arial" w:eastAsia="Times New Roman" w:hAnsi="Arial" w:cs="Arial"/>
                <w:color w:val="000000"/>
                <w:sz w:val="20"/>
                <w:szCs w:val="20"/>
                <w:lang w:val="es-AR" w:eastAsia="es-AR"/>
              </w:rPr>
              <w:t>Año 4</w:t>
            </w:r>
          </w:p>
        </w:tc>
        <w:tc>
          <w:tcPr>
            <w:tcW w:w="2157" w:type="dxa"/>
            <w:tcBorders>
              <w:top w:val="nil"/>
              <w:left w:val="nil"/>
              <w:bottom w:val="single" w:sz="8" w:space="0" w:color="auto"/>
              <w:right w:val="single" w:sz="8" w:space="0" w:color="auto"/>
            </w:tcBorders>
            <w:shd w:val="clear" w:color="auto" w:fill="auto"/>
            <w:vAlign w:val="center"/>
            <w:hideMark/>
          </w:tcPr>
          <w:p>
            <w:pPr>
              <w:spacing w:after="0" w:line="240" w:lineRule="auto"/>
              <w:ind w:left="567" w:hanging="567"/>
              <w:jc w:val="center"/>
              <w:rPr>
                <w:rFonts w:ascii="Arial" w:eastAsia="Times New Roman" w:hAnsi="Arial" w:cs="Arial"/>
                <w:color w:val="000000"/>
                <w:sz w:val="20"/>
                <w:szCs w:val="20"/>
                <w:lang w:val="es-AR" w:eastAsia="es-AR"/>
              </w:rPr>
            </w:pPr>
            <w:r>
              <w:rPr>
                <w:rFonts w:ascii="Arial" w:eastAsia="Times New Roman" w:hAnsi="Arial" w:cs="Arial"/>
                <w:color w:val="000000"/>
                <w:sz w:val="20"/>
                <w:szCs w:val="20"/>
                <w:lang w:val="es-AR" w:eastAsia="es-AR"/>
              </w:rPr>
              <w:t>9.938.458</w:t>
            </w:r>
          </w:p>
        </w:tc>
        <w:tc>
          <w:tcPr>
            <w:tcW w:w="703" w:type="dxa"/>
            <w:tcBorders>
              <w:top w:val="nil"/>
              <w:left w:val="nil"/>
              <w:bottom w:val="single" w:sz="8" w:space="0" w:color="auto"/>
              <w:right w:val="single" w:sz="8" w:space="0" w:color="auto"/>
            </w:tcBorders>
            <w:shd w:val="clear" w:color="auto" w:fill="auto"/>
            <w:vAlign w:val="center"/>
            <w:hideMark/>
          </w:tcPr>
          <w:p>
            <w:pPr>
              <w:spacing w:after="0" w:line="240" w:lineRule="auto"/>
              <w:ind w:left="567" w:hanging="567"/>
              <w:jc w:val="center"/>
              <w:rPr>
                <w:rFonts w:ascii="Arial" w:eastAsia="Times New Roman" w:hAnsi="Arial" w:cs="Arial"/>
                <w:color w:val="000000"/>
                <w:sz w:val="20"/>
                <w:szCs w:val="20"/>
                <w:lang w:val="es-AR" w:eastAsia="es-AR"/>
              </w:rPr>
            </w:pPr>
            <w:r>
              <w:rPr>
                <w:rFonts w:ascii="Arial" w:eastAsia="Times New Roman" w:hAnsi="Arial" w:cs="Arial"/>
                <w:color w:val="000000"/>
                <w:sz w:val="20"/>
                <w:szCs w:val="20"/>
                <w:lang w:val="es-AR" w:eastAsia="es-AR"/>
              </w:rPr>
              <w:t>10%</w:t>
            </w:r>
          </w:p>
        </w:tc>
      </w:tr>
      <w:tr>
        <w:trPr>
          <w:trHeight w:val="330"/>
          <w:jc w:val="center"/>
        </w:trPr>
        <w:tc>
          <w:tcPr>
            <w:tcW w:w="1500" w:type="dxa"/>
            <w:tcBorders>
              <w:top w:val="nil"/>
              <w:left w:val="single" w:sz="8" w:space="0" w:color="auto"/>
              <w:bottom w:val="single" w:sz="8" w:space="0" w:color="auto"/>
              <w:right w:val="single" w:sz="8" w:space="0" w:color="auto"/>
            </w:tcBorders>
            <w:shd w:val="clear" w:color="auto" w:fill="auto"/>
            <w:vAlign w:val="center"/>
            <w:hideMark/>
          </w:tcPr>
          <w:p>
            <w:pPr>
              <w:spacing w:after="0" w:line="240" w:lineRule="auto"/>
              <w:ind w:left="567" w:hanging="567"/>
              <w:rPr>
                <w:rFonts w:ascii="Arial" w:eastAsia="Times New Roman" w:hAnsi="Arial" w:cs="Arial"/>
                <w:color w:val="000000"/>
                <w:sz w:val="20"/>
                <w:szCs w:val="20"/>
                <w:lang w:val="es-AR" w:eastAsia="es-AR"/>
              </w:rPr>
            </w:pPr>
            <w:r>
              <w:rPr>
                <w:rFonts w:ascii="Arial" w:eastAsia="Times New Roman" w:hAnsi="Arial" w:cs="Arial"/>
                <w:color w:val="000000"/>
                <w:sz w:val="20"/>
                <w:szCs w:val="20"/>
                <w:lang w:val="es-AR" w:eastAsia="es-AR"/>
              </w:rPr>
              <w:t>Año 5</w:t>
            </w:r>
          </w:p>
        </w:tc>
        <w:tc>
          <w:tcPr>
            <w:tcW w:w="2157" w:type="dxa"/>
            <w:tcBorders>
              <w:top w:val="nil"/>
              <w:left w:val="nil"/>
              <w:bottom w:val="single" w:sz="8" w:space="0" w:color="auto"/>
              <w:right w:val="single" w:sz="8" w:space="0" w:color="auto"/>
            </w:tcBorders>
            <w:shd w:val="clear" w:color="auto" w:fill="auto"/>
            <w:vAlign w:val="center"/>
            <w:hideMark/>
          </w:tcPr>
          <w:p>
            <w:pPr>
              <w:spacing w:after="0" w:line="240" w:lineRule="auto"/>
              <w:ind w:left="567" w:hanging="567"/>
              <w:jc w:val="center"/>
              <w:rPr>
                <w:rFonts w:ascii="Arial" w:eastAsia="Times New Roman" w:hAnsi="Arial" w:cs="Arial"/>
                <w:color w:val="000000"/>
                <w:sz w:val="20"/>
                <w:szCs w:val="20"/>
                <w:lang w:val="es-AR" w:eastAsia="es-AR"/>
              </w:rPr>
            </w:pPr>
            <w:r>
              <w:rPr>
                <w:rFonts w:ascii="Arial" w:eastAsia="Times New Roman" w:hAnsi="Arial" w:cs="Arial"/>
                <w:color w:val="000000"/>
                <w:sz w:val="20"/>
                <w:szCs w:val="20"/>
                <w:lang w:val="es-AR" w:eastAsia="es-AR"/>
              </w:rPr>
              <w:t>1.850.000</w:t>
            </w:r>
          </w:p>
        </w:tc>
        <w:tc>
          <w:tcPr>
            <w:tcW w:w="703" w:type="dxa"/>
            <w:tcBorders>
              <w:top w:val="nil"/>
              <w:left w:val="nil"/>
              <w:bottom w:val="single" w:sz="8" w:space="0" w:color="auto"/>
              <w:right w:val="single" w:sz="8" w:space="0" w:color="auto"/>
            </w:tcBorders>
            <w:shd w:val="clear" w:color="auto" w:fill="auto"/>
            <w:vAlign w:val="center"/>
            <w:hideMark/>
          </w:tcPr>
          <w:p>
            <w:pPr>
              <w:spacing w:after="0" w:line="240" w:lineRule="auto"/>
              <w:ind w:left="567" w:hanging="567"/>
              <w:jc w:val="center"/>
              <w:rPr>
                <w:rFonts w:ascii="Arial" w:eastAsia="Times New Roman" w:hAnsi="Arial" w:cs="Arial"/>
                <w:color w:val="000000"/>
                <w:sz w:val="20"/>
                <w:szCs w:val="20"/>
                <w:lang w:val="es-AR" w:eastAsia="es-AR"/>
              </w:rPr>
            </w:pPr>
            <w:r>
              <w:rPr>
                <w:rFonts w:ascii="Arial" w:eastAsia="Times New Roman" w:hAnsi="Arial" w:cs="Arial"/>
                <w:color w:val="000000"/>
                <w:sz w:val="20"/>
                <w:szCs w:val="20"/>
                <w:lang w:val="es-AR" w:eastAsia="es-AR"/>
              </w:rPr>
              <w:t>2%</w:t>
            </w:r>
          </w:p>
        </w:tc>
      </w:tr>
      <w:tr>
        <w:trPr>
          <w:trHeight w:val="330"/>
          <w:jc w:val="center"/>
        </w:trPr>
        <w:tc>
          <w:tcPr>
            <w:tcW w:w="1500" w:type="dxa"/>
            <w:tcBorders>
              <w:top w:val="nil"/>
              <w:left w:val="single" w:sz="8" w:space="0" w:color="auto"/>
              <w:bottom w:val="single" w:sz="8" w:space="0" w:color="auto"/>
              <w:right w:val="single" w:sz="8" w:space="0" w:color="auto"/>
            </w:tcBorders>
            <w:shd w:val="clear" w:color="auto" w:fill="A6A6A6" w:themeFill="background1" w:themeFillShade="A6"/>
            <w:noWrap/>
            <w:vAlign w:val="center"/>
            <w:hideMark/>
          </w:tcPr>
          <w:p>
            <w:pPr>
              <w:spacing w:after="0" w:line="240" w:lineRule="auto"/>
              <w:ind w:left="567" w:hanging="567"/>
              <w:jc w:val="center"/>
              <w:rPr>
                <w:rFonts w:ascii="Arial" w:eastAsia="Times New Roman" w:hAnsi="Arial" w:cs="Arial"/>
                <w:b/>
                <w:bCs/>
                <w:color w:val="000000"/>
                <w:sz w:val="20"/>
                <w:szCs w:val="20"/>
                <w:lang w:val="es-AR" w:eastAsia="es-AR"/>
              </w:rPr>
            </w:pPr>
            <w:r>
              <w:rPr>
                <w:rFonts w:ascii="Arial" w:eastAsia="Times New Roman" w:hAnsi="Arial" w:cs="Arial"/>
                <w:b/>
                <w:bCs/>
                <w:color w:val="000000"/>
                <w:sz w:val="20"/>
                <w:szCs w:val="20"/>
                <w:lang w:val="es-AR" w:eastAsia="es-AR"/>
              </w:rPr>
              <w:t>TOTAL</w:t>
            </w:r>
          </w:p>
        </w:tc>
        <w:tc>
          <w:tcPr>
            <w:tcW w:w="2157" w:type="dxa"/>
            <w:tcBorders>
              <w:top w:val="nil"/>
              <w:left w:val="nil"/>
              <w:bottom w:val="single" w:sz="8" w:space="0" w:color="auto"/>
              <w:right w:val="single" w:sz="8" w:space="0" w:color="auto"/>
            </w:tcBorders>
            <w:shd w:val="clear" w:color="auto" w:fill="A6A6A6" w:themeFill="background1" w:themeFillShade="A6"/>
            <w:vAlign w:val="center"/>
            <w:hideMark/>
          </w:tcPr>
          <w:p>
            <w:pPr>
              <w:spacing w:after="0" w:line="240" w:lineRule="auto"/>
              <w:ind w:left="567" w:hanging="567"/>
              <w:jc w:val="center"/>
              <w:rPr>
                <w:rFonts w:ascii="Arial" w:eastAsia="Times New Roman" w:hAnsi="Arial" w:cs="Arial"/>
                <w:b/>
                <w:bCs/>
                <w:color w:val="000000"/>
                <w:sz w:val="20"/>
                <w:szCs w:val="20"/>
                <w:lang w:val="es-AR" w:eastAsia="es-AR"/>
              </w:rPr>
            </w:pPr>
            <w:r>
              <w:rPr>
                <w:rFonts w:ascii="Arial" w:eastAsia="Times New Roman" w:hAnsi="Arial" w:cs="Arial"/>
                <w:b/>
                <w:bCs/>
                <w:color w:val="000000"/>
                <w:sz w:val="20"/>
                <w:szCs w:val="20"/>
                <w:lang w:val="es-AR" w:eastAsia="es-AR"/>
              </w:rPr>
              <w:t>96.159.120</w:t>
            </w:r>
          </w:p>
        </w:tc>
        <w:tc>
          <w:tcPr>
            <w:tcW w:w="703" w:type="dxa"/>
            <w:tcBorders>
              <w:top w:val="nil"/>
              <w:left w:val="nil"/>
              <w:bottom w:val="single" w:sz="8" w:space="0" w:color="auto"/>
              <w:right w:val="single" w:sz="8" w:space="0" w:color="auto"/>
            </w:tcBorders>
            <w:shd w:val="clear" w:color="auto" w:fill="A6A6A6" w:themeFill="background1" w:themeFillShade="A6"/>
            <w:vAlign w:val="center"/>
            <w:hideMark/>
          </w:tcPr>
          <w:p>
            <w:pPr>
              <w:spacing w:after="0" w:line="240" w:lineRule="auto"/>
              <w:ind w:left="567" w:hanging="567"/>
              <w:jc w:val="center"/>
              <w:rPr>
                <w:rFonts w:ascii="Arial" w:eastAsia="Times New Roman" w:hAnsi="Arial" w:cs="Arial"/>
                <w:b/>
                <w:bCs/>
                <w:color w:val="000000"/>
                <w:sz w:val="20"/>
                <w:szCs w:val="20"/>
                <w:lang w:val="es-AR" w:eastAsia="es-AR"/>
              </w:rPr>
            </w:pPr>
            <w:r>
              <w:rPr>
                <w:rFonts w:ascii="Arial" w:eastAsia="Times New Roman" w:hAnsi="Arial" w:cs="Arial"/>
                <w:b/>
                <w:bCs/>
                <w:color w:val="000000"/>
                <w:sz w:val="20"/>
                <w:szCs w:val="20"/>
                <w:lang w:val="es-AR" w:eastAsia="es-AR"/>
              </w:rPr>
              <w:t>100%</w:t>
            </w:r>
          </w:p>
        </w:tc>
      </w:tr>
    </w:tbl>
    <w:p>
      <w:pPr>
        <w:ind w:left="567" w:hanging="567"/>
        <w:jc w:val="center"/>
        <w:rPr>
          <w:rFonts w:ascii="Arial" w:hAnsi="Arial" w:cs="Arial"/>
          <w:bCs/>
          <w:sz w:val="20"/>
          <w:szCs w:val="20"/>
          <w:lang w:val="es-AR"/>
        </w:rPr>
      </w:pPr>
      <w:r>
        <w:rPr>
          <w:rFonts w:ascii="Arial" w:hAnsi="Arial" w:cs="Arial"/>
          <w:bCs/>
          <w:sz w:val="20"/>
          <w:szCs w:val="20"/>
          <w:lang w:val="es-AR"/>
        </w:rPr>
        <w:t xml:space="preserve">Fuente: </w:t>
      </w:r>
      <w:r>
        <w:rPr>
          <w:rFonts w:ascii="Arial" w:hAnsi="Arial" w:cs="Arial"/>
          <w:b/>
          <w:bCs/>
          <w:sz w:val="20"/>
          <w:szCs w:val="20"/>
          <w:lang w:val="es-AR"/>
        </w:rPr>
        <w:t>Matriz de Financiamiento del Programa expresada a costos sociales</w:t>
      </w:r>
    </w:p>
    <w:p>
      <w:pPr>
        <w:pStyle w:val="Heading2"/>
        <w:ind w:left="0"/>
        <w:rPr>
          <w:rFonts w:ascii="Arial" w:hAnsi="Arial" w:cs="Arial"/>
          <w:lang w:val="es-AR"/>
        </w:rPr>
      </w:pPr>
      <w:bookmarkStart w:id="7" w:name="_Toc499930012"/>
      <w:r>
        <w:rPr>
          <w:rFonts w:ascii="Arial" w:hAnsi="Arial" w:cs="Arial"/>
          <w:lang w:val="es-AR"/>
        </w:rPr>
        <w:t>Beneficios Económicos.</w:t>
      </w:r>
      <w:bookmarkEnd w:id="7"/>
    </w:p>
    <w:p>
      <w:pPr>
        <w:spacing w:after="0" w:line="240" w:lineRule="auto"/>
        <w:ind w:left="567" w:hanging="567"/>
        <w:jc w:val="both"/>
        <w:rPr>
          <w:rFonts w:ascii="Arial" w:eastAsia="Times New Roman" w:hAnsi="Arial" w:cs="Arial"/>
          <w:bCs/>
          <w:sz w:val="24"/>
          <w:szCs w:val="24"/>
          <w:lang w:val="es-AR"/>
        </w:rPr>
      </w:pPr>
    </w:p>
    <w:p>
      <w:pPr>
        <w:pStyle w:val="ListParagraph"/>
        <w:numPr>
          <w:ilvl w:val="1"/>
          <w:numId w:val="12"/>
        </w:numPr>
        <w:spacing w:after="0" w:line="240" w:lineRule="auto"/>
        <w:ind w:left="567" w:hanging="567"/>
        <w:jc w:val="both"/>
        <w:rPr>
          <w:rFonts w:ascii="Arial" w:eastAsia="Times New Roman" w:hAnsi="Arial" w:cs="Arial"/>
          <w:bCs/>
          <w:sz w:val="24"/>
          <w:szCs w:val="24"/>
          <w:lang w:val="es-AR"/>
        </w:rPr>
      </w:pPr>
      <w:r>
        <w:rPr>
          <w:rFonts w:ascii="Arial" w:eastAsia="Times New Roman" w:hAnsi="Arial" w:cs="Arial"/>
          <w:bCs/>
          <w:sz w:val="24"/>
          <w:szCs w:val="24"/>
          <w:lang w:val="es-AR"/>
        </w:rPr>
        <w:t>Se consideraron dos indicadores: uno asociado al Indicador de Impacto del Programa y otro asociado a uno de los Indicadores de Resultado. Para evaluar la rentabilidad de las intervenciones, se planteó como Beneficio 1 (B</w:t>
      </w:r>
      <w:r>
        <w:rPr>
          <w:rFonts w:ascii="Arial" w:eastAsia="Times New Roman" w:hAnsi="Arial" w:cs="Arial"/>
          <w:bCs/>
          <w:sz w:val="24"/>
          <w:szCs w:val="24"/>
          <w:vertAlign w:val="subscript"/>
          <w:lang w:val="es-AR"/>
        </w:rPr>
        <w:t>1</w:t>
      </w:r>
      <w:r>
        <w:rPr>
          <w:rFonts w:ascii="Arial" w:eastAsia="Times New Roman" w:hAnsi="Arial" w:cs="Arial"/>
          <w:bCs/>
          <w:sz w:val="24"/>
          <w:szCs w:val="24"/>
          <w:lang w:val="es-AR"/>
        </w:rPr>
        <w:t>) “c</w:t>
      </w:r>
      <w:r>
        <w:rPr>
          <w:rFonts w:ascii="Arial" w:hAnsi="Arial" w:cs="Arial"/>
          <w:i/>
          <w:sz w:val="24"/>
          <w:szCs w:val="24"/>
          <w:lang w:val="es-ES"/>
        </w:rPr>
        <w:t>ontribuir a la reducción del déficit primario con un incremento en la recaudación realizada por AFIP”</w:t>
      </w:r>
      <w:r>
        <w:rPr>
          <w:rFonts w:ascii="Arial" w:hAnsi="Arial" w:cs="Arial"/>
          <w:sz w:val="24"/>
          <w:szCs w:val="24"/>
          <w:lang w:val="es-ES"/>
        </w:rPr>
        <w:t xml:space="preserve"> y como Beneficio 2 (B</w:t>
      </w:r>
      <w:r>
        <w:rPr>
          <w:rFonts w:ascii="Arial" w:hAnsi="Arial" w:cs="Arial"/>
          <w:sz w:val="24"/>
          <w:szCs w:val="24"/>
          <w:vertAlign w:val="subscript"/>
          <w:lang w:val="es-ES"/>
        </w:rPr>
        <w:t>2</w:t>
      </w:r>
      <w:r>
        <w:rPr>
          <w:rFonts w:ascii="Arial" w:hAnsi="Arial" w:cs="Arial"/>
          <w:sz w:val="24"/>
          <w:szCs w:val="24"/>
          <w:lang w:val="es-ES"/>
        </w:rPr>
        <w:t>) “</w:t>
      </w:r>
      <w:r>
        <w:rPr>
          <w:rFonts w:ascii="Arial" w:hAnsi="Arial" w:cs="Arial"/>
          <w:i/>
          <w:sz w:val="24"/>
          <w:szCs w:val="24"/>
          <w:lang w:val="es-ES"/>
        </w:rPr>
        <w:t>reducir los controles asociados a operaciones aduaneras por canal rojo de selectividad”</w:t>
      </w:r>
      <w:r>
        <w:rPr>
          <w:rFonts w:ascii="Arial" w:eastAsia="Times New Roman" w:hAnsi="Arial" w:cs="Arial"/>
          <w:bCs/>
          <w:sz w:val="24"/>
          <w:szCs w:val="24"/>
          <w:lang w:val="es-AR"/>
        </w:rPr>
        <w:t>.</w:t>
      </w:r>
    </w:p>
    <w:p>
      <w:pPr>
        <w:pStyle w:val="ListParagraph"/>
        <w:spacing w:after="0" w:line="240" w:lineRule="auto"/>
        <w:ind w:left="567" w:hanging="567"/>
        <w:jc w:val="both"/>
        <w:rPr>
          <w:rFonts w:ascii="Arial" w:eastAsia="Times New Roman" w:hAnsi="Arial" w:cs="Arial"/>
          <w:bCs/>
          <w:sz w:val="24"/>
          <w:szCs w:val="24"/>
          <w:lang w:val="es-AR"/>
        </w:rPr>
      </w:pPr>
    </w:p>
    <w:p>
      <w:pPr>
        <w:pStyle w:val="ListParagraph"/>
        <w:numPr>
          <w:ilvl w:val="1"/>
          <w:numId w:val="12"/>
        </w:numPr>
        <w:spacing w:after="0" w:line="240" w:lineRule="auto"/>
        <w:ind w:left="567" w:hanging="567"/>
        <w:jc w:val="both"/>
        <w:rPr>
          <w:rFonts w:ascii="Arial" w:eastAsia="Times New Roman" w:hAnsi="Arial" w:cs="Arial"/>
          <w:bCs/>
          <w:sz w:val="24"/>
          <w:szCs w:val="24"/>
          <w:lang w:val="es-AR"/>
        </w:rPr>
      </w:pPr>
      <w:r>
        <w:rPr>
          <w:rFonts w:ascii="Arial" w:eastAsia="Times New Roman" w:hAnsi="Arial" w:cs="Arial"/>
          <w:bCs/>
          <w:sz w:val="24"/>
          <w:szCs w:val="24"/>
          <w:lang w:val="es-AR"/>
        </w:rPr>
        <w:lastRenderedPageBreak/>
        <w:t>Para proyectar los beneficios en el tiempo, se recurrió a las fuentes oficiales de información. Se proyectó la recaudación normalizada sobre la base de información tributaria del último año disponible, datos referidos a las operaciones de comercio exterior para el año 2016 y primer semestre del 2017 sobre informes oficiales de la AFIP y estadísticas del PBI proyectado para el periodo bajo evaluación.</w:t>
      </w:r>
    </w:p>
    <w:p>
      <w:pPr>
        <w:pStyle w:val="ListParagraph"/>
        <w:ind w:left="567" w:hanging="567"/>
        <w:rPr>
          <w:rFonts w:ascii="Arial" w:eastAsia="Times New Roman" w:hAnsi="Arial" w:cs="Arial"/>
          <w:bCs/>
          <w:sz w:val="24"/>
          <w:szCs w:val="24"/>
          <w:lang w:val="es-AR"/>
        </w:rPr>
      </w:pPr>
    </w:p>
    <w:p>
      <w:pPr>
        <w:pStyle w:val="ListParagraph"/>
        <w:numPr>
          <w:ilvl w:val="1"/>
          <w:numId w:val="12"/>
        </w:numPr>
        <w:spacing w:after="0" w:line="240" w:lineRule="auto"/>
        <w:ind w:left="567" w:hanging="567"/>
        <w:jc w:val="both"/>
        <w:rPr>
          <w:rFonts w:ascii="Arial" w:eastAsia="Times New Roman" w:hAnsi="Arial" w:cs="Arial"/>
          <w:bCs/>
          <w:sz w:val="24"/>
          <w:szCs w:val="24"/>
          <w:lang w:val="es-AR"/>
        </w:rPr>
      </w:pPr>
      <w:r>
        <w:rPr>
          <w:rFonts w:ascii="Arial" w:eastAsia="Times New Roman" w:hAnsi="Arial" w:cs="Arial"/>
          <w:bCs/>
          <w:sz w:val="24"/>
          <w:szCs w:val="24"/>
          <w:lang w:val="es-AR"/>
        </w:rPr>
        <w:t>Para los B</w:t>
      </w:r>
      <w:r>
        <w:rPr>
          <w:rFonts w:ascii="Arial" w:eastAsia="Times New Roman" w:hAnsi="Arial" w:cs="Arial"/>
          <w:bCs/>
          <w:sz w:val="24"/>
          <w:szCs w:val="24"/>
          <w:vertAlign w:val="subscript"/>
          <w:lang w:val="es-AR"/>
        </w:rPr>
        <w:t xml:space="preserve">1, </w:t>
      </w:r>
      <w:r>
        <w:rPr>
          <w:rFonts w:ascii="Arial" w:eastAsia="Times New Roman" w:hAnsi="Arial" w:cs="Arial"/>
          <w:bCs/>
          <w:sz w:val="24"/>
          <w:szCs w:val="24"/>
          <w:lang w:val="es-AR"/>
        </w:rPr>
        <w:t xml:space="preserve">para estimar la situación “con programa”, se supuso que una reducción en la evasión del IVA (sin incluir otros impuestos ni contribuciones) genera un incremento en la recaudación. Se trabajó bajo una situación muy conservadora en donde la evasión se reduce en un 0,02%. La situación “con programa” espera generar una recaudación adicional por la diminución en la evasión del impuesto. Por otro lado, se supone que la reducción de la evasión se mantendrá constante en el tiempo. Bajo esta situación se espera que el efecto sea gradual, en donde recién en el período </w:t>
      </w:r>
      <w:r>
        <w:rPr>
          <w:rFonts w:ascii="Arial" w:eastAsia="Times New Roman" w:hAnsi="Arial" w:cs="Arial"/>
          <w:bCs/>
          <w:i/>
          <w:sz w:val="24"/>
          <w:szCs w:val="24"/>
          <w:lang w:val="es-AR"/>
        </w:rPr>
        <w:t>t+2</w:t>
      </w:r>
      <w:r>
        <w:rPr>
          <w:rFonts w:ascii="Arial" w:eastAsia="Times New Roman" w:hAnsi="Arial" w:cs="Arial"/>
          <w:bCs/>
          <w:sz w:val="24"/>
          <w:szCs w:val="24"/>
          <w:lang w:val="es-AR"/>
        </w:rPr>
        <w:t xml:space="preserve"> se observará el primer impacto.</w:t>
      </w:r>
    </w:p>
    <w:p>
      <w:pPr>
        <w:pStyle w:val="ListParagraph"/>
        <w:ind w:left="567" w:hanging="567"/>
        <w:jc w:val="both"/>
        <w:rPr>
          <w:rFonts w:ascii="Arial" w:hAnsi="Arial" w:cs="Arial"/>
          <w:lang w:val="es-AR"/>
        </w:rPr>
      </w:pPr>
    </w:p>
    <w:p>
      <w:pPr>
        <w:pStyle w:val="ListParagraph"/>
        <w:numPr>
          <w:ilvl w:val="1"/>
          <w:numId w:val="12"/>
        </w:numPr>
        <w:spacing w:after="0" w:line="240" w:lineRule="auto"/>
        <w:ind w:left="567" w:hanging="567"/>
        <w:jc w:val="both"/>
        <w:rPr>
          <w:rFonts w:ascii="Arial" w:eastAsia="Times New Roman" w:hAnsi="Arial" w:cs="Arial"/>
          <w:bCs/>
          <w:sz w:val="24"/>
          <w:szCs w:val="24"/>
          <w:lang w:val="es-AR"/>
        </w:rPr>
      </w:pPr>
      <w:r>
        <w:rPr>
          <w:rFonts w:ascii="Arial" w:eastAsia="Times New Roman" w:hAnsi="Arial" w:cs="Arial"/>
          <w:bCs/>
          <w:sz w:val="24"/>
          <w:szCs w:val="24"/>
          <w:lang w:val="es-AR"/>
        </w:rPr>
        <w:t>Formalmente, el flujo de beneficios (B</w:t>
      </w:r>
      <w:r>
        <w:rPr>
          <w:rFonts w:ascii="Arial" w:eastAsia="Times New Roman" w:hAnsi="Arial" w:cs="Arial"/>
          <w:bCs/>
          <w:sz w:val="24"/>
          <w:szCs w:val="24"/>
          <w:vertAlign w:val="subscript"/>
          <w:lang w:val="es-AR"/>
        </w:rPr>
        <w:t>1</w:t>
      </w:r>
      <w:r>
        <w:rPr>
          <w:rFonts w:ascii="Arial" w:eastAsia="Times New Roman" w:hAnsi="Arial" w:cs="Arial"/>
          <w:bCs/>
          <w:sz w:val="24"/>
          <w:szCs w:val="24"/>
          <w:lang w:val="es-AR"/>
        </w:rPr>
        <w:t>) para todo el período bajo análisis viene dado por:</w:t>
      </w:r>
    </w:p>
    <w:p>
      <w:pPr>
        <w:spacing w:after="0" w:line="240" w:lineRule="auto"/>
        <w:ind w:left="567" w:hanging="567"/>
        <w:jc w:val="both"/>
        <w:rPr>
          <w:rFonts w:ascii="Arial" w:eastAsia="Times New Roman" w:hAnsi="Arial" w:cs="Arial"/>
          <w:bCs/>
          <w:sz w:val="24"/>
          <w:szCs w:val="24"/>
          <w:lang w:val="es-AR"/>
        </w:rPr>
      </w:pPr>
    </w:p>
    <w:p>
      <w:pPr>
        <w:pStyle w:val="ListParagraph"/>
        <w:ind w:left="567" w:hanging="567"/>
        <w:jc w:val="center"/>
        <w:rPr>
          <w:rFonts w:ascii="Arial" w:hAnsi="Arial" w:cs="Arial"/>
          <w:bCs/>
          <w:i/>
          <w:sz w:val="28"/>
          <w:szCs w:val="28"/>
          <w:lang w:val="es-AR"/>
        </w:rPr>
      </w:pPr>
      <m:oMathPara>
        <m:oMath>
          <m:sSub>
            <m:sSubPr>
              <m:ctrlPr>
                <w:rPr>
                  <w:rFonts w:ascii="Cambria Math" w:hAnsi="Cambria Math" w:cs="Arial"/>
                  <w:bCs/>
                  <w:i/>
                  <w:sz w:val="24"/>
                  <w:szCs w:val="24"/>
                  <w:lang w:val="es-AR"/>
                </w:rPr>
              </m:ctrlPr>
            </m:sSubPr>
            <m:e>
              <m:r>
                <w:rPr>
                  <w:rFonts w:ascii="Cambria Math" w:hAnsi="Cambria Math" w:cs="Arial"/>
                  <w:sz w:val="24"/>
                  <w:szCs w:val="24"/>
                  <w:lang w:val="es-AR"/>
                </w:rPr>
                <m:t>B</m:t>
              </m:r>
            </m:e>
            <m:sub>
              <m:r>
                <w:rPr>
                  <w:rFonts w:ascii="Cambria Math" w:hAnsi="Cambria Math" w:cs="Arial"/>
                  <w:sz w:val="24"/>
                  <w:szCs w:val="24"/>
                  <w:lang w:val="es-AR"/>
                </w:rPr>
                <m:t>1</m:t>
              </m:r>
            </m:sub>
          </m:sSub>
          <m:r>
            <w:rPr>
              <w:rFonts w:ascii="Cambria Math" w:hAnsi="Cambria Math" w:cs="Arial"/>
              <w:sz w:val="24"/>
              <w:szCs w:val="24"/>
              <w:lang w:val="es-AR"/>
            </w:rPr>
            <m:t>=</m:t>
          </m:r>
          <m:nary>
            <m:naryPr>
              <m:chr m:val="∑"/>
              <m:limLoc m:val="subSup"/>
              <m:ctrlPr>
                <w:rPr>
                  <w:rFonts w:ascii="Cambria Math" w:hAnsi="Cambria Math" w:cs="Arial"/>
                  <w:bCs/>
                  <w:i/>
                  <w:sz w:val="24"/>
                  <w:szCs w:val="24"/>
                  <w:lang w:val="es-AR"/>
                </w:rPr>
              </m:ctrlPr>
            </m:naryPr>
            <m:sub>
              <m:r>
                <w:rPr>
                  <w:rFonts w:ascii="Cambria Math" w:hAnsi="Cambria Math" w:cs="Arial"/>
                  <w:sz w:val="24"/>
                  <w:szCs w:val="24"/>
                  <w:lang w:val="es-AR"/>
                </w:rPr>
                <m:t>t=0</m:t>
              </m:r>
            </m:sub>
            <m:sup>
              <m:r>
                <w:rPr>
                  <w:rFonts w:ascii="Cambria Math" w:hAnsi="Cambria Math" w:cs="Arial"/>
                  <w:sz w:val="24"/>
                  <w:szCs w:val="24"/>
                  <w:lang w:val="es-AR"/>
                </w:rPr>
                <m:t>n</m:t>
              </m:r>
            </m:sup>
            <m:e>
              <m:d>
                <m:dPr>
                  <m:begChr m:val="["/>
                  <m:endChr m:val="]"/>
                  <m:ctrlPr>
                    <w:rPr>
                      <w:rFonts w:ascii="Cambria Math" w:hAnsi="Cambria Math" w:cs="Arial"/>
                      <w:bCs/>
                      <w:i/>
                      <w:sz w:val="24"/>
                      <w:szCs w:val="24"/>
                      <w:lang w:val="es-AR"/>
                    </w:rPr>
                  </m:ctrlPr>
                </m:dPr>
                <m:e>
                  <m:d>
                    <m:dPr>
                      <m:ctrlPr>
                        <w:rPr>
                          <w:rFonts w:ascii="Cambria Math" w:hAnsi="Cambria Math" w:cs="Arial"/>
                          <w:bCs/>
                          <w:i/>
                          <w:sz w:val="24"/>
                          <w:szCs w:val="24"/>
                          <w:lang w:val="es-AR"/>
                        </w:rPr>
                      </m:ctrlPr>
                    </m:dPr>
                    <m:e>
                      <m:sSub>
                        <m:sSubPr>
                          <m:ctrlPr>
                            <w:rPr>
                              <w:rFonts w:ascii="Cambria Math" w:hAnsi="Cambria Math" w:cs="Arial"/>
                              <w:bCs/>
                              <w:i/>
                              <w:sz w:val="24"/>
                              <w:szCs w:val="24"/>
                              <w:lang w:val="es-AR"/>
                            </w:rPr>
                          </m:ctrlPr>
                        </m:sSubPr>
                        <m:e>
                          <m:r>
                            <w:rPr>
                              <w:rFonts w:ascii="Cambria Math" w:hAnsi="Cambria Math" w:cs="Arial"/>
                              <w:sz w:val="24"/>
                              <w:szCs w:val="24"/>
                              <w:lang w:val="es-AR"/>
                            </w:rPr>
                            <m:t>α</m:t>
                          </m:r>
                        </m:e>
                        <m:sub>
                          <m:r>
                            <w:rPr>
                              <w:rFonts w:ascii="Cambria Math" w:hAnsi="Cambria Math" w:cs="Arial"/>
                              <w:sz w:val="24"/>
                              <w:szCs w:val="24"/>
                              <w:lang w:val="es-AR"/>
                            </w:rPr>
                            <m:t>sp</m:t>
                          </m:r>
                        </m:sub>
                      </m:sSub>
                      <m:r>
                        <w:rPr>
                          <w:rFonts w:ascii="Cambria Math" w:hAnsi="Cambria Math" w:cs="Arial"/>
                          <w:sz w:val="24"/>
                          <w:szCs w:val="24"/>
                          <w:lang w:val="es-AR"/>
                        </w:rPr>
                        <m:t>*θ</m:t>
                      </m:r>
                    </m:e>
                  </m:d>
                  <m:r>
                    <w:rPr>
                      <w:rFonts w:ascii="Cambria Math" w:hAnsi="Cambria Math" w:cs="Arial"/>
                      <w:sz w:val="24"/>
                      <w:szCs w:val="24"/>
                      <w:lang w:val="es-AR"/>
                    </w:rPr>
                    <m:t>-</m:t>
                  </m:r>
                  <m:d>
                    <m:dPr>
                      <m:ctrlPr>
                        <w:rPr>
                          <w:rFonts w:ascii="Cambria Math" w:hAnsi="Cambria Math" w:cs="Arial"/>
                          <w:bCs/>
                          <w:i/>
                          <w:sz w:val="24"/>
                          <w:szCs w:val="24"/>
                          <w:lang w:val="es-AR"/>
                        </w:rPr>
                      </m:ctrlPr>
                    </m:dPr>
                    <m:e>
                      <m:sSub>
                        <m:sSubPr>
                          <m:ctrlPr>
                            <w:rPr>
                              <w:rFonts w:ascii="Cambria Math" w:hAnsi="Cambria Math" w:cs="Arial"/>
                              <w:bCs/>
                              <w:i/>
                              <w:sz w:val="24"/>
                              <w:szCs w:val="24"/>
                              <w:lang w:val="es-AR"/>
                            </w:rPr>
                          </m:ctrlPr>
                        </m:sSubPr>
                        <m:e>
                          <m:r>
                            <w:rPr>
                              <w:rFonts w:ascii="Cambria Math" w:hAnsi="Cambria Math" w:cs="Arial"/>
                              <w:sz w:val="24"/>
                              <w:szCs w:val="24"/>
                              <w:lang w:val="es-AR"/>
                            </w:rPr>
                            <m:t>α</m:t>
                          </m:r>
                        </m:e>
                        <m:sub>
                          <m:r>
                            <w:rPr>
                              <w:rFonts w:ascii="Cambria Math" w:hAnsi="Cambria Math" w:cs="Arial"/>
                              <w:sz w:val="24"/>
                              <w:szCs w:val="24"/>
                              <w:lang w:val="es-AR"/>
                            </w:rPr>
                            <m:t>cp</m:t>
                          </m:r>
                        </m:sub>
                      </m:sSub>
                      <m:r>
                        <w:rPr>
                          <w:rFonts w:ascii="Cambria Math" w:hAnsi="Cambria Math" w:cs="Arial"/>
                          <w:sz w:val="24"/>
                          <w:szCs w:val="24"/>
                          <w:lang w:val="es-AR"/>
                        </w:rPr>
                        <m:t>*θ</m:t>
                      </m:r>
                    </m:e>
                  </m:d>
                </m:e>
              </m:d>
            </m:e>
          </m:nary>
        </m:oMath>
      </m:oMathPara>
    </w:p>
    <w:p>
      <w:pPr>
        <w:pStyle w:val="ListParagraph"/>
        <w:spacing w:after="0" w:line="240" w:lineRule="auto"/>
        <w:ind w:left="567" w:hanging="567"/>
        <w:jc w:val="both"/>
        <w:rPr>
          <w:rFonts w:ascii="Arial" w:hAnsi="Arial" w:cs="Arial"/>
          <w:lang w:val="es-AR"/>
        </w:rPr>
      </w:pPr>
    </w:p>
    <w:p>
      <w:pPr>
        <w:pStyle w:val="ListParagraph"/>
        <w:spacing w:after="0" w:line="240" w:lineRule="auto"/>
        <w:ind w:left="567"/>
        <w:jc w:val="both"/>
        <w:rPr>
          <w:rFonts w:ascii="Arial" w:hAnsi="Arial" w:cs="Arial"/>
          <w:sz w:val="24"/>
          <w:szCs w:val="24"/>
          <w:lang w:val="es-AR"/>
        </w:rPr>
      </w:pPr>
      <w:r>
        <w:rPr>
          <w:rFonts w:ascii="Arial" w:hAnsi="Arial" w:cs="Arial"/>
          <w:lang w:val="es-AR"/>
        </w:rPr>
        <w:t>d</w:t>
      </w:r>
      <w:r>
        <w:rPr>
          <w:rFonts w:ascii="Arial" w:hAnsi="Arial" w:cs="Arial"/>
          <w:sz w:val="24"/>
          <w:szCs w:val="24"/>
          <w:lang w:val="es-AR"/>
        </w:rPr>
        <w:t xml:space="preserve">onde, </w:t>
      </w:r>
      <m:oMath>
        <m:sSub>
          <m:sSubPr>
            <m:ctrlPr>
              <w:rPr>
                <w:rFonts w:ascii="Cambria Math" w:hAnsi="Cambria Math" w:cs="Arial"/>
                <w:bCs/>
                <w:i/>
                <w:sz w:val="24"/>
                <w:szCs w:val="24"/>
                <w:lang w:val="es-AR"/>
              </w:rPr>
            </m:ctrlPr>
          </m:sSubPr>
          <m:e>
            <m:r>
              <w:rPr>
                <w:rFonts w:ascii="Cambria Math" w:hAnsi="Cambria Math" w:cs="Arial"/>
                <w:sz w:val="24"/>
                <w:szCs w:val="24"/>
                <w:lang w:val="es-AR"/>
              </w:rPr>
              <m:t>α</m:t>
            </m:r>
          </m:e>
          <m:sub>
            <m:r>
              <w:rPr>
                <w:rFonts w:ascii="Cambria Math" w:hAnsi="Cambria Math" w:cs="Arial"/>
                <w:sz w:val="24"/>
                <w:szCs w:val="24"/>
                <w:lang w:val="es-AR"/>
              </w:rPr>
              <m:t xml:space="preserve"> </m:t>
            </m:r>
          </m:sub>
        </m:sSub>
      </m:oMath>
      <w:r>
        <w:rPr>
          <w:rFonts w:ascii="Arial" w:hAnsi="Arial" w:cs="Arial"/>
          <w:sz w:val="24"/>
          <w:szCs w:val="24"/>
          <w:lang w:val="es-AR"/>
        </w:rPr>
        <w:t xml:space="preserve"> es la tasa de evasión con y sin proyecto respectivamente, θ</w:t>
      </w:r>
      <w:r>
        <w:rPr>
          <w:rFonts w:ascii="Arial" w:hAnsi="Arial" w:cs="Arial"/>
          <w:i/>
          <w:sz w:val="24"/>
          <w:szCs w:val="24"/>
          <w:lang w:val="es-AR"/>
        </w:rPr>
        <w:t xml:space="preserve"> </w:t>
      </w:r>
      <w:r>
        <w:rPr>
          <w:rFonts w:ascii="Arial" w:hAnsi="Arial" w:cs="Arial"/>
          <w:sz w:val="24"/>
          <w:szCs w:val="24"/>
          <w:lang w:val="es-AR"/>
        </w:rPr>
        <w:t xml:space="preserve">es la recaudación del IVA en el período </w:t>
      </w:r>
      <w:r>
        <w:rPr>
          <w:rFonts w:ascii="Arial" w:hAnsi="Arial" w:cs="Arial"/>
          <w:i/>
          <w:sz w:val="24"/>
          <w:szCs w:val="24"/>
          <w:lang w:val="es-AR"/>
        </w:rPr>
        <w:t xml:space="preserve">t </w:t>
      </w:r>
      <w:r>
        <w:rPr>
          <w:rFonts w:ascii="Arial" w:hAnsi="Arial" w:cs="Arial"/>
          <w:sz w:val="24"/>
          <w:szCs w:val="24"/>
          <w:lang w:val="es-AR"/>
        </w:rPr>
        <w:t>considerando que no hay evasión</w:t>
      </w:r>
      <w:r>
        <w:rPr>
          <w:rStyle w:val="FootnoteReference"/>
          <w:rFonts w:ascii="Arial" w:hAnsi="Arial" w:cs="Arial"/>
          <w:sz w:val="24"/>
          <w:szCs w:val="24"/>
          <w:lang w:val="es-AR"/>
        </w:rPr>
        <w:footnoteReference w:id="5"/>
      </w:r>
      <w:r>
        <w:rPr>
          <w:rFonts w:ascii="Arial" w:hAnsi="Arial" w:cs="Arial"/>
          <w:sz w:val="24"/>
          <w:szCs w:val="24"/>
          <w:lang w:val="es-AR"/>
        </w:rPr>
        <w:t>. Los beneficios se calculan como el diferencial en la recaudación entre la situación con proyecto vs sin proyecto.</w:t>
      </w:r>
    </w:p>
    <w:p>
      <w:pPr>
        <w:pStyle w:val="ListParagraph"/>
        <w:spacing w:after="0" w:line="240" w:lineRule="auto"/>
        <w:ind w:left="567" w:hanging="567"/>
        <w:jc w:val="both"/>
        <w:rPr>
          <w:rFonts w:ascii="Arial" w:hAnsi="Arial" w:cs="Arial"/>
          <w:sz w:val="24"/>
          <w:szCs w:val="24"/>
          <w:lang w:val="es-AR"/>
        </w:rPr>
      </w:pPr>
    </w:p>
    <w:p>
      <w:pPr>
        <w:pStyle w:val="ListParagraph"/>
        <w:numPr>
          <w:ilvl w:val="1"/>
          <w:numId w:val="12"/>
        </w:numPr>
        <w:spacing w:after="0" w:line="240" w:lineRule="auto"/>
        <w:ind w:left="567" w:hanging="567"/>
        <w:jc w:val="both"/>
        <w:rPr>
          <w:rFonts w:ascii="Arial" w:eastAsia="Times New Roman" w:hAnsi="Arial" w:cs="Arial"/>
          <w:bCs/>
          <w:sz w:val="24"/>
          <w:szCs w:val="24"/>
          <w:lang w:val="es-AR"/>
        </w:rPr>
      </w:pPr>
      <w:r>
        <w:rPr>
          <w:rFonts w:ascii="Arial" w:eastAsia="Times New Roman" w:hAnsi="Arial" w:cs="Arial"/>
          <w:bCs/>
          <w:sz w:val="24"/>
          <w:szCs w:val="24"/>
          <w:lang w:val="es-AR"/>
        </w:rPr>
        <w:t>En el caso de los B2, la estimación de la situación “con proyecto”, se parte de la base que para el año 2016 se realizaron alrededor de 1,3 millones de operaciones en canales rojos</w:t>
      </w:r>
      <w:r>
        <w:rPr>
          <w:rFonts w:ascii="Arial" w:eastAsia="Times New Roman" w:hAnsi="Arial" w:cs="Arial"/>
          <w:bCs/>
          <w:sz w:val="24"/>
          <w:szCs w:val="24"/>
          <w:vertAlign w:val="superscript"/>
          <w:lang w:val="es-AR"/>
        </w:rPr>
        <w:footnoteReference w:id="6"/>
      </w:r>
      <w:r>
        <w:rPr>
          <w:rFonts w:ascii="Arial" w:eastAsia="Times New Roman" w:hAnsi="Arial" w:cs="Arial"/>
          <w:bCs/>
          <w:sz w:val="24"/>
          <w:szCs w:val="24"/>
          <w:lang w:val="es-AR"/>
        </w:rPr>
        <w:t>. Para ello se pauta un supuesto conservador en donde para el periodo entre 2016 y 2021 se pretende disminuir en 10 puntos porcentuales la cantidad de controles en los canales rojos. Esta operación busca disminuir los costos de control. Formalmente, el flujo de beneficios (B2) para todo el periodo de análisis viene dado por:</w:t>
      </w:r>
    </w:p>
    <w:p>
      <w:pPr>
        <w:widowControl w:val="0"/>
        <w:spacing w:after="0" w:line="240" w:lineRule="auto"/>
        <w:jc w:val="both"/>
        <w:rPr>
          <w:rFonts w:ascii="Arial" w:eastAsia="Times New Roman" w:hAnsi="Arial" w:cs="Arial"/>
          <w:bCs/>
          <w:lang w:val="es-AR"/>
        </w:rPr>
      </w:pPr>
    </w:p>
    <w:p>
      <w:pPr>
        <w:widowControl w:val="0"/>
        <w:spacing w:before="240" w:after="0" w:line="240" w:lineRule="auto"/>
        <w:jc w:val="both"/>
        <w:rPr>
          <w:rFonts w:ascii="Arial" w:eastAsia="Times New Roman" w:hAnsi="Arial" w:cs="Arial"/>
          <w:bCs/>
          <w:sz w:val="24"/>
          <w:szCs w:val="24"/>
          <w:lang w:val="es-AR"/>
        </w:rPr>
      </w:pPr>
      <m:oMathPara>
        <m:oMath>
          <m:sSub>
            <m:sSubPr>
              <m:ctrlPr>
                <w:rPr>
                  <w:rFonts w:ascii="Cambria Math" w:hAnsi="Cambria Math" w:cs="Arial"/>
                  <w:bCs/>
                  <w:i/>
                  <w:sz w:val="24"/>
                  <w:szCs w:val="24"/>
                  <w:lang w:val="es-AR"/>
                </w:rPr>
              </m:ctrlPr>
            </m:sSubPr>
            <m:e>
              <m:r>
                <w:rPr>
                  <w:rFonts w:ascii="Cambria Math" w:hAnsi="Cambria Math" w:cs="Arial"/>
                  <w:sz w:val="24"/>
                  <w:szCs w:val="24"/>
                  <w:lang w:val="es-AR"/>
                </w:rPr>
                <m:t>B</m:t>
              </m:r>
            </m:e>
            <m:sub>
              <m:r>
                <w:rPr>
                  <w:rFonts w:ascii="Cambria Math" w:hAnsi="Cambria Math" w:cs="Arial"/>
                  <w:sz w:val="24"/>
                  <w:szCs w:val="24"/>
                  <w:lang w:val="es-AR"/>
                </w:rPr>
                <m:t>2</m:t>
              </m:r>
            </m:sub>
          </m:sSub>
          <m:r>
            <w:rPr>
              <w:rFonts w:ascii="Cambria Math" w:hAnsi="Cambria Math" w:cs="Arial"/>
              <w:sz w:val="24"/>
              <w:szCs w:val="24"/>
              <w:lang w:val="es-AR"/>
            </w:rPr>
            <m:t>=</m:t>
          </m:r>
          <m:nary>
            <m:naryPr>
              <m:chr m:val="∑"/>
              <m:limLoc m:val="subSup"/>
              <m:ctrlPr>
                <w:rPr>
                  <w:rFonts w:ascii="Cambria Math" w:hAnsi="Cambria Math" w:cs="Arial"/>
                  <w:bCs/>
                  <w:i/>
                  <w:sz w:val="24"/>
                  <w:szCs w:val="24"/>
                  <w:lang w:val="es-AR"/>
                </w:rPr>
              </m:ctrlPr>
            </m:naryPr>
            <m:sub>
              <m:r>
                <w:rPr>
                  <w:rFonts w:ascii="Cambria Math" w:hAnsi="Cambria Math" w:cs="Arial"/>
                  <w:sz w:val="24"/>
                  <w:szCs w:val="24"/>
                  <w:lang w:val="es-AR"/>
                </w:rPr>
                <m:t>t=0</m:t>
              </m:r>
            </m:sub>
            <m:sup>
              <m:r>
                <w:rPr>
                  <w:rFonts w:ascii="Cambria Math" w:hAnsi="Cambria Math" w:cs="Arial"/>
                  <w:sz w:val="24"/>
                  <w:szCs w:val="24"/>
                  <w:lang w:val="es-AR"/>
                </w:rPr>
                <m:t>n</m:t>
              </m:r>
            </m:sup>
            <m:e>
              <m:d>
                <m:dPr>
                  <m:begChr m:val="["/>
                  <m:endChr m:val="]"/>
                  <m:ctrlPr>
                    <w:rPr>
                      <w:rFonts w:ascii="Cambria Math" w:hAnsi="Cambria Math" w:cs="Arial"/>
                      <w:bCs/>
                      <w:i/>
                      <w:sz w:val="24"/>
                      <w:szCs w:val="24"/>
                      <w:lang w:val="es-AR"/>
                    </w:rPr>
                  </m:ctrlPr>
                </m:dPr>
                <m:e>
                  <m:d>
                    <m:dPr>
                      <m:ctrlPr>
                        <w:rPr>
                          <w:rFonts w:ascii="Cambria Math" w:hAnsi="Cambria Math" w:cs="Arial"/>
                          <w:bCs/>
                          <w:i/>
                          <w:sz w:val="24"/>
                          <w:szCs w:val="24"/>
                          <w:lang w:val="es-AR"/>
                        </w:rPr>
                      </m:ctrlPr>
                    </m:dPr>
                    <m:e>
                      <m:sSub>
                        <m:sSubPr>
                          <m:ctrlPr>
                            <w:rPr>
                              <w:rFonts w:ascii="Cambria Math" w:hAnsi="Cambria Math" w:cs="Arial"/>
                              <w:bCs/>
                              <w:i/>
                              <w:sz w:val="24"/>
                              <w:szCs w:val="24"/>
                              <w:lang w:val="es-AR"/>
                            </w:rPr>
                          </m:ctrlPr>
                        </m:sSubPr>
                        <m:e>
                          <m:r>
                            <w:rPr>
                              <w:rFonts w:ascii="Cambria Math" w:hAnsi="Cambria Math" w:cs="Arial"/>
                              <w:sz w:val="24"/>
                              <w:szCs w:val="24"/>
                              <w:lang w:val="es-AR"/>
                            </w:rPr>
                            <m:t>β</m:t>
                          </m:r>
                        </m:e>
                        <m:sub>
                          <m:r>
                            <w:rPr>
                              <w:rFonts w:ascii="Cambria Math" w:hAnsi="Cambria Math" w:cs="Arial"/>
                              <w:sz w:val="24"/>
                              <w:szCs w:val="24"/>
                              <w:lang w:val="es-AR"/>
                            </w:rPr>
                            <m:t>cp</m:t>
                          </m:r>
                        </m:sub>
                      </m:sSub>
                      <m:r>
                        <w:rPr>
                          <w:rFonts w:ascii="Cambria Math" w:hAnsi="Cambria Math" w:cs="Arial"/>
                          <w:sz w:val="24"/>
                          <w:szCs w:val="24"/>
                          <w:lang w:val="es-AR"/>
                        </w:rPr>
                        <m:t>-</m:t>
                      </m:r>
                      <m:sSub>
                        <m:sSubPr>
                          <m:ctrlPr>
                            <w:rPr>
                              <w:rFonts w:ascii="Cambria Math" w:hAnsi="Cambria Math" w:cs="Arial"/>
                              <w:bCs/>
                              <w:i/>
                              <w:sz w:val="24"/>
                              <w:szCs w:val="24"/>
                              <w:lang w:val="es-AR"/>
                            </w:rPr>
                          </m:ctrlPr>
                        </m:sSubPr>
                        <m:e>
                          <m:r>
                            <w:rPr>
                              <w:rFonts w:ascii="Cambria Math" w:hAnsi="Cambria Math" w:cs="Arial"/>
                              <w:sz w:val="24"/>
                              <w:szCs w:val="24"/>
                              <w:lang w:val="es-AR"/>
                            </w:rPr>
                            <m:t>β</m:t>
                          </m:r>
                        </m:e>
                        <m:sub>
                          <m:r>
                            <w:rPr>
                              <w:rFonts w:ascii="Cambria Math" w:hAnsi="Cambria Math" w:cs="Arial"/>
                              <w:sz w:val="24"/>
                              <w:szCs w:val="24"/>
                              <w:lang w:val="es-AR"/>
                            </w:rPr>
                            <m:t>sp</m:t>
                          </m:r>
                        </m:sub>
                      </m:sSub>
                    </m:e>
                  </m:d>
                  <m:r>
                    <w:rPr>
                      <w:rFonts w:ascii="Cambria Math" w:hAnsi="Cambria Math" w:cs="Arial"/>
                      <w:sz w:val="24"/>
                      <w:szCs w:val="24"/>
                      <w:lang w:val="es-AR"/>
                    </w:rPr>
                    <m:t>*δ*η</m:t>
                  </m:r>
                </m:e>
              </m:d>
            </m:e>
          </m:nary>
        </m:oMath>
      </m:oMathPara>
    </w:p>
    <w:p>
      <w:pPr>
        <w:widowControl w:val="0"/>
        <w:spacing w:before="240" w:after="0" w:line="240" w:lineRule="auto"/>
        <w:ind w:left="567"/>
        <w:jc w:val="both"/>
        <w:rPr>
          <w:rFonts w:ascii="Arial" w:eastAsia="Times New Roman" w:hAnsi="Arial" w:cs="Arial"/>
          <w:bCs/>
          <w:sz w:val="24"/>
          <w:szCs w:val="24"/>
          <w:lang w:val="es-AR"/>
        </w:rPr>
      </w:pPr>
      <w:r>
        <w:rPr>
          <w:rFonts w:ascii="Arial" w:eastAsia="Times New Roman" w:hAnsi="Arial" w:cs="Arial"/>
          <w:bCs/>
          <w:sz w:val="24"/>
          <w:szCs w:val="24"/>
          <w:lang w:val="es-AR"/>
        </w:rPr>
        <w:t xml:space="preserve">donde, β es la proporción de operaciones rojas proyectadas (donde </w:t>
      </w:r>
      <m:oMath>
        <m:sSub>
          <m:sSubPr>
            <m:ctrlPr>
              <w:rPr>
                <w:rFonts w:ascii="Cambria Math" w:hAnsi="Cambria Math" w:cs="Arial"/>
                <w:bCs/>
                <w:i/>
                <w:sz w:val="24"/>
                <w:szCs w:val="24"/>
                <w:lang w:val="es-AR"/>
              </w:rPr>
            </m:ctrlPr>
          </m:sSubPr>
          <m:e>
            <m:r>
              <w:rPr>
                <w:rFonts w:ascii="Cambria Math" w:hAnsi="Cambria Math" w:cs="Arial"/>
                <w:sz w:val="24"/>
                <w:szCs w:val="24"/>
                <w:lang w:val="es-AR"/>
              </w:rPr>
              <m:t>β</m:t>
            </m:r>
          </m:e>
          <m:sub>
            <m:r>
              <w:rPr>
                <w:rFonts w:ascii="Cambria Math" w:hAnsi="Cambria Math" w:cs="Arial"/>
                <w:sz w:val="24"/>
                <w:szCs w:val="24"/>
                <w:lang w:val="es-AR"/>
              </w:rPr>
              <m:t>cp</m:t>
            </m:r>
          </m:sub>
        </m:sSub>
      </m:oMath>
      <w:r>
        <w:rPr>
          <w:rFonts w:ascii="Arial" w:eastAsia="Times New Roman" w:hAnsi="Arial" w:cs="Arial"/>
          <w:bCs/>
          <w:sz w:val="24"/>
          <w:szCs w:val="24"/>
          <w:lang w:val="es-AR"/>
        </w:rPr>
        <w:t xml:space="preserve"> es 30%), </w:t>
      </w:r>
      <m:oMath>
        <m:r>
          <w:rPr>
            <w:rFonts w:ascii="Cambria Math" w:hAnsi="Cambria Math" w:cs="Arial"/>
            <w:sz w:val="24"/>
            <w:szCs w:val="24"/>
            <w:lang w:val="es-AR"/>
          </w:rPr>
          <m:t>δ</m:t>
        </m:r>
      </m:oMath>
      <w:r>
        <w:rPr>
          <w:rFonts w:ascii="Arial" w:eastAsia="Times New Roman" w:hAnsi="Arial" w:cs="Arial"/>
          <w:bCs/>
          <w:sz w:val="24"/>
          <w:szCs w:val="24"/>
          <w:lang w:val="es-AR"/>
        </w:rPr>
        <w:t xml:space="preserve"> son los costos</w:t>
      </w:r>
      <w:r>
        <w:rPr>
          <w:rStyle w:val="FootnoteReference"/>
          <w:rFonts w:ascii="Arial" w:eastAsia="Times New Roman" w:hAnsi="Arial" w:cs="Arial"/>
          <w:bCs/>
          <w:sz w:val="24"/>
          <w:szCs w:val="24"/>
          <w:lang w:val="es-AR"/>
        </w:rPr>
        <w:footnoteReference w:id="7"/>
      </w:r>
      <w:r>
        <w:rPr>
          <w:rFonts w:ascii="Arial" w:eastAsia="Times New Roman" w:hAnsi="Arial" w:cs="Arial"/>
          <w:bCs/>
          <w:sz w:val="24"/>
          <w:szCs w:val="24"/>
          <w:lang w:val="es-AR"/>
        </w:rPr>
        <w:t xml:space="preserve"> por operación y η que son la cantidad de operaciones. Es importante mencionar que las operaciones crecen a </w:t>
      </w:r>
      <w:r>
        <w:rPr>
          <w:rFonts w:ascii="Arial" w:eastAsia="Times New Roman" w:hAnsi="Arial" w:cs="Arial"/>
          <w:bCs/>
          <w:sz w:val="24"/>
          <w:szCs w:val="24"/>
          <w:lang w:val="es-AR"/>
        </w:rPr>
        <w:lastRenderedPageBreak/>
        <w:t>una tasa anual de 2,13</w:t>
      </w:r>
      <w:r>
        <w:rPr>
          <w:rStyle w:val="FootnoteReference"/>
          <w:rFonts w:ascii="Arial" w:eastAsia="Times New Roman" w:hAnsi="Arial" w:cs="Arial"/>
          <w:bCs/>
          <w:sz w:val="24"/>
          <w:szCs w:val="24"/>
          <w:lang w:val="es-AR"/>
        </w:rPr>
        <w:footnoteReference w:id="8"/>
      </w:r>
      <w:r>
        <w:rPr>
          <w:rFonts w:ascii="Arial" w:eastAsia="Times New Roman" w:hAnsi="Arial" w:cs="Arial"/>
          <w:bCs/>
          <w:sz w:val="24"/>
          <w:szCs w:val="24"/>
          <w:lang w:val="es-AR"/>
        </w:rPr>
        <w:t xml:space="preserve">%. </w:t>
      </w:r>
    </w:p>
    <w:p>
      <w:pPr>
        <w:widowControl w:val="0"/>
        <w:spacing w:after="0" w:line="240" w:lineRule="auto"/>
        <w:ind w:left="567"/>
        <w:jc w:val="both"/>
        <w:rPr>
          <w:rFonts w:ascii="Arial" w:eastAsia="Times New Roman" w:hAnsi="Arial" w:cs="Arial"/>
          <w:bCs/>
          <w:sz w:val="24"/>
          <w:szCs w:val="24"/>
          <w:lang w:val="es-AR"/>
        </w:rPr>
      </w:pPr>
    </w:p>
    <w:p>
      <w:pPr>
        <w:pStyle w:val="Heading2"/>
        <w:ind w:left="0"/>
        <w:rPr>
          <w:rFonts w:ascii="Arial" w:hAnsi="Arial" w:cs="Arial"/>
          <w:lang w:val="es-AR"/>
        </w:rPr>
      </w:pPr>
      <w:bookmarkStart w:id="8" w:name="_Toc499930013"/>
      <w:r>
        <w:rPr>
          <w:rFonts w:ascii="Arial" w:hAnsi="Arial" w:cs="Arial"/>
          <w:lang w:val="es-AR"/>
        </w:rPr>
        <w:t>Supuestos Críticos</w:t>
      </w:r>
      <w:bookmarkEnd w:id="8"/>
    </w:p>
    <w:p>
      <w:pPr>
        <w:spacing w:after="0" w:line="240" w:lineRule="auto"/>
        <w:jc w:val="both"/>
        <w:rPr>
          <w:rFonts w:ascii="Arial" w:eastAsia="Times New Roman" w:hAnsi="Arial" w:cs="Arial"/>
          <w:b/>
          <w:bCs/>
          <w:sz w:val="24"/>
          <w:szCs w:val="24"/>
          <w:lang w:val="es-AR"/>
        </w:rPr>
      </w:pPr>
    </w:p>
    <w:p>
      <w:pPr>
        <w:pStyle w:val="ListParagraph"/>
        <w:numPr>
          <w:ilvl w:val="1"/>
          <w:numId w:val="12"/>
        </w:numPr>
        <w:spacing w:after="0" w:line="240" w:lineRule="auto"/>
        <w:ind w:left="567" w:hanging="567"/>
        <w:jc w:val="both"/>
        <w:rPr>
          <w:rFonts w:ascii="Arial" w:eastAsia="Times New Roman" w:hAnsi="Arial" w:cs="Arial"/>
          <w:bCs/>
          <w:sz w:val="24"/>
          <w:szCs w:val="24"/>
          <w:lang w:val="es-AR"/>
        </w:rPr>
      </w:pPr>
      <w:r>
        <w:rPr>
          <w:rFonts w:ascii="Arial" w:eastAsia="Times New Roman" w:hAnsi="Arial" w:cs="Arial"/>
          <w:bCs/>
          <w:sz w:val="24"/>
          <w:szCs w:val="24"/>
          <w:lang w:val="es-AR"/>
        </w:rPr>
        <w:t>El horizonte de evaluación considerado fue de 24 años, utilizando una tasa de descuento de los flujos financieros del 12 % anual. Para medir la rentabilidad se calculó el Valor Actual Neto (VAN) y la Tasa Interna de Retorno (TIR) para cada intervención, y se realizaron análisis de sensibilidad de manera de forzar los resultados del modelo para verificar la certeza de los resultados antes cambios en los parámetros y supuestos considerados en la evaluación.</w:t>
      </w:r>
    </w:p>
    <w:p>
      <w:pPr>
        <w:pStyle w:val="ListParagraph"/>
        <w:spacing w:after="0" w:line="240" w:lineRule="auto"/>
        <w:ind w:left="567"/>
        <w:jc w:val="both"/>
        <w:rPr>
          <w:rFonts w:ascii="Arial" w:eastAsia="Times New Roman" w:hAnsi="Arial" w:cs="Arial"/>
          <w:bCs/>
          <w:sz w:val="24"/>
          <w:szCs w:val="24"/>
          <w:lang w:val="es-AR"/>
        </w:rPr>
      </w:pPr>
    </w:p>
    <w:p>
      <w:pPr>
        <w:pStyle w:val="ListParagraph"/>
        <w:numPr>
          <w:ilvl w:val="1"/>
          <w:numId w:val="12"/>
        </w:numPr>
        <w:spacing w:after="0" w:line="240" w:lineRule="auto"/>
        <w:ind w:left="567" w:hanging="567"/>
        <w:jc w:val="both"/>
        <w:rPr>
          <w:rFonts w:ascii="Arial" w:eastAsia="Times New Roman" w:hAnsi="Arial" w:cs="Arial"/>
          <w:bCs/>
          <w:sz w:val="24"/>
          <w:szCs w:val="24"/>
          <w:lang w:val="es-AR"/>
        </w:rPr>
      </w:pPr>
      <w:r>
        <w:rPr>
          <w:rFonts w:ascii="Arial" w:eastAsia="Times New Roman" w:hAnsi="Arial" w:cs="Arial"/>
          <w:bCs/>
          <w:sz w:val="24"/>
          <w:szCs w:val="24"/>
          <w:lang w:val="es-AR"/>
        </w:rPr>
        <w:t>Esta evaluación no considera el beneficio total de la modernización que el programa introduce como resultado de sus diversas intervenciones, por lo que el beneficio global que podría generarse con la implementación de todos sus componentes sería muy superior al contemplado en la TIR y VAN planteados en este documento.</w:t>
      </w:r>
    </w:p>
    <w:p>
      <w:pPr>
        <w:pStyle w:val="ListParagraph"/>
        <w:spacing w:after="0" w:line="240" w:lineRule="auto"/>
        <w:ind w:left="567"/>
        <w:jc w:val="both"/>
        <w:rPr>
          <w:rFonts w:ascii="Arial" w:eastAsia="Times New Roman" w:hAnsi="Arial" w:cs="Arial"/>
          <w:bCs/>
          <w:sz w:val="24"/>
          <w:szCs w:val="24"/>
          <w:lang w:val="es-AR"/>
        </w:rPr>
      </w:pPr>
    </w:p>
    <w:p>
      <w:pPr>
        <w:pStyle w:val="ListParagraph"/>
        <w:numPr>
          <w:ilvl w:val="1"/>
          <w:numId w:val="12"/>
        </w:numPr>
        <w:spacing w:after="0" w:line="240" w:lineRule="auto"/>
        <w:ind w:left="567" w:hanging="567"/>
        <w:jc w:val="both"/>
        <w:rPr>
          <w:rFonts w:ascii="Arial" w:eastAsia="Times New Roman" w:hAnsi="Arial" w:cs="Arial"/>
          <w:bCs/>
          <w:sz w:val="24"/>
          <w:szCs w:val="24"/>
          <w:lang w:val="es-AR"/>
        </w:rPr>
      </w:pPr>
      <w:r>
        <w:rPr>
          <w:rFonts w:ascii="Arial" w:eastAsia="Times New Roman" w:hAnsi="Arial" w:cs="Arial"/>
          <w:bCs/>
          <w:sz w:val="24"/>
          <w:szCs w:val="24"/>
          <w:lang w:val="es-AR"/>
        </w:rPr>
        <w:t>Proyectos de similares características al que se presenta, impulsado por el Banco Interamericano de Desarrollo (BID) en distintos países de Latinoamérica, han tenido resultados muy satisfactorios y fueron considerado como casos de éxito en otras administraciones tributarias. Estos antecedentes han sido utilizados como referencia para la presente evaluación</w:t>
      </w:r>
      <w:r>
        <w:rPr>
          <w:rStyle w:val="FootnoteReference"/>
          <w:rFonts w:ascii="Arial" w:eastAsia="Times New Roman" w:hAnsi="Arial" w:cs="Arial"/>
          <w:bCs/>
          <w:sz w:val="24"/>
          <w:szCs w:val="24"/>
          <w:lang w:val="es-AR"/>
        </w:rPr>
        <w:footnoteReference w:id="9"/>
      </w:r>
      <w:r>
        <w:rPr>
          <w:rFonts w:ascii="Arial" w:eastAsia="Times New Roman" w:hAnsi="Arial" w:cs="Arial"/>
          <w:bCs/>
          <w:sz w:val="24"/>
          <w:szCs w:val="24"/>
          <w:lang w:val="es-AR"/>
        </w:rPr>
        <w:t>.</w:t>
      </w:r>
    </w:p>
    <w:p>
      <w:pPr>
        <w:pStyle w:val="ListParagraph"/>
        <w:rPr>
          <w:rFonts w:ascii="Arial" w:eastAsia="Times New Roman" w:hAnsi="Arial" w:cs="Arial"/>
          <w:bCs/>
          <w:sz w:val="24"/>
          <w:szCs w:val="24"/>
          <w:lang w:val="es-AR"/>
        </w:rPr>
      </w:pPr>
    </w:p>
    <w:p>
      <w:pPr>
        <w:pStyle w:val="ListParagraph"/>
        <w:numPr>
          <w:ilvl w:val="1"/>
          <w:numId w:val="12"/>
        </w:numPr>
        <w:spacing w:after="0" w:line="240" w:lineRule="auto"/>
        <w:ind w:left="567" w:hanging="567"/>
        <w:jc w:val="both"/>
        <w:rPr>
          <w:rFonts w:ascii="Arial" w:eastAsia="Times New Roman" w:hAnsi="Arial" w:cs="Arial"/>
          <w:bCs/>
          <w:sz w:val="24"/>
          <w:szCs w:val="24"/>
          <w:lang w:val="es-AR"/>
        </w:rPr>
      </w:pPr>
      <w:r>
        <w:rPr>
          <w:rFonts w:ascii="Arial" w:eastAsia="Times New Roman" w:hAnsi="Arial" w:cs="Arial"/>
          <w:bCs/>
          <w:sz w:val="24"/>
          <w:szCs w:val="24"/>
          <w:lang w:val="es-AR"/>
        </w:rPr>
        <w:t>La hipótesis de inflación considerada para las proyecciones es de 3%, sobre la base de las expectativas futuras para el período considerado. Asimismo, se supuso un tipo de cambio estimado de $ 20,8 por dólar, conforme al promedio de las expectativas de mercado reflejadas en la encuesta del Banco Central.</w:t>
      </w:r>
    </w:p>
    <w:p>
      <w:pPr>
        <w:pStyle w:val="ListParagraph"/>
        <w:spacing w:after="0" w:line="240" w:lineRule="auto"/>
        <w:ind w:left="567"/>
        <w:jc w:val="both"/>
        <w:rPr>
          <w:rFonts w:ascii="Arial" w:eastAsia="Times New Roman" w:hAnsi="Arial" w:cs="Arial"/>
          <w:bCs/>
          <w:sz w:val="24"/>
          <w:szCs w:val="24"/>
          <w:lang w:val="es-AR"/>
        </w:rPr>
      </w:pPr>
    </w:p>
    <w:p>
      <w:pPr>
        <w:pStyle w:val="ListParagraph"/>
        <w:numPr>
          <w:ilvl w:val="1"/>
          <w:numId w:val="12"/>
        </w:numPr>
        <w:spacing w:after="0" w:line="240" w:lineRule="auto"/>
        <w:ind w:left="567" w:hanging="567"/>
        <w:jc w:val="both"/>
        <w:rPr>
          <w:rFonts w:ascii="Arial" w:eastAsia="Times New Roman" w:hAnsi="Arial" w:cs="Arial"/>
          <w:bCs/>
          <w:sz w:val="24"/>
          <w:szCs w:val="24"/>
          <w:lang w:val="es-AR"/>
        </w:rPr>
      </w:pPr>
      <w:r>
        <w:rPr>
          <w:rFonts w:ascii="Arial" w:eastAsia="Times New Roman" w:hAnsi="Arial" w:cs="Arial"/>
          <w:bCs/>
          <w:sz w:val="24"/>
          <w:szCs w:val="24"/>
          <w:lang w:val="es-AR"/>
        </w:rPr>
        <w:t>Como consecuencia de la ejecución de las actividades incluidas en el programa, se prevé reducir el incumplimiento de las obligaciones impositivas, aduaneras y de los recursos de la seguridad social, el que se medirá a través del aumento de la relación “recaudación normalizada / PBI”. La utilización de la recaudación normalizada en lugar de los ingresos nominales permite segregar las situaciones de períodos pasados y futuros que no están vinculados al comportamiento habitual de los recursos fiscales en las proyecciones de resultados.</w:t>
      </w:r>
    </w:p>
    <w:p>
      <w:pPr>
        <w:pStyle w:val="ListParagraph"/>
        <w:spacing w:after="0" w:line="240" w:lineRule="auto"/>
        <w:ind w:left="567"/>
        <w:jc w:val="both"/>
        <w:rPr>
          <w:rFonts w:ascii="Arial" w:eastAsia="Times New Roman" w:hAnsi="Arial" w:cs="Arial"/>
          <w:bCs/>
          <w:sz w:val="24"/>
          <w:szCs w:val="24"/>
          <w:lang w:val="es-AR"/>
        </w:rPr>
      </w:pPr>
    </w:p>
    <w:p>
      <w:pPr>
        <w:pStyle w:val="ListParagraph"/>
        <w:numPr>
          <w:ilvl w:val="1"/>
          <w:numId w:val="12"/>
        </w:numPr>
        <w:spacing w:after="0" w:line="240" w:lineRule="auto"/>
        <w:jc w:val="both"/>
        <w:rPr>
          <w:rFonts w:ascii="Arial" w:eastAsia="Times New Roman" w:hAnsi="Arial" w:cs="Arial"/>
          <w:bCs/>
          <w:sz w:val="24"/>
          <w:szCs w:val="24"/>
          <w:lang w:val="es-AR"/>
        </w:rPr>
      </w:pPr>
      <w:r>
        <w:rPr>
          <w:rFonts w:ascii="Arial" w:eastAsia="Times New Roman" w:hAnsi="Arial" w:cs="Arial"/>
          <w:bCs/>
          <w:sz w:val="24"/>
          <w:szCs w:val="24"/>
          <w:lang w:val="es-AR"/>
        </w:rPr>
        <w:t xml:space="preserve">El incremento de la recaudación se explica por una reducción en la evasión del IVA equivalente al 0,2% aún sin incluir las reducciones en la evasión en los otros impuestos y contribuciones. Esta estimación de </w:t>
      </w:r>
      <w:r>
        <w:rPr>
          <w:rFonts w:ascii="Arial" w:eastAsia="Times New Roman" w:hAnsi="Arial" w:cs="Arial"/>
          <w:bCs/>
          <w:sz w:val="24"/>
          <w:szCs w:val="24"/>
          <w:lang w:val="es-AR"/>
        </w:rPr>
        <w:lastRenderedPageBreak/>
        <w:t>reducción en la evasión del IVA y su consecuente incremento en la recaudación es muy conservadora, lo cual implica que, transcurridos los dos primeros años de la ejecución del programa, se verificará un aumento de la recaudación de 102 millones de dólares anuales derivados de una mayor efectividad en el control de cumplimiento de las obligaciones. Evaluaciones similares para otros países de Latinoamérica, proponen metas de crecimiento del PBI del 0,6% considerándolas holgadamente alcanzables</w:t>
      </w:r>
      <w:r>
        <w:rPr>
          <w:rStyle w:val="FootnoteReference"/>
          <w:rFonts w:ascii="Arial" w:eastAsia="Times New Roman" w:hAnsi="Arial" w:cs="Arial"/>
          <w:bCs/>
          <w:sz w:val="24"/>
          <w:szCs w:val="24"/>
          <w:lang w:val="es-AR"/>
        </w:rPr>
        <w:footnoteReference w:id="10"/>
      </w:r>
      <w:r>
        <w:rPr>
          <w:rFonts w:ascii="Arial" w:eastAsia="Times New Roman" w:hAnsi="Arial" w:cs="Arial"/>
          <w:bCs/>
          <w:sz w:val="24"/>
          <w:szCs w:val="24"/>
          <w:lang w:val="es-AR"/>
        </w:rPr>
        <w:t>.</w:t>
      </w:r>
    </w:p>
    <w:p>
      <w:pPr>
        <w:pStyle w:val="ListParagraph"/>
        <w:rPr>
          <w:rFonts w:ascii="Arial" w:eastAsia="Times New Roman" w:hAnsi="Arial" w:cs="Arial"/>
          <w:bCs/>
          <w:sz w:val="24"/>
          <w:szCs w:val="24"/>
          <w:lang w:val="es-AR"/>
        </w:rPr>
      </w:pPr>
    </w:p>
    <w:p>
      <w:pPr>
        <w:pStyle w:val="ListParagraph"/>
        <w:numPr>
          <w:ilvl w:val="1"/>
          <w:numId w:val="12"/>
        </w:numPr>
        <w:spacing w:after="0" w:line="240" w:lineRule="auto"/>
        <w:jc w:val="both"/>
        <w:rPr>
          <w:rFonts w:ascii="Arial" w:eastAsia="Times New Roman" w:hAnsi="Arial" w:cs="Arial"/>
          <w:bCs/>
          <w:sz w:val="24"/>
          <w:szCs w:val="24"/>
          <w:lang w:val="es-AR"/>
        </w:rPr>
      </w:pPr>
      <w:r>
        <w:rPr>
          <w:rFonts w:ascii="Arial" w:eastAsia="Times New Roman" w:hAnsi="Arial" w:cs="Arial"/>
          <w:bCs/>
          <w:sz w:val="24"/>
          <w:szCs w:val="24"/>
          <w:lang w:val="es-AR"/>
        </w:rPr>
        <w:t>Para estimar el incremento en la recaudación debido a una disminución en la evasión se consideró en primer lugar calcular el tamaño de la economía sumergida. Existen diversos trabajos que evidencian que la economía informal (sumergida) generan pérdidas recaudatorias para los fiscos, por ejemplo, el trabajo de Murphy (2012), demuestra que la economía sumergida representa en promedio (ponderado), alrededor, del 19% del PIB de los países europeos, y estima que se pierden, alrededor de 864.282 millones de euros anuales en impuestos.  Siguiendo la metodología utilizada por el mismo autor, se calculó en una primera instancia el tamaño de la economía sumergida para la Argentina, en base a los datos obtenidos de las fuentes citadas. Se utilizó el trabajo de Schneider (2010) para obtener el dato del tamaño de la economía sumergida para Argentina. Dado que el trabajo calcula ese porcentaje para el año 2007, se utiliza un supuesto conservador y suponemos que se mantuvo la misma relación en los años posteriores. Este supuesto es argumentable desde el punto de vista que la inflación la elevada inflación en el periodo, los altos costos laborales, que mantuvieron altos niveles de empleo informal, la baja tasa de pagos mediante medios electrónicos lleva a suponer que este coeficiente, puedo hasta haber aumentado en el último decenio.</w:t>
      </w:r>
    </w:p>
    <w:p>
      <w:pPr>
        <w:pStyle w:val="ListParagraph"/>
        <w:spacing w:after="0" w:line="240" w:lineRule="auto"/>
        <w:ind w:left="360"/>
        <w:jc w:val="both"/>
        <w:rPr>
          <w:rFonts w:ascii="Arial" w:eastAsia="Times New Roman" w:hAnsi="Arial" w:cs="Arial"/>
          <w:bCs/>
          <w:sz w:val="24"/>
          <w:szCs w:val="24"/>
          <w:lang w:val="es-AR"/>
        </w:rPr>
      </w:pPr>
    </w:p>
    <w:p>
      <w:pPr>
        <w:pStyle w:val="ListParagraph"/>
        <w:numPr>
          <w:ilvl w:val="1"/>
          <w:numId w:val="12"/>
        </w:numPr>
        <w:spacing w:after="0" w:line="240" w:lineRule="auto"/>
        <w:jc w:val="both"/>
        <w:rPr>
          <w:rFonts w:ascii="Arial" w:eastAsia="Times New Roman" w:hAnsi="Arial" w:cs="Arial"/>
          <w:bCs/>
          <w:sz w:val="24"/>
          <w:szCs w:val="24"/>
          <w:lang w:val="es-AR"/>
        </w:rPr>
      </w:pPr>
      <w:r>
        <w:rPr>
          <w:rFonts w:ascii="Arial" w:eastAsia="Times New Roman" w:hAnsi="Arial" w:cs="Arial"/>
          <w:bCs/>
          <w:sz w:val="24"/>
          <w:szCs w:val="24"/>
          <w:lang w:val="es-AR"/>
        </w:rPr>
        <w:t xml:space="preserve">El siguiente cuadro resume los indicadores utilizados y los resultados obtenidos para Argentina. </w:t>
      </w:r>
    </w:p>
    <w:p>
      <w:pPr>
        <w:pStyle w:val="ListParagraph"/>
        <w:rPr>
          <w:rFonts w:ascii="Arial" w:eastAsia="Times New Roman" w:hAnsi="Arial" w:cs="Arial"/>
          <w:bCs/>
          <w:sz w:val="24"/>
          <w:szCs w:val="24"/>
          <w:lang w:val="es-AR"/>
        </w:rPr>
      </w:pPr>
    </w:p>
    <w:p>
      <w:pPr>
        <w:pStyle w:val="ListParagraph"/>
        <w:spacing w:after="0" w:line="240" w:lineRule="auto"/>
        <w:ind w:left="360"/>
        <w:jc w:val="both"/>
        <w:rPr>
          <w:rFonts w:ascii="Arial" w:eastAsia="Times New Roman" w:hAnsi="Arial" w:cs="Arial"/>
          <w:bCs/>
          <w:sz w:val="24"/>
          <w:szCs w:val="24"/>
          <w:lang w:val="es-AR"/>
        </w:rPr>
      </w:pPr>
    </w:p>
    <w:tbl>
      <w:tblPr>
        <w:tblW w:w="8412" w:type="dxa"/>
        <w:jc w:val="center"/>
        <w:tblCellMar>
          <w:left w:w="70" w:type="dxa"/>
          <w:right w:w="70" w:type="dxa"/>
        </w:tblCellMar>
        <w:tblLook w:val="04A0" w:firstRow="1" w:lastRow="0" w:firstColumn="1" w:lastColumn="0" w:noHBand="0" w:noVBand="1"/>
      </w:tblPr>
      <w:tblGrid>
        <w:gridCol w:w="1555"/>
        <w:gridCol w:w="1800"/>
        <w:gridCol w:w="1200"/>
        <w:gridCol w:w="1731"/>
        <w:gridCol w:w="2126"/>
      </w:tblGrid>
      <w:tr>
        <w:trPr>
          <w:trHeight w:val="900"/>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Arial" w:eastAsia="Times New Roman" w:hAnsi="Arial" w:cs="Arial"/>
                <w:color w:val="000000"/>
                <w:lang w:eastAsia="es-AR"/>
              </w:rPr>
            </w:pPr>
            <w:r>
              <w:rPr>
                <w:rFonts w:ascii="Arial" w:eastAsia="Times New Roman" w:hAnsi="Arial" w:cs="Arial"/>
                <w:color w:val="000000"/>
                <w:lang w:eastAsia="es-AR"/>
              </w:rPr>
              <w:t>PBI</w:t>
            </w:r>
            <w:r>
              <w:rPr>
                <w:rStyle w:val="FootnoteReference"/>
                <w:rFonts w:ascii="Arial" w:eastAsia="Times New Roman" w:hAnsi="Arial" w:cs="Arial"/>
                <w:color w:val="000000"/>
                <w:lang w:eastAsia="es-AR"/>
              </w:rPr>
              <w:footnoteReference w:id="11"/>
            </w:r>
          </w:p>
        </w:tc>
        <w:tc>
          <w:tcPr>
            <w:tcW w:w="1800" w:type="dxa"/>
            <w:tcBorders>
              <w:top w:val="single" w:sz="4" w:space="0" w:color="auto"/>
              <w:left w:val="nil"/>
              <w:bottom w:val="single" w:sz="4" w:space="0" w:color="auto"/>
              <w:right w:val="single" w:sz="4" w:space="0" w:color="auto"/>
            </w:tcBorders>
            <w:shd w:val="clear" w:color="auto" w:fill="auto"/>
            <w:vAlign w:val="center"/>
            <w:hideMark/>
          </w:tcPr>
          <w:p>
            <w:pPr>
              <w:spacing w:after="0" w:line="240" w:lineRule="auto"/>
              <w:jc w:val="center"/>
              <w:rPr>
                <w:rFonts w:ascii="Arial" w:eastAsia="Times New Roman" w:hAnsi="Arial" w:cs="Arial"/>
                <w:color w:val="000000"/>
                <w:lang w:val="es-ES_tradnl" w:eastAsia="es-AR"/>
              </w:rPr>
            </w:pPr>
            <w:r>
              <w:rPr>
                <w:rFonts w:ascii="Arial" w:eastAsia="Times New Roman" w:hAnsi="Arial" w:cs="Arial"/>
                <w:color w:val="000000"/>
                <w:lang w:val="es-ES_tradnl" w:eastAsia="es-AR"/>
              </w:rPr>
              <w:t>Tamaño de la Economía Informal</w:t>
            </w:r>
            <w:r>
              <w:rPr>
                <w:rStyle w:val="FootnoteReference"/>
                <w:rFonts w:ascii="Arial" w:hAnsi="Arial" w:cs="Arial"/>
              </w:rPr>
              <w:footnoteReference w:id="12"/>
            </w:r>
          </w:p>
        </w:tc>
        <w:tc>
          <w:tcPr>
            <w:tcW w:w="1200" w:type="dxa"/>
            <w:tcBorders>
              <w:top w:val="single" w:sz="4" w:space="0" w:color="auto"/>
              <w:left w:val="nil"/>
              <w:bottom w:val="single" w:sz="4" w:space="0" w:color="auto"/>
              <w:right w:val="single" w:sz="4" w:space="0" w:color="auto"/>
            </w:tcBorders>
            <w:shd w:val="clear" w:color="auto" w:fill="auto"/>
            <w:vAlign w:val="center"/>
            <w:hideMark/>
          </w:tcPr>
          <w:p>
            <w:pPr>
              <w:spacing w:after="0" w:line="240" w:lineRule="auto"/>
              <w:jc w:val="center"/>
              <w:rPr>
                <w:rFonts w:ascii="Arial" w:eastAsia="Times New Roman" w:hAnsi="Arial" w:cs="Arial"/>
                <w:color w:val="000000"/>
                <w:lang w:eastAsia="es-AR"/>
              </w:rPr>
            </w:pPr>
            <w:r>
              <w:rPr>
                <w:rFonts w:ascii="Arial" w:eastAsia="Times New Roman" w:hAnsi="Arial" w:cs="Arial"/>
                <w:color w:val="000000"/>
                <w:lang w:eastAsia="es-AR"/>
              </w:rPr>
              <w:t>Carga Fiscal</w:t>
            </w:r>
            <w:r>
              <w:rPr>
                <w:rStyle w:val="FootnoteReference"/>
                <w:rFonts w:ascii="Arial" w:eastAsia="Times New Roman" w:hAnsi="Arial" w:cs="Arial"/>
                <w:color w:val="000000"/>
                <w:lang w:eastAsia="es-AR"/>
              </w:rPr>
              <w:footnoteReference w:id="13"/>
            </w:r>
          </w:p>
        </w:tc>
        <w:tc>
          <w:tcPr>
            <w:tcW w:w="1731" w:type="dxa"/>
            <w:tcBorders>
              <w:top w:val="single" w:sz="4" w:space="0" w:color="auto"/>
              <w:left w:val="nil"/>
              <w:bottom w:val="single" w:sz="4" w:space="0" w:color="auto"/>
              <w:right w:val="single" w:sz="4" w:space="0" w:color="auto"/>
            </w:tcBorders>
            <w:shd w:val="clear" w:color="auto" w:fill="auto"/>
            <w:vAlign w:val="center"/>
            <w:hideMark/>
          </w:tcPr>
          <w:p>
            <w:pPr>
              <w:spacing w:after="0" w:line="240" w:lineRule="auto"/>
              <w:jc w:val="center"/>
              <w:rPr>
                <w:rFonts w:ascii="Arial" w:eastAsia="Times New Roman" w:hAnsi="Arial" w:cs="Arial"/>
                <w:color w:val="000000"/>
                <w:lang w:val="es-ES_tradnl" w:eastAsia="es-AR"/>
              </w:rPr>
            </w:pPr>
            <w:r>
              <w:rPr>
                <w:rFonts w:ascii="Arial" w:eastAsia="Times New Roman" w:hAnsi="Arial" w:cs="Arial"/>
                <w:color w:val="000000"/>
                <w:lang w:val="es-ES_tradnl" w:eastAsia="es-AR"/>
              </w:rPr>
              <w:t>Tamaño de la Economía Informal en US$</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pPr>
              <w:spacing w:after="0" w:line="240" w:lineRule="auto"/>
              <w:jc w:val="center"/>
              <w:rPr>
                <w:rFonts w:ascii="Arial" w:eastAsia="Times New Roman" w:hAnsi="Arial" w:cs="Arial"/>
                <w:color w:val="000000"/>
                <w:lang w:eastAsia="es-AR"/>
              </w:rPr>
            </w:pPr>
            <w:r>
              <w:rPr>
                <w:rFonts w:ascii="Arial" w:eastAsia="Times New Roman" w:hAnsi="Arial" w:cs="Arial"/>
                <w:color w:val="000000"/>
                <w:lang w:eastAsia="es-AR"/>
              </w:rPr>
              <w:t>Impuestos Perdidos</w:t>
            </w:r>
          </w:p>
        </w:tc>
      </w:tr>
      <w:tr>
        <w:trPr>
          <w:trHeight w:val="300"/>
          <w:jc w:val="center"/>
        </w:trPr>
        <w:tc>
          <w:tcPr>
            <w:tcW w:w="1555" w:type="dxa"/>
            <w:tcBorders>
              <w:top w:val="nil"/>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lang w:eastAsia="es-AR"/>
              </w:rPr>
            </w:pPr>
            <w:r>
              <w:rPr>
                <w:rFonts w:ascii="Arial" w:eastAsia="Times New Roman" w:hAnsi="Arial" w:cs="Arial"/>
                <w:color w:val="000000"/>
                <w:lang w:eastAsia="es-AR"/>
              </w:rPr>
              <w:t xml:space="preserve">$ 545.476,00 </w:t>
            </w:r>
          </w:p>
        </w:tc>
        <w:tc>
          <w:tcPr>
            <w:tcW w:w="180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lang w:eastAsia="es-AR"/>
              </w:rPr>
            </w:pPr>
            <w:r>
              <w:rPr>
                <w:rFonts w:ascii="Arial" w:eastAsia="Times New Roman" w:hAnsi="Arial" w:cs="Arial"/>
                <w:color w:val="000000"/>
                <w:lang w:eastAsia="es-AR"/>
              </w:rPr>
              <w:t>25,3%</w:t>
            </w:r>
          </w:p>
        </w:tc>
        <w:tc>
          <w:tcPr>
            <w:tcW w:w="1200"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lang w:eastAsia="es-AR"/>
              </w:rPr>
            </w:pPr>
            <w:r>
              <w:rPr>
                <w:rFonts w:ascii="Arial" w:eastAsia="Times New Roman" w:hAnsi="Arial" w:cs="Arial"/>
                <w:color w:val="000000"/>
                <w:lang w:eastAsia="es-AR"/>
              </w:rPr>
              <w:t>28,18%</w:t>
            </w:r>
          </w:p>
        </w:tc>
        <w:tc>
          <w:tcPr>
            <w:tcW w:w="1731"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lang w:eastAsia="es-AR"/>
              </w:rPr>
            </w:pPr>
            <w:r>
              <w:rPr>
                <w:rFonts w:ascii="Arial" w:eastAsia="Times New Roman" w:hAnsi="Arial" w:cs="Arial"/>
                <w:color w:val="000000"/>
                <w:lang w:eastAsia="es-AR"/>
              </w:rPr>
              <w:t>$ 93.284,14</w:t>
            </w:r>
          </w:p>
        </w:tc>
        <w:tc>
          <w:tcPr>
            <w:tcW w:w="2126" w:type="dxa"/>
            <w:tcBorders>
              <w:top w:val="nil"/>
              <w:left w:val="nil"/>
              <w:bottom w:val="single" w:sz="4" w:space="0" w:color="auto"/>
              <w:right w:val="single" w:sz="4" w:space="0" w:color="auto"/>
            </w:tcBorders>
            <w:shd w:val="clear" w:color="auto" w:fill="auto"/>
            <w:vAlign w:val="center"/>
          </w:tcPr>
          <w:p>
            <w:pPr>
              <w:spacing w:after="0" w:line="240" w:lineRule="auto"/>
              <w:jc w:val="center"/>
              <w:rPr>
                <w:rFonts w:ascii="Arial" w:eastAsia="Times New Roman" w:hAnsi="Arial" w:cs="Arial"/>
                <w:color w:val="000000"/>
                <w:lang w:eastAsia="es-AR"/>
              </w:rPr>
            </w:pPr>
            <w:r>
              <w:rPr>
                <w:rFonts w:ascii="Arial" w:eastAsia="Times New Roman" w:hAnsi="Arial" w:cs="Arial"/>
                <w:color w:val="000000"/>
                <w:lang w:eastAsia="es-AR"/>
              </w:rPr>
              <w:t>$ 38.889,93</w:t>
            </w:r>
          </w:p>
        </w:tc>
      </w:tr>
    </w:tbl>
    <w:p>
      <w:pPr>
        <w:pStyle w:val="ListParagraph"/>
        <w:spacing w:after="0" w:line="240" w:lineRule="auto"/>
        <w:ind w:left="360"/>
        <w:jc w:val="both"/>
        <w:rPr>
          <w:rFonts w:ascii="Arial" w:eastAsia="Times New Roman" w:hAnsi="Arial" w:cs="Arial"/>
          <w:bCs/>
          <w:sz w:val="24"/>
          <w:szCs w:val="24"/>
          <w:lang w:val="es-AR"/>
        </w:rPr>
      </w:pPr>
    </w:p>
    <w:p>
      <w:pPr>
        <w:pStyle w:val="ListParagraph"/>
        <w:spacing w:after="0" w:line="240" w:lineRule="auto"/>
        <w:ind w:left="360"/>
        <w:jc w:val="both"/>
        <w:rPr>
          <w:rFonts w:ascii="Arial" w:eastAsia="Times New Roman" w:hAnsi="Arial" w:cs="Arial"/>
          <w:bCs/>
          <w:sz w:val="24"/>
          <w:szCs w:val="24"/>
          <w:lang w:val="es-AR"/>
        </w:rPr>
      </w:pPr>
      <w:r>
        <w:rPr>
          <w:rFonts w:ascii="Arial" w:eastAsia="Times New Roman" w:hAnsi="Arial" w:cs="Arial"/>
          <w:bCs/>
          <w:sz w:val="24"/>
          <w:szCs w:val="24"/>
          <w:lang w:val="es-AR"/>
        </w:rPr>
        <w:t>Fuente: Elaboración Propia</w:t>
      </w:r>
    </w:p>
    <w:p>
      <w:pPr>
        <w:pStyle w:val="ListParagraph"/>
        <w:spacing w:after="0" w:line="240" w:lineRule="auto"/>
        <w:ind w:left="360"/>
        <w:jc w:val="both"/>
        <w:rPr>
          <w:rFonts w:ascii="Arial" w:eastAsia="Times New Roman" w:hAnsi="Arial" w:cs="Arial"/>
          <w:bCs/>
          <w:sz w:val="24"/>
          <w:szCs w:val="24"/>
          <w:lang w:val="es-AR"/>
        </w:rPr>
      </w:pPr>
    </w:p>
    <w:p>
      <w:pPr>
        <w:pStyle w:val="ListParagraph"/>
        <w:numPr>
          <w:ilvl w:val="1"/>
          <w:numId w:val="12"/>
        </w:numPr>
        <w:spacing w:after="0" w:line="240" w:lineRule="auto"/>
        <w:jc w:val="both"/>
        <w:rPr>
          <w:rFonts w:ascii="Arial" w:eastAsia="Times New Roman" w:hAnsi="Arial" w:cs="Arial"/>
          <w:bCs/>
          <w:sz w:val="24"/>
          <w:szCs w:val="24"/>
          <w:lang w:val="es-AR"/>
        </w:rPr>
      </w:pPr>
      <w:r>
        <w:rPr>
          <w:rFonts w:ascii="Arial" w:eastAsia="Times New Roman" w:hAnsi="Arial" w:cs="Arial"/>
          <w:bCs/>
          <w:sz w:val="24"/>
          <w:szCs w:val="24"/>
          <w:lang w:val="es-AR"/>
        </w:rPr>
        <w:t xml:space="preserve">Los impuestos perdidos a causa de la economía informal representarían alrededor del 7.13% del PIB. </w:t>
      </w:r>
    </w:p>
    <w:p>
      <w:pPr>
        <w:pStyle w:val="ListParagraph"/>
        <w:spacing w:after="0" w:line="240" w:lineRule="auto"/>
        <w:ind w:left="360"/>
        <w:jc w:val="both"/>
        <w:rPr>
          <w:rFonts w:ascii="Arial" w:eastAsia="Times New Roman" w:hAnsi="Arial" w:cs="Arial"/>
          <w:bCs/>
          <w:sz w:val="24"/>
          <w:szCs w:val="24"/>
          <w:lang w:val="es-AR"/>
        </w:rPr>
      </w:pPr>
    </w:p>
    <w:p>
      <w:pPr>
        <w:pStyle w:val="ListParagraph"/>
        <w:numPr>
          <w:ilvl w:val="1"/>
          <w:numId w:val="12"/>
        </w:numPr>
        <w:spacing w:after="0" w:line="240" w:lineRule="auto"/>
        <w:jc w:val="both"/>
        <w:rPr>
          <w:rFonts w:ascii="Arial" w:eastAsia="Times New Roman" w:hAnsi="Arial" w:cs="Arial"/>
          <w:bCs/>
          <w:sz w:val="24"/>
          <w:szCs w:val="24"/>
          <w:lang w:val="es-AR"/>
        </w:rPr>
      </w:pPr>
      <w:r>
        <w:rPr>
          <w:rFonts w:ascii="Arial" w:eastAsia="Times New Roman" w:hAnsi="Arial" w:cs="Arial"/>
          <w:bCs/>
          <w:sz w:val="24"/>
          <w:szCs w:val="24"/>
          <w:lang w:val="es-AR"/>
        </w:rPr>
        <w:lastRenderedPageBreak/>
        <w:t>Para poder estimar el porcentaje de IVA que se pierde de recaudar en base a la economía informar se tomaron en cuenta los Informes de recaudación, elaborados por la AFIP, donde se obtuvo la información de recaudación por impuestos, recursos por seguridad social y aduaneros en relación al PIB, para el año 2016. De ahí surge que los impuestos representan el 17,47% del PIB, y el IVA, el 7,24%.</w:t>
      </w:r>
    </w:p>
    <w:p>
      <w:pPr>
        <w:pStyle w:val="ListParagraph"/>
        <w:rPr>
          <w:rFonts w:ascii="Arial" w:eastAsia="Times New Roman" w:hAnsi="Arial" w:cs="Arial"/>
          <w:bCs/>
          <w:sz w:val="24"/>
          <w:szCs w:val="24"/>
          <w:lang w:val="es-AR"/>
        </w:rPr>
      </w:pPr>
    </w:p>
    <w:p>
      <w:pPr>
        <w:pStyle w:val="ListParagraph"/>
        <w:spacing w:after="0" w:line="240" w:lineRule="auto"/>
        <w:ind w:left="360"/>
        <w:jc w:val="both"/>
        <w:rPr>
          <w:rFonts w:ascii="Arial" w:eastAsia="Times New Roman" w:hAnsi="Arial" w:cs="Arial"/>
          <w:bCs/>
          <w:sz w:val="24"/>
          <w:szCs w:val="24"/>
          <w:lang w:val="es-AR"/>
        </w:rPr>
      </w:pPr>
    </w:p>
    <w:p>
      <w:pPr>
        <w:pStyle w:val="ListParagraph"/>
        <w:numPr>
          <w:ilvl w:val="1"/>
          <w:numId w:val="12"/>
        </w:numPr>
        <w:spacing w:after="0" w:line="240" w:lineRule="auto"/>
        <w:jc w:val="both"/>
        <w:rPr>
          <w:rFonts w:ascii="Arial" w:eastAsia="Times New Roman" w:hAnsi="Arial" w:cs="Arial"/>
          <w:bCs/>
          <w:sz w:val="24"/>
          <w:szCs w:val="24"/>
          <w:lang w:val="es-AR"/>
        </w:rPr>
      </w:pPr>
      <w:r>
        <w:rPr>
          <w:rFonts w:ascii="Arial" w:eastAsia="Times New Roman" w:hAnsi="Arial" w:cs="Arial"/>
          <w:bCs/>
          <w:sz w:val="24"/>
          <w:szCs w:val="24"/>
          <w:lang w:val="es-AR"/>
        </w:rPr>
        <w:t>Con esos datos se estimó que, a causa de la economía informal, se pierden alrededor de $ 9.979,04 millones, que representa el 1,83% del PIB.</w:t>
      </w:r>
    </w:p>
    <w:p>
      <w:pPr>
        <w:pStyle w:val="ListParagraph"/>
        <w:spacing w:after="0" w:line="240" w:lineRule="auto"/>
        <w:ind w:left="360"/>
        <w:jc w:val="both"/>
        <w:rPr>
          <w:rFonts w:ascii="Arial" w:eastAsia="Times New Roman" w:hAnsi="Arial" w:cs="Arial"/>
          <w:bCs/>
          <w:sz w:val="24"/>
          <w:szCs w:val="24"/>
          <w:lang w:val="es-AR"/>
        </w:rPr>
      </w:pPr>
    </w:p>
    <w:p>
      <w:pPr>
        <w:pStyle w:val="ListParagraph"/>
        <w:numPr>
          <w:ilvl w:val="1"/>
          <w:numId w:val="12"/>
        </w:numPr>
        <w:spacing w:after="0" w:line="240" w:lineRule="auto"/>
        <w:jc w:val="both"/>
        <w:rPr>
          <w:rFonts w:ascii="Arial" w:eastAsia="Times New Roman" w:hAnsi="Arial" w:cs="Arial"/>
          <w:bCs/>
          <w:sz w:val="24"/>
          <w:szCs w:val="24"/>
          <w:lang w:val="es-AR"/>
        </w:rPr>
      </w:pPr>
      <w:r>
        <w:rPr>
          <w:rFonts w:ascii="Arial" w:eastAsia="Times New Roman" w:hAnsi="Arial" w:cs="Arial"/>
          <w:bCs/>
          <w:sz w:val="24"/>
          <w:szCs w:val="24"/>
          <w:lang w:val="es-AR"/>
        </w:rPr>
        <w:t>Dado que sería un meta demasiado ambicioso, que por la mejora en los controles se pueda, por lo menos en el corto plazo, mejorar en ese porcentaje la recaudación del IVA, y dada la coyuntura de la economía argentina, se supone una meta más conservadora que es mejorar la recaudación en al menos un 0,2%</w:t>
      </w:r>
    </w:p>
    <w:p>
      <w:pPr>
        <w:pStyle w:val="ListParagraph"/>
        <w:rPr>
          <w:rFonts w:ascii="Arial" w:eastAsia="Times New Roman" w:hAnsi="Arial" w:cs="Arial"/>
          <w:bCs/>
          <w:sz w:val="24"/>
          <w:szCs w:val="24"/>
          <w:lang w:val="es-AR"/>
        </w:rPr>
      </w:pPr>
    </w:p>
    <w:p>
      <w:pPr>
        <w:pStyle w:val="ListParagraph"/>
        <w:numPr>
          <w:ilvl w:val="1"/>
          <w:numId w:val="12"/>
        </w:numPr>
        <w:spacing w:after="0" w:line="240" w:lineRule="auto"/>
        <w:jc w:val="both"/>
        <w:rPr>
          <w:rFonts w:ascii="Arial" w:eastAsia="Times New Roman" w:hAnsi="Arial" w:cs="Arial"/>
          <w:bCs/>
          <w:sz w:val="24"/>
          <w:szCs w:val="24"/>
          <w:lang w:val="es-AR"/>
        </w:rPr>
      </w:pPr>
      <w:r>
        <w:rPr>
          <w:rFonts w:ascii="Arial" w:eastAsia="Times New Roman" w:hAnsi="Arial" w:cs="Arial"/>
          <w:bCs/>
          <w:sz w:val="24"/>
          <w:szCs w:val="24"/>
          <w:lang w:val="es-AR"/>
        </w:rPr>
        <w:t xml:space="preserve"> Estos supuestos también están validados por la literatura. El retorno de contar con información de terceros sobre el cumplimiento tributario es alto: las tasas de evasión son hasta ocho veces más altas para los impuestos donde la AT carece de instrumentos automatizados para verificar fuentes de ingreso de los contribuyentes (Slemrod et al. 2015; Pomeranz 2015; Kleven et.al 2011).Usando datos experimentales de Estados Unidos, DeBacker et al. (2015) encuentran que la fiscalización incrementa el reporte voluntario de impuestos y por ende la recaudación en 14%. Una evaluación sobre el impacto de la Unidad de Grandes Contribuyentes en España muestra que la disponibilidad de información actúa como complemento a las actividades de fiscalización de dichas empresas (Almunia y López Rodriguez, 2016). La simplificación de procedimientos puede generar aumentos en las tasas de pago de hasta 4 puntos porcentuales (Hallsworth et al. 2014). Usando datos experimentales en Estados Unidos, Alm et al, (2010), muestran que una mejora en los servicios de atención al contribuyente reduce la incertidumbre de los contribuyentes respecto a los montos a declarar y eleva el nivel de cumplimiento voluntario en 5%.</w:t>
      </w:r>
    </w:p>
    <w:p>
      <w:pPr>
        <w:pStyle w:val="ListParagraph"/>
        <w:rPr>
          <w:rFonts w:ascii="Arial" w:eastAsia="Times New Roman" w:hAnsi="Arial" w:cs="Arial"/>
          <w:b/>
          <w:bCs/>
          <w:lang w:val="es-AR"/>
        </w:rPr>
      </w:pPr>
    </w:p>
    <w:p>
      <w:pPr>
        <w:pStyle w:val="ListParagraph"/>
        <w:numPr>
          <w:ilvl w:val="1"/>
          <w:numId w:val="12"/>
        </w:numPr>
        <w:spacing w:after="0" w:line="240" w:lineRule="auto"/>
        <w:ind w:left="567" w:hanging="567"/>
        <w:jc w:val="both"/>
        <w:rPr>
          <w:rFonts w:ascii="Arial" w:eastAsia="Times New Roman" w:hAnsi="Arial" w:cs="Arial"/>
          <w:bCs/>
          <w:sz w:val="24"/>
          <w:szCs w:val="24"/>
          <w:lang w:val="es-AR"/>
        </w:rPr>
      </w:pPr>
      <w:r>
        <w:rPr>
          <w:rFonts w:ascii="Arial" w:eastAsia="Times New Roman" w:hAnsi="Arial" w:cs="Arial"/>
          <w:bCs/>
          <w:sz w:val="24"/>
          <w:szCs w:val="24"/>
          <w:lang w:val="es-AR"/>
        </w:rPr>
        <w:t>A través de la reingeniería de la gestión de riesgo que se efectuará en el marco del presente programa, se espera lograr una mejora de los tiempos de desaduanamiento y de los procesos de control. Esto implicará un mayor nivel de asertividad en el esquema de selectividad de los canales con una fuerte reducción de los niveles de canal rojo.</w:t>
      </w:r>
    </w:p>
    <w:p>
      <w:pPr>
        <w:pStyle w:val="ListParagraph"/>
        <w:rPr>
          <w:rFonts w:ascii="Arial" w:eastAsia="Times New Roman" w:hAnsi="Arial" w:cs="Arial"/>
          <w:bCs/>
          <w:sz w:val="24"/>
          <w:szCs w:val="24"/>
          <w:lang w:val="es-AR"/>
        </w:rPr>
      </w:pPr>
    </w:p>
    <w:p>
      <w:pPr>
        <w:pStyle w:val="ListParagraph"/>
        <w:numPr>
          <w:ilvl w:val="1"/>
          <w:numId w:val="12"/>
        </w:numPr>
        <w:spacing w:after="0" w:line="240" w:lineRule="auto"/>
        <w:ind w:left="567" w:hanging="567"/>
        <w:jc w:val="both"/>
        <w:rPr>
          <w:rFonts w:ascii="Arial" w:eastAsia="Times New Roman" w:hAnsi="Arial" w:cs="Arial"/>
          <w:bCs/>
          <w:sz w:val="24"/>
          <w:szCs w:val="24"/>
          <w:lang w:val="es-AR"/>
        </w:rPr>
      </w:pPr>
      <w:r>
        <w:rPr>
          <w:rFonts w:ascii="Arial" w:eastAsia="Times New Roman" w:hAnsi="Arial" w:cs="Arial"/>
          <w:bCs/>
          <w:sz w:val="24"/>
          <w:szCs w:val="24"/>
          <w:lang w:val="es-AR"/>
        </w:rPr>
        <w:t>La menor cantidad de intervenciones de control por canales rojos de selectividad redundará positivamente en los costos operativos, siendo este el segundo de los indicadores de desempeño a utilizar para la evaluación económica del programa. La proporción de canales rojos para el año 2016 fue del 30% aproximadamente con 1,3 millones de operaciones.</w:t>
      </w:r>
    </w:p>
    <w:p>
      <w:pPr>
        <w:pStyle w:val="ListParagraph"/>
        <w:rPr>
          <w:rFonts w:ascii="Arial" w:eastAsia="Times New Roman" w:hAnsi="Arial" w:cs="Arial"/>
          <w:bCs/>
          <w:sz w:val="24"/>
          <w:szCs w:val="24"/>
          <w:lang w:val="es-AR"/>
        </w:rPr>
      </w:pPr>
    </w:p>
    <w:p>
      <w:pPr>
        <w:pStyle w:val="ListParagraph"/>
        <w:numPr>
          <w:ilvl w:val="1"/>
          <w:numId w:val="12"/>
        </w:numPr>
        <w:spacing w:after="0" w:line="240" w:lineRule="auto"/>
        <w:jc w:val="both"/>
        <w:rPr>
          <w:rFonts w:ascii="Arial" w:eastAsia="Times New Roman" w:hAnsi="Arial" w:cs="Arial"/>
          <w:b/>
          <w:bCs/>
          <w:lang w:val="es-AR"/>
        </w:rPr>
      </w:pPr>
      <w:r>
        <w:rPr>
          <w:rFonts w:ascii="Arial" w:eastAsia="Times New Roman" w:hAnsi="Arial" w:cs="Arial"/>
          <w:bCs/>
          <w:sz w:val="24"/>
          <w:szCs w:val="24"/>
          <w:lang w:val="es-AR"/>
        </w:rPr>
        <w:lastRenderedPageBreak/>
        <w:t>Para el cálculo de este indicador se consideran los registros de operaciones aduaneras para el período base (2016), y se realizó una proyección de operaciones aduaneras utilizando la tasa de crecimiento interanual estimada. En base a información proveniente de relevamientos efectuados por los equipos Aduanas, se estimó que los costos por operación por canal rojo abarcan un rango de U$D 2.562,5 (mínima) a U$D 4.375 (máxima). Se supone entonces, utilizar un criterio conservador considerando un valor medio entre el máximo y mínimo</w:t>
      </w:r>
      <w:r>
        <w:rPr>
          <w:rStyle w:val="FootnoteReference"/>
          <w:rFonts w:ascii="Arial" w:eastAsia="Times New Roman" w:hAnsi="Arial" w:cs="Arial"/>
          <w:bCs/>
          <w:sz w:val="24"/>
          <w:szCs w:val="24"/>
          <w:lang w:val="es-AR"/>
        </w:rPr>
        <w:footnoteReference w:id="14"/>
      </w:r>
      <w:r>
        <w:rPr>
          <w:rFonts w:ascii="Arial" w:eastAsia="Times New Roman" w:hAnsi="Arial" w:cs="Arial"/>
          <w:bCs/>
          <w:sz w:val="24"/>
          <w:szCs w:val="24"/>
          <w:lang w:val="es-AR"/>
        </w:rPr>
        <w:t xml:space="preserve">. Los ahorros por estas medidas de facilitación son consistentes con la literatura que muestra que La implementación de iniciativas específicas que simplifican y agilizan el procesamiento administrativo en las transacciones comerciales, tales como la adopción de métodos de gestión de riesgos, el establecimiento de ventanillas únicas, procedimientos acelerados para el tránsito internacional y la implementación de acuerdos los programas de los operadores y las exportaciones postales tienen importantes efectos positivos en las exportaciones de las empresas y sus países, y en los ingresos. Este efecto se origina esencialmente en el aumento del número o la frecuencia de los envíos comerciales posibilitados por la facilitación transfronteriza, y esto tiende a ser mayor para los bienes que son más sensibles al tiempo (Carballo, Graziano, Schaur y Volpe Martincus, 2016a, 2016b, 2016c; y Carballo, Schaur y Volpe Martincus, 2016a, 2016b). </w:t>
      </w:r>
    </w:p>
    <w:p>
      <w:pPr>
        <w:pStyle w:val="ListParagraph"/>
        <w:spacing w:after="0" w:line="240" w:lineRule="auto"/>
        <w:ind w:left="567"/>
        <w:jc w:val="both"/>
        <w:rPr>
          <w:rFonts w:ascii="Arial" w:eastAsia="Times New Roman" w:hAnsi="Arial" w:cs="Arial"/>
          <w:bCs/>
          <w:sz w:val="24"/>
          <w:szCs w:val="24"/>
          <w:lang w:val="es-AR"/>
        </w:rPr>
      </w:pPr>
    </w:p>
    <w:p>
      <w:pPr>
        <w:pStyle w:val="ListParagraph"/>
        <w:numPr>
          <w:ilvl w:val="1"/>
          <w:numId w:val="12"/>
        </w:numPr>
        <w:spacing w:after="0" w:line="240" w:lineRule="auto"/>
        <w:ind w:left="567" w:hanging="567"/>
        <w:jc w:val="both"/>
        <w:rPr>
          <w:rFonts w:ascii="Arial" w:eastAsia="Times New Roman" w:hAnsi="Arial" w:cs="Arial"/>
          <w:bCs/>
          <w:sz w:val="24"/>
          <w:szCs w:val="24"/>
          <w:lang w:val="es-AR"/>
        </w:rPr>
      </w:pPr>
      <w:r>
        <w:rPr>
          <w:rFonts w:ascii="Arial" w:eastAsia="Times New Roman" w:hAnsi="Arial" w:cs="Arial"/>
          <w:bCs/>
          <w:sz w:val="24"/>
          <w:szCs w:val="24"/>
          <w:lang w:val="es-AR"/>
        </w:rPr>
        <w:t>Como consecuencia de la ejecución de las actividades incluidas en el programa, se estima que la proporción de canales rojos se reducirá en 2 puntos porcentuales por año llegando a fines de 2021 al 20% de canales rojos planteando un escenario conservador (considerando un escenario optimista, la proporción de canales rojos a fin del 2021 podría ser del 15%).</w:t>
      </w:r>
    </w:p>
    <w:p>
      <w:pPr>
        <w:spacing w:after="0" w:line="240" w:lineRule="auto"/>
        <w:jc w:val="both"/>
        <w:rPr>
          <w:rFonts w:ascii="Arial" w:eastAsia="Times New Roman" w:hAnsi="Arial" w:cs="Arial"/>
          <w:bCs/>
          <w:sz w:val="24"/>
          <w:szCs w:val="24"/>
          <w:lang w:val="es-AR"/>
        </w:rPr>
      </w:pPr>
    </w:p>
    <w:p>
      <w:pPr>
        <w:pStyle w:val="Heading1"/>
        <w:keepLines w:val="0"/>
        <w:numPr>
          <w:ilvl w:val="0"/>
          <w:numId w:val="12"/>
        </w:numPr>
        <w:spacing w:before="120" w:after="120" w:line="240" w:lineRule="auto"/>
        <w:ind w:left="426" w:hanging="426"/>
        <w:rPr>
          <w:rFonts w:ascii="Arial" w:eastAsia="Times New Roman" w:hAnsi="Arial" w:cs="Arial"/>
          <w:b/>
          <w:bCs/>
          <w:smallCaps/>
          <w:color w:val="auto"/>
          <w:kern w:val="32"/>
          <w:sz w:val="24"/>
          <w:szCs w:val="24"/>
          <w:lang w:val="es-ES" w:eastAsia="es-ES"/>
        </w:rPr>
      </w:pPr>
      <w:bookmarkStart w:id="9" w:name="_Toc499930014"/>
      <w:r>
        <w:rPr>
          <w:rFonts w:ascii="Arial" w:eastAsia="Times New Roman" w:hAnsi="Arial" w:cs="Arial"/>
          <w:b/>
          <w:bCs/>
          <w:smallCaps/>
          <w:color w:val="auto"/>
          <w:kern w:val="32"/>
          <w:sz w:val="24"/>
          <w:szCs w:val="24"/>
          <w:lang w:val="es-ES" w:eastAsia="es-ES"/>
        </w:rPr>
        <w:t>Rentabilidad del Proyecto: VAN y TIR</w:t>
      </w:r>
      <w:bookmarkEnd w:id="9"/>
    </w:p>
    <w:p>
      <w:pPr>
        <w:pStyle w:val="ListParagraph"/>
        <w:spacing w:before="120" w:after="120" w:line="240" w:lineRule="auto"/>
        <w:ind w:left="1080"/>
        <w:contextualSpacing w:val="0"/>
        <w:jc w:val="both"/>
        <w:rPr>
          <w:rFonts w:ascii="Arial" w:eastAsia="Times New Roman" w:hAnsi="Arial" w:cs="Arial"/>
          <w:kern w:val="28"/>
          <w:lang w:val="es-ES"/>
        </w:rPr>
      </w:pPr>
    </w:p>
    <w:p>
      <w:pPr>
        <w:pStyle w:val="ListParagraph"/>
        <w:numPr>
          <w:ilvl w:val="1"/>
          <w:numId w:val="12"/>
        </w:numPr>
        <w:spacing w:after="0" w:line="240" w:lineRule="auto"/>
        <w:jc w:val="both"/>
        <w:rPr>
          <w:rFonts w:ascii="Arial" w:eastAsia="Times New Roman" w:hAnsi="Arial" w:cs="Arial"/>
          <w:bCs/>
          <w:sz w:val="24"/>
          <w:szCs w:val="24"/>
          <w:lang w:val="es-AR"/>
        </w:rPr>
      </w:pPr>
      <w:r>
        <w:rPr>
          <w:rFonts w:ascii="Arial" w:eastAsia="Times New Roman" w:hAnsi="Arial" w:cs="Arial"/>
          <w:bCs/>
          <w:sz w:val="24"/>
          <w:szCs w:val="24"/>
          <w:lang w:val="es-AR"/>
        </w:rPr>
        <w:t>La Estimación del valor presente neto del programa se calculó descontando el flujo neto de beneficios (costos menos beneficios) de acuerdo a la siguiente fórmula:</w:t>
      </w:r>
    </w:p>
    <w:p>
      <w:pPr>
        <w:pStyle w:val="ListParagraph"/>
        <w:spacing w:before="120" w:after="120"/>
        <w:ind w:left="360"/>
        <w:jc w:val="both"/>
        <w:rPr>
          <w:rFonts w:ascii="Arial" w:hAnsi="Arial" w:cs="Arial"/>
        </w:rPr>
      </w:pPr>
      <m:oMathPara>
        <m:oMath>
          <m:r>
            <w:rPr>
              <w:rFonts w:ascii="Cambria Math" w:hAnsi="Cambria Math" w:cs="Arial"/>
            </w:rPr>
            <m:t>VPN=</m:t>
          </m:r>
          <m:d>
            <m:dPr>
              <m:ctrlPr>
                <w:rPr>
                  <w:rFonts w:ascii="Cambria Math" w:hAnsi="Cambria Math" w:cs="Arial"/>
                  <w:i/>
                </w:rPr>
              </m:ctrlPr>
            </m:dPr>
            <m:e>
              <m:r>
                <w:rPr>
                  <w:rFonts w:ascii="Cambria Math" w:hAnsi="Cambria Math" w:cs="Arial"/>
                </w:rPr>
                <m:t>Bo-Co</m:t>
              </m:r>
            </m:e>
          </m:d>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t=1</m:t>
              </m:r>
            </m:sub>
            <m:sup>
              <m:r>
                <w:rPr>
                  <w:rFonts w:ascii="Cambria Math" w:hAnsi="Cambria Math" w:cs="Arial"/>
                </w:rPr>
                <m:t>n</m:t>
              </m:r>
            </m:sup>
            <m:e>
              <m:f>
                <m:fPr>
                  <m:ctrlPr>
                    <w:rPr>
                      <w:rFonts w:ascii="Cambria Math" w:hAnsi="Cambria Math" w:cs="Arial"/>
                      <w:i/>
                    </w:rPr>
                  </m:ctrlPr>
                </m:fPr>
                <m:num>
                  <m:r>
                    <w:rPr>
                      <w:rFonts w:ascii="Cambria Math" w:hAnsi="Cambria Math" w:cs="Arial"/>
                    </w:rPr>
                    <m:t>(</m:t>
                  </m:r>
                  <m:sSub>
                    <m:sSubPr>
                      <m:ctrlPr>
                        <w:rPr>
                          <w:rFonts w:ascii="Cambria Math" w:hAnsi="Cambria Math" w:cs="Arial"/>
                          <w:i/>
                        </w:rPr>
                      </m:ctrlPr>
                    </m:sSubPr>
                    <m:e>
                      <m:r>
                        <w:rPr>
                          <w:rFonts w:ascii="Cambria Math" w:hAnsi="Cambria Math" w:cs="Arial"/>
                        </w:rPr>
                        <m:t>B</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CO</m:t>
                      </m:r>
                    </m:e>
                    <m:sub>
                      <m:r>
                        <w:rPr>
                          <w:rFonts w:ascii="Cambria Math" w:hAnsi="Cambria Math" w:cs="Arial"/>
                        </w:rPr>
                        <m:t>t</m:t>
                      </m:r>
                    </m:sub>
                  </m:sSub>
                  <m:r>
                    <w:rPr>
                      <w:rFonts w:ascii="Cambria Math" w:hAnsi="Cambria Math" w:cs="Arial"/>
                    </w:rPr>
                    <m:t xml:space="preserve">) </m:t>
                  </m:r>
                </m:num>
                <m:den>
                  <m:r>
                    <w:rPr>
                      <w:rFonts w:ascii="Cambria Math" w:hAnsi="Cambria Math" w:cs="Arial"/>
                    </w:rPr>
                    <m:t>(</m:t>
                  </m:r>
                  <m:sSup>
                    <m:sSupPr>
                      <m:ctrlPr>
                        <w:rPr>
                          <w:rFonts w:ascii="Cambria Math" w:hAnsi="Cambria Math" w:cs="Arial"/>
                          <w:i/>
                        </w:rPr>
                      </m:ctrlPr>
                    </m:sSupPr>
                    <m:e>
                      <m:r>
                        <w:rPr>
                          <w:rFonts w:ascii="Cambria Math" w:hAnsi="Cambria Math" w:cs="Arial"/>
                        </w:rPr>
                        <m:t>1.12)</m:t>
                      </m:r>
                    </m:e>
                    <m:sup>
                      <m:r>
                        <w:rPr>
                          <w:rFonts w:ascii="Cambria Math" w:hAnsi="Cambria Math" w:cs="Arial"/>
                        </w:rPr>
                        <m:t>t</m:t>
                      </m:r>
                    </m:sup>
                  </m:sSup>
                </m:den>
              </m:f>
            </m:e>
          </m:nary>
        </m:oMath>
      </m:oMathPara>
    </w:p>
    <w:p>
      <w:pPr>
        <w:pStyle w:val="Paragraph"/>
        <w:numPr>
          <w:ilvl w:val="0"/>
          <w:numId w:val="0"/>
        </w:numPr>
        <w:tabs>
          <w:tab w:val="left" w:pos="450"/>
        </w:tabs>
        <w:rPr>
          <w:rFonts w:ascii="Arial" w:hAnsi="Arial" w:cs="Arial"/>
          <w:sz w:val="22"/>
          <w:szCs w:val="22"/>
        </w:rPr>
      </w:pPr>
    </w:p>
    <w:p>
      <w:pPr>
        <w:spacing w:before="120" w:after="120" w:line="240" w:lineRule="auto"/>
        <w:jc w:val="both"/>
        <w:rPr>
          <w:rFonts w:ascii="Arial" w:hAnsi="Arial" w:cs="Arial"/>
          <w:sz w:val="24"/>
          <w:szCs w:val="24"/>
          <w:lang w:val="es-ES"/>
        </w:rPr>
      </w:pPr>
      <w:r>
        <w:rPr>
          <w:rFonts w:ascii="Arial" w:hAnsi="Arial" w:cs="Arial"/>
          <w:sz w:val="24"/>
          <w:szCs w:val="24"/>
          <w:lang w:val="es-ES"/>
        </w:rPr>
        <w:t xml:space="preserve">donde </w:t>
      </w:r>
      <w:r>
        <w:rPr>
          <w:rFonts w:ascii="Arial" w:hAnsi="Arial" w:cs="Arial"/>
          <w:i/>
          <w:sz w:val="24"/>
          <w:szCs w:val="24"/>
          <w:lang w:val="es-ES"/>
        </w:rPr>
        <w:t>VPN</w:t>
      </w:r>
      <w:r>
        <w:rPr>
          <w:rFonts w:ascii="Arial" w:hAnsi="Arial" w:cs="Arial"/>
          <w:sz w:val="24"/>
          <w:szCs w:val="24"/>
          <w:lang w:val="es-ES"/>
        </w:rPr>
        <w:t xml:space="preserve"> es el valor presente de los beneficios; </w:t>
      </w:r>
      <w:r>
        <w:rPr>
          <w:rFonts w:ascii="Arial" w:hAnsi="Arial" w:cs="Arial"/>
          <w:i/>
          <w:sz w:val="24"/>
          <w:szCs w:val="24"/>
          <w:lang w:val="es-ES"/>
        </w:rPr>
        <w:t>B</w:t>
      </w:r>
      <w:r>
        <w:rPr>
          <w:rFonts w:ascii="Arial" w:hAnsi="Arial" w:cs="Arial"/>
          <w:i/>
          <w:sz w:val="24"/>
          <w:szCs w:val="24"/>
          <w:vertAlign w:val="subscript"/>
          <w:lang w:val="es-ES"/>
        </w:rPr>
        <w:t>0</w:t>
      </w:r>
      <w:r>
        <w:rPr>
          <w:rFonts w:ascii="Arial" w:hAnsi="Arial" w:cs="Arial"/>
          <w:sz w:val="24"/>
          <w:szCs w:val="24"/>
          <w:lang w:val="es-ES"/>
        </w:rPr>
        <w:t xml:space="preserve"> son los beneficios en el año 0; </w:t>
      </w:r>
      <w:r>
        <w:rPr>
          <w:rFonts w:ascii="Arial" w:hAnsi="Arial" w:cs="Arial"/>
          <w:i/>
          <w:sz w:val="24"/>
          <w:szCs w:val="24"/>
          <w:lang w:val="es-ES"/>
        </w:rPr>
        <w:t>Co</w:t>
      </w:r>
      <w:r>
        <w:rPr>
          <w:rFonts w:ascii="Arial" w:hAnsi="Arial" w:cs="Arial"/>
          <w:sz w:val="24"/>
          <w:szCs w:val="24"/>
          <w:lang w:val="es-ES"/>
        </w:rPr>
        <w:t xml:space="preserve"> son los costos en el período 0; </w:t>
      </w:r>
      <w:r>
        <w:rPr>
          <w:rFonts w:ascii="Arial" w:hAnsi="Arial" w:cs="Arial"/>
          <w:i/>
          <w:sz w:val="24"/>
          <w:szCs w:val="24"/>
          <w:lang w:val="es-ES"/>
        </w:rPr>
        <w:t>B</w:t>
      </w:r>
      <w:r>
        <w:rPr>
          <w:rFonts w:ascii="Arial" w:hAnsi="Arial" w:cs="Arial"/>
          <w:i/>
          <w:sz w:val="24"/>
          <w:szCs w:val="24"/>
          <w:vertAlign w:val="subscript"/>
          <w:lang w:val="es-ES"/>
        </w:rPr>
        <w:t>t</w:t>
      </w:r>
      <w:r>
        <w:rPr>
          <w:rFonts w:ascii="Arial" w:hAnsi="Arial" w:cs="Arial"/>
          <w:sz w:val="24"/>
          <w:szCs w:val="24"/>
          <w:lang w:val="es-ES"/>
        </w:rPr>
        <w:t xml:space="preserve"> los beneficios en el período t; </w:t>
      </w:r>
      <w:r>
        <w:rPr>
          <w:rFonts w:ascii="Arial" w:hAnsi="Arial" w:cs="Arial"/>
          <w:i/>
          <w:sz w:val="24"/>
          <w:szCs w:val="24"/>
          <w:lang w:val="es-ES"/>
        </w:rPr>
        <w:t>CO</w:t>
      </w:r>
      <w:r>
        <w:rPr>
          <w:rFonts w:ascii="Arial" w:hAnsi="Arial" w:cs="Arial"/>
          <w:i/>
          <w:sz w:val="24"/>
          <w:szCs w:val="24"/>
          <w:vertAlign w:val="subscript"/>
          <w:lang w:val="es-ES"/>
        </w:rPr>
        <w:t>t</w:t>
      </w:r>
      <w:r>
        <w:rPr>
          <w:rFonts w:ascii="Arial" w:hAnsi="Arial" w:cs="Arial"/>
          <w:sz w:val="24"/>
          <w:szCs w:val="24"/>
          <w:lang w:val="es-ES"/>
        </w:rPr>
        <w:t xml:space="preserve"> </w:t>
      </w:r>
      <w:r>
        <w:rPr>
          <w:rFonts w:ascii="Arial" w:hAnsi="Arial" w:cs="Arial"/>
          <w:sz w:val="24"/>
          <w:szCs w:val="24"/>
          <w:lang w:val="es-ES"/>
        </w:rPr>
        <w:lastRenderedPageBreak/>
        <w:t xml:space="preserve">son los costos en el período </w:t>
      </w:r>
      <w:r>
        <w:rPr>
          <w:rFonts w:ascii="Arial" w:hAnsi="Arial" w:cs="Arial"/>
          <w:i/>
          <w:sz w:val="24"/>
          <w:szCs w:val="24"/>
          <w:lang w:val="es-ES"/>
        </w:rPr>
        <w:t>t</w:t>
      </w:r>
      <w:r>
        <w:rPr>
          <w:rFonts w:ascii="Arial" w:hAnsi="Arial" w:cs="Arial"/>
          <w:sz w:val="24"/>
          <w:szCs w:val="24"/>
          <w:lang w:val="es-ES"/>
        </w:rPr>
        <w:t xml:space="preserve">; </w:t>
      </w:r>
      <w:r>
        <w:rPr>
          <w:rFonts w:ascii="Arial" w:hAnsi="Arial" w:cs="Arial"/>
          <w:i/>
          <w:sz w:val="24"/>
          <w:szCs w:val="24"/>
          <w:lang w:val="es-ES"/>
        </w:rPr>
        <w:t>0,12</w:t>
      </w:r>
      <w:r>
        <w:rPr>
          <w:rFonts w:ascii="Arial" w:hAnsi="Arial" w:cs="Arial"/>
          <w:sz w:val="24"/>
          <w:szCs w:val="24"/>
          <w:lang w:val="es-ES"/>
        </w:rPr>
        <w:t xml:space="preserve"> es la tasa de descuento, </w:t>
      </w:r>
      <w:r>
        <w:rPr>
          <w:rFonts w:ascii="Arial" w:hAnsi="Arial" w:cs="Arial"/>
          <w:i/>
          <w:sz w:val="24"/>
          <w:szCs w:val="24"/>
          <w:lang w:val="es-ES"/>
        </w:rPr>
        <w:t>n</w:t>
      </w:r>
      <w:r>
        <w:rPr>
          <w:rFonts w:ascii="Arial" w:hAnsi="Arial" w:cs="Arial"/>
          <w:sz w:val="24"/>
          <w:szCs w:val="24"/>
          <w:lang w:val="es-ES"/>
        </w:rPr>
        <w:t xml:space="preserve"> es el número períodos de vida del proyecto.</w:t>
      </w:r>
    </w:p>
    <w:p>
      <w:pPr>
        <w:pStyle w:val="Paragraph"/>
        <w:numPr>
          <w:ilvl w:val="0"/>
          <w:numId w:val="0"/>
        </w:numPr>
        <w:tabs>
          <w:tab w:val="left" w:pos="450"/>
        </w:tabs>
        <w:rPr>
          <w:rFonts w:ascii="Arial" w:hAnsi="Arial" w:cs="Arial"/>
          <w:sz w:val="22"/>
          <w:szCs w:val="22"/>
        </w:rPr>
      </w:pPr>
    </w:p>
    <w:p>
      <w:pPr>
        <w:pStyle w:val="ListParagraph"/>
        <w:numPr>
          <w:ilvl w:val="1"/>
          <w:numId w:val="12"/>
        </w:numPr>
        <w:ind w:left="567" w:hanging="567"/>
        <w:jc w:val="both"/>
        <w:rPr>
          <w:rFonts w:ascii="Arial" w:hAnsi="Arial" w:cs="Arial"/>
          <w:b/>
          <w:sz w:val="24"/>
          <w:szCs w:val="24"/>
          <w:lang w:val="es-AR"/>
        </w:rPr>
      </w:pPr>
      <w:r>
        <w:rPr>
          <w:rFonts w:ascii="Arial" w:hAnsi="Arial" w:cs="Arial"/>
          <w:sz w:val="24"/>
          <w:szCs w:val="24"/>
          <w:lang w:val="es-AR"/>
        </w:rPr>
        <w:t xml:space="preserve"> La rentabilidad del proyecto arroja una </w:t>
      </w:r>
      <w:r>
        <w:rPr>
          <w:rFonts w:ascii="Arial" w:hAnsi="Arial" w:cs="Arial"/>
          <w:b/>
          <w:sz w:val="24"/>
          <w:szCs w:val="24"/>
          <w:lang w:val="es-AR"/>
        </w:rPr>
        <w:t>Tasa Interna de Retorno (TIR) de 240,7% con un Valor Actual Neto (VAN) de $ 1.904,79 millones.</w:t>
      </w:r>
    </w:p>
    <w:p>
      <w:pPr>
        <w:rPr>
          <w:rFonts w:ascii="Arial" w:hAnsi="Arial" w:cs="Arial"/>
          <w:b/>
          <w:bCs/>
          <w:smallCaps/>
          <w:kern w:val="32"/>
          <w:sz w:val="20"/>
          <w:szCs w:val="20"/>
          <w:lang w:val="es-ES"/>
        </w:rPr>
      </w:pPr>
      <w:r>
        <w:rPr>
          <w:rFonts w:ascii="Arial" w:hAnsi="Arial" w:cs="Arial"/>
          <w:b/>
          <w:sz w:val="20"/>
          <w:szCs w:val="20"/>
          <w:lang w:val="es-ES"/>
        </w:rPr>
        <w:t>Tabla 4.  Cálculo del VPN y TIR Escenario Base (En U$S)</w:t>
      </w:r>
    </w:p>
    <w:tbl>
      <w:tblPr>
        <w:tblW w:w="9242" w:type="dxa"/>
        <w:jc w:val="center"/>
        <w:tblCellMar>
          <w:left w:w="70" w:type="dxa"/>
          <w:right w:w="70" w:type="dxa"/>
        </w:tblCellMar>
        <w:tblLook w:val="04A0" w:firstRow="1" w:lastRow="0" w:firstColumn="1" w:lastColumn="0" w:noHBand="0" w:noVBand="1"/>
      </w:tblPr>
      <w:tblGrid>
        <w:gridCol w:w="709"/>
        <w:gridCol w:w="1701"/>
        <w:gridCol w:w="2552"/>
        <w:gridCol w:w="2240"/>
        <w:gridCol w:w="2040"/>
      </w:tblGrid>
      <w:tr>
        <w:trPr>
          <w:trHeight w:val="300"/>
          <w:jc w:val="center"/>
        </w:trPr>
        <w:tc>
          <w:tcPr>
            <w:tcW w:w="709"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pPr>
              <w:spacing w:after="0" w:line="240" w:lineRule="auto"/>
              <w:jc w:val="center"/>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Años</w:t>
            </w:r>
          </w:p>
        </w:tc>
        <w:tc>
          <w:tcPr>
            <w:tcW w:w="1701" w:type="dxa"/>
            <w:tcBorders>
              <w:top w:val="single" w:sz="4" w:space="0" w:color="auto"/>
              <w:left w:val="nil"/>
              <w:bottom w:val="single" w:sz="4" w:space="0" w:color="auto"/>
              <w:right w:val="single" w:sz="4" w:space="0" w:color="auto"/>
            </w:tcBorders>
            <w:shd w:val="clear" w:color="000000" w:fill="BFBFBF"/>
            <w:noWrap/>
            <w:vAlign w:val="bottom"/>
            <w:hideMark/>
          </w:tcPr>
          <w:p>
            <w:pPr>
              <w:spacing w:after="0" w:line="240" w:lineRule="auto"/>
              <w:jc w:val="center"/>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Costos</w:t>
            </w:r>
          </w:p>
        </w:tc>
        <w:tc>
          <w:tcPr>
            <w:tcW w:w="2552" w:type="dxa"/>
            <w:tcBorders>
              <w:top w:val="single" w:sz="4" w:space="0" w:color="auto"/>
              <w:left w:val="nil"/>
              <w:bottom w:val="single" w:sz="4" w:space="0" w:color="auto"/>
              <w:right w:val="single" w:sz="4" w:space="0" w:color="auto"/>
            </w:tcBorders>
            <w:shd w:val="clear" w:color="000000" w:fill="BFBFBF"/>
            <w:noWrap/>
            <w:vAlign w:val="bottom"/>
            <w:hideMark/>
          </w:tcPr>
          <w:p>
            <w:pPr>
              <w:spacing w:after="0" w:line="240" w:lineRule="auto"/>
              <w:jc w:val="center"/>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B</w:t>
            </w:r>
            <w:r>
              <w:rPr>
                <w:rFonts w:ascii="Arial" w:eastAsia="Times New Roman" w:hAnsi="Arial" w:cs="Arial"/>
                <w:b/>
                <w:bCs/>
                <w:color w:val="000000"/>
                <w:sz w:val="18"/>
                <w:szCs w:val="20"/>
                <w:vertAlign w:val="subscript"/>
                <w:lang w:val="es-AR" w:eastAsia="es-AR"/>
              </w:rPr>
              <w:t>1</w:t>
            </w:r>
          </w:p>
        </w:tc>
        <w:tc>
          <w:tcPr>
            <w:tcW w:w="2240" w:type="dxa"/>
            <w:tcBorders>
              <w:top w:val="single" w:sz="4" w:space="0" w:color="auto"/>
              <w:left w:val="nil"/>
              <w:bottom w:val="single" w:sz="4" w:space="0" w:color="auto"/>
              <w:right w:val="single" w:sz="4" w:space="0" w:color="auto"/>
            </w:tcBorders>
            <w:shd w:val="clear" w:color="000000" w:fill="BFBFBF"/>
            <w:noWrap/>
            <w:vAlign w:val="bottom"/>
            <w:hideMark/>
          </w:tcPr>
          <w:p>
            <w:pPr>
              <w:spacing w:after="0" w:line="240" w:lineRule="auto"/>
              <w:jc w:val="center"/>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B</w:t>
            </w:r>
            <w:r>
              <w:rPr>
                <w:rFonts w:ascii="Arial" w:eastAsia="Times New Roman" w:hAnsi="Arial" w:cs="Arial"/>
                <w:b/>
                <w:bCs/>
                <w:color w:val="000000"/>
                <w:sz w:val="18"/>
                <w:szCs w:val="20"/>
                <w:vertAlign w:val="subscript"/>
                <w:lang w:val="es-AR" w:eastAsia="es-AR"/>
              </w:rPr>
              <w:t>2</w:t>
            </w:r>
          </w:p>
        </w:tc>
        <w:tc>
          <w:tcPr>
            <w:tcW w:w="2040" w:type="dxa"/>
            <w:tcBorders>
              <w:top w:val="single" w:sz="4" w:space="0" w:color="auto"/>
              <w:left w:val="nil"/>
              <w:bottom w:val="single" w:sz="4" w:space="0" w:color="auto"/>
              <w:right w:val="single" w:sz="4" w:space="0" w:color="auto"/>
            </w:tcBorders>
            <w:shd w:val="clear" w:color="000000" w:fill="BFBFBF"/>
            <w:noWrap/>
            <w:vAlign w:val="bottom"/>
            <w:hideMark/>
          </w:tcPr>
          <w:p>
            <w:pPr>
              <w:spacing w:after="0" w:line="240" w:lineRule="auto"/>
              <w:jc w:val="center"/>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Beneficios Netos</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2018</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19.008.802,00</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FF0000"/>
                <w:sz w:val="18"/>
                <w:szCs w:val="20"/>
                <w:lang w:val="es-AR" w:eastAsia="es-AR"/>
              </w:rPr>
            </w:pPr>
            <w:r>
              <w:rPr>
                <w:rFonts w:ascii="Arial" w:eastAsia="Times New Roman" w:hAnsi="Arial" w:cs="Arial"/>
                <w:color w:val="FF0000"/>
                <w:sz w:val="18"/>
                <w:szCs w:val="20"/>
                <w:lang w:val="es-AR" w:eastAsia="es-AR"/>
              </w:rPr>
              <w:t>-19.008.802,00</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2019</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39.566.974,00</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FF0000"/>
                <w:sz w:val="18"/>
                <w:szCs w:val="20"/>
                <w:lang w:val="es-AR" w:eastAsia="es-AR"/>
              </w:rPr>
            </w:pPr>
            <w:r>
              <w:rPr>
                <w:rFonts w:ascii="Arial" w:eastAsia="Times New Roman" w:hAnsi="Arial" w:cs="Arial"/>
                <w:color w:val="FF0000"/>
                <w:sz w:val="18"/>
                <w:szCs w:val="20"/>
                <w:lang w:val="es-AR" w:eastAsia="es-AR"/>
              </w:rPr>
              <w:t>-39.566.974,00</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2020</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25.794.886,00</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102.443.082,70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186.123.044,69</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sz w:val="18"/>
                <w:szCs w:val="20"/>
                <w:lang w:val="es-AR" w:eastAsia="es-AR"/>
              </w:rPr>
            </w:pPr>
            <w:r>
              <w:rPr>
                <w:rFonts w:ascii="Arial" w:eastAsia="Times New Roman" w:hAnsi="Arial" w:cs="Arial"/>
                <w:sz w:val="18"/>
                <w:szCs w:val="20"/>
                <w:lang w:val="es-AR" w:eastAsia="es-AR"/>
              </w:rPr>
              <w:t>262.771.241,39</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2021</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9.938.458,00</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102.080.958,32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285.135.292,64</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sz w:val="18"/>
                <w:szCs w:val="20"/>
                <w:lang w:val="es-AR" w:eastAsia="es-AR"/>
              </w:rPr>
            </w:pPr>
            <w:r>
              <w:rPr>
                <w:rFonts w:ascii="Arial" w:eastAsia="Times New Roman" w:hAnsi="Arial" w:cs="Arial"/>
                <w:sz w:val="18"/>
                <w:szCs w:val="20"/>
                <w:lang w:val="es-AR" w:eastAsia="es-AR"/>
              </w:rPr>
              <w:t>377.277.792,95</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2022</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1.850.000,00</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105.143.387,07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388.283.807,95</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sz w:val="18"/>
                <w:szCs w:val="20"/>
                <w:lang w:val="es-AR" w:eastAsia="es-AR"/>
              </w:rPr>
            </w:pPr>
            <w:r>
              <w:rPr>
                <w:rFonts w:ascii="Arial" w:eastAsia="Times New Roman" w:hAnsi="Arial" w:cs="Arial"/>
                <w:sz w:val="18"/>
                <w:szCs w:val="20"/>
                <w:lang w:val="es-AR" w:eastAsia="es-AR"/>
              </w:rPr>
              <w:t>491.577.195,01</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2023</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108.297.688,68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495.699.934,19</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sz w:val="18"/>
                <w:szCs w:val="20"/>
                <w:lang w:val="es-AR" w:eastAsia="es-AR"/>
              </w:rPr>
            </w:pPr>
            <w:r>
              <w:rPr>
                <w:rFonts w:ascii="Arial" w:eastAsia="Times New Roman" w:hAnsi="Arial" w:cs="Arial"/>
                <w:sz w:val="18"/>
                <w:szCs w:val="20"/>
                <w:lang w:val="es-AR" w:eastAsia="es-AR"/>
              </w:rPr>
              <w:t>603.997.622,87</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2024</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111.546.619,34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495.699.934,19</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sz w:val="18"/>
                <w:szCs w:val="20"/>
                <w:lang w:val="es-AR" w:eastAsia="es-AR"/>
              </w:rPr>
            </w:pPr>
            <w:r>
              <w:rPr>
                <w:rFonts w:ascii="Arial" w:eastAsia="Times New Roman" w:hAnsi="Arial" w:cs="Arial"/>
                <w:sz w:val="18"/>
                <w:szCs w:val="20"/>
                <w:lang w:val="es-AR" w:eastAsia="es-AR"/>
              </w:rPr>
              <w:t>607.246.553,53</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2025</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114.893.017,92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495.699.934,19</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sz w:val="18"/>
                <w:szCs w:val="20"/>
                <w:lang w:val="es-AR" w:eastAsia="es-AR"/>
              </w:rPr>
            </w:pPr>
            <w:r>
              <w:rPr>
                <w:rFonts w:ascii="Arial" w:eastAsia="Times New Roman" w:hAnsi="Arial" w:cs="Arial"/>
                <w:sz w:val="18"/>
                <w:szCs w:val="20"/>
                <w:lang w:val="es-AR" w:eastAsia="es-AR"/>
              </w:rPr>
              <w:t>610.592.952,11</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2026</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118.339.808,46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495.699.934,19</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sz w:val="18"/>
                <w:szCs w:val="20"/>
                <w:lang w:val="es-AR" w:eastAsia="es-AR"/>
              </w:rPr>
            </w:pPr>
            <w:r>
              <w:rPr>
                <w:rFonts w:ascii="Arial" w:eastAsia="Times New Roman" w:hAnsi="Arial" w:cs="Arial"/>
                <w:sz w:val="18"/>
                <w:szCs w:val="20"/>
                <w:lang w:val="es-AR" w:eastAsia="es-AR"/>
              </w:rPr>
              <w:t>614.039.742,65</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2027</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121.890.002,71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495.699.934,19</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sz w:val="18"/>
                <w:szCs w:val="20"/>
                <w:lang w:val="es-AR" w:eastAsia="es-AR"/>
              </w:rPr>
            </w:pPr>
            <w:r>
              <w:rPr>
                <w:rFonts w:ascii="Arial" w:eastAsia="Times New Roman" w:hAnsi="Arial" w:cs="Arial"/>
                <w:sz w:val="18"/>
                <w:szCs w:val="20"/>
                <w:lang w:val="es-AR" w:eastAsia="es-AR"/>
              </w:rPr>
              <w:t>617.589.936,90</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2028</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125.546.702,79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495.699.934,19</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sz w:val="18"/>
                <w:szCs w:val="20"/>
                <w:lang w:val="es-AR" w:eastAsia="es-AR"/>
              </w:rPr>
            </w:pPr>
            <w:r>
              <w:rPr>
                <w:rFonts w:ascii="Arial" w:eastAsia="Times New Roman" w:hAnsi="Arial" w:cs="Arial"/>
                <w:sz w:val="18"/>
                <w:szCs w:val="20"/>
                <w:lang w:val="es-AR" w:eastAsia="es-AR"/>
              </w:rPr>
              <w:t>621.246.636,98</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2029</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129.313.103,87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495.699.934,19</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sz w:val="18"/>
                <w:szCs w:val="20"/>
                <w:lang w:val="es-AR" w:eastAsia="es-AR"/>
              </w:rPr>
            </w:pPr>
            <w:r>
              <w:rPr>
                <w:rFonts w:ascii="Arial" w:eastAsia="Times New Roman" w:hAnsi="Arial" w:cs="Arial"/>
                <w:sz w:val="18"/>
                <w:szCs w:val="20"/>
                <w:lang w:val="es-AR" w:eastAsia="es-AR"/>
              </w:rPr>
              <w:t>625.013.038,07</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2030</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133.192.496,99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495.699.934,19</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sz w:val="18"/>
                <w:szCs w:val="20"/>
                <w:lang w:val="es-AR" w:eastAsia="es-AR"/>
              </w:rPr>
            </w:pPr>
            <w:r>
              <w:rPr>
                <w:rFonts w:ascii="Arial" w:eastAsia="Times New Roman" w:hAnsi="Arial" w:cs="Arial"/>
                <w:sz w:val="18"/>
                <w:szCs w:val="20"/>
                <w:lang w:val="es-AR" w:eastAsia="es-AR"/>
              </w:rPr>
              <w:t>628.892.431,18</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2031</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137.188.271,90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495.699.934,19</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sz w:val="18"/>
                <w:szCs w:val="20"/>
                <w:lang w:val="es-AR" w:eastAsia="es-AR"/>
              </w:rPr>
            </w:pPr>
            <w:r>
              <w:rPr>
                <w:rFonts w:ascii="Arial" w:eastAsia="Times New Roman" w:hAnsi="Arial" w:cs="Arial"/>
                <w:sz w:val="18"/>
                <w:szCs w:val="20"/>
                <w:lang w:val="es-AR" w:eastAsia="es-AR"/>
              </w:rPr>
              <w:t>632.888.206,09</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2032</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141.303.920,06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495.699.934,19</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sz w:val="18"/>
                <w:szCs w:val="20"/>
                <w:lang w:val="es-AR" w:eastAsia="es-AR"/>
              </w:rPr>
            </w:pPr>
            <w:r>
              <w:rPr>
                <w:rFonts w:ascii="Arial" w:eastAsia="Times New Roman" w:hAnsi="Arial" w:cs="Arial"/>
                <w:sz w:val="18"/>
                <w:szCs w:val="20"/>
                <w:lang w:val="es-AR" w:eastAsia="es-AR"/>
              </w:rPr>
              <w:t>637.003.854,25</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2033</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145.543.037,66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495.699.934,19</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sz w:val="18"/>
                <w:szCs w:val="20"/>
                <w:lang w:val="es-AR" w:eastAsia="es-AR"/>
              </w:rPr>
            </w:pPr>
            <w:r>
              <w:rPr>
                <w:rFonts w:ascii="Arial" w:eastAsia="Times New Roman" w:hAnsi="Arial" w:cs="Arial"/>
                <w:sz w:val="18"/>
                <w:szCs w:val="20"/>
                <w:lang w:val="es-AR" w:eastAsia="es-AR"/>
              </w:rPr>
              <w:t>641.242.971,85</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2034</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149.909.328,79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495.699.934,19</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sz w:val="18"/>
                <w:szCs w:val="20"/>
                <w:lang w:val="es-AR" w:eastAsia="es-AR"/>
              </w:rPr>
            </w:pPr>
            <w:r>
              <w:rPr>
                <w:rFonts w:ascii="Arial" w:eastAsia="Times New Roman" w:hAnsi="Arial" w:cs="Arial"/>
                <w:sz w:val="18"/>
                <w:szCs w:val="20"/>
                <w:lang w:val="es-AR" w:eastAsia="es-AR"/>
              </w:rPr>
              <w:t>645.609.262,98</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2035</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154.406.608,65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495.699.934,19</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sz w:val="18"/>
                <w:szCs w:val="20"/>
                <w:lang w:val="es-AR" w:eastAsia="es-AR"/>
              </w:rPr>
            </w:pPr>
            <w:r>
              <w:rPr>
                <w:rFonts w:ascii="Arial" w:eastAsia="Times New Roman" w:hAnsi="Arial" w:cs="Arial"/>
                <w:sz w:val="18"/>
                <w:szCs w:val="20"/>
                <w:lang w:val="es-AR" w:eastAsia="es-AR"/>
              </w:rPr>
              <w:t>650.106.542,85</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2036</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159.038.806,91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495.699.934,19</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sz w:val="18"/>
                <w:szCs w:val="20"/>
                <w:lang w:val="es-AR" w:eastAsia="es-AR"/>
              </w:rPr>
            </w:pPr>
            <w:r>
              <w:rPr>
                <w:rFonts w:ascii="Arial" w:eastAsia="Times New Roman" w:hAnsi="Arial" w:cs="Arial"/>
                <w:sz w:val="18"/>
                <w:szCs w:val="20"/>
                <w:lang w:val="es-AR" w:eastAsia="es-AR"/>
              </w:rPr>
              <w:t>654.738.741,11</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2037</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163.809.971,12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495.699.934,19</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sz w:val="18"/>
                <w:szCs w:val="20"/>
                <w:lang w:val="es-AR" w:eastAsia="es-AR"/>
              </w:rPr>
            </w:pPr>
            <w:r>
              <w:rPr>
                <w:rFonts w:ascii="Arial" w:eastAsia="Times New Roman" w:hAnsi="Arial" w:cs="Arial"/>
                <w:sz w:val="18"/>
                <w:szCs w:val="20"/>
                <w:lang w:val="es-AR" w:eastAsia="es-AR"/>
              </w:rPr>
              <w:t>659.509.905,31</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2038</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168.724.270,25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495.699.934,19</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sz w:val="18"/>
                <w:szCs w:val="20"/>
                <w:lang w:val="es-AR" w:eastAsia="es-AR"/>
              </w:rPr>
            </w:pPr>
            <w:r>
              <w:rPr>
                <w:rFonts w:ascii="Arial" w:eastAsia="Times New Roman" w:hAnsi="Arial" w:cs="Arial"/>
                <w:sz w:val="18"/>
                <w:szCs w:val="20"/>
                <w:lang w:val="es-AR" w:eastAsia="es-AR"/>
              </w:rPr>
              <w:t>664.424.204,45</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2039</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173.785.998,36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495.699.934,19</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sz w:val="18"/>
                <w:szCs w:val="20"/>
                <w:lang w:val="es-AR" w:eastAsia="es-AR"/>
              </w:rPr>
            </w:pPr>
            <w:r>
              <w:rPr>
                <w:rFonts w:ascii="Arial" w:eastAsia="Times New Roman" w:hAnsi="Arial" w:cs="Arial"/>
                <w:sz w:val="18"/>
                <w:szCs w:val="20"/>
                <w:lang w:val="es-AR" w:eastAsia="es-AR"/>
              </w:rPr>
              <w:t>669.485.932,55</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2040</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178.999.578,31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495.699.934,19</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sz w:val="18"/>
                <w:szCs w:val="20"/>
                <w:lang w:val="es-AR" w:eastAsia="es-AR"/>
              </w:rPr>
            </w:pPr>
            <w:r>
              <w:rPr>
                <w:rFonts w:ascii="Arial" w:eastAsia="Times New Roman" w:hAnsi="Arial" w:cs="Arial"/>
                <w:sz w:val="18"/>
                <w:szCs w:val="20"/>
                <w:lang w:val="es-AR" w:eastAsia="es-AR"/>
              </w:rPr>
              <w:t>674.699.512,50</w:t>
            </w:r>
          </w:p>
        </w:tc>
      </w:tr>
      <w:tr>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2041</w:t>
            </w:r>
          </w:p>
        </w:tc>
        <w:tc>
          <w:tcPr>
            <w:tcW w:w="170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w:t>
            </w:r>
          </w:p>
        </w:tc>
        <w:tc>
          <w:tcPr>
            <w:tcW w:w="255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184.369.565,66 </w:t>
            </w:r>
          </w:p>
        </w:tc>
        <w:tc>
          <w:tcPr>
            <w:tcW w:w="22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495.699.934,19</w:t>
            </w:r>
          </w:p>
        </w:tc>
        <w:tc>
          <w:tcPr>
            <w:tcW w:w="204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sz w:val="18"/>
                <w:szCs w:val="20"/>
                <w:lang w:val="es-AR" w:eastAsia="es-AR"/>
              </w:rPr>
            </w:pPr>
            <w:r>
              <w:rPr>
                <w:rFonts w:ascii="Arial" w:eastAsia="Times New Roman" w:hAnsi="Arial" w:cs="Arial"/>
                <w:sz w:val="18"/>
                <w:szCs w:val="20"/>
                <w:lang w:val="es-AR" w:eastAsia="es-AR"/>
              </w:rPr>
              <w:t>680.069.499,85</w:t>
            </w:r>
          </w:p>
        </w:tc>
      </w:tr>
    </w:tbl>
    <w:p>
      <w:pPr>
        <w:rPr>
          <w:rFonts w:ascii="Arial" w:eastAsia="Times New Roman" w:hAnsi="Arial" w:cs="Arial"/>
          <w:bCs/>
          <w:sz w:val="20"/>
          <w:szCs w:val="20"/>
          <w:lang w:val="es-AR"/>
        </w:rPr>
      </w:pPr>
    </w:p>
    <w:tbl>
      <w:tblPr>
        <w:tblW w:w="3397" w:type="dxa"/>
        <w:jc w:val="center"/>
        <w:tblCellMar>
          <w:left w:w="70" w:type="dxa"/>
          <w:right w:w="70" w:type="dxa"/>
        </w:tblCellMar>
        <w:tblLook w:val="04A0" w:firstRow="1" w:lastRow="0" w:firstColumn="1" w:lastColumn="0" w:noHBand="0" w:noVBand="1"/>
      </w:tblPr>
      <w:tblGrid>
        <w:gridCol w:w="1220"/>
        <w:gridCol w:w="2177"/>
      </w:tblGrid>
      <w:tr>
        <w:trPr>
          <w:trHeight w:val="300"/>
          <w:jc w:val="center"/>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VAN</w:t>
            </w:r>
          </w:p>
        </w:tc>
        <w:tc>
          <w:tcPr>
            <w:tcW w:w="2177" w:type="dxa"/>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1.904.797.710,5</w:t>
            </w:r>
          </w:p>
        </w:tc>
      </w:tr>
      <w:tr>
        <w:trPr>
          <w:trHeight w:val="300"/>
          <w:jc w:val="center"/>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TIR</w:t>
            </w:r>
          </w:p>
        </w:tc>
        <w:tc>
          <w:tcPr>
            <w:tcW w:w="2177" w:type="dxa"/>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274,3%</w:t>
            </w:r>
          </w:p>
        </w:tc>
      </w:tr>
    </w:tbl>
    <w:p>
      <w:pPr>
        <w:rPr>
          <w:rFonts w:ascii="Arial" w:eastAsia="Times New Roman" w:hAnsi="Arial" w:cs="Arial"/>
          <w:bCs/>
          <w:sz w:val="20"/>
          <w:szCs w:val="20"/>
          <w:lang w:val="es-AR"/>
        </w:rPr>
      </w:pPr>
    </w:p>
    <w:p>
      <w:pPr>
        <w:rPr>
          <w:rFonts w:ascii="Arial" w:eastAsia="Times New Roman" w:hAnsi="Arial" w:cs="Arial"/>
          <w:b/>
          <w:bCs/>
          <w:smallCaps/>
          <w:kern w:val="32"/>
          <w:sz w:val="24"/>
          <w:szCs w:val="24"/>
          <w:lang w:val="es-ES" w:eastAsia="es-ES"/>
        </w:rPr>
      </w:pPr>
      <w:r>
        <w:rPr>
          <w:rFonts w:ascii="Arial" w:eastAsia="Times New Roman" w:hAnsi="Arial" w:cs="Arial"/>
          <w:b/>
          <w:bCs/>
          <w:smallCaps/>
          <w:kern w:val="32"/>
          <w:sz w:val="24"/>
          <w:szCs w:val="24"/>
          <w:lang w:val="es-ES" w:eastAsia="es-ES"/>
        </w:rPr>
        <w:br w:type="page"/>
      </w:r>
    </w:p>
    <w:p>
      <w:pPr>
        <w:pStyle w:val="Heading1"/>
        <w:keepLines w:val="0"/>
        <w:numPr>
          <w:ilvl w:val="0"/>
          <w:numId w:val="12"/>
        </w:numPr>
        <w:spacing w:before="120" w:after="120" w:line="240" w:lineRule="auto"/>
        <w:ind w:left="426" w:hanging="426"/>
        <w:rPr>
          <w:rFonts w:ascii="Arial" w:eastAsia="Times New Roman" w:hAnsi="Arial" w:cs="Arial"/>
          <w:b/>
          <w:bCs/>
          <w:smallCaps/>
          <w:color w:val="auto"/>
          <w:kern w:val="32"/>
          <w:sz w:val="24"/>
          <w:szCs w:val="24"/>
          <w:lang w:val="es-ES" w:eastAsia="es-ES"/>
        </w:rPr>
      </w:pPr>
      <w:bookmarkStart w:id="10" w:name="_Toc499930015"/>
      <w:r>
        <w:rPr>
          <w:rFonts w:ascii="Arial" w:eastAsia="Times New Roman" w:hAnsi="Arial" w:cs="Arial"/>
          <w:b/>
          <w:bCs/>
          <w:smallCaps/>
          <w:color w:val="auto"/>
          <w:kern w:val="32"/>
          <w:sz w:val="24"/>
          <w:szCs w:val="24"/>
          <w:lang w:val="es-ES" w:eastAsia="es-ES"/>
        </w:rPr>
        <w:lastRenderedPageBreak/>
        <w:t>Análisis de Sensibilidad</w:t>
      </w:r>
      <w:bookmarkEnd w:id="10"/>
    </w:p>
    <w:p>
      <w:pPr>
        <w:pStyle w:val="ListParagraph"/>
        <w:spacing w:after="0" w:line="240" w:lineRule="auto"/>
        <w:ind w:left="360"/>
        <w:jc w:val="both"/>
        <w:rPr>
          <w:rFonts w:ascii="Arial" w:eastAsia="Times New Roman" w:hAnsi="Arial" w:cs="Arial"/>
          <w:bCs/>
          <w:sz w:val="24"/>
          <w:szCs w:val="24"/>
          <w:lang w:val="es-AR"/>
        </w:rPr>
      </w:pPr>
    </w:p>
    <w:p>
      <w:pPr>
        <w:pStyle w:val="ListParagraph"/>
        <w:numPr>
          <w:ilvl w:val="1"/>
          <w:numId w:val="12"/>
        </w:numPr>
        <w:spacing w:after="0" w:line="240" w:lineRule="auto"/>
        <w:jc w:val="both"/>
        <w:rPr>
          <w:rFonts w:ascii="Arial" w:eastAsia="Times New Roman" w:hAnsi="Arial" w:cs="Arial"/>
          <w:bCs/>
          <w:sz w:val="24"/>
          <w:szCs w:val="24"/>
          <w:lang w:val="es-AR"/>
        </w:rPr>
      </w:pPr>
      <w:r>
        <w:rPr>
          <w:rFonts w:ascii="Arial" w:eastAsia="Times New Roman" w:hAnsi="Arial" w:cs="Arial"/>
          <w:bCs/>
          <w:sz w:val="24"/>
          <w:szCs w:val="24"/>
          <w:lang w:val="es-AR"/>
        </w:rPr>
        <w:t xml:space="preserve">Para evaluar la sensibilidad de los resultados, se ensayó un análisis de Montecarlo. Con un nivel de confianza del 95% el VAN toma valores de entre U$S1.767,9 y U$S 2.041,7 millones. </w:t>
      </w:r>
    </w:p>
    <w:p>
      <w:pPr>
        <w:spacing w:after="0" w:line="240" w:lineRule="auto"/>
        <w:jc w:val="both"/>
        <w:rPr>
          <w:rFonts w:ascii="Arial" w:eastAsia="Times New Roman" w:hAnsi="Arial" w:cs="Arial"/>
          <w:bCs/>
          <w:sz w:val="24"/>
          <w:szCs w:val="24"/>
          <w:lang w:val="es-AR"/>
        </w:rPr>
      </w:pPr>
    </w:p>
    <w:p>
      <w:pPr>
        <w:jc w:val="center"/>
        <w:rPr>
          <w:rFonts w:ascii="Arial" w:eastAsia="Times New Roman" w:hAnsi="Arial" w:cs="Arial"/>
          <w:b/>
          <w:bCs/>
          <w:sz w:val="24"/>
          <w:szCs w:val="24"/>
          <w:lang w:val="es-AR"/>
        </w:rPr>
      </w:pPr>
      <w:r>
        <w:rPr>
          <w:rFonts w:ascii="Arial" w:eastAsia="Times New Roman" w:hAnsi="Arial" w:cs="Arial"/>
          <w:b/>
          <w:bCs/>
          <w:sz w:val="24"/>
          <w:szCs w:val="24"/>
          <w:lang w:val="es-AR"/>
        </w:rPr>
        <w:t>Análisis de Montecarlo</w:t>
      </w:r>
    </w:p>
    <w:p>
      <w:pPr>
        <w:jc w:val="center"/>
        <w:rPr>
          <w:rFonts w:ascii="Arial" w:eastAsia="Times New Roman" w:hAnsi="Arial" w:cs="Arial"/>
          <w:b/>
          <w:bCs/>
          <w:smallCaps/>
          <w:kern w:val="32"/>
          <w:sz w:val="24"/>
          <w:szCs w:val="24"/>
          <w:lang w:val="es-ES" w:eastAsia="es-ES"/>
        </w:rPr>
      </w:pPr>
      <w:r>
        <w:rPr>
          <w:rFonts w:ascii="Arial" w:eastAsia="Times New Roman" w:hAnsi="Arial" w:cs="Arial"/>
          <w:b/>
          <w:bCs/>
          <w:smallCaps/>
          <w:noProof/>
          <w:kern w:val="32"/>
          <w:sz w:val="24"/>
          <w:szCs w:val="24"/>
          <w:lang w:val="es-ES" w:eastAsia="es-ES"/>
        </w:rPr>
        <w:drawing>
          <wp:inline distT="0" distB="0" distL="0" distR="0">
            <wp:extent cx="5303520" cy="32004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03520" cy="3200400"/>
                    </a:xfrm>
                    <a:prstGeom prst="rect">
                      <a:avLst/>
                    </a:prstGeom>
                    <a:noFill/>
                    <a:ln>
                      <a:noFill/>
                    </a:ln>
                  </pic:spPr>
                </pic:pic>
              </a:graphicData>
            </a:graphic>
          </wp:inline>
        </w:drawing>
      </w:r>
    </w:p>
    <w:p>
      <w:pPr>
        <w:pStyle w:val="ListParagraph"/>
        <w:numPr>
          <w:ilvl w:val="1"/>
          <w:numId w:val="12"/>
        </w:numPr>
        <w:spacing w:after="0" w:line="240" w:lineRule="auto"/>
        <w:jc w:val="both"/>
        <w:rPr>
          <w:rFonts w:ascii="Arial" w:eastAsia="Times New Roman" w:hAnsi="Arial" w:cs="Arial"/>
          <w:bCs/>
          <w:sz w:val="24"/>
          <w:szCs w:val="24"/>
          <w:lang w:val="es-AR"/>
        </w:rPr>
      </w:pPr>
      <w:r>
        <w:rPr>
          <w:rFonts w:ascii="Arial" w:eastAsia="Times New Roman" w:hAnsi="Arial" w:cs="Arial"/>
          <w:bCs/>
          <w:sz w:val="24"/>
          <w:szCs w:val="24"/>
          <w:lang w:val="es-AR"/>
        </w:rPr>
        <w:t>Sobre los parámetros tenidos en cuenta en el escenario Base, se ensayaron supuestos diferentes para testear la sensibilidad de los resultados a cambios en las variables del modelo.</w:t>
      </w:r>
    </w:p>
    <w:p>
      <w:pPr>
        <w:pStyle w:val="ListParagraph"/>
        <w:spacing w:after="0" w:line="240" w:lineRule="auto"/>
        <w:ind w:left="360"/>
        <w:jc w:val="both"/>
        <w:rPr>
          <w:rFonts w:ascii="Arial" w:eastAsia="Times New Roman" w:hAnsi="Arial" w:cs="Arial"/>
          <w:bCs/>
          <w:sz w:val="24"/>
          <w:szCs w:val="24"/>
          <w:lang w:val="es-AR"/>
        </w:rPr>
      </w:pPr>
    </w:p>
    <w:p>
      <w:pPr>
        <w:pStyle w:val="ListParagraph"/>
        <w:numPr>
          <w:ilvl w:val="1"/>
          <w:numId w:val="12"/>
        </w:numPr>
        <w:spacing w:after="0" w:line="240" w:lineRule="auto"/>
        <w:jc w:val="both"/>
        <w:rPr>
          <w:rFonts w:ascii="Arial" w:eastAsia="Times New Roman" w:hAnsi="Arial" w:cs="Arial"/>
          <w:bCs/>
          <w:sz w:val="24"/>
          <w:szCs w:val="24"/>
          <w:lang w:val="es-AR"/>
        </w:rPr>
      </w:pPr>
      <w:r>
        <w:rPr>
          <w:rFonts w:ascii="Arial" w:eastAsia="Times New Roman" w:hAnsi="Arial" w:cs="Arial"/>
          <w:bCs/>
          <w:sz w:val="24"/>
          <w:szCs w:val="24"/>
          <w:lang w:val="es-AR"/>
        </w:rPr>
        <w:t>Se plantearon tres situaciones hipotéticas para ver qué tan sensible era el VAN a esos cambios: i) los resultados esperados se retrasan en 2 año a ser obtenidos, debido a problemas en la actualización del domicilio de los contribuyentes; ii) la meta de aumento de 0,2% del PIB no es alcanzada y se llega a 0,1% para el Beneficio 1, y se considera un escenario conservador para el cálculo del Beneficio 2 (20% de controles en canales rojos para el 2021); iii) ocurren las dos hipótesis anteriores al mismo tiempo.</w:t>
      </w:r>
    </w:p>
    <w:p>
      <w:pPr>
        <w:pStyle w:val="ListParagraph"/>
        <w:spacing w:after="0" w:line="240" w:lineRule="auto"/>
        <w:ind w:left="360"/>
        <w:jc w:val="both"/>
        <w:rPr>
          <w:rFonts w:ascii="Arial" w:eastAsia="Times New Roman" w:hAnsi="Arial" w:cs="Arial"/>
          <w:bCs/>
          <w:sz w:val="24"/>
          <w:szCs w:val="24"/>
          <w:lang w:val="es-AR"/>
        </w:rPr>
      </w:pPr>
    </w:p>
    <w:p>
      <w:pPr>
        <w:pStyle w:val="ListParagraph"/>
        <w:numPr>
          <w:ilvl w:val="1"/>
          <w:numId w:val="12"/>
        </w:numPr>
        <w:spacing w:after="0" w:line="240" w:lineRule="auto"/>
        <w:jc w:val="both"/>
        <w:rPr>
          <w:rFonts w:ascii="Arial" w:eastAsia="Times New Roman" w:hAnsi="Arial" w:cs="Arial"/>
          <w:bCs/>
          <w:sz w:val="24"/>
          <w:szCs w:val="24"/>
          <w:lang w:val="es-AR"/>
        </w:rPr>
      </w:pPr>
      <w:r>
        <w:rPr>
          <w:rFonts w:ascii="Arial" w:eastAsia="Times New Roman" w:hAnsi="Arial" w:cs="Arial"/>
          <w:bCs/>
          <w:sz w:val="24"/>
          <w:szCs w:val="24"/>
          <w:lang w:val="es-AR"/>
        </w:rPr>
        <w:t>En la siguiente Tabla se plantean los supuestos de las hipótesis y se muestran los resultados. Para cada escenario se estimó</w:t>
      </w:r>
      <w:r>
        <w:rPr>
          <w:rStyle w:val="FootnoteReference"/>
          <w:rFonts w:ascii="Arial" w:eastAsia="Times New Roman" w:hAnsi="Arial" w:cs="Arial"/>
          <w:bCs/>
          <w:sz w:val="24"/>
          <w:szCs w:val="24"/>
          <w:lang w:val="es-AR"/>
        </w:rPr>
        <w:footnoteReference w:id="15"/>
      </w:r>
      <w:r>
        <w:rPr>
          <w:rFonts w:ascii="Arial" w:eastAsia="Times New Roman" w:hAnsi="Arial" w:cs="Arial"/>
          <w:bCs/>
          <w:sz w:val="24"/>
          <w:szCs w:val="24"/>
          <w:lang w:val="es-AR"/>
        </w:rPr>
        <w:t xml:space="preserve"> un VAN máximo y mínimo para ver la variabilidad del mismo, considerando el mismo nivel de confianza para que para el escenario base (95 %)</w:t>
      </w:r>
    </w:p>
    <w:p>
      <w:pPr>
        <w:pStyle w:val="ListParagraph"/>
        <w:rPr>
          <w:rFonts w:ascii="Arial" w:eastAsia="Times New Roman" w:hAnsi="Arial" w:cs="Arial"/>
          <w:bCs/>
          <w:sz w:val="24"/>
          <w:szCs w:val="24"/>
          <w:lang w:val="es-AR"/>
        </w:rPr>
      </w:pPr>
    </w:p>
    <w:p>
      <w:pPr>
        <w:rPr>
          <w:rFonts w:ascii="Arial" w:eastAsia="Times New Roman" w:hAnsi="Arial" w:cs="Arial"/>
          <w:b/>
          <w:bCs/>
          <w:sz w:val="20"/>
          <w:szCs w:val="20"/>
          <w:lang w:val="es-AR"/>
        </w:rPr>
      </w:pPr>
      <w:r>
        <w:rPr>
          <w:rFonts w:ascii="Arial" w:eastAsia="Times New Roman" w:hAnsi="Arial" w:cs="Arial"/>
          <w:b/>
          <w:bCs/>
          <w:sz w:val="20"/>
          <w:szCs w:val="20"/>
          <w:lang w:val="es-AR"/>
        </w:rPr>
        <w:br w:type="page"/>
      </w:r>
    </w:p>
    <w:p>
      <w:pPr>
        <w:jc w:val="center"/>
        <w:rPr>
          <w:rFonts w:ascii="Arial" w:eastAsia="Times New Roman" w:hAnsi="Arial" w:cs="Arial"/>
          <w:b/>
          <w:bCs/>
          <w:sz w:val="20"/>
          <w:szCs w:val="20"/>
          <w:lang w:val="es-AR"/>
        </w:rPr>
      </w:pPr>
      <w:r>
        <w:rPr>
          <w:rFonts w:ascii="Arial" w:eastAsia="Times New Roman" w:hAnsi="Arial" w:cs="Arial"/>
          <w:b/>
          <w:bCs/>
          <w:sz w:val="20"/>
          <w:szCs w:val="20"/>
          <w:lang w:val="es-AR"/>
        </w:rPr>
        <w:lastRenderedPageBreak/>
        <w:t>Tabla 5. Resultados del Análisis de Sensibilidad</w:t>
      </w:r>
    </w:p>
    <w:tbl>
      <w:tblPr>
        <w:tblW w:w="9356" w:type="dxa"/>
        <w:jc w:val="center"/>
        <w:tblCellMar>
          <w:left w:w="70" w:type="dxa"/>
          <w:right w:w="70" w:type="dxa"/>
        </w:tblCellMar>
        <w:tblLook w:val="04A0" w:firstRow="1" w:lastRow="0" w:firstColumn="1" w:lastColumn="0" w:noHBand="0" w:noVBand="1"/>
      </w:tblPr>
      <w:tblGrid>
        <w:gridCol w:w="1319"/>
        <w:gridCol w:w="2792"/>
        <w:gridCol w:w="1560"/>
        <w:gridCol w:w="1139"/>
        <w:gridCol w:w="1270"/>
        <w:gridCol w:w="1276"/>
      </w:tblGrid>
      <w:tr>
        <w:trPr>
          <w:trHeight w:val="734"/>
          <w:jc w:val="center"/>
        </w:trPr>
        <w:tc>
          <w:tcPr>
            <w:tcW w:w="1319" w:type="dxa"/>
            <w:tcBorders>
              <w:top w:val="single" w:sz="4" w:space="0" w:color="auto"/>
              <w:left w:val="single" w:sz="4" w:space="0" w:color="auto"/>
              <w:bottom w:val="single" w:sz="4" w:space="0" w:color="auto"/>
              <w:right w:val="single" w:sz="4" w:space="0" w:color="auto"/>
            </w:tcBorders>
            <w:shd w:val="clear" w:color="000000" w:fill="D9D9D9"/>
            <w:vAlign w:val="center"/>
            <w:hideMark/>
          </w:tcPr>
          <w:p>
            <w:pPr>
              <w:spacing w:after="0" w:line="240" w:lineRule="auto"/>
              <w:jc w:val="center"/>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Escenarios</w:t>
            </w:r>
          </w:p>
        </w:tc>
        <w:tc>
          <w:tcPr>
            <w:tcW w:w="2792" w:type="dxa"/>
            <w:tcBorders>
              <w:top w:val="single" w:sz="4" w:space="0" w:color="auto"/>
              <w:left w:val="nil"/>
              <w:bottom w:val="single" w:sz="4" w:space="0" w:color="auto"/>
              <w:right w:val="single" w:sz="4" w:space="0" w:color="auto"/>
            </w:tcBorders>
            <w:shd w:val="clear" w:color="auto" w:fill="auto"/>
            <w:noWrap/>
            <w:vAlign w:val="center"/>
            <w:hideMark/>
          </w:tcPr>
          <w:p>
            <w:pPr>
              <w:spacing w:after="0" w:line="240" w:lineRule="auto"/>
              <w:jc w:val="center"/>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Descripción</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pPr>
              <w:spacing w:after="0" w:line="240" w:lineRule="auto"/>
              <w:jc w:val="center"/>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VPN (Millones US$)</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pPr>
              <w:spacing w:after="0" w:line="240" w:lineRule="auto"/>
              <w:jc w:val="center"/>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TIR (%)</w:t>
            </w:r>
          </w:p>
        </w:tc>
        <w:tc>
          <w:tcPr>
            <w:tcW w:w="1270" w:type="dxa"/>
            <w:tcBorders>
              <w:top w:val="single" w:sz="4" w:space="0" w:color="auto"/>
              <w:left w:val="nil"/>
              <w:bottom w:val="single" w:sz="4" w:space="0" w:color="auto"/>
              <w:right w:val="single" w:sz="4" w:space="0" w:color="auto"/>
            </w:tcBorders>
            <w:shd w:val="clear" w:color="auto" w:fill="auto"/>
            <w:noWrap/>
            <w:vAlign w:val="center"/>
            <w:hideMark/>
          </w:tcPr>
          <w:p>
            <w:pPr>
              <w:spacing w:after="0" w:line="240" w:lineRule="auto"/>
              <w:jc w:val="center"/>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VAN MIN</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pPr>
              <w:spacing w:after="0" w:line="240" w:lineRule="auto"/>
              <w:jc w:val="center"/>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VAN MAX</w:t>
            </w:r>
          </w:p>
        </w:tc>
      </w:tr>
      <w:tr>
        <w:trPr>
          <w:trHeight w:val="1042"/>
          <w:jc w:val="center"/>
        </w:trPr>
        <w:tc>
          <w:tcPr>
            <w:tcW w:w="1319" w:type="dxa"/>
            <w:tcBorders>
              <w:top w:val="nil"/>
              <w:left w:val="single" w:sz="4" w:space="0" w:color="auto"/>
              <w:bottom w:val="single" w:sz="4" w:space="0" w:color="auto"/>
              <w:right w:val="single" w:sz="4" w:space="0" w:color="auto"/>
            </w:tcBorders>
            <w:shd w:val="clear" w:color="000000" w:fill="D9D9D9"/>
            <w:vAlign w:val="center"/>
            <w:hideMark/>
          </w:tcPr>
          <w:p>
            <w:pPr>
              <w:spacing w:after="0" w:line="240" w:lineRule="auto"/>
              <w:jc w:val="center"/>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Base</w:t>
            </w:r>
          </w:p>
        </w:tc>
        <w:tc>
          <w:tcPr>
            <w:tcW w:w="2792" w:type="dxa"/>
            <w:tcBorders>
              <w:top w:val="nil"/>
              <w:left w:val="nil"/>
              <w:bottom w:val="single" w:sz="4" w:space="0" w:color="auto"/>
              <w:right w:val="single" w:sz="4" w:space="0" w:color="auto"/>
            </w:tcBorders>
            <w:shd w:val="clear" w:color="auto" w:fill="auto"/>
            <w:vAlign w:val="center"/>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Todas las condiciones se mantienen inalteradas</w:t>
            </w:r>
          </w:p>
        </w:tc>
        <w:tc>
          <w:tcPr>
            <w:tcW w:w="1560" w:type="dxa"/>
            <w:tcBorders>
              <w:top w:val="nil"/>
              <w:left w:val="nil"/>
              <w:bottom w:val="single" w:sz="4" w:space="0" w:color="auto"/>
              <w:right w:val="single" w:sz="4" w:space="0" w:color="auto"/>
            </w:tcBorders>
            <w:shd w:val="clear" w:color="auto" w:fill="auto"/>
            <w:noWrap/>
            <w:vAlign w:val="center"/>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$ 1.904,79</w:t>
            </w:r>
          </w:p>
        </w:tc>
        <w:tc>
          <w:tcPr>
            <w:tcW w:w="1139" w:type="dxa"/>
            <w:tcBorders>
              <w:top w:val="nil"/>
              <w:left w:val="nil"/>
              <w:bottom w:val="single" w:sz="4" w:space="0" w:color="auto"/>
              <w:right w:val="single" w:sz="4" w:space="0" w:color="auto"/>
            </w:tcBorders>
            <w:shd w:val="clear" w:color="auto" w:fill="auto"/>
            <w:noWrap/>
            <w:vAlign w:val="center"/>
            <w:hideMark/>
          </w:tcPr>
          <w:p>
            <w:pPr>
              <w:spacing w:after="0" w:line="240" w:lineRule="auto"/>
              <w:jc w:val="right"/>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274,3%</w:t>
            </w:r>
          </w:p>
        </w:tc>
        <w:tc>
          <w:tcPr>
            <w:tcW w:w="1270" w:type="dxa"/>
            <w:tcBorders>
              <w:top w:val="nil"/>
              <w:left w:val="nil"/>
              <w:bottom w:val="single" w:sz="4" w:space="0" w:color="auto"/>
              <w:right w:val="single" w:sz="4" w:space="0" w:color="auto"/>
            </w:tcBorders>
            <w:shd w:val="clear" w:color="auto" w:fill="auto"/>
            <w:noWrap/>
            <w:vAlign w:val="center"/>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$ 1.766,63</w:t>
            </w:r>
          </w:p>
        </w:tc>
        <w:tc>
          <w:tcPr>
            <w:tcW w:w="1276" w:type="dxa"/>
            <w:tcBorders>
              <w:top w:val="nil"/>
              <w:left w:val="nil"/>
              <w:bottom w:val="single" w:sz="4" w:space="0" w:color="auto"/>
              <w:right w:val="single" w:sz="4" w:space="0" w:color="auto"/>
            </w:tcBorders>
            <w:shd w:val="clear" w:color="auto" w:fill="auto"/>
            <w:noWrap/>
            <w:vAlign w:val="center"/>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$ 2.041,77</w:t>
            </w:r>
          </w:p>
        </w:tc>
      </w:tr>
      <w:tr>
        <w:trPr>
          <w:trHeight w:val="1128"/>
          <w:jc w:val="center"/>
        </w:trPr>
        <w:tc>
          <w:tcPr>
            <w:tcW w:w="1319" w:type="dxa"/>
            <w:tcBorders>
              <w:top w:val="nil"/>
              <w:left w:val="single" w:sz="4" w:space="0" w:color="auto"/>
              <w:bottom w:val="single" w:sz="4" w:space="0" w:color="auto"/>
              <w:right w:val="single" w:sz="4" w:space="0" w:color="auto"/>
            </w:tcBorders>
            <w:shd w:val="clear" w:color="000000" w:fill="D9D9D9"/>
            <w:vAlign w:val="center"/>
            <w:hideMark/>
          </w:tcPr>
          <w:p>
            <w:pPr>
              <w:spacing w:after="0" w:line="240" w:lineRule="auto"/>
              <w:jc w:val="center"/>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Escenario 1</w:t>
            </w:r>
          </w:p>
        </w:tc>
        <w:tc>
          <w:tcPr>
            <w:tcW w:w="2792" w:type="dxa"/>
            <w:tcBorders>
              <w:top w:val="nil"/>
              <w:left w:val="nil"/>
              <w:bottom w:val="single" w:sz="4" w:space="0" w:color="auto"/>
              <w:right w:val="single" w:sz="4" w:space="0" w:color="auto"/>
            </w:tcBorders>
            <w:shd w:val="clear" w:color="auto" w:fill="auto"/>
            <w:vAlign w:val="center"/>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Los resultados esperados se retrasan en 2 año a ser obtenidos, debido a problemas en la actualización del domicilio de los contribuyentes</w:t>
            </w:r>
          </w:p>
        </w:tc>
        <w:tc>
          <w:tcPr>
            <w:tcW w:w="1560" w:type="dxa"/>
            <w:tcBorders>
              <w:top w:val="nil"/>
              <w:left w:val="nil"/>
              <w:bottom w:val="single" w:sz="4" w:space="0" w:color="auto"/>
              <w:right w:val="single" w:sz="4" w:space="0" w:color="auto"/>
            </w:tcBorders>
            <w:shd w:val="clear" w:color="auto" w:fill="auto"/>
            <w:noWrap/>
            <w:vAlign w:val="center"/>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$ 1.168,39 </w:t>
            </w:r>
          </w:p>
        </w:tc>
        <w:tc>
          <w:tcPr>
            <w:tcW w:w="1139" w:type="dxa"/>
            <w:tcBorders>
              <w:top w:val="nil"/>
              <w:left w:val="nil"/>
              <w:bottom w:val="single" w:sz="4" w:space="0" w:color="auto"/>
              <w:right w:val="single" w:sz="4" w:space="0" w:color="auto"/>
            </w:tcBorders>
            <w:shd w:val="clear" w:color="auto" w:fill="auto"/>
            <w:noWrap/>
            <w:vAlign w:val="center"/>
            <w:hideMark/>
          </w:tcPr>
          <w:p>
            <w:pPr>
              <w:spacing w:after="0" w:line="240" w:lineRule="auto"/>
              <w:jc w:val="right"/>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99,5%</w:t>
            </w:r>
          </w:p>
        </w:tc>
        <w:tc>
          <w:tcPr>
            <w:tcW w:w="1270" w:type="dxa"/>
            <w:tcBorders>
              <w:top w:val="nil"/>
              <w:left w:val="nil"/>
              <w:bottom w:val="single" w:sz="4" w:space="0" w:color="auto"/>
              <w:right w:val="single" w:sz="4" w:space="0" w:color="auto"/>
            </w:tcBorders>
            <w:shd w:val="clear" w:color="auto" w:fill="auto"/>
            <w:noWrap/>
            <w:vAlign w:val="center"/>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$ 1.067,15</w:t>
            </w:r>
          </w:p>
        </w:tc>
        <w:tc>
          <w:tcPr>
            <w:tcW w:w="1276" w:type="dxa"/>
            <w:tcBorders>
              <w:top w:val="nil"/>
              <w:left w:val="nil"/>
              <w:bottom w:val="single" w:sz="4" w:space="0" w:color="auto"/>
              <w:right w:val="single" w:sz="4" w:space="0" w:color="auto"/>
            </w:tcBorders>
            <w:shd w:val="clear" w:color="auto" w:fill="auto"/>
            <w:noWrap/>
            <w:vAlign w:val="center"/>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$ 1.268,85</w:t>
            </w:r>
          </w:p>
        </w:tc>
      </w:tr>
      <w:tr>
        <w:trPr>
          <w:trHeight w:val="1669"/>
          <w:jc w:val="center"/>
        </w:trPr>
        <w:tc>
          <w:tcPr>
            <w:tcW w:w="1319" w:type="dxa"/>
            <w:tcBorders>
              <w:top w:val="nil"/>
              <w:left w:val="single" w:sz="4" w:space="0" w:color="auto"/>
              <w:bottom w:val="single" w:sz="4" w:space="0" w:color="auto"/>
              <w:right w:val="single" w:sz="4" w:space="0" w:color="auto"/>
            </w:tcBorders>
            <w:shd w:val="clear" w:color="000000" w:fill="D9D9D9"/>
            <w:vAlign w:val="center"/>
            <w:hideMark/>
          </w:tcPr>
          <w:p>
            <w:pPr>
              <w:spacing w:after="0" w:line="240" w:lineRule="auto"/>
              <w:jc w:val="center"/>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Escenario 2</w:t>
            </w:r>
          </w:p>
        </w:tc>
        <w:tc>
          <w:tcPr>
            <w:tcW w:w="2792" w:type="dxa"/>
            <w:tcBorders>
              <w:top w:val="nil"/>
              <w:left w:val="nil"/>
              <w:bottom w:val="single" w:sz="4" w:space="0" w:color="auto"/>
              <w:right w:val="single" w:sz="4" w:space="0" w:color="auto"/>
            </w:tcBorders>
            <w:shd w:val="clear" w:color="auto" w:fill="auto"/>
            <w:vAlign w:val="center"/>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La Meta de aumento de 0,2% del PIB no es alcanzada y se llega a 0,1% para el Beneficio 1, y Se toma el escenario conservador para el cálculo del Beneficio 2 (20% de Rojos para el 2021)</w:t>
            </w:r>
          </w:p>
        </w:tc>
        <w:tc>
          <w:tcPr>
            <w:tcW w:w="1560" w:type="dxa"/>
            <w:tcBorders>
              <w:top w:val="nil"/>
              <w:left w:val="nil"/>
              <w:bottom w:val="single" w:sz="4" w:space="0" w:color="auto"/>
              <w:right w:val="single" w:sz="4" w:space="0" w:color="auto"/>
            </w:tcBorders>
            <w:shd w:val="clear" w:color="auto" w:fill="auto"/>
            <w:noWrap/>
            <w:vAlign w:val="center"/>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$ 1.285,07 </w:t>
            </w:r>
          </w:p>
        </w:tc>
        <w:tc>
          <w:tcPr>
            <w:tcW w:w="1139" w:type="dxa"/>
            <w:tcBorders>
              <w:top w:val="nil"/>
              <w:left w:val="nil"/>
              <w:bottom w:val="single" w:sz="4" w:space="0" w:color="auto"/>
              <w:right w:val="single" w:sz="4" w:space="0" w:color="auto"/>
            </w:tcBorders>
            <w:shd w:val="clear" w:color="auto" w:fill="auto"/>
            <w:noWrap/>
            <w:vAlign w:val="center"/>
            <w:hideMark/>
          </w:tcPr>
          <w:p>
            <w:pPr>
              <w:spacing w:after="0" w:line="240" w:lineRule="auto"/>
              <w:jc w:val="right"/>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207,7%</w:t>
            </w:r>
          </w:p>
        </w:tc>
        <w:tc>
          <w:tcPr>
            <w:tcW w:w="1270" w:type="dxa"/>
            <w:tcBorders>
              <w:top w:val="nil"/>
              <w:left w:val="nil"/>
              <w:bottom w:val="single" w:sz="4" w:space="0" w:color="auto"/>
              <w:right w:val="single" w:sz="4" w:space="0" w:color="auto"/>
            </w:tcBorders>
            <w:shd w:val="clear" w:color="auto" w:fill="auto"/>
            <w:noWrap/>
            <w:vAlign w:val="center"/>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$ 1.191,21</w:t>
            </w:r>
          </w:p>
        </w:tc>
        <w:tc>
          <w:tcPr>
            <w:tcW w:w="1276" w:type="dxa"/>
            <w:tcBorders>
              <w:top w:val="nil"/>
              <w:left w:val="nil"/>
              <w:bottom w:val="single" w:sz="4" w:space="0" w:color="auto"/>
              <w:right w:val="single" w:sz="4" w:space="0" w:color="auto"/>
            </w:tcBorders>
            <w:shd w:val="clear" w:color="auto" w:fill="auto"/>
            <w:noWrap/>
            <w:vAlign w:val="center"/>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$ 1.379,31</w:t>
            </w:r>
          </w:p>
        </w:tc>
      </w:tr>
      <w:tr>
        <w:trPr>
          <w:trHeight w:val="700"/>
          <w:jc w:val="center"/>
        </w:trPr>
        <w:tc>
          <w:tcPr>
            <w:tcW w:w="1319" w:type="dxa"/>
            <w:tcBorders>
              <w:top w:val="nil"/>
              <w:left w:val="single" w:sz="4" w:space="0" w:color="auto"/>
              <w:bottom w:val="single" w:sz="4" w:space="0" w:color="auto"/>
              <w:right w:val="single" w:sz="4" w:space="0" w:color="auto"/>
            </w:tcBorders>
            <w:shd w:val="clear" w:color="000000" w:fill="D9D9D9"/>
            <w:vAlign w:val="center"/>
            <w:hideMark/>
          </w:tcPr>
          <w:p>
            <w:pPr>
              <w:spacing w:after="0" w:line="240" w:lineRule="auto"/>
              <w:jc w:val="center"/>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Escenario 3</w:t>
            </w:r>
          </w:p>
        </w:tc>
        <w:tc>
          <w:tcPr>
            <w:tcW w:w="2792" w:type="dxa"/>
            <w:tcBorders>
              <w:top w:val="nil"/>
              <w:left w:val="nil"/>
              <w:bottom w:val="single" w:sz="4" w:space="0" w:color="auto"/>
              <w:right w:val="single" w:sz="4" w:space="0" w:color="auto"/>
            </w:tcBorders>
            <w:shd w:val="clear" w:color="auto" w:fill="auto"/>
            <w:vAlign w:val="center"/>
            <w:hideMark/>
          </w:tcPr>
          <w:p>
            <w:pPr>
              <w:spacing w:after="0" w:line="240" w:lineRule="auto"/>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Ocurrencia de los dos escenarios anteriores</w:t>
            </w:r>
          </w:p>
        </w:tc>
        <w:tc>
          <w:tcPr>
            <w:tcW w:w="1560" w:type="dxa"/>
            <w:tcBorders>
              <w:top w:val="nil"/>
              <w:left w:val="nil"/>
              <w:bottom w:val="single" w:sz="4" w:space="0" w:color="auto"/>
              <w:right w:val="single" w:sz="4" w:space="0" w:color="auto"/>
            </w:tcBorders>
            <w:shd w:val="clear" w:color="auto" w:fill="auto"/>
            <w:noWrap/>
            <w:vAlign w:val="center"/>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xml:space="preserve">$  777,43 </w:t>
            </w:r>
          </w:p>
        </w:tc>
        <w:tc>
          <w:tcPr>
            <w:tcW w:w="1139" w:type="dxa"/>
            <w:tcBorders>
              <w:top w:val="nil"/>
              <w:left w:val="nil"/>
              <w:bottom w:val="single" w:sz="4" w:space="0" w:color="auto"/>
              <w:right w:val="single" w:sz="4" w:space="0" w:color="auto"/>
            </w:tcBorders>
            <w:shd w:val="clear" w:color="auto" w:fill="auto"/>
            <w:noWrap/>
            <w:vAlign w:val="center"/>
            <w:hideMark/>
          </w:tcPr>
          <w:p>
            <w:pPr>
              <w:spacing w:after="0" w:line="240" w:lineRule="auto"/>
              <w:jc w:val="right"/>
              <w:rPr>
                <w:rFonts w:ascii="Arial" w:eastAsia="Times New Roman" w:hAnsi="Arial" w:cs="Arial"/>
                <w:b/>
                <w:bCs/>
                <w:color w:val="000000"/>
                <w:sz w:val="18"/>
                <w:szCs w:val="20"/>
                <w:lang w:val="es-AR" w:eastAsia="es-AR"/>
              </w:rPr>
            </w:pPr>
            <w:r>
              <w:rPr>
                <w:rFonts w:ascii="Arial" w:eastAsia="Times New Roman" w:hAnsi="Arial" w:cs="Arial"/>
                <w:b/>
                <w:bCs/>
                <w:color w:val="000000"/>
                <w:sz w:val="18"/>
                <w:szCs w:val="20"/>
                <w:lang w:val="es-AR" w:eastAsia="es-AR"/>
              </w:rPr>
              <w:t>82,9%</w:t>
            </w:r>
          </w:p>
        </w:tc>
        <w:tc>
          <w:tcPr>
            <w:tcW w:w="1270" w:type="dxa"/>
            <w:tcBorders>
              <w:top w:val="nil"/>
              <w:left w:val="nil"/>
              <w:bottom w:val="single" w:sz="4" w:space="0" w:color="auto"/>
              <w:right w:val="single" w:sz="4" w:space="0" w:color="auto"/>
            </w:tcBorders>
            <w:shd w:val="clear" w:color="auto" w:fill="auto"/>
            <w:noWrap/>
            <w:vAlign w:val="center"/>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$ 708,29</w:t>
            </w:r>
          </w:p>
        </w:tc>
        <w:tc>
          <w:tcPr>
            <w:tcW w:w="1276" w:type="dxa"/>
            <w:tcBorders>
              <w:top w:val="nil"/>
              <w:left w:val="nil"/>
              <w:bottom w:val="single" w:sz="4" w:space="0" w:color="auto"/>
              <w:right w:val="single" w:sz="4" w:space="0" w:color="auto"/>
            </w:tcBorders>
            <w:shd w:val="clear" w:color="auto" w:fill="auto"/>
            <w:noWrap/>
            <w:vAlign w:val="center"/>
            <w:hideMark/>
          </w:tcPr>
          <w:p>
            <w:pPr>
              <w:spacing w:after="0" w:line="240" w:lineRule="auto"/>
              <w:jc w:val="right"/>
              <w:rPr>
                <w:rFonts w:ascii="Arial" w:eastAsia="Times New Roman" w:hAnsi="Arial" w:cs="Arial"/>
                <w:color w:val="000000"/>
                <w:sz w:val="18"/>
                <w:szCs w:val="20"/>
                <w:lang w:val="es-AR" w:eastAsia="es-AR"/>
              </w:rPr>
            </w:pPr>
            <w:r>
              <w:rPr>
                <w:rFonts w:ascii="Arial" w:eastAsia="Times New Roman" w:hAnsi="Arial" w:cs="Arial"/>
                <w:color w:val="000000"/>
                <w:sz w:val="18"/>
                <w:szCs w:val="20"/>
                <w:lang w:val="es-AR" w:eastAsia="es-AR"/>
              </w:rPr>
              <w:t>$ 847,14</w:t>
            </w:r>
          </w:p>
        </w:tc>
      </w:tr>
    </w:tbl>
    <w:p>
      <w:pPr>
        <w:rPr>
          <w:rFonts w:ascii="Arial" w:eastAsia="Times New Roman" w:hAnsi="Arial" w:cs="Arial"/>
          <w:b/>
          <w:bCs/>
          <w:smallCaps/>
          <w:kern w:val="32"/>
          <w:sz w:val="24"/>
          <w:szCs w:val="24"/>
          <w:lang w:val="es-ES" w:eastAsia="es-ES"/>
        </w:rPr>
      </w:pPr>
    </w:p>
    <w:p>
      <w:pPr>
        <w:pStyle w:val="ListParagraph"/>
        <w:numPr>
          <w:ilvl w:val="1"/>
          <w:numId w:val="12"/>
        </w:numPr>
        <w:spacing w:after="0" w:line="240" w:lineRule="auto"/>
        <w:jc w:val="both"/>
        <w:rPr>
          <w:rFonts w:ascii="Arial" w:eastAsia="Times New Roman" w:hAnsi="Arial" w:cs="Arial"/>
          <w:bCs/>
          <w:sz w:val="24"/>
          <w:szCs w:val="24"/>
          <w:lang w:val="es-AR"/>
        </w:rPr>
      </w:pPr>
      <w:r>
        <w:rPr>
          <w:rFonts w:ascii="Arial" w:eastAsia="Times New Roman" w:hAnsi="Arial" w:cs="Arial"/>
          <w:bCs/>
          <w:sz w:val="24"/>
          <w:szCs w:val="24"/>
          <w:lang w:val="es-AR"/>
        </w:rPr>
        <w:t>Los resultados permiten verificar que aun forzando los supuestos de manera de mostrar un escenario muy pesimista, al rentabilidad del Proyecto es elevada con márgenes de la Tasa Interna de Retorno muy por arriba de la Tasa de Descuento utilizada en la modelación (Escenario 3: 82,9 %)</w:t>
      </w:r>
    </w:p>
    <w:p>
      <w:pPr>
        <w:rPr>
          <w:rFonts w:ascii="Arial" w:eastAsia="Times New Roman" w:hAnsi="Arial" w:cs="Arial"/>
          <w:b/>
          <w:bCs/>
          <w:smallCaps/>
          <w:kern w:val="32"/>
          <w:sz w:val="24"/>
          <w:szCs w:val="24"/>
          <w:lang w:val="es-ES" w:eastAsia="es-ES"/>
        </w:rPr>
      </w:pPr>
      <w:r>
        <w:rPr>
          <w:rFonts w:ascii="Arial" w:eastAsia="Times New Roman" w:hAnsi="Arial" w:cs="Arial"/>
          <w:b/>
          <w:bCs/>
          <w:smallCaps/>
          <w:kern w:val="32"/>
          <w:sz w:val="24"/>
          <w:szCs w:val="24"/>
          <w:lang w:val="es-ES" w:eastAsia="es-ES"/>
        </w:rPr>
        <w:br w:type="page"/>
      </w:r>
    </w:p>
    <w:p>
      <w:pPr>
        <w:pStyle w:val="Heading1"/>
        <w:keepLines w:val="0"/>
        <w:numPr>
          <w:ilvl w:val="0"/>
          <w:numId w:val="12"/>
        </w:numPr>
        <w:spacing w:before="120" w:after="120" w:line="240" w:lineRule="auto"/>
        <w:ind w:left="426" w:hanging="426"/>
        <w:rPr>
          <w:rFonts w:ascii="Arial" w:eastAsia="Times New Roman" w:hAnsi="Arial" w:cs="Arial"/>
          <w:b/>
          <w:bCs/>
          <w:smallCaps/>
          <w:color w:val="auto"/>
          <w:kern w:val="32"/>
          <w:sz w:val="24"/>
          <w:szCs w:val="24"/>
          <w:lang w:val="es-ES" w:eastAsia="es-ES"/>
        </w:rPr>
      </w:pPr>
      <w:bookmarkStart w:id="11" w:name="_Toc499930016"/>
      <w:r>
        <w:rPr>
          <w:rFonts w:ascii="Arial" w:eastAsia="Times New Roman" w:hAnsi="Arial" w:cs="Arial"/>
          <w:b/>
          <w:bCs/>
          <w:smallCaps/>
          <w:color w:val="auto"/>
          <w:kern w:val="32"/>
          <w:sz w:val="24"/>
          <w:szCs w:val="24"/>
          <w:lang w:val="es-ES" w:eastAsia="es-ES"/>
        </w:rPr>
        <w:lastRenderedPageBreak/>
        <w:t>Bibliografia</w:t>
      </w:r>
      <w:bookmarkEnd w:id="11"/>
    </w:p>
    <w:p>
      <w:pPr>
        <w:pStyle w:val="ListParagraph"/>
        <w:numPr>
          <w:ilvl w:val="0"/>
          <w:numId w:val="20"/>
        </w:numPr>
        <w:spacing w:after="0" w:line="240" w:lineRule="auto"/>
        <w:ind w:left="360" w:hanging="426"/>
        <w:contextualSpacing w:val="0"/>
        <w:jc w:val="both"/>
        <w:rPr>
          <w:rStyle w:val="Hyperlink"/>
          <w:rFonts w:ascii="Arial" w:hAnsi="Arial" w:cs="Arial"/>
          <w:bCs/>
          <w:color w:val="auto"/>
          <w:sz w:val="24"/>
          <w:szCs w:val="24"/>
          <w:u w:val="none"/>
          <w:lang w:val="es-AR"/>
        </w:rPr>
      </w:pPr>
      <w:r>
        <w:rPr>
          <w:rFonts w:ascii="Arial" w:hAnsi="Arial" w:cs="Arial"/>
          <w:bCs/>
          <w:sz w:val="24"/>
          <w:szCs w:val="24"/>
          <w:lang w:val="es-AR"/>
        </w:rPr>
        <w:t xml:space="preserve">“El sistema tributario Colombiano: Impacto sobre la eficiencia y la competitividad </w:t>
      </w:r>
      <w:hyperlink r:id="rId9" w:history="1">
        <w:r>
          <w:rPr>
            <w:rStyle w:val="Hyperlink"/>
            <w:rFonts w:ascii="Arial" w:hAnsi="Arial" w:cs="Arial"/>
            <w:bCs/>
            <w:sz w:val="24"/>
            <w:szCs w:val="24"/>
            <w:lang w:val="es-AR"/>
          </w:rPr>
          <w:t>http://www.dian.gov.co/descargas/servicios/OEEDocumentos/Estudios/Tributacionycompetitividad.pdf</w:t>
        </w:r>
      </w:hyperlink>
    </w:p>
    <w:p>
      <w:pPr>
        <w:pStyle w:val="ListParagraph"/>
        <w:spacing w:after="0" w:line="240" w:lineRule="auto"/>
        <w:ind w:left="360" w:hanging="426"/>
        <w:contextualSpacing w:val="0"/>
        <w:jc w:val="both"/>
        <w:rPr>
          <w:rFonts w:ascii="Arial" w:hAnsi="Arial" w:cs="Arial"/>
          <w:bCs/>
          <w:sz w:val="24"/>
          <w:szCs w:val="24"/>
          <w:lang w:val="es-AR"/>
        </w:rPr>
      </w:pPr>
    </w:p>
    <w:p>
      <w:pPr>
        <w:pStyle w:val="ListParagraph"/>
        <w:numPr>
          <w:ilvl w:val="0"/>
          <w:numId w:val="20"/>
        </w:numPr>
        <w:spacing w:after="0" w:line="240" w:lineRule="auto"/>
        <w:ind w:left="360" w:hanging="426"/>
        <w:jc w:val="both"/>
        <w:rPr>
          <w:rFonts w:ascii="Arial" w:hAnsi="Arial" w:cs="Arial"/>
          <w:bCs/>
          <w:sz w:val="24"/>
          <w:szCs w:val="24"/>
        </w:rPr>
      </w:pPr>
      <w:r>
        <w:rPr>
          <w:rFonts w:ascii="Arial" w:hAnsi="Arial" w:cs="Arial"/>
          <w:bCs/>
          <w:sz w:val="24"/>
          <w:szCs w:val="24"/>
        </w:rPr>
        <w:t>Almunia, M., and Lopez-Rodriguez D. Forthcoming. “Under the Radar: The Effects of Monitoring Firms on Tax Compliance.” American Economic Journal: Economic Policy.</w:t>
      </w:r>
    </w:p>
    <w:p>
      <w:pPr>
        <w:pStyle w:val="ListParagraph"/>
        <w:ind w:left="360" w:hanging="426"/>
        <w:rPr>
          <w:rFonts w:ascii="Arial" w:hAnsi="Arial" w:cs="Arial"/>
          <w:bCs/>
          <w:sz w:val="24"/>
          <w:szCs w:val="24"/>
        </w:rPr>
      </w:pPr>
    </w:p>
    <w:p>
      <w:pPr>
        <w:pStyle w:val="ListParagraph"/>
        <w:numPr>
          <w:ilvl w:val="0"/>
          <w:numId w:val="20"/>
        </w:numPr>
        <w:spacing w:after="0" w:line="240" w:lineRule="auto"/>
        <w:ind w:left="360" w:hanging="426"/>
        <w:jc w:val="both"/>
        <w:rPr>
          <w:rFonts w:ascii="Arial" w:hAnsi="Arial" w:cs="Arial"/>
          <w:bCs/>
          <w:sz w:val="24"/>
          <w:szCs w:val="24"/>
        </w:rPr>
      </w:pPr>
      <w:r>
        <w:rPr>
          <w:rFonts w:ascii="Arial" w:hAnsi="Arial" w:cs="Arial"/>
          <w:bCs/>
          <w:sz w:val="24"/>
          <w:szCs w:val="24"/>
        </w:rPr>
        <w:t>Carrillo, Paul, Dina Pomeranz, and Monica Singhal. 2017. "Dodging the Taxman: Firm Misreporting and Limits to Tax Enforcement." American Economic Journal: Applied Economics, 9(2): 144-64.</w:t>
      </w:r>
    </w:p>
    <w:p>
      <w:pPr>
        <w:pStyle w:val="ListParagraph"/>
        <w:ind w:left="360" w:hanging="426"/>
        <w:rPr>
          <w:rFonts w:ascii="Arial" w:hAnsi="Arial" w:cs="Arial"/>
          <w:bCs/>
          <w:sz w:val="24"/>
          <w:szCs w:val="24"/>
        </w:rPr>
      </w:pPr>
    </w:p>
    <w:p>
      <w:pPr>
        <w:pStyle w:val="ListParagraph"/>
        <w:numPr>
          <w:ilvl w:val="0"/>
          <w:numId w:val="20"/>
        </w:numPr>
        <w:spacing w:after="0" w:line="240" w:lineRule="auto"/>
        <w:ind w:left="360" w:hanging="426"/>
        <w:jc w:val="both"/>
        <w:rPr>
          <w:rFonts w:ascii="Arial" w:hAnsi="Arial" w:cs="Arial"/>
          <w:bCs/>
          <w:sz w:val="24"/>
          <w:szCs w:val="24"/>
        </w:rPr>
      </w:pPr>
      <w:r>
        <w:rPr>
          <w:rFonts w:ascii="Arial" w:hAnsi="Arial" w:cs="Arial"/>
          <w:bCs/>
          <w:sz w:val="24"/>
          <w:szCs w:val="24"/>
        </w:rPr>
        <w:t>Dwenger, N., Kleven, H., Rasul, I., &amp; Rincke, J. (2016). Extrinsic and intrinsic motivations for tax compliance: Evidence from a field experiment in Germany. American Economic Journal: Economic Policy, 8(3), 203-232.</w:t>
      </w:r>
    </w:p>
    <w:p>
      <w:pPr>
        <w:pStyle w:val="ListParagraph"/>
        <w:ind w:left="360" w:hanging="426"/>
        <w:rPr>
          <w:rFonts w:ascii="Arial" w:hAnsi="Arial" w:cs="Arial"/>
          <w:bCs/>
          <w:sz w:val="24"/>
          <w:szCs w:val="24"/>
        </w:rPr>
      </w:pPr>
    </w:p>
    <w:p>
      <w:pPr>
        <w:pStyle w:val="ListParagraph"/>
        <w:numPr>
          <w:ilvl w:val="0"/>
          <w:numId w:val="20"/>
        </w:numPr>
        <w:spacing w:after="0" w:line="240" w:lineRule="auto"/>
        <w:ind w:left="360" w:hanging="426"/>
        <w:contextualSpacing w:val="0"/>
        <w:jc w:val="both"/>
        <w:rPr>
          <w:rFonts w:ascii="Arial" w:hAnsi="Arial" w:cs="Arial"/>
          <w:bCs/>
          <w:sz w:val="24"/>
          <w:szCs w:val="24"/>
          <w:lang w:val="es-AR"/>
        </w:rPr>
      </w:pPr>
      <w:r>
        <w:rPr>
          <w:rFonts w:ascii="Arial" w:hAnsi="Arial" w:cs="Arial"/>
          <w:bCs/>
          <w:sz w:val="24"/>
          <w:szCs w:val="24"/>
          <w:lang w:val="es-AR"/>
        </w:rPr>
        <w:t>Evaluación Económica del PROGRAMA DE FORTALECIMIENTO DE LA ADMINISTRACIÓN TRIBUTARIA (ES-L1131). El Salvador.</w:t>
      </w:r>
    </w:p>
    <w:p>
      <w:pPr>
        <w:pStyle w:val="ListParagraph"/>
        <w:ind w:left="360" w:hanging="426"/>
        <w:rPr>
          <w:rFonts w:ascii="Arial" w:hAnsi="Arial" w:cs="Arial"/>
          <w:bCs/>
          <w:sz w:val="24"/>
          <w:szCs w:val="24"/>
          <w:lang w:val="es-AR"/>
        </w:rPr>
      </w:pPr>
    </w:p>
    <w:p>
      <w:pPr>
        <w:pStyle w:val="FootnoteText"/>
        <w:numPr>
          <w:ilvl w:val="0"/>
          <w:numId w:val="21"/>
        </w:numPr>
        <w:ind w:left="360" w:hanging="426"/>
        <w:jc w:val="both"/>
        <w:rPr>
          <w:rFonts w:ascii="Arial" w:hAnsi="Arial" w:cs="Arial"/>
          <w:bCs/>
          <w:sz w:val="24"/>
          <w:szCs w:val="24"/>
          <w:lang w:val="es-AR"/>
        </w:rPr>
      </w:pPr>
      <w:r>
        <w:rPr>
          <w:rFonts w:ascii="Arial" w:hAnsi="Arial" w:cs="Arial"/>
          <w:bCs/>
          <w:sz w:val="24"/>
          <w:szCs w:val="24"/>
          <w:lang w:val="es-AR"/>
        </w:rPr>
        <w:t xml:space="preserve">Evaluación Económica del Programa de Fortalecimiento de la Gestión Provincial (AR-L1248) del Ministerio del Interior, Obras Públicas y Vivienda. </w:t>
      </w:r>
    </w:p>
    <w:p>
      <w:pPr>
        <w:pStyle w:val="ListParagraph"/>
        <w:spacing w:after="0" w:line="240" w:lineRule="auto"/>
        <w:ind w:left="360" w:hanging="426"/>
        <w:contextualSpacing w:val="0"/>
        <w:jc w:val="both"/>
        <w:rPr>
          <w:rFonts w:ascii="Arial" w:hAnsi="Arial" w:cs="Arial"/>
          <w:bCs/>
          <w:sz w:val="24"/>
          <w:szCs w:val="24"/>
          <w:lang w:val="es-AR"/>
        </w:rPr>
      </w:pPr>
    </w:p>
    <w:p>
      <w:pPr>
        <w:pStyle w:val="ListParagraph"/>
        <w:numPr>
          <w:ilvl w:val="0"/>
          <w:numId w:val="20"/>
        </w:numPr>
        <w:spacing w:after="0" w:line="240" w:lineRule="auto"/>
        <w:ind w:left="360" w:hanging="426"/>
        <w:contextualSpacing w:val="0"/>
        <w:jc w:val="both"/>
        <w:rPr>
          <w:rFonts w:ascii="Arial" w:hAnsi="Arial" w:cs="Arial"/>
          <w:bCs/>
          <w:sz w:val="24"/>
          <w:szCs w:val="24"/>
          <w:lang w:val="es-AR"/>
        </w:rPr>
      </w:pPr>
      <w:r>
        <w:rPr>
          <w:rFonts w:ascii="Arial" w:hAnsi="Arial" w:cs="Arial"/>
          <w:bCs/>
          <w:sz w:val="24"/>
          <w:szCs w:val="24"/>
          <w:lang w:val="es-AR"/>
        </w:rPr>
        <w:t>Evaluación Económica del Programa de Mejoramiento de Barrios IV (AR-L1149). Argentina</w:t>
      </w:r>
    </w:p>
    <w:p>
      <w:pPr>
        <w:pStyle w:val="ListParagraph"/>
        <w:spacing w:after="0" w:line="240" w:lineRule="auto"/>
        <w:ind w:left="360" w:hanging="426"/>
        <w:contextualSpacing w:val="0"/>
        <w:jc w:val="both"/>
        <w:rPr>
          <w:rFonts w:ascii="Arial" w:hAnsi="Arial" w:cs="Arial"/>
          <w:bCs/>
          <w:sz w:val="24"/>
          <w:szCs w:val="24"/>
          <w:lang w:val="es-AR"/>
        </w:rPr>
      </w:pPr>
    </w:p>
    <w:p>
      <w:pPr>
        <w:pStyle w:val="ListParagraph"/>
        <w:numPr>
          <w:ilvl w:val="0"/>
          <w:numId w:val="20"/>
        </w:numPr>
        <w:spacing w:after="0" w:line="240" w:lineRule="auto"/>
        <w:ind w:left="360" w:hanging="426"/>
        <w:contextualSpacing w:val="0"/>
        <w:jc w:val="both"/>
        <w:rPr>
          <w:rFonts w:ascii="Arial" w:hAnsi="Arial" w:cs="Arial"/>
          <w:bCs/>
          <w:sz w:val="24"/>
          <w:szCs w:val="24"/>
          <w:lang w:val="es-AR"/>
        </w:rPr>
      </w:pPr>
      <w:r>
        <w:rPr>
          <w:rFonts w:ascii="Arial" w:hAnsi="Arial" w:cs="Arial"/>
          <w:bCs/>
          <w:sz w:val="24"/>
          <w:szCs w:val="24"/>
          <w:lang w:val="es-AR"/>
        </w:rPr>
        <w:t>Evaluación Modernización de la Administración Tributaria Ecuatoriana. Impacto de la Cooperación Técnica: Informe Final #OVE/TDV -01/07</w:t>
      </w:r>
    </w:p>
    <w:p>
      <w:pPr>
        <w:pStyle w:val="ListParagraph"/>
        <w:ind w:left="360" w:hanging="426"/>
        <w:rPr>
          <w:rFonts w:ascii="Arial" w:hAnsi="Arial" w:cs="Arial"/>
          <w:bCs/>
          <w:sz w:val="24"/>
          <w:szCs w:val="24"/>
          <w:lang w:val="es-AR"/>
        </w:rPr>
      </w:pPr>
    </w:p>
    <w:p>
      <w:pPr>
        <w:pStyle w:val="ListParagraph"/>
        <w:numPr>
          <w:ilvl w:val="0"/>
          <w:numId w:val="20"/>
        </w:numPr>
        <w:spacing w:after="0" w:line="240" w:lineRule="auto"/>
        <w:ind w:left="360" w:hanging="426"/>
        <w:jc w:val="both"/>
        <w:rPr>
          <w:rFonts w:ascii="Arial" w:hAnsi="Arial" w:cs="Arial"/>
          <w:bCs/>
          <w:sz w:val="24"/>
          <w:szCs w:val="24"/>
        </w:rPr>
      </w:pPr>
      <w:r>
        <w:rPr>
          <w:rFonts w:ascii="Arial" w:hAnsi="Arial" w:cs="Arial"/>
          <w:bCs/>
          <w:sz w:val="24"/>
          <w:szCs w:val="24"/>
        </w:rPr>
        <w:t>Hallsworth, M. 2014. “The Use of Field Experiments to Increase Tax Compliance.” Oxford Review of Economic Policy, 30 (4), 658-679.</w:t>
      </w:r>
    </w:p>
    <w:p>
      <w:pPr>
        <w:pStyle w:val="ListParagraph"/>
        <w:ind w:left="360" w:hanging="426"/>
        <w:rPr>
          <w:rFonts w:ascii="Arial" w:hAnsi="Arial" w:cs="Arial"/>
          <w:bCs/>
          <w:sz w:val="24"/>
          <w:szCs w:val="24"/>
        </w:rPr>
      </w:pPr>
    </w:p>
    <w:p>
      <w:pPr>
        <w:pStyle w:val="ListParagraph"/>
        <w:numPr>
          <w:ilvl w:val="0"/>
          <w:numId w:val="20"/>
        </w:numPr>
        <w:spacing w:after="0" w:line="240" w:lineRule="auto"/>
        <w:ind w:left="360" w:hanging="426"/>
        <w:jc w:val="both"/>
        <w:rPr>
          <w:rFonts w:ascii="Arial" w:hAnsi="Arial" w:cs="Arial"/>
          <w:bCs/>
          <w:sz w:val="24"/>
          <w:szCs w:val="24"/>
        </w:rPr>
      </w:pPr>
      <w:r>
        <w:rPr>
          <w:rFonts w:ascii="Arial" w:hAnsi="Arial" w:cs="Arial"/>
          <w:bCs/>
          <w:sz w:val="24"/>
          <w:szCs w:val="24"/>
        </w:rPr>
        <w:t>Hallsworth, M., List, J., Metcalfe, R., &amp; Vlaev, I. (2014). The behavioralist as tax collector: Using natural field experiments to enhance tax compliance (No. w20007). National Bureau of Economic Research.</w:t>
      </w:r>
    </w:p>
    <w:p>
      <w:pPr>
        <w:spacing w:after="0" w:line="240" w:lineRule="auto"/>
        <w:ind w:left="360" w:hanging="426"/>
        <w:jc w:val="both"/>
        <w:rPr>
          <w:rStyle w:val="Hyperlink"/>
          <w:rFonts w:ascii="Arial" w:hAnsi="Arial" w:cs="Arial"/>
          <w:sz w:val="24"/>
          <w:szCs w:val="24"/>
          <w:lang w:eastAsia="es-ES"/>
        </w:rPr>
      </w:pPr>
      <w:hyperlink r:id="rId10" w:history="1">
        <w:r>
          <w:rPr>
            <w:rStyle w:val="Hyperlink"/>
            <w:rFonts w:ascii="Arial" w:hAnsi="Arial" w:cs="Arial"/>
            <w:sz w:val="24"/>
            <w:szCs w:val="24"/>
            <w:lang w:eastAsia="es-ES"/>
          </w:rPr>
          <w:t>http://www.afip.gob.ar/institucional/Documentos/PlanGestionAFIP2017.pdf</w:t>
        </w:r>
      </w:hyperlink>
    </w:p>
    <w:p>
      <w:pPr>
        <w:spacing w:after="0" w:line="240" w:lineRule="auto"/>
        <w:ind w:left="360" w:hanging="426"/>
        <w:jc w:val="both"/>
        <w:rPr>
          <w:rStyle w:val="Hyperlink"/>
          <w:rFonts w:ascii="Arial" w:hAnsi="Arial" w:cs="Arial"/>
          <w:sz w:val="24"/>
          <w:szCs w:val="24"/>
          <w:lang w:eastAsia="es-ES"/>
        </w:rPr>
      </w:pPr>
    </w:p>
    <w:p>
      <w:pPr>
        <w:pStyle w:val="ListParagraph"/>
        <w:numPr>
          <w:ilvl w:val="0"/>
          <w:numId w:val="20"/>
        </w:numPr>
        <w:spacing w:after="0" w:line="240" w:lineRule="auto"/>
        <w:ind w:left="360" w:hanging="426"/>
        <w:jc w:val="both"/>
        <w:rPr>
          <w:rFonts w:ascii="Arial" w:hAnsi="Arial" w:cs="Arial"/>
          <w:bCs/>
          <w:sz w:val="24"/>
          <w:szCs w:val="24"/>
        </w:rPr>
      </w:pPr>
      <w:r>
        <w:rPr>
          <w:rFonts w:ascii="Arial" w:hAnsi="Arial" w:cs="Arial"/>
          <w:bCs/>
          <w:sz w:val="24"/>
          <w:szCs w:val="24"/>
        </w:rPr>
        <w:t>Kleven, H. J., Knudsen, M. B., Kreiner, C. T., Pedersen, S., and Saez, E. 2011. ‘Unwilling or Unable to Cheat? Evidence from a Tax Audit Experiment in Denmark’, Econometrica, 79, 651–92.</w:t>
      </w:r>
    </w:p>
    <w:p>
      <w:pPr>
        <w:pStyle w:val="ListParagraph"/>
        <w:spacing w:after="0" w:line="240" w:lineRule="auto"/>
        <w:ind w:left="360" w:hanging="426"/>
        <w:jc w:val="both"/>
        <w:rPr>
          <w:rFonts w:ascii="Arial" w:hAnsi="Arial" w:cs="Arial"/>
          <w:bCs/>
          <w:sz w:val="24"/>
          <w:szCs w:val="24"/>
        </w:rPr>
      </w:pPr>
    </w:p>
    <w:p>
      <w:pPr>
        <w:pStyle w:val="ListParagraph"/>
        <w:numPr>
          <w:ilvl w:val="0"/>
          <w:numId w:val="20"/>
        </w:numPr>
        <w:spacing w:after="0" w:line="240" w:lineRule="auto"/>
        <w:ind w:left="360" w:hanging="426"/>
        <w:jc w:val="both"/>
        <w:rPr>
          <w:rFonts w:ascii="Arial" w:hAnsi="Arial" w:cs="Arial"/>
          <w:bCs/>
          <w:sz w:val="24"/>
          <w:szCs w:val="24"/>
        </w:rPr>
      </w:pPr>
      <w:r>
        <w:rPr>
          <w:rFonts w:ascii="Arial" w:hAnsi="Arial" w:cs="Arial"/>
          <w:bCs/>
          <w:sz w:val="24"/>
          <w:szCs w:val="24"/>
        </w:rPr>
        <w:t>Murphy, Richard, and J. F. Christensen. "Tax us if you can." (2012).</w:t>
      </w:r>
    </w:p>
    <w:p>
      <w:pPr>
        <w:pStyle w:val="ListParagraph"/>
        <w:ind w:left="360" w:hanging="426"/>
        <w:rPr>
          <w:rFonts w:ascii="Arial" w:hAnsi="Arial" w:cs="Arial"/>
          <w:bCs/>
          <w:sz w:val="24"/>
          <w:szCs w:val="24"/>
        </w:rPr>
      </w:pPr>
    </w:p>
    <w:p>
      <w:pPr>
        <w:pStyle w:val="ListParagraph"/>
        <w:numPr>
          <w:ilvl w:val="0"/>
          <w:numId w:val="20"/>
        </w:numPr>
        <w:spacing w:after="0" w:line="240" w:lineRule="auto"/>
        <w:ind w:left="360" w:hanging="426"/>
        <w:contextualSpacing w:val="0"/>
        <w:jc w:val="both"/>
        <w:rPr>
          <w:rFonts w:ascii="Arial" w:hAnsi="Arial" w:cs="Arial"/>
          <w:bCs/>
          <w:sz w:val="24"/>
          <w:szCs w:val="24"/>
          <w:lang w:val="es-AR"/>
        </w:rPr>
      </w:pPr>
      <w:r>
        <w:rPr>
          <w:rFonts w:ascii="Arial" w:hAnsi="Arial" w:cs="Arial"/>
          <w:sz w:val="24"/>
          <w:szCs w:val="24"/>
          <w:lang w:val="es-AR" w:eastAsia="es-ES"/>
        </w:rPr>
        <w:t>Plan de Gestión 2017  AFIP:</w:t>
      </w:r>
    </w:p>
    <w:p>
      <w:pPr>
        <w:pStyle w:val="ListParagraph"/>
        <w:numPr>
          <w:ilvl w:val="0"/>
          <w:numId w:val="20"/>
        </w:numPr>
        <w:spacing w:after="0" w:line="240" w:lineRule="auto"/>
        <w:ind w:left="360" w:hanging="426"/>
        <w:jc w:val="both"/>
        <w:rPr>
          <w:rFonts w:ascii="Arial" w:hAnsi="Arial" w:cs="Arial"/>
          <w:bCs/>
          <w:sz w:val="24"/>
          <w:szCs w:val="24"/>
        </w:rPr>
      </w:pPr>
      <w:r>
        <w:rPr>
          <w:rFonts w:ascii="Arial" w:hAnsi="Arial" w:cs="Arial"/>
          <w:bCs/>
          <w:sz w:val="24"/>
          <w:szCs w:val="24"/>
        </w:rPr>
        <w:lastRenderedPageBreak/>
        <w:t>Pomeranz, D. 2015. ‘No Taxation Without Information: Deterrence and Self-enforcement in the Value Added Tax’, American Economic Review.</w:t>
      </w:r>
    </w:p>
    <w:p>
      <w:pPr>
        <w:pStyle w:val="ListParagraph"/>
        <w:spacing w:after="0" w:line="240" w:lineRule="auto"/>
        <w:ind w:left="360" w:hanging="426"/>
        <w:jc w:val="both"/>
        <w:rPr>
          <w:rFonts w:ascii="Arial" w:hAnsi="Arial" w:cs="Arial"/>
          <w:bCs/>
          <w:sz w:val="24"/>
          <w:szCs w:val="24"/>
        </w:rPr>
      </w:pPr>
    </w:p>
    <w:p>
      <w:pPr>
        <w:pStyle w:val="ListParagraph"/>
        <w:numPr>
          <w:ilvl w:val="0"/>
          <w:numId w:val="20"/>
        </w:numPr>
        <w:spacing w:after="0" w:line="240" w:lineRule="auto"/>
        <w:ind w:left="360" w:hanging="426"/>
        <w:contextualSpacing w:val="0"/>
        <w:jc w:val="both"/>
        <w:rPr>
          <w:rFonts w:ascii="Arial" w:hAnsi="Arial" w:cs="Arial"/>
          <w:bCs/>
          <w:sz w:val="24"/>
          <w:szCs w:val="24"/>
          <w:lang w:val="es-AR"/>
        </w:rPr>
      </w:pPr>
      <w:r>
        <w:rPr>
          <w:rFonts w:ascii="Arial" w:hAnsi="Arial" w:cs="Arial"/>
          <w:bCs/>
          <w:sz w:val="24"/>
          <w:szCs w:val="24"/>
          <w:lang w:val="es-AR"/>
        </w:rPr>
        <w:t>PROGRAMA DE MEJORA DE LA CAPACIDAD DE GESTIÓN DE LA AFIP: Perfil del Proyecto.</w:t>
      </w:r>
    </w:p>
    <w:p>
      <w:pPr>
        <w:pStyle w:val="ListParagraph"/>
        <w:ind w:left="360" w:hanging="426"/>
        <w:rPr>
          <w:rFonts w:ascii="Arial" w:hAnsi="Arial" w:cs="Arial"/>
          <w:bCs/>
          <w:sz w:val="24"/>
          <w:szCs w:val="24"/>
          <w:lang w:val="es-AR"/>
        </w:rPr>
      </w:pPr>
    </w:p>
    <w:p>
      <w:pPr>
        <w:pStyle w:val="ListParagraph"/>
        <w:numPr>
          <w:ilvl w:val="0"/>
          <w:numId w:val="20"/>
        </w:numPr>
        <w:spacing w:after="0" w:line="240" w:lineRule="auto"/>
        <w:ind w:left="360" w:hanging="426"/>
        <w:jc w:val="both"/>
        <w:rPr>
          <w:rFonts w:ascii="Arial" w:hAnsi="Arial" w:cs="Arial"/>
          <w:bCs/>
          <w:sz w:val="24"/>
          <w:szCs w:val="24"/>
        </w:rPr>
      </w:pPr>
      <w:r>
        <w:rPr>
          <w:rFonts w:ascii="Arial" w:hAnsi="Arial" w:cs="Arial"/>
          <w:bCs/>
          <w:sz w:val="24"/>
          <w:szCs w:val="24"/>
        </w:rPr>
        <w:t>Schneider, F., Buehn, A., &amp; Montenegro, C. E. (2010). New estimates for the shadow economies all over the world. International Economic Journal, 24(4), 443-461</w:t>
      </w:r>
    </w:p>
    <w:p>
      <w:pPr>
        <w:pStyle w:val="ListParagraph"/>
        <w:ind w:left="360" w:hanging="426"/>
        <w:rPr>
          <w:rFonts w:ascii="Arial" w:hAnsi="Arial" w:cs="Arial"/>
          <w:bCs/>
          <w:sz w:val="24"/>
          <w:szCs w:val="24"/>
        </w:rPr>
      </w:pPr>
    </w:p>
    <w:p>
      <w:pPr>
        <w:pStyle w:val="ListParagraph"/>
        <w:numPr>
          <w:ilvl w:val="0"/>
          <w:numId w:val="20"/>
        </w:numPr>
        <w:spacing w:after="0" w:line="240" w:lineRule="auto"/>
        <w:ind w:left="360" w:hanging="426"/>
        <w:contextualSpacing w:val="0"/>
        <w:jc w:val="both"/>
        <w:rPr>
          <w:rFonts w:ascii="Arial" w:hAnsi="Arial" w:cs="Arial"/>
          <w:bCs/>
          <w:sz w:val="24"/>
          <w:szCs w:val="24"/>
          <w:lang w:val="es-AR"/>
        </w:rPr>
      </w:pPr>
      <w:r>
        <w:rPr>
          <w:rFonts w:ascii="Arial" w:hAnsi="Arial" w:cs="Arial"/>
          <w:bCs/>
          <w:sz w:val="24"/>
          <w:szCs w:val="24"/>
        </w:rPr>
        <w:t xml:space="preserve">SHOME, Parthasarathi. Taxation in Latin America: structural trends and impact of administration. </w:t>
      </w:r>
      <w:r>
        <w:rPr>
          <w:rFonts w:ascii="Arial" w:hAnsi="Arial" w:cs="Arial"/>
          <w:bCs/>
          <w:sz w:val="24"/>
          <w:szCs w:val="24"/>
          <w:lang w:val="es-AR"/>
        </w:rPr>
        <w:t>1999.</w:t>
      </w:r>
    </w:p>
    <w:p>
      <w:pPr>
        <w:pStyle w:val="ListParagraph"/>
        <w:ind w:left="360" w:hanging="426"/>
        <w:rPr>
          <w:rFonts w:ascii="Arial" w:hAnsi="Arial" w:cs="Arial"/>
          <w:bCs/>
          <w:sz w:val="24"/>
          <w:szCs w:val="24"/>
          <w:lang w:val="es-AR"/>
        </w:rPr>
      </w:pPr>
    </w:p>
    <w:p>
      <w:pPr>
        <w:pStyle w:val="ListParagraph"/>
        <w:numPr>
          <w:ilvl w:val="0"/>
          <w:numId w:val="20"/>
        </w:numPr>
        <w:spacing w:after="0" w:line="240" w:lineRule="auto"/>
        <w:ind w:left="360" w:hanging="426"/>
        <w:jc w:val="both"/>
        <w:rPr>
          <w:rFonts w:ascii="Arial" w:hAnsi="Arial" w:cs="Arial"/>
          <w:bCs/>
          <w:sz w:val="24"/>
          <w:szCs w:val="24"/>
        </w:rPr>
      </w:pPr>
      <w:r>
        <w:rPr>
          <w:rFonts w:ascii="Arial" w:hAnsi="Arial" w:cs="Arial"/>
          <w:bCs/>
          <w:sz w:val="24"/>
          <w:szCs w:val="24"/>
        </w:rPr>
        <w:t>Slemrod, Joel, Brett Collins, Jeffrey Hoopes, Daniel Reck, and Michael Sebastiani. 2015. “Does Credit-Card Information Reporting Improve Small-Business Tax Compliance?” NBER Working Paper.</w:t>
      </w:r>
    </w:p>
    <w:p>
      <w:pPr>
        <w:pStyle w:val="ListParagraph"/>
        <w:ind w:left="360" w:hanging="426"/>
        <w:rPr>
          <w:rFonts w:ascii="Arial" w:hAnsi="Arial" w:cs="Arial"/>
          <w:bCs/>
          <w:sz w:val="24"/>
          <w:szCs w:val="24"/>
        </w:rPr>
      </w:pPr>
    </w:p>
    <w:p>
      <w:pPr>
        <w:jc w:val="both"/>
        <w:rPr>
          <w:rFonts w:ascii="Arial" w:hAnsi="Arial" w:cs="Arial"/>
          <w:sz w:val="24"/>
          <w:szCs w:val="24"/>
          <w:lang w:val="es-ES" w:eastAsia="es-ES"/>
        </w:rPr>
      </w:pPr>
      <w:r>
        <w:rPr>
          <w:rFonts w:ascii="Arial" w:hAnsi="Arial" w:cs="Arial"/>
          <w:color w:val="222222"/>
          <w:sz w:val="24"/>
          <w:szCs w:val="24"/>
          <w:shd w:val="clear" w:color="auto" w:fill="FFFFFF"/>
          <w:lang w:val="es-AR"/>
        </w:rPr>
        <w:t xml:space="preserve">TORO, Juan. Aspectos exitosos y lecciones de reformas tributarias en Chile. </w:t>
      </w:r>
      <w:r>
        <w:rPr>
          <w:rFonts w:ascii="Arial" w:hAnsi="Arial" w:cs="Arial"/>
          <w:color w:val="222222"/>
          <w:sz w:val="24"/>
          <w:szCs w:val="24"/>
          <w:shd w:val="clear" w:color="auto" w:fill="FFFFFF"/>
          <w:lang w:val="es-ES_tradnl"/>
        </w:rPr>
        <w:t>1994.</w:t>
      </w:r>
      <w:r>
        <w:rPr>
          <w:rFonts w:ascii="Arial" w:hAnsi="Arial" w:cs="Arial"/>
          <w:bCs/>
          <w:sz w:val="24"/>
          <w:szCs w:val="24"/>
          <w:lang w:val="es-AR"/>
        </w:rPr>
        <w:t xml:space="preserve"> “</w:t>
      </w:r>
    </w:p>
    <w:p>
      <w:pPr>
        <w:jc w:val="both"/>
        <w:rPr>
          <w:rFonts w:ascii="Arial" w:hAnsi="Arial" w:cs="Arial"/>
          <w:sz w:val="24"/>
          <w:szCs w:val="24"/>
          <w:lang w:val="es-ES" w:eastAsia="es-ES"/>
        </w:rPr>
      </w:pPr>
    </w:p>
    <w:p>
      <w:pPr>
        <w:jc w:val="both"/>
        <w:rPr>
          <w:rFonts w:ascii="Arial" w:hAnsi="Arial" w:cs="Arial"/>
          <w:sz w:val="24"/>
          <w:szCs w:val="24"/>
          <w:lang w:val="es-ES" w:eastAsia="es-ES"/>
        </w:rPr>
      </w:pPr>
    </w:p>
    <w:sectPr>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 w:type="continuationNotice" w:id="1">
    <w:p>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type="continuationNotice" w:id="1">
    <w:p>
      <w:pPr>
        <w:spacing w:after="0" w:line="240" w:lineRule="auto"/>
      </w:pPr>
    </w:p>
  </w:footnote>
  <w:footnote w:id="2">
    <w:p>
      <w:pPr>
        <w:pStyle w:val="FootnoteText"/>
        <w:ind w:left="360" w:hanging="360"/>
        <w:jc w:val="both"/>
        <w:rPr>
          <w:rFonts w:ascii="Arial" w:hAnsi="Arial" w:cs="Arial"/>
          <w:sz w:val="18"/>
          <w:szCs w:val="18"/>
          <w:lang w:val="es-AR"/>
        </w:rPr>
      </w:pPr>
      <w:r>
        <w:rPr>
          <w:rStyle w:val="FootnoteReference"/>
          <w:rFonts w:ascii="Arial" w:hAnsi="Arial" w:cs="Arial"/>
          <w:sz w:val="18"/>
          <w:szCs w:val="18"/>
        </w:rPr>
        <w:footnoteRef/>
      </w:r>
      <w:r>
        <w:rPr>
          <w:rFonts w:ascii="Arial" w:hAnsi="Arial" w:cs="Arial"/>
          <w:sz w:val="18"/>
          <w:szCs w:val="18"/>
          <w:lang w:val="es-AR"/>
        </w:rPr>
        <w:t xml:space="preserve"> </w:t>
      </w:r>
      <w:r>
        <w:rPr>
          <w:rFonts w:ascii="Arial" w:hAnsi="Arial" w:cs="Arial"/>
          <w:sz w:val="18"/>
          <w:szCs w:val="18"/>
          <w:lang w:val="es-AR"/>
        </w:rPr>
        <w:tab/>
        <w:t>Adicionalmente, el programa contará con gastos de Administración y Gestión del Programa destinados al financiamiento de la Unidad Ejecutora por U$S 5,5 millones durante los 5 años de ejecución</w:t>
      </w:r>
    </w:p>
  </w:footnote>
  <w:footnote w:id="3">
    <w:p>
      <w:pPr>
        <w:pStyle w:val="FootnoteText"/>
        <w:ind w:left="360" w:hanging="36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El impacto esperado se complementa con el resultado esperado “Incremento en el cumplimiento voluntario en el pago de las obligaciones” (Indicador de Resultado 1)</w:t>
      </w:r>
    </w:p>
  </w:footnote>
  <w:footnote w:id="4">
    <w:p>
      <w:pPr>
        <w:pStyle w:val="FootnoteText"/>
        <w:ind w:left="360" w:hanging="36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 xml:space="preserve">Para la determinación de la Razón de Precios de Cuenta, se utilizó las estimaciones del Programa (AR-L1248) del Ministerio del Interior, Obras Públicas y Vivienda. </w:t>
      </w:r>
    </w:p>
  </w:footnote>
  <w:footnote w:id="5">
    <w:p>
      <w:pPr>
        <w:pStyle w:val="FootnoteText"/>
        <w:ind w:left="360" w:hanging="360"/>
        <w:jc w:val="both"/>
        <w:rPr>
          <w:rFonts w:ascii="Arial" w:hAnsi="Arial" w:cs="Arial"/>
          <w:sz w:val="18"/>
          <w:szCs w:val="18"/>
          <w:lang w:val="es-AR"/>
        </w:rPr>
      </w:pPr>
      <w:r>
        <w:rPr>
          <w:rStyle w:val="FootnoteReference"/>
          <w:rFonts w:ascii="Arial" w:hAnsi="Arial" w:cs="Arial"/>
          <w:sz w:val="18"/>
          <w:szCs w:val="18"/>
        </w:rPr>
        <w:footnoteRef/>
      </w:r>
      <w:r>
        <w:rPr>
          <w:rFonts w:ascii="Arial" w:hAnsi="Arial" w:cs="Arial"/>
          <w:sz w:val="18"/>
          <w:szCs w:val="18"/>
          <w:lang w:val="es-AR"/>
        </w:rPr>
        <w:t xml:space="preserve"> </w:t>
      </w:r>
      <w:r>
        <w:rPr>
          <w:rFonts w:ascii="Arial" w:hAnsi="Arial" w:cs="Arial"/>
          <w:sz w:val="18"/>
          <w:szCs w:val="18"/>
          <w:lang w:val="es-AR"/>
        </w:rPr>
        <w:tab/>
        <w:t>Dado que la evasión estimada es del 77%, entonces X/77% es la recaudación sin evasión.</w:t>
      </w:r>
    </w:p>
  </w:footnote>
  <w:footnote w:id="6">
    <w:p>
      <w:pPr>
        <w:pStyle w:val="FootnoteText"/>
        <w:ind w:left="360" w:hanging="360"/>
        <w:jc w:val="both"/>
        <w:rPr>
          <w:rFonts w:ascii="Arial" w:hAnsi="Arial" w:cs="Arial"/>
          <w:sz w:val="18"/>
          <w:szCs w:val="18"/>
          <w:lang w:val="es-AR"/>
        </w:rPr>
      </w:pPr>
      <w:r>
        <w:rPr>
          <w:rStyle w:val="FootnoteReference"/>
          <w:rFonts w:ascii="Arial" w:hAnsi="Arial" w:cs="Arial"/>
          <w:sz w:val="18"/>
          <w:szCs w:val="18"/>
        </w:rPr>
        <w:footnoteRef/>
      </w:r>
      <w:r>
        <w:rPr>
          <w:rFonts w:ascii="Arial" w:hAnsi="Arial" w:cs="Arial"/>
          <w:sz w:val="18"/>
          <w:szCs w:val="18"/>
          <w:lang w:val="es-AR"/>
        </w:rPr>
        <w:t xml:space="preserve"> </w:t>
      </w:r>
      <w:r>
        <w:rPr>
          <w:rFonts w:ascii="Arial" w:hAnsi="Arial" w:cs="Arial"/>
          <w:sz w:val="18"/>
          <w:szCs w:val="18"/>
          <w:lang w:val="es-AR"/>
        </w:rPr>
        <w:tab/>
        <w:t>En un esquema habitual de control aduanero, la aplicación de reglas de selección se asigna un canal a cada operación. Cuando hablamos de canal rojo se hace referencia a los controles físicos.</w:t>
      </w:r>
    </w:p>
  </w:footnote>
  <w:footnote w:id="7">
    <w:p>
      <w:pPr>
        <w:pStyle w:val="FootnoteText"/>
        <w:ind w:left="360" w:hanging="360"/>
        <w:jc w:val="both"/>
        <w:rPr>
          <w:rFonts w:ascii="Arial" w:hAnsi="Arial" w:cs="Arial"/>
          <w:sz w:val="18"/>
          <w:szCs w:val="18"/>
          <w:lang w:val="es-AR"/>
        </w:rPr>
      </w:pPr>
      <w:r>
        <w:rPr>
          <w:rStyle w:val="FootnoteReference"/>
          <w:rFonts w:ascii="Arial" w:hAnsi="Arial" w:cs="Arial"/>
          <w:sz w:val="18"/>
          <w:szCs w:val="18"/>
        </w:rPr>
        <w:footnoteRef/>
      </w:r>
      <w:r>
        <w:rPr>
          <w:rFonts w:ascii="Arial" w:hAnsi="Arial" w:cs="Arial"/>
          <w:sz w:val="18"/>
          <w:szCs w:val="18"/>
          <w:lang w:val="es-AR"/>
        </w:rPr>
        <w:t xml:space="preserve"> </w:t>
      </w:r>
      <w:r>
        <w:rPr>
          <w:rFonts w:ascii="Arial" w:hAnsi="Arial" w:cs="Arial"/>
          <w:sz w:val="18"/>
          <w:szCs w:val="18"/>
          <w:lang w:val="es-AR"/>
        </w:rPr>
        <w:tab/>
        <w:t>Para calcular estos costos se simula 3 situaciones con costo unitario máximo, medio y mínimo por operación.</w:t>
      </w:r>
    </w:p>
  </w:footnote>
  <w:footnote w:id="8">
    <w:p>
      <w:pPr>
        <w:pStyle w:val="FootnoteText"/>
        <w:ind w:left="360" w:hanging="360"/>
        <w:jc w:val="both"/>
        <w:rPr>
          <w:rFonts w:ascii="Arial" w:hAnsi="Arial" w:cs="Arial"/>
          <w:sz w:val="18"/>
          <w:szCs w:val="18"/>
          <w:lang w:val="es-AR"/>
        </w:rPr>
      </w:pPr>
      <w:r>
        <w:rPr>
          <w:rStyle w:val="FootnoteReference"/>
          <w:rFonts w:ascii="Arial" w:hAnsi="Arial" w:cs="Arial"/>
          <w:sz w:val="18"/>
          <w:szCs w:val="18"/>
        </w:rPr>
        <w:footnoteRef/>
      </w:r>
      <w:r>
        <w:rPr>
          <w:rFonts w:ascii="Arial" w:hAnsi="Arial" w:cs="Arial"/>
          <w:sz w:val="18"/>
          <w:szCs w:val="18"/>
          <w:lang w:val="es-AR"/>
        </w:rPr>
        <w:t xml:space="preserve"> </w:t>
      </w:r>
      <w:r>
        <w:rPr>
          <w:rFonts w:ascii="Arial" w:hAnsi="Arial" w:cs="Arial"/>
          <w:sz w:val="18"/>
          <w:szCs w:val="18"/>
          <w:lang w:val="es-AR"/>
        </w:rPr>
        <w:tab/>
        <w:t>En base a las operaciones de comercio exterior entre el 1° y 2° semestre del 2016 y el 1° semestre del 2017, las operaciones crecen a un 2,13%.</w:t>
      </w:r>
    </w:p>
  </w:footnote>
  <w:footnote w:id="9">
    <w:p>
      <w:pPr>
        <w:pStyle w:val="FootnoteText"/>
        <w:ind w:left="360" w:hanging="360"/>
        <w:jc w:val="both"/>
        <w:rPr>
          <w:rFonts w:ascii="Arial" w:hAnsi="Arial" w:cs="Arial"/>
          <w:sz w:val="18"/>
          <w:szCs w:val="18"/>
          <w:lang w:val="es-ES"/>
        </w:rPr>
      </w:pPr>
      <w:r>
        <w:rPr>
          <w:rStyle w:val="FootnoteReference"/>
          <w:rFonts w:ascii="Arial" w:eastAsia="Times New Roman" w:hAnsi="Arial" w:cs="Arial"/>
          <w:bCs/>
          <w:sz w:val="18"/>
          <w:szCs w:val="18"/>
          <w:lang w:val="es-AR"/>
        </w:rPr>
        <w:footnoteRef/>
      </w:r>
      <w:r>
        <w:rPr>
          <w:rFonts w:ascii="Arial" w:hAnsi="Arial" w:cs="Arial"/>
          <w:sz w:val="18"/>
          <w:szCs w:val="18"/>
          <w:lang w:val="es-ES"/>
        </w:rPr>
        <w:t xml:space="preserve"> </w:t>
      </w:r>
      <w:r>
        <w:rPr>
          <w:rFonts w:ascii="Arial" w:hAnsi="Arial" w:cs="Arial"/>
          <w:sz w:val="18"/>
          <w:szCs w:val="18"/>
          <w:lang w:val="es-ES"/>
        </w:rPr>
        <w:tab/>
        <w:t>Se han tomado como referencia los resultados alcanzados en distintas intervenciones como la evaluación del Programa de Fortalecimiento de la Administración Tributaria en El Salvador(ES-L1131) del Año 2016, como así también la evaluación “Modernización de la Administración Tributaría Ecuatoriana. Impacto de la Cooperación Técnica” en Ecuador, para el período 1998-2004 y evaluada por la Oficina de Evaluación del Banco (OVE) en 2007.</w:t>
      </w:r>
    </w:p>
  </w:footnote>
  <w:footnote w:id="10">
    <w:p>
      <w:pPr>
        <w:pStyle w:val="FootnoteText"/>
        <w:ind w:left="360" w:hanging="360"/>
        <w:rPr>
          <w:rFonts w:ascii="Arial" w:hAnsi="Arial" w:cs="Arial"/>
          <w:sz w:val="18"/>
          <w:szCs w:val="18"/>
          <w:lang w:val="es-AR"/>
        </w:rPr>
      </w:pPr>
      <w:r>
        <w:rPr>
          <w:rStyle w:val="FootnoteReference"/>
          <w:rFonts w:ascii="Arial" w:hAnsi="Arial" w:cs="Arial"/>
          <w:sz w:val="18"/>
          <w:szCs w:val="18"/>
        </w:rPr>
        <w:footnoteRef/>
      </w:r>
      <w:r>
        <w:rPr>
          <w:rFonts w:ascii="Arial" w:hAnsi="Arial" w:cs="Arial"/>
          <w:sz w:val="18"/>
          <w:szCs w:val="18"/>
          <w:lang w:val="es-AR"/>
        </w:rPr>
        <w:t xml:space="preserve"> </w:t>
      </w:r>
      <w:r>
        <w:rPr>
          <w:rFonts w:ascii="Arial" w:hAnsi="Arial" w:cs="Arial"/>
          <w:sz w:val="18"/>
          <w:szCs w:val="18"/>
          <w:lang w:val="es-AR"/>
        </w:rPr>
        <w:tab/>
        <w:t>Ver llamada 8.</w:t>
      </w:r>
    </w:p>
  </w:footnote>
  <w:footnote w:id="11">
    <w:p>
      <w:pPr>
        <w:pStyle w:val="FootnoteText"/>
        <w:ind w:left="360" w:hanging="360"/>
        <w:jc w:val="both"/>
        <w:rPr>
          <w:rFonts w:ascii="Arial" w:hAnsi="Arial" w:cs="Arial"/>
          <w:sz w:val="18"/>
          <w:szCs w:val="18"/>
          <w:lang w:val="es-AR"/>
        </w:rPr>
      </w:pPr>
      <w:r>
        <w:rPr>
          <w:rFonts w:ascii="Arial" w:hAnsi="Arial" w:cs="Arial"/>
          <w:sz w:val="18"/>
          <w:szCs w:val="18"/>
        </w:rPr>
        <w:footnoteRef/>
      </w:r>
      <w:r>
        <w:rPr>
          <w:rFonts w:ascii="Arial" w:hAnsi="Arial" w:cs="Arial"/>
          <w:sz w:val="18"/>
          <w:szCs w:val="18"/>
          <w:lang w:val="es-AR"/>
        </w:rPr>
        <w:t xml:space="preserve"> </w:t>
      </w:r>
      <w:r>
        <w:rPr>
          <w:rFonts w:ascii="Arial" w:hAnsi="Arial" w:cs="Arial"/>
          <w:sz w:val="18"/>
          <w:szCs w:val="18"/>
          <w:lang w:val="es-AR"/>
        </w:rPr>
        <w:tab/>
        <w:t>https://datos.bancomundial.org/indicador/NY.GDP.MKTP.KD.ZG?locations=AR</w:t>
      </w:r>
    </w:p>
  </w:footnote>
  <w:footnote w:id="12">
    <w:p>
      <w:pPr>
        <w:pStyle w:val="FootnoteText"/>
        <w:ind w:left="360" w:hanging="360"/>
        <w:jc w:val="both"/>
        <w:rPr>
          <w:rFonts w:ascii="Arial" w:hAnsi="Arial" w:cs="Arial"/>
          <w:sz w:val="18"/>
          <w:szCs w:val="18"/>
          <w:lang w:val="es-ES_tradnl"/>
        </w:rPr>
      </w:pPr>
      <w:r>
        <w:rPr>
          <w:rFonts w:ascii="Arial" w:hAnsi="Arial" w:cs="Arial"/>
          <w:sz w:val="18"/>
          <w:szCs w:val="18"/>
        </w:rPr>
        <w:footnoteRef/>
      </w:r>
      <w:r>
        <w:rPr>
          <w:rFonts w:ascii="Arial" w:hAnsi="Arial" w:cs="Arial"/>
          <w:sz w:val="18"/>
          <w:szCs w:val="18"/>
        </w:rPr>
        <w:t xml:space="preserve"> </w:t>
      </w:r>
      <w:r>
        <w:rPr>
          <w:rFonts w:ascii="Arial" w:hAnsi="Arial" w:cs="Arial"/>
          <w:sz w:val="18"/>
          <w:szCs w:val="18"/>
        </w:rPr>
        <w:tab/>
        <w:t>Schneider, F., Buehn, A., &amp; Montenegro, C. E. (2010). New estimates for the shadow economies all over the world. </w:t>
      </w:r>
      <w:r>
        <w:rPr>
          <w:rFonts w:ascii="Arial" w:hAnsi="Arial" w:cs="Arial"/>
          <w:sz w:val="18"/>
          <w:szCs w:val="18"/>
          <w:lang w:val="es-ES_tradnl"/>
        </w:rPr>
        <w:t>International Economic Journal, 24(4), 443-461.</w:t>
      </w:r>
    </w:p>
  </w:footnote>
  <w:footnote w:id="13">
    <w:p>
      <w:pPr>
        <w:pStyle w:val="FootnoteText"/>
        <w:ind w:left="360" w:hanging="360"/>
        <w:jc w:val="both"/>
        <w:rPr>
          <w:rFonts w:ascii="Arial" w:hAnsi="Arial" w:cs="Arial"/>
          <w:sz w:val="18"/>
          <w:szCs w:val="18"/>
          <w:lang w:val="es-ES_tradnl"/>
        </w:rPr>
      </w:pPr>
      <w:r>
        <w:rPr>
          <w:rFonts w:ascii="Arial" w:hAnsi="Arial" w:cs="Arial"/>
          <w:sz w:val="18"/>
          <w:szCs w:val="18"/>
        </w:rPr>
        <w:footnoteRef/>
      </w:r>
      <w:r>
        <w:rPr>
          <w:rFonts w:ascii="Arial" w:hAnsi="Arial" w:cs="Arial"/>
          <w:sz w:val="18"/>
          <w:szCs w:val="18"/>
          <w:lang w:val="es-ES_tradnl"/>
        </w:rPr>
        <w:t xml:space="preserve"> </w:t>
      </w:r>
      <w:r>
        <w:rPr>
          <w:rFonts w:ascii="Arial" w:hAnsi="Arial" w:cs="Arial"/>
          <w:sz w:val="18"/>
          <w:szCs w:val="18"/>
          <w:lang w:val="es-ES_tradnl"/>
        </w:rPr>
        <w:tab/>
        <w:t>http://www.afip.gob.ar/institucional/estudios/archivos/informe.1.trimestre.2017.pdf</w:t>
      </w:r>
    </w:p>
  </w:footnote>
  <w:footnote w:id="14">
    <w:p>
      <w:pPr>
        <w:pStyle w:val="FootnoteText"/>
        <w:ind w:left="360" w:hanging="36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Relevamientos efectuados por el equipo de trabajo del Director General de Aduanas Adjunto con las áreas de control aduanero y la Secretaría de Comercio. El dato corresponde al costo estimado en que se incurre por rojo normativo (Aduanas más Otros); no contempla otros gastos ocultos que soportan los operadores de comercio exterior, tales como costo de oportunidad de venta por mayores plazos para disponer de la mercadería, riesgo de contaminación de mercadería por aplicación de controles intrusivos. Estos números son consistentes con datos del Doing Business que estiman que el costo de importar en Argentina equivale a USD 2.320 por contenedor, cuando el promedio de LAC es de USD 1.691. Para más detalles ver el CDC de Argentina.</w:t>
      </w:r>
    </w:p>
  </w:footnote>
  <w:footnote w:id="15">
    <w:p>
      <w:pPr>
        <w:pStyle w:val="FootnoteText"/>
        <w:ind w:left="360" w:hanging="360"/>
        <w:rPr>
          <w:rFonts w:ascii="Arial" w:hAnsi="Arial" w:cs="Arial"/>
          <w:sz w:val="18"/>
          <w:szCs w:val="18"/>
          <w:lang w:val="es-AR"/>
        </w:rPr>
      </w:pPr>
      <w:r>
        <w:rPr>
          <w:rStyle w:val="FootnoteReference"/>
          <w:rFonts w:ascii="Arial" w:hAnsi="Arial" w:cs="Arial"/>
          <w:sz w:val="18"/>
          <w:szCs w:val="18"/>
        </w:rPr>
        <w:footnoteRef/>
      </w:r>
      <w:r>
        <w:rPr>
          <w:rFonts w:ascii="Arial" w:hAnsi="Arial" w:cs="Arial"/>
          <w:sz w:val="18"/>
          <w:szCs w:val="18"/>
          <w:lang w:val="es-AR"/>
        </w:rPr>
        <w:t xml:space="preserve"> </w:t>
      </w:r>
      <w:r>
        <w:rPr>
          <w:rFonts w:ascii="Arial" w:hAnsi="Arial" w:cs="Arial"/>
          <w:sz w:val="18"/>
          <w:szCs w:val="18"/>
          <w:lang w:val="es-AR"/>
        </w:rPr>
        <w:tab/>
        <w:t xml:space="preserve">Se utilizó el software </w:t>
      </w:r>
      <w:r>
        <w:rPr>
          <w:rFonts w:ascii="Arial" w:hAnsi="Arial" w:cs="Arial"/>
          <w:i/>
          <w:sz w:val="18"/>
          <w:szCs w:val="18"/>
          <w:lang w:val="es-AR"/>
        </w:rPr>
        <w:t>Crystall Ball</w:t>
      </w:r>
      <w:r>
        <w:rPr>
          <w:rFonts w:ascii="Arial" w:hAnsi="Arial" w:cs="Arial"/>
          <w:sz w:val="18"/>
          <w:szCs w:val="18"/>
          <w:lang w:val="es-AR"/>
        </w:rPr>
        <w:t xml:space="preserve"> para las simulaciones.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A2B2F9A6"/>
    <w:lvl w:ilvl="0">
      <w:start w:val="1"/>
      <w:numFmt w:val="upperRoman"/>
      <w:lvlText w:val="%1."/>
      <w:lvlJc w:val="center"/>
      <w:pPr>
        <w:tabs>
          <w:tab w:val="num" w:pos="1008"/>
        </w:tabs>
        <w:ind w:left="360" w:firstLine="288"/>
      </w:pPr>
      <w:rPr>
        <w:b/>
        <w:i w:val="0"/>
      </w:rPr>
    </w:lvl>
    <w:lvl w:ilvl="1">
      <w:start w:val="1"/>
      <w:numFmt w:val="decimal"/>
      <w:isLgl/>
      <w:lvlText w:val="%1.%2"/>
      <w:lvlJc w:val="left"/>
      <w:pPr>
        <w:tabs>
          <w:tab w:val="num" w:pos="1080"/>
        </w:tabs>
        <w:ind w:left="1080" w:hanging="720"/>
      </w:pPr>
      <w:rPr>
        <w:b w:val="0"/>
        <w:color w:val="auto"/>
        <w:lang w:val="es-ES"/>
      </w:rPr>
    </w:lvl>
    <w:lvl w:ilvl="2">
      <w:start w:val="1"/>
      <w:numFmt w:val="lowerLetter"/>
      <w:lvlText w:val="%3."/>
      <w:lvlJc w:val="left"/>
      <w:pPr>
        <w:tabs>
          <w:tab w:val="num" w:pos="1512"/>
        </w:tabs>
        <w:ind w:left="1512" w:hanging="432"/>
      </w:pPr>
    </w:lvl>
    <w:lvl w:ilvl="3">
      <w:start w:val="1"/>
      <w:numFmt w:val="lowerRoman"/>
      <w:lvlText w:val="%4."/>
      <w:lvlJc w:val="right"/>
      <w:pPr>
        <w:tabs>
          <w:tab w:val="num" w:pos="1944"/>
        </w:tabs>
        <w:ind w:left="1944" w:hanging="288"/>
      </w:pPr>
    </w:lvl>
    <w:lvl w:ilvl="4">
      <w:start w:val="1"/>
      <w:numFmt w:val="none"/>
      <w:lvlText w:val=""/>
      <w:lvlJc w:val="left"/>
      <w:pPr>
        <w:tabs>
          <w:tab w:val="num" w:pos="3600"/>
        </w:tabs>
        <w:ind w:left="3240" w:firstLine="0"/>
      </w:pPr>
    </w:lvl>
    <w:lvl w:ilvl="5">
      <w:start w:val="1"/>
      <w:numFmt w:val="none"/>
      <w:lvlText w:val=""/>
      <w:lvlJc w:val="left"/>
      <w:pPr>
        <w:tabs>
          <w:tab w:val="num" w:pos="4320"/>
        </w:tabs>
        <w:ind w:left="3960" w:firstLine="0"/>
      </w:pPr>
    </w:lvl>
    <w:lvl w:ilvl="6">
      <w:start w:val="1"/>
      <w:numFmt w:val="none"/>
      <w:lvlText w:val=""/>
      <w:lvlJc w:val="left"/>
      <w:pPr>
        <w:tabs>
          <w:tab w:val="num" w:pos="5040"/>
        </w:tabs>
        <w:ind w:left="4680" w:firstLine="0"/>
      </w:pPr>
    </w:lvl>
    <w:lvl w:ilvl="7">
      <w:start w:val="1"/>
      <w:numFmt w:val="none"/>
      <w:lvlText w:val=""/>
      <w:lvlJc w:val="left"/>
      <w:pPr>
        <w:tabs>
          <w:tab w:val="num" w:pos="5760"/>
        </w:tabs>
        <w:ind w:left="5400" w:firstLine="0"/>
      </w:pPr>
    </w:lvl>
    <w:lvl w:ilvl="8">
      <w:start w:val="1"/>
      <w:numFmt w:val="none"/>
      <w:lvlText w:val=""/>
      <w:lvlJc w:val="left"/>
      <w:pPr>
        <w:tabs>
          <w:tab w:val="num" w:pos="6480"/>
        </w:tabs>
        <w:ind w:left="6120" w:firstLine="0"/>
      </w:pPr>
    </w:lvl>
  </w:abstractNum>
  <w:abstractNum w:abstractNumId="1" w15:restartNumberingAfterBreak="0">
    <w:nsid w:val="10775979"/>
    <w:multiLevelType w:val="multilevel"/>
    <w:tmpl w:val="220A4CA6"/>
    <w:lvl w:ilvl="0">
      <w:start w:val="1"/>
      <w:numFmt w:val="decimal"/>
      <w:lvlText w:val="%1."/>
      <w:lvlJc w:val="left"/>
      <w:pPr>
        <w:ind w:left="360" w:hanging="360"/>
      </w:pPr>
      <w:rPr>
        <w:rFonts w:hint="default"/>
        <w:b/>
        <w:sz w:val="24"/>
        <w:szCs w:val="24"/>
      </w:rPr>
    </w:lvl>
    <w:lvl w:ilvl="1">
      <w:start w:val="1"/>
      <w:numFmt w:val="decimal"/>
      <w:lvlText w:val="%1.%2"/>
      <w:lvlJc w:val="left"/>
      <w:pPr>
        <w:ind w:left="43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38E66F7"/>
    <w:multiLevelType w:val="hybridMultilevel"/>
    <w:tmpl w:val="98EAB21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4D432D0"/>
    <w:multiLevelType w:val="multilevel"/>
    <w:tmpl w:val="18BE9F40"/>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0813E93"/>
    <w:multiLevelType w:val="multilevel"/>
    <w:tmpl w:val="E82EBB28"/>
    <w:lvl w:ilvl="0">
      <w:start w:val="2"/>
      <w:numFmt w:val="decimal"/>
      <w:lvlText w:val="%1.2."/>
      <w:lvlJc w:val="left"/>
      <w:pPr>
        <w:ind w:left="1070" w:hanging="360"/>
      </w:pPr>
      <w:rPr>
        <w:rFonts w:hint="default"/>
        <w:b w:val="0"/>
        <w:i w:val="0"/>
        <w:caps w:val="0"/>
      </w:rPr>
    </w:lvl>
    <w:lvl w:ilvl="1">
      <w:start w:val="1"/>
      <w:numFmt w:val="decimal"/>
      <w:lvlText w:val="%1.%2."/>
      <w:lvlJc w:val="left"/>
      <w:pPr>
        <w:ind w:left="199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5" w15:restartNumberingAfterBreak="0">
    <w:nsid w:val="25560A3C"/>
    <w:multiLevelType w:val="multilevel"/>
    <w:tmpl w:val="220A4CA6"/>
    <w:lvl w:ilvl="0">
      <w:start w:val="1"/>
      <w:numFmt w:val="decimal"/>
      <w:lvlText w:val="%1."/>
      <w:lvlJc w:val="left"/>
      <w:pPr>
        <w:ind w:left="360" w:hanging="360"/>
      </w:pPr>
      <w:rPr>
        <w:rFonts w:hint="default"/>
        <w:b/>
        <w:sz w:val="24"/>
        <w:szCs w:val="24"/>
      </w:rPr>
    </w:lvl>
    <w:lvl w:ilvl="1">
      <w:start w:val="1"/>
      <w:numFmt w:val="decimal"/>
      <w:lvlText w:val="%1.%2"/>
      <w:lvlJc w:val="left"/>
      <w:pPr>
        <w:ind w:left="43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5795674"/>
    <w:multiLevelType w:val="hybridMultilevel"/>
    <w:tmpl w:val="ECA61EE2"/>
    <w:lvl w:ilvl="0" w:tplc="2C0A0001">
      <w:start w:val="1"/>
      <w:numFmt w:val="bullet"/>
      <w:lvlText w:val=""/>
      <w:lvlJc w:val="left"/>
      <w:pPr>
        <w:ind w:left="1800" w:hanging="360"/>
      </w:pPr>
      <w:rPr>
        <w:rFonts w:ascii="Symbol" w:hAnsi="Symbol"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abstractNum w:abstractNumId="7" w15:restartNumberingAfterBreak="0">
    <w:nsid w:val="27837E26"/>
    <w:multiLevelType w:val="hybridMultilevel"/>
    <w:tmpl w:val="72686B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CEF1A98"/>
    <w:multiLevelType w:val="multilevel"/>
    <w:tmpl w:val="0B307E28"/>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9" w15:restartNumberingAfterBreak="0">
    <w:nsid w:val="2EC913DB"/>
    <w:multiLevelType w:val="multilevel"/>
    <w:tmpl w:val="2C0A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BE46970"/>
    <w:multiLevelType w:val="hybridMultilevel"/>
    <w:tmpl w:val="9CE20040"/>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3DC2752C"/>
    <w:multiLevelType w:val="multilevel"/>
    <w:tmpl w:val="220A4CA6"/>
    <w:lvl w:ilvl="0">
      <w:start w:val="1"/>
      <w:numFmt w:val="decimal"/>
      <w:lvlText w:val="%1."/>
      <w:lvlJc w:val="left"/>
      <w:pPr>
        <w:ind w:left="360" w:hanging="360"/>
      </w:pPr>
      <w:rPr>
        <w:rFonts w:hint="default"/>
        <w:b/>
        <w:sz w:val="24"/>
        <w:szCs w:val="24"/>
      </w:rPr>
    </w:lvl>
    <w:lvl w:ilvl="1">
      <w:start w:val="1"/>
      <w:numFmt w:val="decimal"/>
      <w:lvlText w:val="%1.%2"/>
      <w:lvlJc w:val="left"/>
      <w:pPr>
        <w:ind w:left="43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98B0F75"/>
    <w:multiLevelType w:val="multilevel"/>
    <w:tmpl w:val="A3184C5A"/>
    <w:lvl w:ilvl="0">
      <w:start w:val="1"/>
      <w:numFmt w:val="decimal"/>
      <w:lvlText w:val="%1."/>
      <w:lvlJc w:val="left"/>
      <w:pPr>
        <w:ind w:left="360" w:hanging="360"/>
      </w:pPr>
      <w:rPr>
        <w:rFonts w:hint="default"/>
        <w:b/>
        <w:sz w:val="24"/>
        <w:szCs w:val="24"/>
      </w:rPr>
    </w:lvl>
    <w:lvl w:ilvl="1">
      <w:start w:val="1"/>
      <w:numFmt w:val="decimal"/>
      <w:lvlText w:val="%1.%2"/>
      <w:lvlJc w:val="left"/>
      <w:pPr>
        <w:ind w:left="432" w:hanging="432"/>
      </w:pPr>
      <w:rPr>
        <w:rFonts w:hint="default"/>
        <w:b w:val="0"/>
        <w:color w:val="auto"/>
      </w:rPr>
    </w:lvl>
    <w:lvl w:ilvl="2">
      <w:start w:val="1"/>
      <w:numFmt w:val="lowerRoman"/>
      <w:lvlText w:val="%3)"/>
      <w:lvlJc w:val="left"/>
      <w:pPr>
        <w:ind w:left="1224" w:hanging="504"/>
      </w:pPr>
      <w:rPr>
        <w:rFonts w:ascii="Times New Roman" w:eastAsiaTheme="minorHAnsi"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C9D642F"/>
    <w:multiLevelType w:val="multilevel"/>
    <w:tmpl w:val="AE3A62E4"/>
    <w:lvl w:ilvl="0">
      <w:start w:val="2"/>
      <w:numFmt w:val="decimal"/>
      <w:lvlText w:val="%1.2."/>
      <w:lvlJc w:val="left"/>
      <w:pPr>
        <w:ind w:left="1070" w:hanging="360"/>
      </w:pPr>
      <w:rPr>
        <w:rFonts w:hint="default"/>
        <w:b w:val="0"/>
        <w:i w:val="0"/>
        <w:caps w:val="0"/>
      </w:rPr>
    </w:lvl>
    <w:lvl w:ilvl="1">
      <w:start w:val="10"/>
      <w:numFmt w:val="decimal"/>
      <w:lvlText w:val="%1.%2."/>
      <w:lvlJc w:val="left"/>
      <w:pPr>
        <w:ind w:left="199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515915DF"/>
    <w:multiLevelType w:val="multilevel"/>
    <w:tmpl w:val="454833FA"/>
    <w:lvl w:ilvl="0">
      <w:start w:val="1"/>
      <w:numFmt w:val="upperRoman"/>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5" w15:restartNumberingAfterBreak="0">
    <w:nsid w:val="64C5303E"/>
    <w:multiLevelType w:val="multilevel"/>
    <w:tmpl w:val="78EEA9D4"/>
    <w:lvl w:ilvl="0">
      <w:start w:val="1"/>
      <w:numFmt w:val="upperRoman"/>
      <w:lvlRestart w:val="0"/>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b w:val="0"/>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675B6DBD"/>
    <w:multiLevelType w:val="multilevel"/>
    <w:tmpl w:val="220A4CA6"/>
    <w:lvl w:ilvl="0">
      <w:start w:val="1"/>
      <w:numFmt w:val="decimal"/>
      <w:lvlText w:val="%1."/>
      <w:lvlJc w:val="left"/>
      <w:pPr>
        <w:ind w:left="360" w:hanging="360"/>
      </w:pPr>
      <w:rPr>
        <w:rFonts w:hint="default"/>
        <w:b/>
        <w:sz w:val="24"/>
        <w:szCs w:val="24"/>
      </w:rPr>
    </w:lvl>
    <w:lvl w:ilvl="1">
      <w:start w:val="1"/>
      <w:numFmt w:val="decimal"/>
      <w:lvlText w:val="%1.%2"/>
      <w:lvlJc w:val="left"/>
      <w:pPr>
        <w:ind w:left="43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1DF3A6D"/>
    <w:multiLevelType w:val="multilevel"/>
    <w:tmpl w:val="220A4CA6"/>
    <w:lvl w:ilvl="0">
      <w:start w:val="1"/>
      <w:numFmt w:val="decimal"/>
      <w:lvlText w:val="%1."/>
      <w:lvlJc w:val="left"/>
      <w:pPr>
        <w:ind w:left="360" w:hanging="360"/>
      </w:pPr>
      <w:rPr>
        <w:rFonts w:hint="default"/>
        <w:b/>
        <w:sz w:val="24"/>
        <w:szCs w:val="24"/>
      </w:rPr>
    </w:lvl>
    <w:lvl w:ilvl="1">
      <w:start w:val="1"/>
      <w:numFmt w:val="decimal"/>
      <w:lvlText w:val="%1.%2"/>
      <w:lvlJc w:val="left"/>
      <w:pPr>
        <w:ind w:left="43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8367644"/>
    <w:multiLevelType w:val="multilevel"/>
    <w:tmpl w:val="220A4CA6"/>
    <w:lvl w:ilvl="0">
      <w:start w:val="1"/>
      <w:numFmt w:val="decimal"/>
      <w:lvlText w:val="%1."/>
      <w:lvlJc w:val="left"/>
      <w:pPr>
        <w:ind w:left="360" w:hanging="360"/>
      </w:pPr>
      <w:rPr>
        <w:rFonts w:hint="default"/>
        <w:b/>
        <w:sz w:val="24"/>
        <w:szCs w:val="24"/>
      </w:rPr>
    </w:lvl>
    <w:lvl w:ilvl="1">
      <w:start w:val="1"/>
      <w:numFmt w:val="decimal"/>
      <w:lvlText w:val="%1.%2"/>
      <w:lvlJc w:val="left"/>
      <w:pPr>
        <w:ind w:left="43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BC74A9F"/>
    <w:multiLevelType w:val="multilevel"/>
    <w:tmpl w:val="0B307E28"/>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15"/>
  </w:num>
  <w:num w:numId="2">
    <w:abstractNumId w:val="12"/>
  </w:num>
  <w:num w:numId="3">
    <w:abstractNumId w:val="9"/>
  </w:num>
  <w:num w:numId="4">
    <w:abstractNumId w:val="4"/>
  </w:num>
  <w:num w:numId="5">
    <w:abstractNumId w:val="13"/>
  </w:num>
  <w:num w:numId="6">
    <w:abstractNumId w:val="5"/>
  </w:num>
  <w:num w:numId="7">
    <w:abstractNumId w:val="11"/>
  </w:num>
  <w:num w:numId="8">
    <w:abstractNumId w:val="18"/>
  </w:num>
  <w:num w:numId="9">
    <w:abstractNumId w:val="1"/>
  </w:num>
  <w:num w:numId="10">
    <w:abstractNumId w:val="16"/>
  </w:num>
  <w:num w:numId="11">
    <w:abstractNumId w:val="17"/>
  </w:num>
  <w:num w:numId="12">
    <w:abstractNumId w:val="8"/>
  </w:num>
  <w:num w:numId="13">
    <w:abstractNumId w:val="0"/>
  </w:num>
  <w:num w:numId="14">
    <w:abstractNumId w:val="15"/>
  </w:num>
  <w:num w:numId="15">
    <w:abstractNumId w:val="14"/>
  </w:num>
  <w:num w:numId="16">
    <w:abstractNumId w:val="19"/>
  </w:num>
  <w:num w:numId="17">
    <w:abstractNumId w:val="3"/>
  </w:num>
  <w:num w:numId="18">
    <w:abstractNumId w:val="2"/>
  </w:num>
  <w:num w:numId="19">
    <w:abstractNumId w:val="10"/>
  </w:num>
  <w:num w:numId="20">
    <w:abstractNumId w:val="6"/>
  </w:num>
  <w:num w:numId="21">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pt-BR" w:vendorID="64" w:dllVersion="6" w:nlCheck="1" w:checkStyle="0"/>
  <w:activeWritingStyle w:appName="MSWord" w:lang="es-ES" w:vendorID="64" w:dllVersion="6" w:nlCheck="1" w:checkStyle="1"/>
  <w:activeWritingStyle w:appName="MSWord" w:lang="en-US" w:vendorID="64" w:dllVersion="6" w:nlCheck="1" w:checkStyle="1"/>
  <w:activeWritingStyle w:appName="MSWord" w:lang="es-AR" w:vendorID="64" w:dllVersion="6" w:nlCheck="1" w:checkStyle="1"/>
  <w:activeWritingStyle w:appName="MSWord" w:lang="es-ES_tradnl" w:vendorID="64" w:dllVersion="6" w:nlCheck="1" w:checkStyle="1"/>
  <w:activeWritingStyle w:appName="MSWord" w:lang="es-A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US" w:vendorID="64" w:dllVersion="0" w:nlCheck="1" w:checkStyle="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1"/>
    <w:qFormat/>
    <w:pPr>
      <w:widowControl w:val="0"/>
      <w:spacing w:after="0" w:line="240" w:lineRule="auto"/>
      <w:ind w:left="820"/>
      <w:outlineLvl w:val="1"/>
    </w:pPr>
    <w:rPr>
      <w:rFonts w:ascii="Times New Roman" w:eastAsia="Times New Roman" w:hAnsi="Times New Roman"/>
      <w:b/>
      <w:bCs/>
      <w:sz w:val="24"/>
      <w:szCs w:val="24"/>
    </w:rPr>
  </w:style>
  <w:style w:type="paragraph" w:styleId="Heading3">
    <w:name w:val="heading 3"/>
    <w:basedOn w:val="Normal"/>
    <w:link w:val="Heading3Char"/>
    <w:uiPriority w:val="1"/>
    <w:qFormat/>
    <w:pPr>
      <w:widowControl w:val="0"/>
      <w:spacing w:after="0" w:line="240" w:lineRule="auto"/>
      <w:ind w:left="820" w:hanging="720"/>
      <w:outlineLvl w:val="2"/>
    </w:pPr>
    <w:rPr>
      <w:rFonts w:ascii="Times New Roman" w:eastAsia="Times New Roman" w:hAnsi="Times New Roman"/>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pPr>
      <w:ind w:left="720"/>
      <w:contextualSpacing/>
    </w:p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Footnote"/>
    <w:basedOn w:val="Normal"/>
    <w:link w:val="FootnoteTextChar"/>
    <w:uiPriority w:val="99"/>
    <w:unhideWhenUsed/>
    <w:qFormat/>
    <w:pPr>
      <w:spacing w:after="0" w:line="240" w:lineRule="auto"/>
    </w:pPr>
    <w:rPr>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Pr>
      <w:sz w:val="20"/>
      <w:szCs w:val="20"/>
      <w:lang w:val="en-US"/>
    </w:rPr>
  </w:style>
  <w:style w:type="character" w:styleId="FootnoteReference">
    <w:name w:val="footnote reference"/>
    <w:aliases w:val="ftref,SUPERS,EN Footnote Reference,number,Footnote Reference Number,Footnote Reference_LVL6,Footnote Reference_LVL61,Footnote Reference_LVL62,Footnote Reference_LVL63,Footnote Reference_LVL64,fr, BVI fnr,Error-Fußnotenzeichen5"/>
    <w:basedOn w:val="DefaultParagraphFont"/>
    <w:uiPriority w:val="99"/>
    <w:unhideWhenUsed/>
    <w:qFormat/>
    <w:rPr>
      <w:vertAlign w:val="superscript"/>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table" w:styleId="TableGrid">
    <w:name w:val="Table Grid"/>
    <w:basedOn w:val="TableNormal"/>
    <w:uiPriority w:val="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link w:val="ChapterChar"/>
    <w:pPr>
      <w:keepNext/>
      <w:numPr>
        <w:numId w:val="1"/>
      </w:numPr>
      <w:tabs>
        <w:tab w:val="left" w:pos="1440"/>
      </w:tabs>
      <w:spacing w:before="240" w:after="240" w:line="240" w:lineRule="auto"/>
      <w:jc w:val="center"/>
    </w:pPr>
    <w:rPr>
      <w:rFonts w:ascii="Times New Roman" w:hAnsi="Times New Roman" w:cs="Times New Roman"/>
      <w:b/>
      <w:smallCaps/>
      <w:sz w:val="24"/>
      <w:szCs w:val="24"/>
      <w:lang w:val="es-ES"/>
    </w:rPr>
  </w:style>
  <w:style w:type="paragraph" w:customStyle="1" w:styleId="Paragraph">
    <w:name w:val="Paragraph"/>
    <w:aliases w:val="paragraph,p,PARAGRAPH,PG,pa,at"/>
    <w:basedOn w:val="BodyTextIndent"/>
    <w:link w:val="ParagraphChar"/>
    <w:qFormat/>
    <w:pPr>
      <w:numPr>
        <w:ilvl w:val="1"/>
        <w:numId w:val="1"/>
      </w:numPr>
      <w:spacing w:before="120" w:line="240" w:lineRule="auto"/>
      <w:jc w:val="both"/>
      <w:outlineLvl w:val="1"/>
    </w:pPr>
    <w:rPr>
      <w:rFonts w:ascii="Times New Roman" w:hAnsi="Times New Roman" w:cs="Times New Roman"/>
      <w:sz w:val="24"/>
      <w:szCs w:val="24"/>
      <w:lang w:val="es-ES"/>
    </w:rPr>
  </w:style>
  <w:style w:type="paragraph" w:customStyle="1" w:styleId="subpar">
    <w:name w:val="subpar"/>
    <w:basedOn w:val="BodyTextIndent3"/>
    <w:pPr>
      <w:numPr>
        <w:ilvl w:val="2"/>
        <w:numId w:val="1"/>
      </w:numPr>
      <w:spacing w:before="120" w:line="240" w:lineRule="auto"/>
      <w:jc w:val="both"/>
      <w:outlineLvl w:val="2"/>
    </w:pPr>
    <w:rPr>
      <w:rFonts w:ascii="Times New Roman" w:hAnsi="Times New Roman" w:cs="Times New Roman"/>
      <w:sz w:val="24"/>
      <w:szCs w:val="24"/>
      <w:lang w:val="es-ES"/>
    </w:rPr>
  </w:style>
  <w:style w:type="paragraph" w:customStyle="1" w:styleId="SubSubPar">
    <w:name w:val="SubSubPar"/>
    <w:basedOn w:val="subpar"/>
    <w:pPr>
      <w:numPr>
        <w:ilvl w:val="3"/>
      </w:numPr>
      <w:tabs>
        <w:tab w:val="clear" w:pos="1584"/>
        <w:tab w:val="left" w:pos="0"/>
        <w:tab w:val="num" w:pos="360"/>
        <w:tab w:val="num" w:pos="1296"/>
      </w:tabs>
    </w:pPr>
  </w:style>
  <w:style w:type="character" w:customStyle="1" w:styleId="ChapterChar">
    <w:name w:val="Chapter Char"/>
    <w:basedOn w:val="DefaultParagraphFont"/>
    <w:link w:val="Chapter"/>
    <w:rPr>
      <w:rFonts w:ascii="Times New Roman" w:hAnsi="Times New Roman" w:cs="Times New Roman"/>
      <w:b/>
      <w:smallCaps/>
      <w:sz w:val="24"/>
      <w:szCs w:val="24"/>
      <w:lang w:val="es-ES"/>
    </w:rPr>
  </w:style>
  <w:style w:type="character" w:customStyle="1" w:styleId="NoSpacingChar">
    <w:name w:val="No Spacing Char"/>
    <w:link w:val="NoSpacing"/>
    <w:uiPriority w:val="1"/>
    <w:locked/>
    <w:rPr>
      <w:rFonts w:ascii="Times New Roman" w:eastAsia="Times New Roman" w:hAnsi="Times New Roman" w:cs="Times New Roman"/>
    </w:rPr>
  </w:style>
  <w:style w:type="paragraph" w:styleId="NoSpacing">
    <w:name w:val="No Spacing"/>
    <w:link w:val="NoSpacingChar"/>
    <w:uiPriority w:val="1"/>
    <w:qFormat/>
    <w:pPr>
      <w:spacing w:after="0" w:line="240" w:lineRule="auto"/>
    </w:pPr>
    <w:rPr>
      <w:rFonts w:ascii="Times New Roman" w:eastAsia="Times New Roman" w:hAnsi="Times New Roman" w:cs="Times New Roman"/>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rPr>
      <w:lang w:val="en-US"/>
    </w:rPr>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basedOn w:val="DefaultParagraphFont"/>
    <w:link w:val="BodyTextIndent3"/>
    <w:uiPriority w:val="99"/>
    <w:semiHidden/>
    <w:rPr>
      <w:sz w:val="16"/>
      <w:szCs w:val="16"/>
      <w:lang w:val="en-US"/>
    </w:rPr>
  </w:style>
  <w:style w:type="character" w:customStyle="1" w:styleId="ParagraphChar">
    <w:name w:val="Paragraph Char"/>
    <w:aliases w:val="p Char,PARAGRAPH Char,PG Char,pa Char,at Char,paragraph Char"/>
    <w:basedOn w:val="DefaultParagraphFont"/>
    <w:link w:val="Paragraph"/>
    <w:rPr>
      <w:rFonts w:ascii="Times New Roman" w:hAnsi="Times New Roman" w:cs="Times New Roman"/>
      <w:sz w:val="24"/>
      <w:szCs w:val="24"/>
      <w:lang w:val="es-ES"/>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rPr>
      <w:lang w:val="en-US"/>
    </w:rPr>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rPr>
      <w:lang w:val="en-US"/>
    </w:rPr>
  </w:style>
  <w:style w:type="character" w:customStyle="1" w:styleId="ListParagraphChar">
    <w:name w:val="List Paragraph Char"/>
    <w:basedOn w:val="DefaultParagraphFont"/>
    <w:link w:val="ListParagraph"/>
    <w:uiPriority w:val="34"/>
    <w:locked/>
    <w:rPr>
      <w:lang w:val="en-US"/>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lang w:val="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lang w:val="en-US"/>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n-US"/>
    </w:rPr>
  </w:style>
  <w:style w:type="character" w:styleId="PlaceholderText">
    <w:name w:val="Placeholder Text"/>
    <w:basedOn w:val="DefaultParagraphFont"/>
    <w:uiPriority w:val="99"/>
    <w:semiHidden/>
    <w:rPr>
      <w:color w:val="808080"/>
    </w:rPr>
  </w:style>
  <w:style w:type="character" w:customStyle="1" w:styleId="Heading2Char">
    <w:name w:val="Heading 2 Char"/>
    <w:basedOn w:val="DefaultParagraphFont"/>
    <w:link w:val="Heading2"/>
    <w:uiPriority w:val="1"/>
    <w:rPr>
      <w:rFonts w:ascii="Times New Roman" w:eastAsia="Times New Roman" w:hAnsi="Times New Roman"/>
      <w:b/>
      <w:bCs/>
      <w:sz w:val="24"/>
      <w:szCs w:val="24"/>
      <w:lang w:val="en-US"/>
    </w:rPr>
  </w:style>
  <w:style w:type="character" w:customStyle="1" w:styleId="Heading3Char">
    <w:name w:val="Heading 3 Char"/>
    <w:basedOn w:val="DefaultParagraphFont"/>
    <w:link w:val="Heading3"/>
    <w:uiPriority w:val="1"/>
    <w:rPr>
      <w:rFonts w:ascii="Times New Roman" w:eastAsia="Times New Roman" w:hAnsi="Times New Roman"/>
      <w:b/>
      <w:bCs/>
      <w:i/>
      <w:sz w:val="24"/>
      <w:szCs w:val="24"/>
      <w:lang w:val="en-US"/>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rPr>
      <w:lang w:val="en-US"/>
    </w:rPr>
  </w:style>
  <w:style w:type="table" w:customStyle="1" w:styleId="TableNormal1">
    <w:name w:val="Table Normal1"/>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spacing w:after="0" w:line="240" w:lineRule="auto"/>
    </w:pPr>
  </w:style>
  <w:style w:type="character" w:customStyle="1" w:styleId="Heading1Char">
    <w:name w:val="Heading 1 Char"/>
    <w:basedOn w:val="DefaultParagraphFont"/>
    <w:link w:val="Heading1"/>
    <w:rPr>
      <w:rFonts w:asciiTheme="majorHAnsi" w:eastAsiaTheme="majorEastAsia" w:hAnsiTheme="majorHAnsi" w:cstheme="majorBidi"/>
      <w:color w:val="365F91" w:themeColor="accent1" w:themeShade="BF"/>
      <w:sz w:val="32"/>
      <w:szCs w:val="32"/>
      <w:lang w:val="en-US"/>
    </w:rPr>
  </w:style>
  <w:style w:type="paragraph" w:styleId="TOCHeading">
    <w:name w:val="TOC Heading"/>
    <w:basedOn w:val="Heading1"/>
    <w:next w:val="Normal"/>
    <w:uiPriority w:val="39"/>
    <w:unhideWhenUsed/>
    <w:qFormat/>
    <w:pPr>
      <w:spacing w:line="259" w:lineRule="auto"/>
      <w:outlineLvl w:val="9"/>
    </w:pPr>
    <w:rPr>
      <w:lang w:val="es-AR" w:eastAsia="es-AR"/>
    </w:rPr>
  </w:style>
  <w:style w:type="paragraph" w:styleId="TOC3">
    <w:name w:val="toc 3"/>
    <w:basedOn w:val="Normal"/>
    <w:next w:val="Normal"/>
    <w:autoRedefine/>
    <w:uiPriority w:val="39"/>
    <w:unhideWhenUsed/>
    <w:pPr>
      <w:spacing w:after="100"/>
      <w:ind w:left="440"/>
    </w:pPr>
  </w:style>
  <w:style w:type="paragraph" w:styleId="TOC1">
    <w:name w:val="toc 1"/>
    <w:basedOn w:val="Normal"/>
    <w:next w:val="Normal"/>
    <w:autoRedefine/>
    <w:uiPriority w:val="39"/>
    <w:unhideWhenUsed/>
    <w:pPr>
      <w:spacing w:after="100"/>
    </w:pPr>
  </w:style>
  <w:style w:type="paragraph" w:styleId="TOC2">
    <w:name w:val="toc 2"/>
    <w:basedOn w:val="Normal"/>
    <w:next w:val="Normal"/>
    <w:autoRedefine/>
    <w:uiPriority w:val="39"/>
    <w:unhideWhenUsed/>
    <w:pPr>
      <w:spacing w:after="100"/>
      <w:ind w:left="220"/>
    </w:pPr>
  </w:style>
  <w:style w:type="character" w:customStyle="1" w:styleId="UnresolvedMention1">
    <w:name w:val="Unresolved Mention1"/>
    <w:basedOn w:val="DefaultParagraphFont"/>
    <w:uiPriority w:val="99"/>
    <w:semiHidden/>
    <w:unhideWhenUse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91628">
      <w:bodyDiv w:val="1"/>
      <w:marLeft w:val="0"/>
      <w:marRight w:val="0"/>
      <w:marTop w:val="0"/>
      <w:marBottom w:val="0"/>
      <w:divBdr>
        <w:top w:val="none" w:sz="0" w:space="0" w:color="auto"/>
        <w:left w:val="none" w:sz="0" w:space="0" w:color="auto"/>
        <w:bottom w:val="none" w:sz="0" w:space="0" w:color="auto"/>
        <w:right w:val="none" w:sz="0" w:space="0" w:color="auto"/>
      </w:divBdr>
    </w:div>
    <w:div w:id="245772769">
      <w:bodyDiv w:val="1"/>
      <w:marLeft w:val="0"/>
      <w:marRight w:val="0"/>
      <w:marTop w:val="0"/>
      <w:marBottom w:val="0"/>
      <w:divBdr>
        <w:top w:val="none" w:sz="0" w:space="0" w:color="auto"/>
        <w:left w:val="none" w:sz="0" w:space="0" w:color="auto"/>
        <w:bottom w:val="none" w:sz="0" w:space="0" w:color="auto"/>
        <w:right w:val="none" w:sz="0" w:space="0" w:color="auto"/>
      </w:divBdr>
    </w:div>
    <w:div w:id="333653470">
      <w:bodyDiv w:val="1"/>
      <w:marLeft w:val="0"/>
      <w:marRight w:val="0"/>
      <w:marTop w:val="0"/>
      <w:marBottom w:val="0"/>
      <w:divBdr>
        <w:top w:val="none" w:sz="0" w:space="0" w:color="auto"/>
        <w:left w:val="none" w:sz="0" w:space="0" w:color="auto"/>
        <w:bottom w:val="none" w:sz="0" w:space="0" w:color="auto"/>
        <w:right w:val="none" w:sz="0" w:space="0" w:color="auto"/>
      </w:divBdr>
    </w:div>
    <w:div w:id="394359819">
      <w:bodyDiv w:val="1"/>
      <w:marLeft w:val="0"/>
      <w:marRight w:val="0"/>
      <w:marTop w:val="0"/>
      <w:marBottom w:val="0"/>
      <w:divBdr>
        <w:top w:val="none" w:sz="0" w:space="0" w:color="auto"/>
        <w:left w:val="none" w:sz="0" w:space="0" w:color="auto"/>
        <w:bottom w:val="none" w:sz="0" w:space="0" w:color="auto"/>
        <w:right w:val="none" w:sz="0" w:space="0" w:color="auto"/>
      </w:divBdr>
    </w:div>
    <w:div w:id="454371153">
      <w:bodyDiv w:val="1"/>
      <w:marLeft w:val="0"/>
      <w:marRight w:val="0"/>
      <w:marTop w:val="0"/>
      <w:marBottom w:val="0"/>
      <w:divBdr>
        <w:top w:val="none" w:sz="0" w:space="0" w:color="auto"/>
        <w:left w:val="none" w:sz="0" w:space="0" w:color="auto"/>
        <w:bottom w:val="none" w:sz="0" w:space="0" w:color="auto"/>
        <w:right w:val="none" w:sz="0" w:space="0" w:color="auto"/>
      </w:divBdr>
    </w:div>
    <w:div w:id="508907293">
      <w:bodyDiv w:val="1"/>
      <w:marLeft w:val="0"/>
      <w:marRight w:val="0"/>
      <w:marTop w:val="0"/>
      <w:marBottom w:val="0"/>
      <w:divBdr>
        <w:top w:val="none" w:sz="0" w:space="0" w:color="auto"/>
        <w:left w:val="none" w:sz="0" w:space="0" w:color="auto"/>
        <w:bottom w:val="none" w:sz="0" w:space="0" w:color="auto"/>
        <w:right w:val="none" w:sz="0" w:space="0" w:color="auto"/>
      </w:divBdr>
    </w:div>
    <w:div w:id="528685660">
      <w:bodyDiv w:val="1"/>
      <w:marLeft w:val="0"/>
      <w:marRight w:val="0"/>
      <w:marTop w:val="0"/>
      <w:marBottom w:val="0"/>
      <w:divBdr>
        <w:top w:val="none" w:sz="0" w:space="0" w:color="auto"/>
        <w:left w:val="none" w:sz="0" w:space="0" w:color="auto"/>
        <w:bottom w:val="none" w:sz="0" w:space="0" w:color="auto"/>
        <w:right w:val="none" w:sz="0" w:space="0" w:color="auto"/>
      </w:divBdr>
    </w:div>
    <w:div w:id="574047822">
      <w:bodyDiv w:val="1"/>
      <w:marLeft w:val="0"/>
      <w:marRight w:val="0"/>
      <w:marTop w:val="0"/>
      <w:marBottom w:val="0"/>
      <w:divBdr>
        <w:top w:val="none" w:sz="0" w:space="0" w:color="auto"/>
        <w:left w:val="none" w:sz="0" w:space="0" w:color="auto"/>
        <w:bottom w:val="none" w:sz="0" w:space="0" w:color="auto"/>
        <w:right w:val="none" w:sz="0" w:space="0" w:color="auto"/>
      </w:divBdr>
    </w:div>
    <w:div w:id="578514537">
      <w:bodyDiv w:val="1"/>
      <w:marLeft w:val="0"/>
      <w:marRight w:val="0"/>
      <w:marTop w:val="0"/>
      <w:marBottom w:val="0"/>
      <w:divBdr>
        <w:top w:val="none" w:sz="0" w:space="0" w:color="auto"/>
        <w:left w:val="none" w:sz="0" w:space="0" w:color="auto"/>
        <w:bottom w:val="none" w:sz="0" w:space="0" w:color="auto"/>
        <w:right w:val="none" w:sz="0" w:space="0" w:color="auto"/>
      </w:divBdr>
    </w:div>
    <w:div w:id="681248678">
      <w:bodyDiv w:val="1"/>
      <w:marLeft w:val="0"/>
      <w:marRight w:val="0"/>
      <w:marTop w:val="0"/>
      <w:marBottom w:val="0"/>
      <w:divBdr>
        <w:top w:val="none" w:sz="0" w:space="0" w:color="auto"/>
        <w:left w:val="none" w:sz="0" w:space="0" w:color="auto"/>
        <w:bottom w:val="none" w:sz="0" w:space="0" w:color="auto"/>
        <w:right w:val="none" w:sz="0" w:space="0" w:color="auto"/>
      </w:divBdr>
    </w:div>
    <w:div w:id="813525979">
      <w:bodyDiv w:val="1"/>
      <w:marLeft w:val="0"/>
      <w:marRight w:val="0"/>
      <w:marTop w:val="0"/>
      <w:marBottom w:val="0"/>
      <w:divBdr>
        <w:top w:val="none" w:sz="0" w:space="0" w:color="auto"/>
        <w:left w:val="none" w:sz="0" w:space="0" w:color="auto"/>
        <w:bottom w:val="none" w:sz="0" w:space="0" w:color="auto"/>
        <w:right w:val="none" w:sz="0" w:space="0" w:color="auto"/>
      </w:divBdr>
    </w:div>
    <w:div w:id="909652238">
      <w:bodyDiv w:val="1"/>
      <w:marLeft w:val="0"/>
      <w:marRight w:val="0"/>
      <w:marTop w:val="0"/>
      <w:marBottom w:val="0"/>
      <w:divBdr>
        <w:top w:val="none" w:sz="0" w:space="0" w:color="auto"/>
        <w:left w:val="none" w:sz="0" w:space="0" w:color="auto"/>
        <w:bottom w:val="none" w:sz="0" w:space="0" w:color="auto"/>
        <w:right w:val="none" w:sz="0" w:space="0" w:color="auto"/>
      </w:divBdr>
    </w:div>
    <w:div w:id="953442973">
      <w:bodyDiv w:val="1"/>
      <w:marLeft w:val="0"/>
      <w:marRight w:val="0"/>
      <w:marTop w:val="0"/>
      <w:marBottom w:val="0"/>
      <w:divBdr>
        <w:top w:val="none" w:sz="0" w:space="0" w:color="auto"/>
        <w:left w:val="none" w:sz="0" w:space="0" w:color="auto"/>
        <w:bottom w:val="none" w:sz="0" w:space="0" w:color="auto"/>
        <w:right w:val="none" w:sz="0" w:space="0" w:color="auto"/>
      </w:divBdr>
    </w:div>
    <w:div w:id="1086418407">
      <w:bodyDiv w:val="1"/>
      <w:marLeft w:val="0"/>
      <w:marRight w:val="0"/>
      <w:marTop w:val="0"/>
      <w:marBottom w:val="0"/>
      <w:divBdr>
        <w:top w:val="none" w:sz="0" w:space="0" w:color="auto"/>
        <w:left w:val="none" w:sz="0" w:space="0" w:color="auto"/>
        <w:bottom w:val="none" w:sz="0" w:space="0" w:color="auto"/>
        <w:right w:val="none" w:sz="0" w:space="0" w:color="auto"/>
      </w:divBdr>
    </w:div>
    <w:div w:id="1090157181">
      <w:bodyDiv w:val="1"/>
      <w:marLeft w:val="0"/>
      <w:marRight w:val="0"/>
      <w:marTop w:val="0"/>
      <w:marBottom w:val="0"/>
      <w:divBdr>
        <w:top w:val="none" w:sz="0" w:space="0" w:color="auto"/>
        <w:left w:val="none" w:sz="0" w:space="0" w:color="auto"/>
        <w:bottom w:val="none" w:sz="0" w:space="0" w:color="auto"/>
        <w:right w:val="none" w:sz="0" w:space="0" w:color="auto"/>
      </w:divBdr>
    </w:div>
    <w:div w:id="1135028172">
      <w:bodyDiv w:val="1"/>
      <w:marLeft w:val="0"/>
      <w:marRight w:val="0"/>
      <w:marTop w:val="0"/>
      <w:marBottom w:val="0"/>
      <w:divBdr>
        <w:top w:val="none" w:sz="0" w:space="0" w:color="auto"/>
        <w:left w:val="none" w:sz="0" w:space="0" w:color="auto"/>
        <w:bottom w:val="none" w:sz="0" w:space="0" w:color="auto"/>
        <w:right w:val="none" w:sz="0" w:space="0" w:color="auto"/>
      </w:divBdr>
    </w:div>
    <w:div w:id="1142691300">
      <w:bodyDiv w:val="1"/>
      <w:marLeft w:val="0"/>
      <w:marRight w:val="0"/>
      <w:marTop w:val="0"/>
      <w:marBottom w:val="0"/>
      <w:divBdr>
        <w:top w:val="none" w:sz="0" w:space="0" w:color="auto"/>
        <w:left w:val="none" w:sz="0" w:space="0" w:color="auto"/>
        <w:bottom w:val="none" w:sz="0" w:space="0" w:color="auto"/>
        <w:right w:val="none" w:sz="0" w:space="0" w:color="auto"/>
      </w:divBdr>
    </w:div>
    <w:div w:id="1187256706">
      <w:bodyDiv w:val="1"/>
      <w:marLeft w:val="0"/>
      <w:marRight w:val="0"/>
      <w:marTop w:val="0"/>
      <w:marBottom w:val="0"/>
      <w:divBdr>
        <w:top w:val="none" w:sz="0" w:space="0" w:color="auto"/>
        <w:left w:val="none" w:sz="0" w:space="0" w:color="auto"/>
        <w:bottom w:val="none" w:sz="0" w:space="0" w:color="auto"/>
        <w:right w:val="none" w:sz="0" w:space="0" w:color="auto"/>
      </w:divBdr>
    </w:div>
    <w:div w:id="1214274523">
      <w:bodyDiv w:val="1"/>
      <w:marLeft w:val="0"/>
      <w:marRight w:val="0"/>
      <w:marTop w:val="0"/>
      <w:marBottom w:val="0"/>
      <w:divBdr>
        <w:top w:val="none" w:sz="0" w:space="0" w:color="auto"/>
        <w:left w:val="none" w:sz="0" w:space="0" w:color="auto"/>
        <w:bottom w:val="none" w:sz="0" w:space="0" w:color="auto"/>
        <w:right w:val="none" w:sz="0" w:space="0" w:color="auto"/>
      </w:divBdr>
    </w:div>
    <w:div w:id="1218667429">
      <w:bodyDiv w:val="1"/>
      <w:marLeft w:val="0"/>
      <w:marRight w:val="0"/>
      <w:marTop w:val="0"/>
      <w:marBottom w:val="0"/>
      <w:divBdr>
        <w:top w:val="none" w:sz="0" w:space="0" w:color="auto"/>
        <w:left w:val="none" w:sz="0" w:space="0" w:color="auto"/>
        <w:bottom w:val="none" w:sz="0" w:space="0" w:color="auto"/>
        <w:right w:val="none" w:sz="0" w:space="0" w:color="auto"/>
      </w:divBdr>
    </w:div>
    <w:div w:id="1334720171">
      <w:bodyDiv w:val="1"/>
      <w:marLeft w:val="0"/>
      <w:marRight w:val="0"/>
      <w:marTop w:val="0"/>
      <w:marBottom w:val="0"/>
      <w:divBdr>
        <w:top w:val="none" w:sz="0" w:space="0" w:color="auto"/>
        <w:left w:val="none" w:sz="0" w:space="0" w:color="auto"/>
        <w:bottom w:val="none" w:sz="0" w:space="0" w:color="auto"/>
        <w:right w:val="none" w:sz="0" w:space="0" w:color="auto"/>
      </w:divBdr>
    </w:div>
    <w:div w:id="1410539976">
      <w:bodyDiv w:val="1"/>
      <w:marLeft w:val="0"/>
      <w:marRight w:val="0"/>
      <w:marTop w:val="0"/>
      <w:marBottom w:val="0"/>
      <w:divBdr>
        <w:top w:val="none" w:sz="0" w:space="0" w:color="auto"/>
        <w:left w:val="none" w:sz="0" w:space="0" w:color="auto"/>
        <w:bottom w:val="none" w:sz="0" w:space="0" w:color="auto"/>
        <w:right w:val="none" w:sz="0" w:space="0" w:color="auto"/>
      </w:divBdr>
    </w:div>
    <w:div w:id="1474788338">
      <w:bodyDiv w:val="1"/>
      <w:marLeft w:val="0"/>
      <w:marRight w:val="0"/>
      <w:marTop w:val="0"/>
      <w:marBottom w:val="0"/>
      <w:divBdr>
        <w:top w:val="none" w:sz="0" w:space="0" w:color="auto"/>
        <w:left w:val="none" w:sz="0" w:space="0" w:color="auto"/>
        <w:bottom w:val="none" w:sz="0" w:space="0" w:color="auto"/>
        <w:right w:val="none" w:sz="0" w:space="0" w:color="auto"/>
      </w:divBdr>
    </w:div>
    <w:div w:id="1572428589">
      <w:bodyDiv w:val="1"/>
      <w:marLeft w:val="0"/>
      <w:marRight w:val="0"/>
      <w:marTop w:val="0"/>
      <w:marBottom w:val="0"/>
      <w:divBdr>
        <w:top w:val="none" w:sz="0" w:space="0" w:color="auto"/>
        <w:left w:val="none" w:sz="0" w:space="0" w:color="auto"/>
        <w:bottom w:val="none" w:sz="0" w:space="0" w:color="auto"/>
        <w:right w:val="none" w:sz="0" w:space="0" w:color="auto"/>
      </w:divBdr>
    </w:div>
    <w:div w:id="1584995965">
      <w:bodyDiv w:val="1"/>
      <w:marLeft w:val="0"/>
      <w:marRight w:val="0"/>
      <w:marTop w:val="0"/>
      <w:marBottom w:val="0"/>
      <w:divBdr>
        <w:top w:val="none" w:sz="0" w:space="0" w:color="auto"/>
        <w:left w:val="none" w:sz="0" w:space="0" w:color="auto"/>
        <w:bottom w:val="none" w:sz="0" w:space="0" w:color="auto"/>
        <w:right w:val="none" w:sz="0" w:space="0" w:color="auto"/>
      </w:divBdr>
    </w:div>
    <w:div w:id="1643657121">
      <w:bodyDiv w:val="1"/>
      <w:marLeft w:val="0"/>
      <w:marRight w:val="0"/>
      <w:marTop w:val="0"/>
      <w:marBottom w:val="0"/>
      <w:divBdr>
        <w:top w:val="none" w:sz="0" w:space="0" w:color="auto"/>
        <w:left w:val="none" w:sz="0" w:space="0" w:color="auto"/>
        <w:bottom w:val="none" w:sz="0" w:space="0" w:color="auto"/>
        <w:right w:val="none" w:sz="0" w:space="0" w:color="auto"/>
      </w:divBdr>
    </w:div>
    <w:div w:id="1658075740">
      <w:bodyDiv w:val="1"/>
      <w:marLeft w:val="0"/>
      <w:marRight w:val="0"/>
      <w:marTop w:val="0"/>
      <w:marBottom w:val="0"/>
      <w:divBdr>
        <w:top w:val="none" w:sz="0" w:space="0" w:color="auto"/>
        <w:left w:val="none" w:sz="0" w:space="0" w:color="auto"/>
        <w:bottom w:val="none" w:sz="0" w:space="0" w:color="auto"/>
        <w:right w:val="none" w:sz="0" w:space="0" w:color="auto"/>
      </w:divBdr>
    </w:div>
    <w:div w:id="1674454265">
      <w:bodyDiv w:val="1"/>
      <w:marLeft w:val="0"/>
      <w:marRight w:val="0"/>
      <w:marTop w:val="0"/>
      <w:marBottom w:val="0"/>
      <w:divBdr>
        <w:top w:val="none" w:sz="0" w:space="0" w:color="auto"/>
        <w:left w:val="none" w:sz="0" w:space="0" w:color="auto"/>
        <w:bottom w:val="none" w:sz="0" w:space="0" w:color="auto"/>
        <w:right w:val="none" w:sz="0" w:space="0" w:color="auto"/>
      </w:divBdr>
    </w:div>
    <w:div w:id="1729496513">
      <w:bodyDiv w:val="1"/>
      <w:marLeft w:val="0"/>
      <w:marRight w:val="0"/>
      <w:marTop w:val="0"/>
      <w:marBottom w:val="0"/>
      <w:divBdr>
        <w:top w:val="none" w:sz="0" w:space="0" w:color="auto"/>
        <w:left w:val="none" w:sz="0" w:space="0" w:color="auto"/>
        <w:bottom w:val="none" w:sz="0" w:space="0" w:color="auto"/>
        <w:right w:val="none" w:sz="0" w:space="0" w:color="auto"/>
      </w:divBdr>
    </w:div>
    <w:div w:id="1794901703">
      <w:bodyDiv w:val="1"/>
      <w:marLeft w:val="0"/>
      <w:marRight w:val="0"/>
      <w:marTop w:val="0"/>
      <w:marBottom w:val="0"/>
      <w:divBdr>
        <w:top w:val="none" w:sz="0" w:space="0" w:color="auto"/>
        <w:left w:val="none" w:sz="0" w:space="0" w:color="auto"/>
        <w:bottom w:val="none" w:sz="0" w:space="0" w:color="auto"/>
        <w:right w:val="none" w:sz="0" w:space="0" w:color="auto"/>
      </w:divBdr>
    </w:div>
    <w:div w:id="1930849620">
      <w:bodyDiv w:val="1"/>
      <w:marLeft w:val="0"/>
      <w:marRight w:val="0"/>
      <w:marTop w:val="0"/>
      <w:marBottom w:val="0"/>
      <w:divBdr>
        <w:top w:val="none" w:sz="0" w:space="0" w:color="auto"/>
        <w:left w:val="none" w:sz="0" w:space="0" w:color="auto"/>
        <w:bottom w:val="none" w:sz="0" w:space="0" w:color="auto"/>
        <w:right w:val="none" w:sz="0" w:space="0" w:color="auto"/>
      </w:divBdr>
    </w:div>
    <w:div w:id="1980525835">
      <w:bodyDiv w:val="1"/>
      <w:marLeft w:val="0"/>
      <w:marRight w:val="0"/>
      <w:marTop w:val="0"/>
      <w:marBottom w:val="0"/>
      <w:divBdr>
        <w:top w:val="none" w:sz="0" w:space="0" w:color="auto"/>
        <w:left w:val="none" w:sz="0" w:space="0" w:color="auto"/>
        <w:bottom w:val="none" w:sz="0" w:space="0" w:color="auto"/>
        <w:right w:val="none" w:sz="0" w:space="0" w:color="auto"/>
      </w:divBdr>
    </w:div>
    <w:div w:id="2023432650">
      <w:bodyDiv w:val="1"/>
      <w:marLeft w:val="0"/>
      <w:marRight w:val="0"/>
      <w:marTop w:val="0"/>
      <w:marBottom w:val="0"/>
      <w:divBdr>
        <w:top w:val="none" w:sz="0" w:space="0" w:color="auto"/>
        <w:left w:val="none" w:sz="0" w:space="0" w:color="auto"/>
        <w:bottom w:val="none" w:sz="0" w:space="0" w:color="auto"/>
        <w:right w:val="none" w:sz="0" w:space="0" w:color="auto"/>
      </w:divBdr>
    </w:div>
    <w:div w:id="210353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yperlink" Target="http://www.afip.gob.ar/institucional/Documentos/PlanGestionAFIP2017.pdf" TargetMode="External"/><Relationship Id="rId4" Type="http://schemas.openxmlformats.org/officeDocument/2006/relationships/settings" Target="settings.xml"/><Relationship Id="rId9" Type="http://schemas.openxmlformats.org/officeDocument/2006/relationships/hyperlink" Target="http://www.dian.gov.co/descargas/servicios/OEEDocumentos/Estudios/Tributacionycompetitividad.pd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A2A717B9A16FA4EA4772A231C19F95E" ma:contentTypeVersion="31" ma:contentTypeDescription="A content type to manage public (operations) IDB documents" ma:contentTypeScope="" ma:versionID="0a4d4bf0bc638ca9cc26f83f83ad4dae">
  <xsd:schema xmlns:xsd="http://www.w3.org/2001/XMLSchema" xmlns:xs="http://www.w3.org/2001/XMLSchema" xmlns:p="http://schemas.microsoft.com/office/2006/metadata/properties" xmlns:ns2="cdc7663a-08f0-4737-9e8c-148ce897a09c" targetNamespace="http://schemas.microsoft.com/office/2006/metadata/properties" ma:root="true" ma:fieldsID="faa64673523dd73fea515b2aea494cb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28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R0001968746</Record_x0020_Number>
    <Key_x0020_Document xmlns="cdc7663a-08f0-4737-9e8c-148ce897a09c">false</Key_x0020_Document>
    <Division_x0020_or_x0020_Unit xmlns="cdc7663a-08f0-4737-9e8c-148ce897a09c">IFD/FMM</Division_x0020_or_x0020_Unit>
    <IDBDocs_x0020_Number xmlns="cdc7663a-08f0-4737-9e8c-148ce897a09c">40649007</IDBDocs_x0020_Number>
    <Document_x0020_Author xmlns="cdc7663a-08f0-4737-9e8c-148ce897a09c">Canillas Gomez, Mariana Belen</Document_x0020_Author>
    <_dlc_DocId xmlns="cdc7663a-08f0-4737-9e8c-148ce897a09c">EZSHARE-352664517-33</_dlc_DocId>
    <Operation_x0020_Type xmlns="cdc7663a-08f0-4737-9e8c-148ce897a09c">Loan Operation</Operation_x0020_Type>
    <TaxCatchAll xmlns="cdc7663a-08f0-4737-9e8c-148ce897a09c">
      <Value>228</Value>
      <Value>4</Value>
      <Value>36</Value>
      <Value>8</Value>
      <Value>5</Value>
    </TaxCatchAll>
    <Fiscal_x0020_Year_x0020_IDB xmlns="cdc7663a-08f0-4737-9e8c-148ce897a09c">2018</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AR-L1282</Project_x0020_Number>
    <Package_x0020_Code xmlns="cdc7663a-08f0-4737-9e8c-148ce897a09c" xsi:nil="true"/>
    <Migration_x0020_Info xmlns="cdc7663a-08f0-4737-9e8c-148ce897a09c">MS WORDLoan Proposal0NPO-ES-L1131-Anl</Migration_x0020_Info>
    <Related_x0020_SisCor_x0020_Number xmlns="cdc7663a-08f0-4737-9e8c-148ce897a09c" xsi:nil="true"/>
    <Approval_x0020_Number xmlns="cdc7663a-08f0-4737-9e8c-148ce897a09c" xsi:nil="true"/>
    <Business_x0020_Area xmlns="cdc7663a-08f0-4737-9e8c-148ce897a09c">Life Cycle</Business_x0020_Area>
    <SISCOR_x0020_Number xmlns="cdc7663a-08f0-4737-9e8c-148ce897a09c" xsi:nil="true"/>
    <Access_x0020_to_x0020_Information_x00a0_Policy xmlns="cdc7663a-08f0-4737-9e8c-148ce897a09c">Public - Simultaneous Disclosure</Access_x0020_to_x0020_Information_x00a0_Policy>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Identifier xmlns="cdc7663a-08f0-4737-9e8c-148ce897a09c"> TECFILE</Identifier>
    <Document_x0020_Language_x0020_IDB xmlns="cdc7663a-08f0-4737-9e8c-148ce897a09c">Spanish</Document_x0020_Language_x0020_IDB>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2a848641-6d37-4d5e-b2b0-f391eeec3133</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_dlc_DocIdUrl xmlns="cdc7663a-08f0-4737-9e8c-148ce897a09c">
      <Url>https://idbg.sharepoint.com/teams/EZ-AR-LON/AR-L1282/_layouts/15/DocIdRedir.aspx?ID=EZSHARE-352664517-33</Url>
      <Description>EZSHARE-352664517-33</Description>
    </_dlc_DocIdUrl>
    <Phase xmlns="cdc7663a-08f0-4737-9e8c-148ce897a09c">ACTIVE</Phase>
    <Other_x0020_Author xmlns="cdc7663a-08f0-4737-9e8c-148ce897a09c">Emilio Pineda</Other_x0020_Author>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DCA139CA-3282-4B44-A67F-5AB0FB67B566}">
  <ds:schemaRefs>
    <ds:schemaRef ds:uri="http://schemas.openxmlformats.org/officeDocument/2006/bibliography"/>
  </ds:schemaRefs>
</ds:datastoreItem>
</file>

<file path=customXml/itemProps2.xml><?xml version="1.0" encoding="utf-8"?>
<ds:datastoreItem xmlns:ds="http://schemas.openxmlformats.org/officeDocument/2006/customXml" ds:itemID="{C8833D39-5161-4475-8614-3285430E1CD1}"/>
</file>

<file path=customXml/itemProps3.xml><?xml version="1.0" encoding="utf-8"?>
<ds:datastoreItem xmlns:ds="http://schemas.openxmlformats.org/officeDocument/2006/customXml" ds:itemID="{C29A1E95-5D1E-45EB-92C9-9E681235CCA2}"/>
</file>

<file path=customXml/itemProps4.xml><?xml version="1.0" encoding="utf-8"?>
<ds:datastoreItem xmlns:ds="http://schemas.openxmlformats.org/officeDocument/2006/customXml" ds:itemID="{470A4C9E-DB63-4F32-89BF-F2270E7E32E3}"/>
</file>

<file path=customXml/itemProps5.xml><?xml version="1.0" encoding="utf-8"?>
<ds:datastoreItem xmlns:ds="http://schemas.openxmlformats.org/officeDocument/2006/customXml" ds:itemID="{F1FD6B8E-8AC9-42C7-AE79-0FE730125937}"/>
</file>

<file path=customXml/itemProps6.xml><?xml version="1.0" encoding="utf-8"?>
<ds:datastoreItem xmlns:ds="http://schemas.openxmlformats.org/officeDocument/2006/customXml" ds:itemID="{5BBCD93E-1286-4629-9EE5-7924581D8DA4}"/>
</file>

<file path=customXml/itemProps7.xml><?xml version="1.0" encoding="utf-8"?>
<ds:datastoreItem xmlns:ds="http://schemas.openxmlformats.org/officeDocument/2006/customXml" ds:itemID="{3E60D126-F860-4E6C-801E-BEDDBD9CEB90}"/>
</file>

<file path=docProps/app.xml><?xml version="1.0" encoding="utf-8"?>
<Properties xmlns="http://schemas.openxmlformats.org/officeDocument/2006/extended-properties" xmlns:vt="http://schemas.openxmlformats.org/officeDocument/2006/docPropsVTypes">
  <Template>Normal.dotm</Template>
  <TotalTime>0</TotalTime>
  <Pages>17</Pages>
  <Words>4694</Words>
  <Characters>25823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2018-02-28T18:39:00Z</dcterms:created>
  <dcterms:modified xsi:type="dcterms:W3CDTF">2018-02-28T18:40:00Z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RecordStorageActiveId">
    <vt:lpwstr>b37f1046-cba7-44e5-a3da-7abb2acc5334</vt:lpwstr>
  </property>
  <property fmtid="{D5CDD505-2E9C-101B-9397-08002B2CF9AE}" pid="6" name="Sub-Sector">
    <vt:lpwstr>228;#REFORM / MODERNIZATION OF THE STATE|2a848641-6d37-4d5e-b2b0-f391eeec3133</vt:lpwstr>
  </property>
  <property fmtid="{D5CDD505-2E9C-101B-9397-08002B2CF9AE}" pid="7" name="Series Operations IDB">
    <vt:lpwstr/>
  </property>
  <property fmtid="{D5CDD505-2E9C-101B-9397-08002B2CF9AE}" pid="8" name="Country">
    <vt:lpwstr>5;#Argentina|eb1b705c-195f-4c3b-9661-b201f2fee3c5</vt:lpwstr>
  </property>
  <property fmtid="{D5CDD505-2E9C-101B-9397-08002B2CF9AE}" pid="9" name="Fund IDB">
    <vt:lpwstr>4;#ORC|c028a4b2-ad8b-4cf4-9cac-a2ae6a778e23</vt:lpwstr>
  </property>
  <property fmtid="{D5CDD505-2E9C-101B-9397-08002B2CF9AE}" pid="10" name="_dlc_DocIdItemGuid">
    <vt:lpwstr>0fb19881-a31d-46bd-8b7a-ede3545d2742</vt:lpwstr>
  </property>
  <property fmtid="{D5CDD505-2E9C-101B-9397-08002B2CF9AE}" pid="11" name="Sector IDB">
    <vt:lpwstr>36;#REFORM / MODERNIZATION OF THE STATE|c8fda4a7-691a-4c65-b227-9825197b5cd2</vt:lpwstr>
  </property>
  <property fmtid="{D5CDD505-2E9C-101B-9397-08002B2CF9AE}" pid="12" name="RecordPoint_ActiveItemMoved">
    <vt:lpwstr>/teams/EZ-AR-LON/AR-L1282/15 LifeCycle Milestones/Draft Area/LP-AR-L1282 - EEO1 - Analisis Económico.docx</vt:lpwstr>
  </property>
  <property fmtid="{D5CDD505-2E9C-101B-9397-08002B2CF9AE}" pid="13" name="Disclosed">
    <vt:bool>false</vt:bool>
  </property>
  <property fmtid="{D5CDD505-2E9C-101B-9397-08002B2CF9AE}" pid="14" name="Function Operations IDB">
    <vt:lpwstr>8;#Monitoring and Reporting|df3c2aa1-d63e-41aa-b1f5-bb15dee691ca</vt:lpwstr>
  </property>
  <property fmtid="{D5CDD505-2E9C-101B-9397-08002B2CF9AE}" pid="15" name="Disclosure Activity">
    <vt:lpwstr>Loan Proposal</vt:lpwstr>
  </property>
  <property fmtid="{D5CDD505-2E9C-101B-9397-08002B2CF9AE}" pid="16" name="ContentTypeId">
    <vt:lpwstr>0x0101001A458A224826124E8B45B1D613300CFC006A2A717B9A16FA4EA4772A231C19F95E</vt:lpwstr>
  </property>
</Properties>
</file>