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diagrams/layout1.xml" ContentType="application/vnd.openxmlformats-officedocument.drawingml.diagramLayout+xml"/>
  <Override PartName="/word/theme/theme1.xml" ContentType="application/vnd.openxmlformats-officedocument.theme+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ListParagraph"/>
        <w:pBdr>
          <w:bottom w:val="single" w:sz="4" w:space="1" w:color="365F91" w:themeColor="accent1" w:themeShade="BF"/>
        </w:pBdr>
        <w:spacing w:after="120"/>
        <w:ind w:left="0"/>
        <w:contextualSpacing w:val="0"/>
        <w:jc w:val="center"/>
        <w:rPr>
          <w:rFonts w:ascii="Arial" w:hAnsi="Arial" w:cs="Arial"/>
          <w:b/>
          <w:color w:val="365F91" w:themeColor="accent1" w:themeShade="BF"/>
          <w:sz w:val="28"/>
          <w:szCs w:val="28"/>
          <w:lang w:val="es-AR"/>
        </w:rPr>
      </w:pPr>
      <w:bookmarkStart w:id="0" w:name="_GoBack"/>
      <w:bookmarkEnd w:id="0"/>
      <w:r>
        <w:rPr>
          <w:rFonts w:ascii="Arial" w:hAnsi="Arial" w:cs="Arial"/>
          <w:b/>
          <w:color w:val="365F91" w:themeColor="accent1" w:themeShade="BF"/>
          <w:sz w:val="28"/>
          <w:szCs w:val="28"/>
          <w:lang w:val="es-AR"/>
        </w:rPr>
        <w:t>REGLAMENTO OPERATIVO DEL PROGRAMA</w:t>
      </w:r>
    </w:p>
    <w:p>
      <w:pPr>
        <w:tabs>
          <w:tab w:val="left" w:pos="2694"/>
        </w:tabs>
        <w:spacing w:after="120" w:line="240" w:lineRule="auto"/>
        <w:jc w:val="both"/>
        <w:rPr>
          <w:rFonts w:ascii="Arial" w:hAnsi="Arial" w:cs="Arial"/>
          <w:b/>
          <w:sz w:val="28"/>
          <w:szCs w:val="28"/>
          <w:lang w:val="es-AR"/>
        </w:rPr>
      </w:pPr>
    </w:p>
    <w:p>
      <w:pPr>
        <w:tabs>
          <w:tab w:val="left" w:pos="2694"/>
        </w:tabs>
        <w:spacing w:after="120" w:line="240" w:lineRule="auto"/>
        <w:jc w:val="center"/>
        <w:rPr>
          <w:rFonts w:ascii="Arial" w:hAnsi="Arial" w:cs="Arial"/>
          <w:sz w:val="28"/>
          <w:szCs w:val="28"/>
          <w:lang w:val="es-AR"/>
        </w:rPr>
      </w:pPr>
    </w:p>
    <w:p>
      <w:pPr>
        <w:tabs>
          <w:tab w:val="left" w:pos="4253"/>
          <w:tab w:val="left" w:pos="4536"/>
        </w:tabs>
        <w:spacing w:after="120" w:line="240" w:lineRule="auto"/>
        <w:ind w:left="4395" w:hanging="3402"/>
        <w:jc w:val="both"/>
        <w:rPr>
          <w:rFonts w:ascii="Arial" w:hAnsi="Arial" w:cs="Arial"/>
          <w:sz w:val="28"/>
          <w:szCs w:val="28"/>
          <w:lang w:val="es-AR"/>
        </w:rPr>
      </w:pPr>
      <w:r>
        <w:rPr>
          <w:rFonts w:ascii="Arial" w:hAnsi="Arial" w:cs="Arial"/>
          <w:sz w:val="28"/>
          <w:szCs w:val="28"/>
          <w:lang w:val="es-AR"/>
        </w:rPr>
        <w:t>Programa</w:t>
      </w:r>
      <w:r>
        <w:rPr>
          <w:rFonts w:ascii="Arial" w:hAnsi="Arial" w:cs="Arial"/>
          <w:sz w:val="28"/>
          <w:szCs w:val="28"/>
          <w:lang w:val="es-AR"/>
        </w:rPr>
        <w:tab/>
      </w:r>
      <w:r>
        <w:rPr>
          <w:rFonts w:ascii="Arial" w:hAnsi="Arial" w:cs="Arial"/>
          <w:sz w:val="28"/>
          <w:szCs w:val="28"/>
          <w:lang w:val="es-AR"/>
        </w:rPr>
        <w:tab/>
        <w:t>Programa de Mejora de la Capacidad de Gestión de AFIP</w:t>
      </w:r>
    </w:p>
    <w:p>
      <w:pPr>
        <w:tabs>
          <w:tab w:val="left" w:pos="4253"/>
          <w:tab w:val="left" w:pos="4536"/>
        </w:tabs>
        <w:spacing w:after="120" w:line="240" w:lineRule="auto"/>
        <w:ind w:left="4395" w:hanging="3402"/>
        <w:jc w:val="both"/>
        <w:rPr>
          <w:rFonts w:ascii="Arial" w:hAnsi="Arial" w:cs="Arial"/>
          <w:sz w:val="28"/>
          <w:szCs w:val="28"/>
          <w:lang w:val="es-AR"/>
        </w:rPr>
      </w:pPr>
    </w:p>
    <w:p>
      <w:pPr>
        <w:tabs>
          <w:tab w:val="left" w:pos="2127"/>
          <w:tab w:val="left" w:pos="4395"/>
        </w:tabs>
        <w:spacing w:after="120" w:line="240" w:lineRule="auto"/>
        <w:ind w:left="993"/>
        <w:jc w:val="both"/>
        <w:rPr>
          <w:rFonts w:ascii="Arial" w:hAnsi="Arial" w:cs="Arial"/>
          <w:sz w:val="28"/>
          <w:szCs w:val="28"/>
          <w:lang w:val="es-AR"/>
        </w:rPr>
      </w:pPr>
      <w:r>
        <w:rPr>
          <w:rFonts w:ascii="Arial" w:hAnsi="Arial" w:cs="Arial"/>
          <w:sz w:val="28"/>
          <w:szCs w:val="28"/>
          <w:lang w:val="es-AR"/>
        </w:rPr>
        <w:t>Prestatario</w:t>
      </w:r>
      <w:r>
        <w:rPr>
          <w:rFonts w:ascii="Arial" w:hAnsi="Arial" w:cs="Arial"/>
          <w:sz w:val="28"/>
          <w:szCs w:val="28"/>
          <w:lang w:val="es-AR"/>
        </w:rPr>
        <w:tab/>
        <w:t>República Argentina</w:t>
      </w:r>
    </w:p>
    <w:p>
      <w:pPr>
        <w:tabs>
          <w:tab w:val="left" w:pos="2127"/>
          <w:tab w:val="left" w:pos="4395"/>
        </w:tabs>
        <w:spacing w:after="120" w:line="240" w:lineRule="auto"/>
        <w:ind w:left="4395" w:hanging="3402"/>
        <w:jc w:val="both"/>
        <w:rPr>
          <w:rFonts w:ascii="Arial" w:hAnsi="Arial" w:cs="Arial"/>
          <w:sz w:val="28"/>
          <w:szCs w:val="28"/>
          <w:lang w:val="es-AR"/>
        </w:rPr>
      </w:pPr>
      <w:r>
        <w:rPr>
          <w:rFonts w:ascii="Arial" w:hAnsi="Arial" w:cs="Arial"/>
          <w:sz w:val="28"/>
          <w:szCs w:val="28"/>
          <w:lang w:val="es-AR"/>
        </w:rPr>
        <w:t>Organismo Ejecutor</w:t>
      </w:r>
      <w:r>
        <w:rPr>
          <w:rFonts w:ascii="Arial" w:hAnsi="Arial" w:cs="Arial"/>
          <w:sz w:val="28"/>
          <w:szCs w:val="28"/>
          <w:lang w:val="es-AR"/>
        </w:rPr>
        <w:tab/>
        <w:t>AFIP.</w:t>
      </w:r>
    </w:p>
    <w:p>
      <w:pPr>
        <w:tabs>
          <w:tab w:val="left" w:pos="2127"/>
          <w:tab w:val="left" w:pos="4395"/>
        </w:tabs>
        <w:spacing w:after="120" w:line="240" w:lineRule="auto"/>
        <w:ind w:left="993"/>
        <w:jc w:val="both"/>
        <w:rPr>
          <w:rFonts w:ascii="Arial" w:hAnsi="Arial" w:cs="Arial"/>
          <w:sz w:val="28"/>
          <w:szCs w:val="28"/>
          <w:lang w:val="es-AR"/>
        </w:rPr>
      </w:pPr>
      <w:r>
        <w:rPr>
          <w:rFonts w:ascii="Arial" w:hAnsi="Arial" w:cs="Arial"/>
          <w:sz w:val="28"/>
          <w:szCs w:val="28"/>
          <w:lang w:val="es-AR"/>
        </w:rPr>
        <w:t>Banco</w:t>
      </w:r>
      <w:r>
        <w:rPr>
          <w:rFonts w:ascii="Arial" w:hAnsi="Arial" w:cs="Arial"/>
          <w:sz w:val="28"/>
          <w:szCs w:val="28"/>
          <w:lang w:val="es-AR"/>
        </w:rPr>
        <w:tab/>
      </w:r>
      <w:r>
        <w:rPr>
          <w:rFonts w:ascii="Arial" w:hAnsi="Arial" w:cs="Arial"/>
          <w:sz w:val="28"/>
          <w:szCs w:val="28"/>
          <w:lang w:val="es-AR"/>
        </w:rPr>
        <w:tab/>
        <w:t>Banco Interamericano de Desarrollo</w:t>
      </w:r>
    </w:p>
    <w:p>
      <w:pPr>
        <w:tabs>
          <w:tab w:val="left" w:pos="2127"/>
          <w:tab w:val="left" w:pos="4395"/>
        </w:tabs>
        <w:spacing w:after="120" w:line="240" w:lineRule="auto"/>
        <w:ind w:left="993"/>
        <w:jc w:val="both"/>
        <w:rPr>
          <w:rFonts w:ascii="Arial" w:hAnsi="Arial" w:cs="Arial"/>
          <w:sz w:val="28"/>
          <w:szCs w:val="28"/>
          <w:lang w:val="es-AR"/>
        </w:rPr>
      </w:pPr>
    </w:p>
    <w:p>
      <w:pPr>
        <w:tabs>
          <w:tab w:val="left" w:pos="2127"/>
          <w:tab w:val="left" w:pos="4395"/>
        </w:tabs>
        <w:spacing w:after="120" w:line="240" w:lineRule="auto"/>
        <w:ind w:left="993"/>
        <w:jc w:val="both"/>
        <w:rPr>
          <w:rFonts w:ascii="Arial" w:hAnsi="Arial" w:cs="Arial"/>
          <w:sz w:val="28"/>
          <w:szCs w:val="28"/>
          <w:lang w:val="pt-BR"/>
        </w:rPr>
      </w:pPr>
      <w:r>
        <w:rPr>
          <w:rFonts w:ascii="Arial" w:hAnsi="Arial" w:cs="Arial"/>
          <w:sz w:val="28"/>
          <w:szCs w:val="28"/>
          <w:lang w:val="es-AR"/>
        </w:rPr>
        <w:t>Operación No.</w:t>
      </w:r>
      <w:r>
        <w:rPr>
          <w:rFonts w:ascii="Arial" w:hAnsi="Arial" w:cs="Arial"/>
          <w:sz w:val="28"/>
          <w:szCs w:val="28"/>
          <w:lang w:val="es-AR"/>
        </w:rPr>
        <w:tab/>
      </w:r>
      <w:r>
        <w:rPr>
          <w:rFonts w:ascii="Arial" w:hAnsi="Arial" w:cs="Arial"/>
          <w:sz w:val="28"/>
          <w:szCs w:val="28"/>
          <w:lang w:val="pt-BR"/>
        </w:rPr>
        <w:t>AR-L1282</w:t>
      </w:r>
    </w:p>
    <w:p>
      <w:pPr>
        <w:tabs>
          <w:tab w:val="left" w:pos="2127"/>
          <w:tab w:val="left" w:pos="4395"/>
        </w:tabs>
        <w:spacing w:after="120" w:line="240" w:lineRule="auto"/>
        <w:ind w:left="993"/>
        <w:jc w:val="both"/>
        <w:rPr>
          <w:rFonts w:ascii="Arial" w:hAnsi="Arial" w:cs="Arial"/>
          <w:sz w:val="28"/>
          <w:szCs w:val="28"/>
          <w:lang w:val="pt-BR"/>
        </w:rPr>
      </w:pPr>
      <w:r>
        <w:rPr>
          <w:rFonts w:ascii="Arial" w:hAnsi="Arial" w:cs="Arial"/>
          <w:sz w:val="28"/>
          <w:szCs w:val="28"/>
          <w:lang w:val="pt-BR"/>
        </w:rPr>
        <w:t>Préstamo BID No.</w:t>
      </w:r>
      <w:r>
        <w:rPr>
          <w:rFonts w:ascii="Arial" w:hAnsi="Arial" w:cs="Arial"/>
          <w:sz w:val="28"/>
          <w:szCs w:val="28"/>
          <w:lang w:val="pt-BR"/>
        </w:rPr>
        <w:tab/>
        <w:t>[___]/OC-AR</w:t>
      </w:r>
    </w:p>
    <w:p>
      <w:pPr>
        <w:tabs>
          <w:tab w:val="left" w:pos="2127"/>
          <w:tab w:val="left" w:pos="4395"/>
          <w:tab w:val="left" w:pos="4536"/>
        </w:tabs>
        <w:spacing w:after="120" w:line="240" w:lineRule="auto"/>
        <w:ind w:left="993"/>
        <w:jc w:val="both"/>
        <w:rPr>
          <w:rFonts w:ascii="Arial" w:hAnsi="Arial" w:cs="Arial"/>
          <w:sz w:val="28"/>
          <w:szCs w:val="28"/>
          <w:lang w:val="es-AR"/>
        </w:rPr>
      </w:pPr>
      <w:r>
        <w:rPr>
          <w:rFonts w:ascii="Arial" w:hAnsi="Arial" w:cs="Arial"/>
          <w:sz w:val="28"/>
          <w:szCs w:val="28"/>
          <w:lang w:val="es-AR"/>
        </w:rPr>
        <w:t>Período de Ejecución</w:t>
      </w:r>
      <w:r>
        <w:rPr>
          <w:rFonts w:ascii="Arial" w:hAnsi="Arial" w:cs="Arial"/>
          <w:sz w:val="28"/>
          <w:szCs w:val="28"/>
          <w:lang w:val="es-AR"/>
        </w:rPr>
        <w:tab/>
        <w:t>5 años.</w:t>
      </w:r>
    </w:p>
    <w:p>
      <w:pPr>
        <w:tabs>
          <w:tab w:val="left" w:pos="2127"/>
          <w:tab w:val="left" w:pos="4253"/>
          <w:tab w:val="left" w:pos="4395"/>
        </w:tabs>
        <w:spacing w:after="120" w:line="240" w:lineRule="auto"/>
        <w:ind w:left="993"/>
        <w:jc w:val="both"/>
        <w:rPr>
          <w:rFonts w:ascii="Arial" w:hAnsi="Arial" w:cs="Arial"/>
          <w:sz w:val="28"/>
          <w:szCs w:val="28"/>
          <w:lang w:val="es-AR"/>
        </w:rPr>
      </w:pPr>
    </w:p>
    <w:p>
      <w:pPr>
        <w:tabs>
          <w:tab w:val="left" w:pos="2127"/>
          <w:tab w:val="left" w:pos="4395"/>
        </w:tabs>
        <w:spacing w:after="120" w:line="240" w:lineRule="auto"/>
        <w:ind w:left="993"/>
        <w:jc w:val="both"/>
        <w:rPr>
          <w:rFonts w:ascii="Arial" w:hAnsi="Arial" w:cs="Arial"/>
          <w:sz w:val="28"/>
          <w:szCs w:val="28"/>
          <w:lang w:val="es-AR"/>
        </w:rPr>
      </w:pPr>
      <w:r>
        <w:rPr>
          <w:rFonts w:ascii="Arial" w:hAnsi="Arial" w:cs="Arial"/>
          <w:sz w:val="28"/>
          <w:szCs w:val="28"/>
          <w:lang w:val="es-AR"/>
        </w:rPr>
        <w:t>Financiamiento BID</w:t>
      </w:r>
      <w:r>
        <w:rPr>
          <w:rFonts w:ascii="Arial" w:hAnsi="Arial" w:cs="Arial"/>
          <w:sz w:val="28"/>
          <w:szCs w:val="28"/>
          <w:lang w:val="es-AR"/>
        </w:rPr>
        <w:tab/>
        <w:t xml:space="preserve">US$ </w:t>
      </w:r>
      <w:r>
        <w:rPr>
          <w:rFonts w:ascii="Arial" w:hAnsi="Arial" w:cs="Arial"/>
          <w:sz w:val="28"/>
          <w:szCs w:val="28"/>
          <w:lang w:val="es-ES_tradnl"/>
        </w:rPr>
        <w:t>100 millones.</w:t>
      </w:r>
    </w:p>
    <w:p>
      <w:pPr>
        <w:tabs>
          <w:tab w:val="left" w:pos="2127"/>
          <w:tab w:val="left" w:pos="4395"/>
        </w:tabs>
        <w:spacing w:after="120" w:line="240" w:lineRule="auto"/>
        <w:ind w:left="993"/>
        <w:jc w:val="both"/>
        <w:rPr>
          <w:rFonts w:ascii="Arial" w:hAnsi="Arial" w:cs="Arial"/>
          <w:sz w:val="28"/>
          <w:szCs w:val="28"/>
          <w:lang w:val="es-AR"/>
        </w:rPr>
      </w:pPr>
      <w:r>
        <w:rPr>
          <w:rFonts w:ascii="Arial" w:hAnsi="Arial" w:cs="Arial"/>
          <w:sz w:val="28"/>
          <w:szCs w:val="28"/>
          <w:lang w:val="es-AR"/>
        </w:rPr>
        <w:t>Contrapartida Local</w:t>
      </w:r>
      <w:r>
        <w:rPr>
          <w:rFonts w:ascii="Arial" w:hAnsi="Arial" w:cs="Arial"/>
          <w:sz w:val="28"/>
          <w:szCs w:val="28"/>
          <w:lang w:val="es-AR"/>
        </w:rPr>
        <w:tab/>
        <w:t>US$ 10</w:t>
      </w:r>
      <w:r>
        <w:rPr>
          <w:rFonts w:ascii="Arial" w:hAnsi="Arial" w:cs="Arial"/>
          <w:sz w:val="28"/>
          <w:szCs w:val="28"/>
          <w:lang w:val="es-ES_tradnl"/>
        </w:rPr>
        <w:t>,5 millones.</w:t>
      </w:r>
    </w:p>
    <w:p>
      <w:pPr>
        <w:tabs>
          <w:tab w:val="left" w:pos="2127"/>
          <w:tab w:val="left" w:pos="4395"/>
        </w:tabs>
        <w:spacing w:after="120" w:line="240" w:lineRule="auto"/>
        <w:ind w:left="993"/>
        <w:jc w:val="both"/>
        <w:rPr>
          <w:rFonts w:ascii="Arial" w:hAnsi="Arial" w:cs="Arial"/>
          <w:sz w:val="28"/>
          <w:szCs w:val="28"/>
          <w:lang w:val="es-AR"/>
        </w:rPr>
      </w:pPr>
      <w:r>
        <w:rPr>
          <w:rFonts w:ascii="Arial" w:hAnsi="Arial" w:cs="Arial"/>
          <w:sz w:val="28"/>
          <w:szCs w:val="28"/>
          <w:lang w:val="es-AR"/>
        </w:rPr>
        <w:t>Total</w:t>
      </w:r>
      <w:r>
        <w:rPr>
          <w:rFonts w:ascii="Arial" w:hAnsi="Arial" w:cs="Arial"/>
          <w:sz w:val="28"/>
          <w:szCs w:val="28"/>
          <w:lang w:val="es-AR"/>
        </w:rPr>
        <w:tab/>
      </w:r>
      <w:r>
        <w:rPr>
          <w:rFonts w:ascii="Arial" w:hAnsi="Arial" w:cs="Arial"/>
          <w:sz w:val="28"/>
          <w:szCs w:val="28"/>
          <w:lang w:val="es-AR"/>
        </w:rPr>
        <w:tab/>
        <w:t xml:space="preserve">US$ </w:t>
      </w:r>
      <w:r>
        <w:rPr>
          <w:rFonts w:ascii="Arial" w:hAnsi="Arial" w:cs="Arial"/>
          <w:sz w:val="28"/>
          <w:szCs w:val="28"/>
          <w:lang w:val="es-ES_tradnl"/>
        </w:rPr>
        <w:t>110,5 millones.</w:t>
      </w:r>
    </w:p>
    <w:p>
      <w:pPr>
        <w:pStyle w:val="ListParagraph"/>
        <w:spacing w:after="120"/>
        <w:ind w:left="0"/>
        <w:contextualSpacing w:val="0"/>
        <w:jc w:val="center"/>
        <w:rPr>
          <w:rFonts w:ascii="Arial" w:hAnsi="Arial" w:cs="Arial"/>
          <w:b/>
          <w:color w:val="365F91" w:themeColor="accent1" w:themeShade="BF"/>
          <w:sz w:val="28"/>
          <w:szCs w:val="28"/>
          <w:lang w:val="es-AR"/>
        </w:rPr>
      </w:pPr>
    </w:p>
    <w:p>
      <w:pPr>
        <w:spacing w:after="0" w:line="240" w:lineRule="auto"/>
        <w:rPr>
          <w:rFonts w:ascii="Arial" w:hAnsi="Arial" w:cs="Arial"/>
          <w:b/>
          <w:color w:val="365F91" w:themeColor="accent1" w:themeShade="BF"/>
          <w:sz w:val="28"/>
          <w:szCs w:val="28"/>
          <w:lang w:val="es-AR"/>
        </w:rPr>
      </w:pPr>
      <w:r>
        <w:rPr>
          <w:rFonts w:ascii="Arial" w:hAnsi="Arial" w:cs="Arial"/>
          <w:b/>
          <w:color w:val="365F91" w:themeColor="accent1" w:themeShade="BF"/>
          <w:sz w:val="28"/>
          <w:szCs w:val="28"/>
          <w:lang w:val="es-AR"/>
        </w:rPr>
        <w:br w:type="page"/>
      </w:r>
    </w:p>
    <w:p>
      <w:pPr>
        <w:pStyle w:val="ListParagraph"/>
        <w:pBdr>
          <w:bottom w:val="single" w:sz="4" w:space="1" w:color="365F91" w:themeColor="accent1" w:themeShade="BF"/>
        </w:pBdr>
        <w:spacing w:after="120"/>
        <w:ind w:left="0"/>
        <w:contextualSpacing w:val="0"/>
        <w:jc w:val="both"/>
        <w:rPr>
          <w:rFonts w:ascii="Arial" w:hAnsi="Arial" w:cs="Arial"/>
          <w:b/>
          <w:color w:val="365F91" w:themeColor="accent1" w:themeShade="BF"/>
          <w:sz w:val="24"/>
          <w:szCs w:val="24"/>
          <w:lang w:val="es-AR"/>
        </w:rPr>
      </w:pPr>
      <w:r>
        <w:rPr>
          <w:rFonts w:ascii="Arial" w:hAnsi="Arial" w:cs="Arial"/>
          <w:b/>
          <w:color w:val="365F91" w:themeColor="accent1" w:themeShade="BF"/>
          <w:sz w:val="24"/>
          <w:szCs w:val="24"/>
          <w:lang w:val="es-AR"/>
        </w:rPr>
        <w:lastRenderedPageBreak/>
        <w:t>INDICE</w:t>
      </w:r>
    </w:p>
    <w:sdt>
      <w:sdtPr>
        <w:rPr>
          <w:rFonts w:ascii="Arial" w:hAnsi="Arial" w:cs="Arial"/>
          <w:b w:val="0"/>
          <w:bCs/>
          <w:noProof w:val="0"/>
          <w:lang w:val="en-US"/>
        </w:rPr>
        <w:id w:val="529842549"/>
        <w:docPartObj>
          <w:docPartGallery w:val="Table of Contents"/>
          <w:docPartUnique/>
        </w:docPartObj>
      </w:sdtPr>
      <w:sdtEndPr>
        <w:rPr>
          <w:bCs w:val="0"/>
        </w:rPr>
      </w:sdtEndPr>
      <w:sdtContent>
        <w:p>
          <w:pPr>
            <w:pStyle w:val="TOC1"/>
            <w:rPr>
              <w:rFonts w:ascii="Arial" w:eastAsiaTheme="minorEastAsia" w:hAnsi="Arial" w:cs="Arial"/>
              <w:color w:val="auto"/>
              <w:lang w:eastAsia="es-AR"/>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463457866" w:history="1">
            <w:r>
              <w:rPr>
                <w:rStyle w:val="Hyperlink"/>
                <w:rFonts w:ascii="Arial" w:hAnsi="Arial" w:cs="Arial"/>
              </w:rPr>
              <w:t>I.</w:t>
            </w:r>
            <w:r>
              <w:rPr>
                <w:rFonts w:ascii="Arial" w:eastAsiaTheme="minorEastAsia" w:hAnsi="Arial" w:cs="Arial"/>
                <w:color w:val="auto"/>
                <w:lang w:eastAsia="es-AR"/>
              </w:rPr>
              <w:tab/>
            </w:r>
            <w:r>
              <w:rPr>
                <w:rStyle w:val="Hyperlink"/>
                <w:rFonts w:ascii="Arial" w:hAnsi="Arial" w:cs="Arial"/>
              </w:rPr>
              <w:t>REGLAMENTO OPERATIVO DEL PROGRAMA</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_Toc463457866 \h </w:instrText>
            </w:r>
            <w:r>
              <w:rPr>
                <w:rFonts w:ascii="Arial" w:hAnsi="Arial" w:cs="Arial"/>
                <w:webHidden/>
              </w:rPr>
            </w:r>
            <w:r>
              <w:rPr>
                <w:rFonts w:ascii="Arial" w:hAnsi="Arial" w:cs="Arial"/>
                <w:webHidden/>
              </w:rPr>
              <w:fldChar w:fldCharType="separate"/>
            </w:r>
            <w:r>
              <w:rPr>
                <w:rFonts w:ascii="Arial" w:hAnsi="Arial" w:cs="Arial"/>
                <w:webHidden/>
              </w:rPr>
              <w:t>3</w:t>
            </w:r>
            <w:r>
              <w:rPr>
                <w:rFonts w:ascii="Arial" w:hAnsi="Arial" w:cs="Arial"/>
                <w:webHidden/>
              </w:rPr>
              <w:fldChar w:fldCharType="end"/>
            </w:r>
          </w:hyperlink>
        </w:p>
        <w:p>
          <w:pPr>
            <w:pStyle w:val="TOC1"/>
            <w:rPr>
              <w:rFonts w:ascii="Arial" w:eastAsiaTheme="minorEastAsia" w:hAnsi="Arial" w:cs="Arial"/>
              <w:color w:val="auto"/>
              <w:lang w:eastAsia="es-AR"/>
            </w:rPr>
          </w:pPr>
          <w:hyperlink w:anchor="_Toc463457867" w:history="1">
            <w:r>
              <w:rPr>
                <w:rStyle w:val="Hyperlink"/>
                <w:rFonts w:ascii="Arial" w:hAnsi="Arial" w:cs="Arial"/>
              </w:rPr>
              <w:t>II.</w:t>
            </w:r>
            <w:r>
              <w:rPr>
                <w:rFonts w:ascii="Arial" w:eastAsiaTheme="minorEastAsia" w:hAnsi="Arial" w:cs="Arial"/>
                <w:color w:val="auto"/>
                <w:lang w:eastAsia="es-AR"/>
              </w:rPr>
              <w:tab/>
            </w:r>
            <w:r>
              <w:rPr>
                <w:rStyle w:val="Hyperlink"/>
                <w:rFonts w:ascii="Arial" w:hAnsi="Arial" w:cs="Arial"/>
              </w:rPr>
              <w:t>PROGRAMA</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_Toc463457867 \h </w:instrText>
            </w:r>
            <w:r>
              <w:rPr>
                <w:rFonts w:ascii="Arial" w:hAnsi="Arial" w:cs="Arial"/>
                <w:webHidden/>
              </w:rPr>
            </w:r>
            <w:r>
              <w:rPr>
                <w:rFonts w:ascii="Arial" w:hAnsi="Arial" w:cs="Arial"/>
                <w:webHidden/>
              </w:rPr>
              <w:fldChar w:fldCharType="separate"/>
            </w:r>
            <w:r>
              <w:rPr>
                <w:rFonts w:ascii="Arial" w:hAnsi="Arial" w:cs="Arial"/>
                <w:webHidden/>
              </w:rPr>
              <w:t>5</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868" w:history="1">
            <w:r>
              <w:rPr>
                <w:rStyle w:val="Hyperlink"/>
                <w:rFonts w:ascii="Arial" w:hAnsi="Arial" w:cs="Arial"/>
              </w:rPr>
              <w:t>A.</w:t>
            </w:r>
            <w:r>
              <w:rPr>
                <w:rFonts w:ascii="Arial" w:eastAsiaTheme="minorEastAsia" w:hAnsi="Arial" w:cs="Arial"/>
                <w:color w:val="auto"/>
                <w:lang w:eastAsia="es-AR"/>
              </w:rPr>
              <w:tab/>
            </w:r>
            <w:r>
              <w:rPr>
                <w:rStyle w:val="Hyperlink"/>
                <w:rFonts w:ascii="Arial" w:hAnsi="Arial" w:cs="Arial"/>
              </w:rPr>
              <w:t>OBJETIVO</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_Toc463457868 \h </w:instrText>
            </w:r>
            <w:r>
              <w:rPr>
                <w:rFonts w:ascii="Arial" w:hAnsi="Arial" w:cs="Arial"/>
                <w:webHidden/>
              </w:rPr>
            </w:r>
            <w:r>
              <w:rPr>
                <w:rFonts w:ascii="Arial" w:hAnsi="Arial" w:cs="Arial"/>
                <w:webHidden/>
              </w:rPr>
              <w:fldChar w:fldCharType="separate"/>
            </w:r>
            <w:r>
              <w:rPr>
                <w:rFonts w:ascii="Arial" w:hAnsi="Arial" w:cs="Arial"/>
                <w:webHidden/>
              </w:rPr>
              <w:t>5</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869" w:history="1">
            <w:r>
              <w:rPr>
                <w:rStyle w:val="Hyperlink"/>
                <w:rFonts w:ascii="Arial" w:hAnsi="Arial" w:cs="Arial"/>
              </w:rPr>
              <w:t>B.</w:t>
            </w:r>
            <w:r>
              <w:rPr>
                <w:rFonts w:ascii="Arial" w:eastAsiaTheme="minorEastAsia" w:hAnsi="Arial" w:cs="Arial"/>
                <w:color w:val="auto"/>
                <w:lang w:eastAsia="es-AR"/>
              </w:rPr>
              <w:tab/>
            </w:r>
            <w:r>
              <w:rPr>
                <w:rStyle w:val="Hyperlink"/>
                <w:rFonts w:ascii="Arial" w:hAnsi="Arial" w:cs="Arial"/>
              </w:rPr>
              <w:t>DESCRIPCIÓN</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_Toc463457869 \h </w:instrText>
            </w:r>
            <w:r>
              <w:rPr>
                <w:rFonts w:ascii="Arial" w:hAnsi="Arial" w:cs="Arial"/>
                <w:webHidden/>
              </w:rPr>
            </w:r>
            <w:r>
              <w:rPr>
                <w:rFonts w:ascii="Arial" w:hAnsi="Arial" w:cs="Arial"/>
                <w:webHidden/>
              </w:rPr>
              <w:fldChar w:fldCharType="separate"/>
            </w:r>
            <w:r>
              <w:rPr>
                <w:rFonts w:ascii="Arial" w:hAnsi="Arial" w:cs="Arial"/>
                <w:webHidden/>
              </w:rPr>
              <w:t>5</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870" w:history="1">
            <w:r>
              <w:rPr>
                <w:rStyle w:val="Hyperlink"/>
                <w:rFonts w:ascii="Arial" w:hAnsi="Arial" w:cs="Arial"/>
              </w:rPr>
              <w:t>C.</w:t>
            </w:r>
            <w:r>
              <w:rPr>
                <w:rFonts w:ascii="Arial" w:eastAsiaTheme="minorEastAsia" w:hAnsi="Arial" w:cs="Arial"/>
                <w:color w:val="auto"/>
                <w:lang w:eastAsia="es-AR"/>
              </w:rPr>
              <w:tab/>
            </w:r>
            <w:r>
              <w:rPr>
                <w:rStyle w:val="Hyperlink"/>
                <w:rFonts w:ascii="Arial" w:hAnsi="Arial" w:cs="Arial"/>
              </w:rPr>
              <w:t>COSTO DEL PROGRAMA Y PLAN DE FINANCIAMIENTO</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_Toc463457870 \h </w:instrText>
            </w:r>
            <w:r>
              <w:rPr>
                <w:rFonts w:ascii="Arial" w:hAnsi="Arial" w:cs="Arial"/>
                <w:webHidden/>
              </w:rPr>
            </w:r>
            <w:r>
              <w:rPr>
                <w:rFonts w:ascii="Arial" w:hAnsi="Arial" w:cs="Arial"/>
                <w:webHidden/>
              </w:rPr>
              <w:fldChar w:fldCharType="separate"/>
            </w:r>
            <w:r>
              <w:rPr>
                <w:rFonts w:ascii="Arial" w:hAnsi="Arial" w:cs="Arial"/>
                <w:webHidden/>
              </w:rPr>
              <w:t>6</w:t>
            </w:r>
            <w:r>
              <w:rPr>
                <w:rFonts w:ascii="Arial" w:hAnsi="Arial" w:cs="Arial"/>
                <w:webHidden/>
              </w:rPr>
              <w:fldChar w:fldCharType="end"/>
            </w:r>
          </w:hyperlink>
        </w:p>
        <w:p>
          <w:pPr>
            <w:pStyle w:val="TOC1"/>
            <w:rPr>
              <w:rFonts w:ascii="Arial" w:eastAsiaTheme="minorEastAsia" w:hAnsi="Arial" w:cs="Arial"/>
              <w:color w:val="auto"/>
              <w:lang w:eastAsia="es-AR"/>
            </w:rPr>
          </w:pPr>
          <w:hyperlink w:anchor="_Toc463457871" w:history="1">
            <w:r>
              <w:rPr>
                <w:rStyle w:val="Hyperlink"/>
                <w:rFonts w:ascii="Arial" w:hAnsi="Arial" w:cs="Arial"/>
              </w:rPr>
              <w:t>III.</w:t>
            </w:r>
            <w:r>
              <w:rPr>
                <w:rFonts w:ascii="Arial" w:eastAsiaTheme="minorEastAsia" w:hAnsi="Arial" w:cs="Arial"/>
                <w:color w:val="auto"/>
                <w:lang w:eastAsia="es-AR"/>
              </w:rPr>
              <w:tab/>
            </w:r>
            <w:r>
              <w:rPr>
                <w:rStyle w:val="Hyperlink"/>
                <w:rFonts w:ascii="Arial" w:hAnsi="Arial" w:cs="Arial"/>
              </w:rPr>
              <w:t>ORGANIZACIÓN INSTITUCIONAL</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_Toc463457871 \h </w:instrText>
            </w:r>
            <w:r>
              <w:rPr>
                <w:rFonts w:ascii="Arial" w:hAnsi="Arial" w:cs="Arial"/>
                <w:webHidden/>
              </w:rPr>
            </w:r>
            <w:r>
              <w:rPr>
                <w:rFonts w:ascii="Arial" w:hAnsi="Arial" w:cs="Arial"/>
                <w:webHidden/>
              </w:rPr>
              <w:fldChar w:fldCharType="separate"/>
            </w:r>
            <w:r>
              <w:rPr>
                <w:rFonts w:ascii="Arial" w:hAnsi="Arial" w:cs="Arial"/>
                <w:webHidden/>
              </w:rPr>
              <w:t>8</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873" w:history="1">
            <w:r>
              <w:rPr>
                <w:rStyle w:val="Hyperlink"/>
                <w:rFonts w:ascii="Arial" w:hAnsi="Arial" w:cs="Arial"/>
              </w:rPr>
              <w:t>A.</w:t>
            </w:r>
            <w:r>
              <w:rPr>
                <w:rFonts w:ascii="Arial" w:eastAsiaTheme="minorEastAsia" w:hAnsi="Arial" w:cs="Arial"/>
                <w:color w:val="auto"/>
                <w:lang w:eastAsia="es-AR"/>
              </w:rPr>
              <w:tab/>
            </w:r>
            <w:r>
              <w:rPr>
                <w:rStyle w:val="Hyperlink"/>
                <w:rFonts w:ascii="Arial" w:hAnsi="Arial" w:cs="Arial"/>
              </w:rPr>
              <w:t>FUNCIONES Y RESPONSABILIDADES</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_Toc463457873 \h </w:instrText>
            </w:r>
            <w:r>
              <w:rPr>
                <w:rFonts w:ascii="Arial" w:hAnsi="Arial" w:cs="Arial"/>
                <w:webHidden/>
              </w:rPr>
            </w:r>
            <w:r>
              <w:rPr>
                <w:rFonts w:ascii="Arial" w:hAnsi="Arial" w:cs="Arial"/>
                <w:webHidden/>
              </w:rPr>
              <w:fldChar w:fldCharType="separate"/>
            </w:r>
            <w:r>
              <w:rPr>
                <w:rFonts w:ascii="Arial" w:hAnsi="Arial" w:cs="Arial"/>
                <w:webHidden/>
              </w:rPr>
              <w:t>8</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887" w:history="1">
            <w:r>
              <w:rPr>
                <w:rStyle w:val="Hyperlink"/>
                <w:rFonts w:ascii="Arial" w:hAnsi="Arial" w:cs="Arial"/>
              </w:rPr>
              <w:t>B.</w:t>
            </w:r>
            <w:r>
              <w:rPr>
                <w:rFonts w:ascii="Arial" w:eastAsiaTheme="minorEastAsia" w:hAnsi="Arial" w:cs="Arial"/>
                <w:color w:val="auto"/>
                <w:lang w:eastAsia="es-AR"/>
              </w:rPr>
              <w:tab/>
            </w:r>
            <w:r>
              <w:rPr>
                <w:rStyle w:val="Hyperlink"/>
                <w:rFonts w:ascii="Arial" w:hAnsi="Arial" w:cs="Arial"/>
              </w:rPr>
              <w:t>ORGANISMOS BENEFCIARIOS (“OB”)</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_Toc463457887 \h </w:instrText>
            </w:r>
            <w:r>
              <w:rPr>
                <w:rFonts w:ascii="Arial" w:hAnsi="Arial" w:cs="Arial"/>
                <w:webHidden/>
              </w:rPr>
            </w:r>
            <w:r>
              <w:rPr>
                <w:rFonts w:ascii="Arial" w:hAnsi="Arial" w:cs="Arial"/>
                <w:webHidden/>
              </w:rPr>
              <w:fldChar w:fldCharType="separate"/>
            </w:r>
            <w:r>
              <w:rPr>
                <w:rFonts w:ascii="Arial" w:hAnsi="Arial" w:cs="Arial"/>
                <w:webHidden/>
              </w:rPr>
              <w:t>14</w:t>
            </w:r>
            <w:r>
              <w:rPr>
                <w:rFonts w:ascii="Arial" w:hAnsi="Arial" w:cs="Arial"/>
                <w:webHidden/>
              </w:rPr>
              <w:fldChar w:fldCharType="end"/>
            </w:r>
          </w:hyperlink>
        </w:p>
        <w:p>
          <w:pPr>
            <w:pStyle w:val="TOC1"/>
            <w:rPr>
              <w:rFonts w:ascii="Arial" w:eastAsiaTheme="minorEastAsia" w:hAnsi="Arial" w:cs="Arial"/>
              <w:color w:val="auto"/>
              <w:lang w:eastAsia="es-AR"/>
            </w:rPr>
          </w:pPr>
          <w:hyperlink w:anchor="_Toc463457888" w:history="1">
            <w:r>
              <w:rPr>
                <w:rStyle w:val="Hyperlink"/>
                <w:rFonts w:ascii="Arial" w:hAnsi="Arial" w:cs="Arial"/>
              </w:rPr>
              <w:t>IV.</w:t>
            </w:r>
            <w:r>
              <w:rPr>
                <w:rFonts w:ascii="Arial" w:eastAsiaTheme="minorEastAsia" w:hAnsi="Arial" w:cs="Arial"/>
                <w:color w:val="auto"/>
                <w:lang w:eastAsia="es-AR"/>
              </w:rPr>
              <w:tab/>
            </w:r>
            <w:r>
              <w:rPr>
                <w:rStyle w:val="Hyperlink"/>
                <w:rFonts w:ascii="Arial" w:hAnsi="Arial" w:cs="Arial"/>
              </w:rPr>
              <w:t>EJECUCIÓN</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_Toc463457888 \h </w:instrText>
            </w:r>
            <w:r>
              <w:rPr>
                <w:rFonts w:ascii="Arial" w:hAnsi="Arial" w:cs="Arial"/>
                <w:webHidden/>
              </w:rPr>
            </w:r>
            <w:r>
              <w:rPr>
                <w:rFonts w:ascii="Arial" w:hAnsi="Arial" w:cs="Arial"/>
                <w:webHidden/>
              </w:rPr>
              <w:fldChar w:fldCharType="separate"/>
            </w:r>
            <w:r>
              <w:rPr>
                <w:rFonts w:ascii="Arial" w:hAnsi="Arial" w:cs="Arial"/>
                <w:webHidden/>
              </w:rPr>
              <w:t>15</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889" w:history="1">
            <w:r>
              <w:rPr>
                <w:rStyle w:val="Hyperlink"/>
                <w:rFonts w:ascii="Arial" w:hAnsi="Arial" w:cs="Arial"/>
              </w:rPr>
              <w:t>A.</w:t>
            </w:r>
            <w:r>
              <w:rPr>
                <w:rFonts w:ascii="Arial" w:eastAsiaTheme="minorEastAsia" w:hAnsi="Arial" w:cs="Arial"/>
                <w:color w:val="auto"/>
                <w:lang w:eastAsia="es-AR"/>
              </w:rPr>
              <w:tab/>
            </w:r>
            <w:r>
              <w:rPr>
                <w:rStyle w:val="Hyperlink"/>
                <w:rFonts w:ascii="Arial" w:hAnsi="Arial" w:cs="Arial"/>
              </w:rPr>
              <w:t>EJECUCIÓN DEL PLAN DE ACCIÓN Y EL FONDO INICIAL</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_Toc463457889 \h </w:instrText>
            </w:r>
            <w:r>
              <w:rPr>
                <w:rFonts w:ascii="Arial" w:hAnsi="Arial" w:cs="Arial"/>
                <w:webHidden/>
              </w:rPr>
            </w:r>
            <w:r>
              <w:rPr>
                <w:rFonts w:ascii="Arial" w:hAnsi="Arial" w:cs="Arial"/>
                <w:webHidden/>
              </w:rPr>
              <w:fldChar w:fldCharType="separate"/>
            </w:r>
            <w:r>
              <w:rPr>
                <w:rFonts w:ascii="Arial" w:hAnsi="Arial" w:cs="Arial"/>
                <w:webHidden/>
              </w:rPr>
              <w:t>15</w:t>
            </w:r>
            <w:r>
              <w:rPr>
                <w:rFonts w:ascii="Arial" w:hAnsi="Arial" w:cs="Arial"/>
                <w:webHidden/>
              </w:rPr>
              <w:fldChar w:fldCharType="end"/>
            </w:r>
          </w:hyperlink>
        </w:p>
        <w:p>
          <w:pPr>
            <w:pStyle w:val="TOC3"/>
            <w:tabs>
              <w:tab w:val="right" w:leader="dot" w:pos="9289"/>
            </w:tabs>
            <w:rPr>
              <w:rFonts w:ascii="Arial" w:eastAsiaTheme="minorEastAsia" w:hAnsi="Arial" w:cs="Arial"/>
              <w:noProof/>
              <w:color w:val="auto"/>
              <w:lang w:val="es-AR" w:eastAsia="es-AR"/>
            </w:rPr>
          </w:pPr>
          <w:hyperlink w:anchor="_Toc463457890" w:history="1">
            <w:r>
              <w:rPr>
                <w:rStyle w:val="Hyperlink"/>
                <w:rFonts w:ascii="Arial" w:hAnsi="Arial" w:cs="Arial"/>
                <w:noProof/>
                <w:lang w:val="es-AR"/>
              </w:rPr>
              <w:t>A.1 Criterios de Elegibilidad para selección de actividades del Plan de Acción.</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_Toc463457890 \h </w:instrText>
            </w:r>
            <w:r>
              <w:rPr>
                <w:rFonts w:ascii="Arial" w:hAnsi="Arial" w:cs="Arial"/>
                <w:noProof/>
                <w:webHidden/>
              </w:rPr>
            </w:r>
            <w:r>
              <w:rPr>
                <w:rFonts w:ascii="Arial" w:hAnsi="Arial" w:cs="Arial"/>
                <w:noProof/>
                <w:webHidden/>
              </w:rPr>
              <w:fldChar w:fldCharType="separate"/>
            </w:r>
            <w:r>
              <w:rPr>
                <w:rFonts w:ascii="Arial" w:hAnsi="Arial" w:cs="Arial"/>
                <w:noProof/>
                <w:webHidden/>
              </w:rPr>
              <w:t>15</w:t>
            </w:r>
            <w:r>
              <w:rPr>
                <w:rFonts w:ascii="Arial" w:hAnsi="Arial" w:cs="Arial"/>
                <w:noProof/>
                <w:webHidden/>
              </w:rPr>
              <w:fldChar w:fldCharType="end"/>
            </w:r>
          </w:hyperlink>
        </w:p>
        <w:p>
          <w:pPr>
            <w:pStyle w:val="TOC3"/>
            <w:tabs>
              <w:tab w:val="right" w:leader="dot" w:pos="9289"/>
            </w:tabs>
            <w:rPr>
              <w:rFonts w:ascii="Arial" w:eastAsiaTheme="minorEastAsia" w:hAnsi="Arial" w:cs="Arial"/>
              <w:noProof/>
              <w:color w:val="auto"/>
              <w:lang w:val="es-AR" w:eastAsia="es-AR"/>
            </w:rPr>
          </w:pPr>
          <w:hyperlink w:anchor="_Toc463457891" w:history="1">
            <w:r>
              <w:rPr>
                <w:rStyle w:val="Hyperlink"/>
                <w:rFonts w:ascii="Arial" w:hAnsi="Arial" w:cs="Arial"/>
                <w:noProof/>
                <w:lang w:val="es-AR"/>
              </w:rPr>
              <w:t>A.2 Criterios de Elegibilidad para Fondo Inicial</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_Toc463457891 \h </w:instrText>
            </w:r>
            <w:r>
              <w:rPr>
                <w:rFonts w:ascii="Arial" w:hAnsi="Arial" w:cs="Arial"/>
                <w:noProof/>
                <w:webHidden/>
              </w:rPr>
            </w:r>
            <w:r>
              <w:rPr>
                <w:rFonts w:ascii="Arial" w:hAnsi="Arial" w:cs="Arial"/>
                <w:noProof/>
                <w:webHidden/>
              </w:rPr>
              <w:fldChar w:fldCharType="separate"/>
            </w:r>
            <w:r>
              <w:rPr>
                <w:rFonts w:ascii="Arial" w:hAnsi="Arial" w:cs="Arial"/>
                <w:noProof/>
                <w:webHidden/>
              </w:rPr>
              <w:t>16</w:t>
            </w:r>
            <w:r>
              <w:rPr>
                <w:rFonts w:ascii="Arial" w:hAnsi="Arial" w:cs="Arial"/>
                <w:noProof/>
                <w:webHidden/>
              </w:rPr>
              <w:fldChar w:fldCharType="end"/>
            </w:r>
          </w:hyperlink>
        </w:p>
        <w:p>
          <w:pPr>
            <w:pStyle w:val="TOC3"/>
            <w:tabs>
              <w:tab w:val="right" w:leader="dot" w:pos="9289"/>
            </w:tabs>
            <w:rPr>
              <w:rFonts w:ascii="Arial" w:eastAsiaTheme="minorEastAsia" w:hAnsi="Arial" w:cs="Arial"/>
              <w:noProof/>
              <w:color w:val="auto"/>
              <w:lang w:val="es-AR" w:eastAsia="es-AR"/>
            </w:rPr>
          </w:pPr>
          <w:hyperlink w:anchor="_Toc463457892" w:history="1">
            <w:r>
              <w:rPr>
                <w:rStyle w:val="Hyperlink"/>
                <w:rFonts w:ascii="Arial" w:hAnsi="Arial" w:cs="Arial"/>
                <w:noProof/>
                <w:lang w:val="es-AR"/>
              </w:rPr>
              <w:t>A.2 Proceso Aprobatorio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_Toc463457892 \h </w:instrText>
            </w:r>
            <w:r>
              <w:rPr>
                <w:rFonts w:ascii="Arial" w:hAnsi="Arial" w:cs="Arial"/>
                <w:noProof/>
                <w:webHidden/>
              </w:rPr>
            </w:r>
            <w:r>
              <w:rPr>
                <w:rFonts w:ascii="Arial" w:hAnsi="Arial" w:cs="Arial"/>
                <w:noProof/>
                <w:webHidden/>
              </w:rPr>
              <w:fldChar w:fldCharType="separate"/>
            </w:r>
            <w:r>
              <w:rPr>
                <w:rFonts w:ascii="Arial" w:hAnsi="Arial" w:cs="Arial"/>
                <w:noProof/>
                <w:webHidden/>
              </w:rPr>
              <w:t>16</w:t>
            </w:r>
            <w:r>
              <w:rPr>
                <w:rFonts w:ascii="Arial" w:hAnsi="Arial" w:cs="Arial"/>
                <w:noProof/>
                <w:webHidden/>
              </w:rPr>
              <w:fldChar w:fldCharType="end"/>
            </w:r>
          </w:hyperlink>
        </w:p>
        <w:p>
          <w:pPr>
            <w:pStyle w:val="TOC3"/>
            <w:tabs>
              <w:tab w:val="right" w:leader="dot" w:pos="9289"/>
            </w:tabs>
            <w:rPr>
              <w:rFonts w:ascii="Arial" w:eastAsiaTheme="minorEastAsia" w:hAnsi="Arial" w:cs="Arial"/>
              <w:noProof/>
              <w:color w:val="auto"/>
              <w:lang w:val="es-AR" w:eastAsia="es-AR"/>
            </w:rPr>
          </w:pPr>
          <w:hyperlink w:anchor="_Toc463457893" w:history="1">
            <w:r>
              <w:rPr>
                <w:rStyle w:val="Hyperlink"/>
                <w:rFonts w:ascii="Arial" w:hAnsi="Arial" w:cs="Arial"/>
                <w:noProof/>
                <w:lang w:val="es-AR"/>
              </w:rPr>
              <w:t>A.3 Lineamientos para la ejecución</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_Toc463457893 \h </w:instrText>
            </w:r>
            <w:r>
              <w:rPr>
                <w:rFonts w:ascii="Arial" w:hAnsi="Arial" w:cs="Arial"/>
                <w:noProof/>
                <w:webHidden/>
              </w:rPr>
            </w:r>
            <w:r>
              <w:rPr>
                <w:rFonts w:ascii="Arial" w:hAnsi="Arial" w:cs="Arial"/>
                <w:noProof/>
                <w:webHidden/>
              </w:rPr>
              <w:fldChar w:fldCharType="separate"/>
            </w:r>
            <w:r>
              <w:rPr>
                <w:rFonts w:ascii="Arial" w:hAnsi="Arial" w:cs="Arial"/>
                <w:noProof/>
                <w:webHidden/>
              </w:rPr>
              <w:t>17</w:t>
            </w:r>
            <w:r>
              <w:rPr>
                <w:rFonts w:ascii="Arial" w:hAnsi="Arial" w:cs="Arial"/>
                <w:noProof/>
                <w:webHidden/>
              </w:rPr>
              <w:fldChar w:fldCharType="end"/>
            </w:r>
          </w:hyperlink>
        </w:p>
        <w:p>
          <w:pPr>
            <w:pStyle w:val="TOC2"/>
            <w:rPr>
              <w:rFonts w:ascii="Arial" w:eastAsiaTheme="minorEastAsia" w:hAnsi="Arial" w:cs="Arial"/>
              <w:color w:val="auto"/>
              <w:lang w:eastAsia="es-AR"/>
            </w:rPr>
          </w:pPr>
          <w:hyperlink w:anchor="_Toc463457894" w:history="1">
            <w:r>
              <w:rPr>
                <w:rStyle w:val="Hyperlink"/>
                <w:rFonts w:ascii="Arial" w:hAnsi="Arial" w:cs="Arial"/>
              </w:rPr>
              <w:t>B.</w:t>
            </w:r>
            <w:r>
              <w:rPr>
                <w:rFonts w:ascii="Arial" w:eastAsiaTheme="minorEastAsia" w:hAnsi="Arial" w:cs="Arial"/>
                <w:color w:val="auto"/>
                <w:lang w:eastAsia="es-AR"/>
              </w:rPr>
              <w:tab/>
            </w:r>
            <w:r>
              <w:rPr>
                <w:rStyle w:val="Hyperlink"/>
                <w:rFonts w:ascii="Arial" w:hAnsi="Arial" w:cs="Arial"/>
              </w:rPr>
              <w:t>EJECUCIÓN DEL FONDO COMPLEMENTARIO</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_Toc463457894 \h </w:instrText>
            </w:r>
            <w:r>
              <w:rPr>
                <w:rFonts w:ascii="Arial" w:hAnsi="Arial" w:cs="Arial"/>
                <w:webHidden/>
              </w:rPr>
            </w:r>
            <w:r>
              <w:rPr>
                <w:rFonts w:ascii="Arial" w:hAnsi="Arial" w:cs="Arial"/>
                <w:webHidden/>
              </w:rPr>
              <w:fldChar w:fldCharType="separate"/>
            </w:r>
            <w:r>
              <w:rPr>
                <w:rFonts w:ascii="Arial" w:hAnsi="Arial" w:cs="Arial"/>
                <w:webHidden/>
              </w:rPr>
              <w:t>17</w:t>
            </w:r>
            <w:r>
              <w:rPr>
                <w:rFonts w:ascii="Arial" w:hAnsi="Arial" w:cs="Arial"/>
                <w:webHidden/>
              </w:rPr>
              <w:fldChar w:fldCharType="end"/>
            </w:r>
          </w:hyperlink>
        </w:p>
        <w:p>
          <w:pPr>
            <w:pStyle w:val="TOC3"/>
            <w:tabs>
              <w:tab w:val="right" w:leader="dot" w:pos="9289"/>
            </w:tabs>
            <w:rPr>
              <w:rFonts w:ascii="Arial" w:eastAsiaTheme="minorEastAsia" w:hAnsi="Arial" w:cs="Arial"/>
              <w:noProof/>
              <w:color w:val="auto"/>
              <w:lang w:val="es-AR" w:eastAsia="es-AR"/>
            </w:rPr>
          </w:pPr>
          <w:hyperlink w:anchor="_Toc463457895" w:history="1">
            <w:r>
              <w:rPr>
                <w:rStyle w:val="Hyperlink"/>
                <w:rFonts w:ascii="Arial" w:hAnsi="Arial" w:cs="Arial"/>
                <w:noProof/>
                <w:lang w:val="es-AR"/>
              </w:rPr>
              <w:t>B.1 Criterios de elegibilidad</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_Toc463457895 \h </w:instrText>
            </w:r>
            <w:r>
              <w:rPr>
                <w:rFonts w:ascii="Arial" w:hAnsi="Arial" w:cs="Arial"/>
                <w:noProof/>
                <w:webHidden/>
              </w:rPr>
            </w:r>
            <w:r>
              <w:rPr>
                <w:rFonts w:ascii="Arial" w:hAnsi="Arial" w:cs="Arial"/>
                <w:noProof/>
                <w:webHidden/>
              </w:rPr>
              <w:fldChar w:fldCharType="separate"/>
            </w:r>
            <w:r>
              <w:rPr>
                <w:rFonts w:ascii="Arial" w:hAnsi="Arial" w:cs="Arial"/>
                <w:noProof/>
                <w:webHidden/>
              </w:rPr>
              <w:t>17</w:t>
            </w:r>
            <w:r>
              <w:rPr>
                <w:rFonts w:ascii="Arial" w:hAnsi="Arial" w:cs="Arial"/>
                <w:noProof/>
                <w:webHidden/>
              </w:rPr>
              <w:fldChar w:fldCharType="end"/>
            </w:r>
          </w:hyperlink>
        </w:p>
        <w:p>
          <w:pPr>
            <w:pStyle w:val="TOC3"/>
            <w:tabs>
              <w:tab w:val="right" w:leader="dot" w:pos="9289"/>
            </w:tabs>
            <w:rPr>
              <w:rFonts w:ascii="Arial" w:eastAsiaTheme="minorEastAsia" w:hAnsi="Arial" w:cs="Arial"/>
              <w:noProof/>
              <w:color w:val="auto"/>
              <w:lang w:val="es-AR" w:eastAsia="es-AR"/>
            </w:rPr>
          </w:pPr>
          <w:hyperlink w:anchor="_Toc463457896" w:history="1">
            <w:r>
              <w:rPr>
                <w:rStyle w:val="Hyperlink"/>
                <w:rFonts w:ascii="Arial" w:hAnsi="Arial" w:cs="Arial"/>
                <w:noProof/>
                <w:lang w:val="es-AR"/>
              </w:rPr>
              <w:t>B.2 Proceso Aprobatorio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_Toc463457896 \h </w:instrText>
            </w:r>
            <w:r>
              <w:rPr>
                <w:rFonts w:ascii="Arial" w:hAnsi="Arial" w:cs="Arial"/>
                <w:noProof/>
                <w:webHidden/>
              </w:rPr>
            </w:r>
            <w:r>
              <w:rPr>
                <w:rFonts w:ascii="Arial" w:hAnsi="Arial" w:cs="Arial"/>
                <w:noProof/>
                <w:webHidden/>
              </w:rPr>
              <w:fldChar w:fldCharType="separate"/>
            </w:r>
            <w:r>
              <w:rPr>
                <w:rFonts w:ascii="Arial" w:hAnsi="Arial" w:cs="Arial"/>
                <w:noProof/>
                <w:webHidden/>
              </w:rPr>
              <w:t>18</w:t>
            </w:r>
            <w:r>
              <w:rPr>
                <w:rFonts w:ascii="Arial" w:hAnsi="Arial" w:cs="Arial"/>
                <w:noProof/>
                <w:webHidden/>
              </w:rPr>
              <w:fldChar w:fldCharType="end"/>
            </w:r>
          </w:hyperlink>
        </w:p>
        <w:p>
          <w:pPr>
            <w:pStyle w:val="TOC3"/>
            <w:tabs>
              <w:tab w:val="right" w:leader="dot" w:pos="9289"/>
            </w:tabs>
            <w:rPr>
              <w:rFonts w:ascii="Arial" w:eastAsiaTheme="minorEastAsia" w:hAnsi="Arial" w:cs="Arial"/>
              <w:noProof/>
              <w:color w:val="auto"/>
              <w:lang w:val="es-AR" w:eastAsia="es-AR"/>
            </w:rPr>
          </w:pPr>
          <w:hyperlink w:anchor="_Toc463457897" w:history="1">
            <w:r>
              <w:rPr>
                <w:rStyle w:val="Hyperlink"/>
                <w:rFonts w:ascii="Arial" w:hAnsi="Arial" w:cs="Arial"/>
                <w:noProof/>
                <w:lang w:val="es-AR"/>
              </w:rPr>
              <w:t>B.3 Lineamientos para la ejecución</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_Toc463457897 \h </w:instrText>
            </w:r>
            <w:r>
              <w:rPr>
                <w:rFonts w:ascii="Arial" w:hAnsi="Arial" w:cs="Arial"/>
                <w:noProof/>
                <w:webHidden/>
              </w:rPr>
            </w:r>
            <w:r>
              <w:rPr>
                <w:rFonts w:ascii="Arial" w:hAnsi="Arial" w:cs="Arial"/>
                <w:noProof/>
                <w:webHidden/>
              </w:rPr>
              <w:fldChar w:fldCharType="separate"/>
            </w:r>
            <w:r>
              <w:rPr>
                <w:rFonts w:ascii="Arial" w:hAnsi="Arial" w:cs="Arial"/>
                <w:noProof/>
                <w:webHidden/>
              </w:rPr>
              <w:t>18</w:t>
            </w:r>
            <w:r>
              <w:rPr>
                <w:rFonts w:ascii="Arial" w:hAnsi="Arial" w:cs="Arial"/>
                <w:noProof/>
                <w:webHidden/>
              </w:rPr>
              <w:fldChar w:fldCharType="end"/>
            </w:r>
          </w:hyperlink>
        </w:p>
        <w:p>
          <w:pPr>
            <w:pStyle w:val="TOC2"/>
            <w:rPr>
              <w:rFonts w:ascii="Arial" w:eastAsiaTheme="minorEastAsia" w:hAnsi="Arial" w:cs="Arial"/>
              <w:color w:val="auto"/>
              <w:lang w:eastAsia="es-AR"/>
            </w:rPr>
          </w:pPr>
          <w:hyperlink w:anchor="_Toc463457898" w:history="1">
            <w:r>
              <w:rPr>
                <w:rStyle w:val="Hyperlink"/>
                <w:rFonts w:ascii="Arial" w:hAnsi="Arial" w:cs="Arial"/>
              </w:rPr>
              <w:t>C.</w:t>
            </w:r>
            <w:r>
              <w:rPr>
                <w:rFonts w:ascii="Arial" w:eastAsiaTheme="minorEastAsia" w:hAnsi="Arial" w:cs="Arial"/>
                <w:color w:val="auto"/>
                <w:lang w:eastAsia="es-AR"/>
              </w:rPr>
              <w:tab/>
            </w:r>
            <w:r>
              <w:rPr>
                <w:rStyle w:val="Hyperlink"/>
                <w:rFonts w:ascii="Arial" w:hAnsi="Arial" w:cs="Arial"/>
              </w:rPr>
              <w:t>ACTIVIDADES DE FORTALECIMIENTO DEL FEDERALISMO FISCAL</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_Toc463457898 \h </w:instrText>
            </w:r>
            <w:r>
              <w:rPr>
                <w:rFonts w:ascii="Arial" w:hAnsi="Arial" w:cs="Arial"/>
                <w:webHidden/>
              </w:rPr>
            </w:r>
            <w:r>
              <w:rPr>
                <w:rFonts w:ascii="Arial" w:hAnsi="Arial" w:cs="Arial"/>
                <w:webHidden/>
              </w:rPr>
              <w:fldChar w:fldCharType="separate"/>
            </w:r>
            <w:r>
              <w:rPr>
                <w:rFonts w:ascii="Arial" w:hAnsi="Arial" w:cs="Arial"/>
                <w:webHidden/>
              </w:rPr>
              <w:t>19</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899" w:history="1">
            <w:r>
              <w:rPr>
                <w:rStyle w:val="Hyperlink"/>
                <w:rFonts w:ascii="Arial" w:hAnsi="Arial" w:cs="Arial"/>
              </w:rPr>
              <w:t>D.   USO DE LOS RECURSOS DEL PROGRAMA</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_Toc463457899 \h </w:instrText>
            </w:r>
            <w:r>
              <w:rPr>
                <w:rFonts w:ascii="Arial" w:hAnsi="Arial" w:cs="Arial"/>
                <w:webHidden/>
              </w:rPr>
            </w:r>
            <w:r>
              <w:rPr>
                <w:rFonts w:ascii="Arial" w:hAnsi="Arial" w:cs="Arial"/>
                <w:webHidden/>
              </w:rPr>
              <w:fldChar w:fldCharType="separate"/>
            </w:r>
            <w:r>
              <w:rPr>
                <w:rFonts w:ascii="Arial" w:hAnsi="Arial" w:cs="Arial"/>
                <w:webHidden/>
              </w:rPr>
              <w:t>20</w:t>
            </w:r>
            <w:r>
              <w:rPr>
                <w:rFonts w:ascii="Arial" w:hAnsi="Arial" w:cs="Arial"/>
                <w:webHidden/>
              </w:rPr>
              <w:fldChar w:fldCharType="end"/>
            </w:r>
          </w:hyperlink>
        </w:p>
        <w:p>
          <w:pPr>
            <w:pStyle w:val="TOC1"/>
            <w:rPr>
              <w:rFonts w:ascii="Arial" w:eastAsiaTheme="minorEastAsia" w:hAnsi="Arial" w:cs="Arial"/>
              <w:color w:val="auto"/>
              <w:lang w:eastAsia="es-AR"/>
            </w:rPr>
          </w:pPr>
          <w:hyperlink w:anchor="_Toc463457900" w:history="1">
            <w:r>
              <w:rPr>
                <w:rStyle w:val="Hyperlink"/>
                <w:rFonts w:ascii="Arial" w:hAnsi="Arial" w:cs="Arial"/>
              </w:rPr>
              <w:t>V.</w:t>
            </w:r>
            <w:r>
              <w:rPr>
                <w:rFonts w:ascii="Arial" w:eastAsiaTheme="minorEastAsia" w:hAnsi="Arial" w:cs="Arial"/>
                <w:color w:val="auto"/>
                <w:lang w:eastAsia="es-AR"/>
              </w:rPr>
              <w:tab/>
            </w:r>
            <w:r>
              <w:rPr>
                <w:rStyle w:val="Hyperlink"/>
                <w:rFonts w:ascii="Arial" w:hAnsi="Arial" w:cs="Arial"/>
              </w:rPr>
              <w:t>MECANISMO FIDUCIARIO DE EJECUCIÓN</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_Toc463457900 \h </w:instrText>
            </w:r>
            <w:r>
              <w:rPr>
                <w:rFonts w:ascii="Arial" w:hAnsi="Arial" w:cs="Arial"/>
                <w:webHidden/>
              </w:rPr>
            </w:r>
            <w:r>
              <w:rPr>
                <w:rFonts w:ascii="Arial" w:hAnsi="Arial" w:cs="Arial"/>
                <w:webHidden/>
              </w:rPr>
              <w:fldChar w:fldCharType="separate"/>
            </w:r>
            <w:r>
              <w:rPr>
                <w:rFonts w:ascii="Arial" w:hAnsi="Arial" w:cs="Arial"/>
                <w:webHidden/>
              </w:rPr>
              <w:t>21</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901" w:history="1">
            <w:r>
              <w:rPr>
                <w:rStyle w:val="Hyperlink"/>
                <w:rFonts w:ascii="Arial" w:hAnsi="Arial" w:cs="Arial"/>
              </w:rPr>
              <w:t>A.</w:t>
            </w:r>
            <w:r>
              <w:rPr>
                <w:rFonts w:ascii="Arial" w:eastAsiaTheme="minorEastAsia" w:hAnsi="Arial" w:cs="Arial"/>
                <w:color w:val="auto"/>
                <w:lang w:eastAsia="es-AR"/>
              </w:rPr>
              <w:tab/>
            </w:r>
            <w:r>
              <w:rPr>
                <w:rStyle w:val="Hyperlink"/>
                <w:rFonts w:ascii="Arial" w:hAnsi="Arial" w:cs="Arial"/>
              </w:rPr>
              <w:t>EJECUCIÓN DE LAS ADQUISICIONES</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_Toc463457901 \h </w:instrText>
            </w:r>
            <w:r>
              <w:rPr>
                <w:rFonts w:ascii="Arial" w:hAnsi="Arial" w:cs="Arial"/>
                <w:webHidden/>
              </w:rPr>
            </w:r>
            <w:r>
              <w:rPr>
                <w:rFonts w:ascii="Arial" w:hAnsi="Arial" w:cs="Arial"/>
                <w:webHidden/>
              </w:rPr>
              <w:fldChar w:fldCharType="separate"/>
            </w:r>
            <w:r>
              <w:rPr>
                <w:rFonts w:ascii="Arial" w:hAnsi="Arial" w:cs="Arial"/>
                <w:webHidden/>
              </w:rPr>
              <w:t>21</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924" w:history="1">
            <w:r>
              <w:rPr>
                <w:rStyle w:val="Hyperlink"/>
                <w:rFonts w:ascii="Arial" w:hAnsi="Arial" w:cs="Arial"/>
              </w:rPr>
              <w:t>B.</w:t>
            </w:r>
            <w:r>
              <w:rPr>
                <w:rFonts w:ascii="Arial" w:eastAsiaTheme="minorEastAsia" w:hAnsi="Arial" w:cs="Arial"/>
                <w:color w:val="auto"/>
                <w:lang w:eastAsia="es-AR"/>
              </w:rPr>
              <w:tab/>
            </w:r>
            <w:r>
              <w:rPr>
                <w:rStyle w:val="Hyperlink"/>
                <w:rFonts w:ascii="Arial" w:hAnsi="Arial" w:cs="Arial"/>
              </w:rPr>
              <w:t>ADMINISTRACIÓN FINANCIERA</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_Toc463457924 \h </w:instrText>
            </w:r>
            <w:r>
              <w:rPr>
                <w:rFonts w:ascii="Arial" w:hAnsi="Arial" w:cs="Arial"/>
                <w:webHidden/>
              </w:rPr>
            </w:r>
            <w:r>
              <w:rPr>
                <w:rFonts w:ascii="Arial" w:hAnsi="Arial" w:cs="Arial"/>
                <w:webHidden/>
              </w:rPr>
              <w:fldChar w:fldCharType="separate"/>
            </w:r>
            <w:r>
              <w:rPr>
                <w:rFonts w:ascii="Arial" w:hAnsi="Arial" w:cs="Arial"/>
                <w:webHidden/>
              </w:rPr>
              <w:t>27</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925" w:history="1">
            <w:r>
              <w:rPr>
                <w:rStyle w:val="Hyperlink"/>
                <w:rFonts w:ascii="Arial" w:hAnsi="Arial" w:cs="Arial"/>
              </w:rPr>
              <w:t>C.</w:t>
            </w:r>
            <w:r>
              <w:rPr>
                <w:rFonts w:ascii="Arial" w:eastAsiaTheme="minorEastAsia" w:hAnsi="Arial" w:cs="Arial"/>
                <w:color w:val="auto"/>
                <w:lang w:eastAsia="es-AR"/>
              </w:rPr>
              <w:tab/>
            </w:r>
            <w:r>
              <w:rPr>
                <w:rStyle w:val="Hyperlink"/>
                <w:rFonts w:ascii="Arial" w:hAnsi="Arial" w:cs="Arial"/>
              </w:rPr>
              <w:t>PROCEDIMIENTO FINANCIERO</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_Toc463457925 \h </w:instrText>
            </w:r>
            <w:r>
              <w:rPr>
                <w:rFonts w:ascii="Arial" w:hAnsi="Arial" w:cs="Arial"/>
                <w:webHidden/>
              </w:rPr>
            </w:r>
            <w:r>
              <w:rPr>
                <w:rFonts w:ascii="Arial" w:hAnsi="Arial" w:cs="Arial"/>
                <w:webHidden/>
              </w:rPr>
              <w:fldChar w:fldCharType="separate"/>
            </w:r>
            <w:r>
              <w:rPr>
                <w:rFonts w:ascii="Arial" w:hAnsi="Arial" w:cs="Arial"/>
                <w:webHidden/>
              </w:rPr>
              <w:t>27</w:t>
            </w:r>
            <w:r>
              <w:rPr>
                <w:rFonts w:ascii="Arial" w:hAnsi="Arial" w:cs="Arial"/>
                <w:webHidden/>
              </w:rPr>
              <w:fldChar w:fldCharType="end"/>
            </w:r>
          </w:hyperlink>
        </w:p>
        <w:p>
          <w:pPr>
            <w:pStyle w:val="TOC1"/>
            <w:rPr>
              <w:rFonts w:ascii="Arial" w:eastAsiaTheme="minorEastAsia" w:hAnsi="Arial" w:cs="Arial"/>
              <w:color w:val="auto"/>
              <w:lang w:eastAsia="es-AR"/>
            </w:rPr>
          </w:pPr>
          <w:hyperlink w:anchor="_Toc463457926" w:history="1">
            <w:r>
              <w:rPr>
                <w:rStyle w:val="Hyperlink"/>
                <w:rFonts w:ascii="Arial" w:hAnsi="Arial" w:cs="Arial"/>
              </w:rPr>
              <w:t>VI.</w:t>
            </w:r>
            <w:r>
              <w:rPr>
                <w:rFonts w:ascii="Arial" w:eastAsiaTheme="minorEastAsia" w:hAnsi="Arial" w:cs="Arial"/>
                <w:color w:val="auto"/>
                <w:lang w:eastAsia="es-AR"/>
              </w:rPr>
              <w:tab/>
            </w:r>
            <w:r>
              <w:rPr>
                <w:rStyle w:val="Hyperlink"/>
                <w:rFonts w:ascii="Arial" w:hAnsi="Arial" w:cs="Arial"/>
              </w:rPr>
              <w:t>PLANIFICACIÓN, SEGUIMIENTO Y EVALUACIÓN</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_Toc463457926 \h </w:instrText>
            </w:r>
            <w:r>
              <w:rPr>
                <w:rFonts w:ascii="Arial" w:hAnsi="Arial" w:cs="Arial"/>
                <w:webHidden/>
              </w:rPr>
            </w:r>
            <w:r>
              <w:rPr>
                <w:rFonts w:ascii="Arial" w:hAnsi="Arial" w:cs="Arial"/>
                <w:webHidden/>
              </w:rPr>
              <w:fldChar w:fldCharType="separate"/>
            </w:r>
            <w:r>
              <w:rPr>
                <w:rFonts w:ascii="Arial" w:hAnsi="Arial" w:cs="Arial"/>
                <w:webHidden/>
              </w:rPr>
              <w:t>29</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927" w:history="1">
            <w:r>
              <w:rPr>
                <w:rStyle w:val="Hyperlink"/>
                <w:rFonts w:ascii="Arial" w:hAnsi="Arial" w:cs="Arial"/>
              </w:rPr>
              <w:t>A.</w:t>
            </w:r>
            <w:r>
              <w:rPr>
                <w:rFonts w:ascii="Arial" w:eastAsiaTheme="minorEastAsia" w:hAnsi="Arial" w:cs="Arial"/>
                <w:color w:val="auto"/>
                <w:lang w:eastAsia="es-AR"/>
              </w:rPr>
              <w:tab/>
            </w:r>
            <w:r>
              <w:rPr>
                <w:rStyle w:val="Hyperlink"/>
                <w:rFonts w:ascii="Arial" w:hAnsi="Arial" w:cs="Arial"/>
              </w:rPr>
              <w:t>GENERAL</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_Toc463457927 \h </w:instrText>
            </w:r>
            <w:r>
              <w:rPr>
                <w:rFonts w:ascii="Arial" w:hAnsi="Arial" w:cs="Arial"/>
                <w:webHidden/>
              </w:rPr>
            </w:r>
            <w:r>
              <w:rPr>
                <w:rFonts w:ascii="Arial" w:hAnsi="Arial" w:cs="Arial"/>
                <w:webHidden/>
              </w:rPr>
              <w:fldChar w:fldCharType="separate"/>
            </w:r>
            <w:r>
              <w:rPr>
                <w:rFonts w:ascii="Arial" w:hAnsi="Arial" w:cs="Arial"/>
                <w:webHidden/>
              </w:rPr>
              <w:t>29</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928" w:history="1">
            <w:r>
              <w:rPr>
                <w:rStyle w:val="Hyperlink"/>
                <w:rFonts w:ascii="Arial" w:hAnsi="Arial" w:cs="Arial"/>
              </w:rPr>
              <w:t>B.</w:t>
            </w:r>
            <w:r>
              <w:rPr>
                <w:rFonts w:ascii="Arial" w:eastAsiaTheme="minorEastAsia" w:hAnsi="Arial" w:cs="Arial"/>
                <w:color w:val="auto"/>
                <w:lang w:eastAsia="es-AR"/>
              </w:rPr>
              <w:tab/>
            </w:r>
            <w:r>
              <w:rPr>
                <w:rStyle w:val="Hyperlink"/>
                <w:rFonts w:ascii="Arial" w:hAnsi="Arial" w:cs="Arial"/>
              </w:rPr>
              <w:t>SUPERVISION</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_Toc463457928 \h </w:instrText>
            </w:r>
            <w:r>
              <w:rPr>
                <w:rFonts w:ascii="Arial" w:hAnsi="Arial" w:cs="Arial"/>
                <w:webHidden/>
              </w:rPr>
            </w:r>
            <w:r>
              <w:rPr>
                <w:rFonts w:ascii="Arial" w:hAnsi="Arial" w:cs="Arial"/>
                <w:webHidden/>
              </w:rPr>
              <w:fldChar w:fldCharType="separate"/>
            </w:r>
            <w:r>
              <w:rPr>
                <w:rFonts w:ascii="Arial" w:hAnsi="Arial" w:cs="Arial"/>
                <w:webHidden/>
              </w:rPr>
              <w:t>29</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929" w:history="1">
            <w:r>
              <w:rPr>
                <w:rStyle w:val="Hyperlink"/>
                <w:rFonts w:ascii="Arial" w:hAnsi="Arial" w:cs="Arial"/>
              </w:rPr>
              <w:t>C.</w:t>
            </w:r>
            <w:r>
              <w:rPr>
                <w:rFonts w:ascii="Arial" w:eastAsiaTheme="minorEastAsia" w:hAnsi="Arial" w:cs="Arial"/>
                <w:color w:val="auto"/>
                <w:lang w:eastAsia="es-AR"/>
              </w:rPr>
              <w:tab/>
            </w:r>
            <w:r>
              <w:rPr>
                <w:rStyle w:val="Hyperlink"/>
                <w:rFonts w:ascii="Arial" w:hAnsi="Arial" w:cs="Arial"/>
              </w:rPr>
              <w:t>INFORMACION CONTABLE</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_Toc463457929 \h </w:instrText>
            </w:r>
            <w:r>
              <w:rPr>
                <w:rFonts w:ascii="Arial" w:hAnsi="Arial" w:cs="Arial"/>
                <w:webHidden/>
              </w:rPr>
            </w:r>
            <w:r>
              <w:rPr>
                <w:rFonts w:ascii="Arial" w:hAnsi="Arial" w:cs="Arial"/>
                <w:webHidden/>
              </w:rPr>
              <w:fldChar w:fldCharType="separate"/>
            </w:r>
            <w:r>
              <w:rPr>
                <w:rFonts w:ascii="Arial" w:hAnsi="Arial" w:cs="Arial"/>
                <w:webHidden/>
              </w:rPr>
              <w:t>29</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930" w:history="1">
            <w:r>
              <w:rPr>
                <w:rStyle w:val="Hyperlink"/>
                <w:rFonts w:ascii="Arial" w:hAnsi="Arial" w:cs="Arial"/>
              </w:rPr>
              <w:t>D.</w:t>
            </w:r>
            <w:r>
              <w:rPr>
                <w:rFonts w:ascii="Arial" w:eastAsiaTheme="minorEastAsia" w:hAnsi="Arial" w:cs="Arial"/>
                <w:color w:val="auto"/>
                <w:lang w:eastAsia="es-AR"/>
              </w:rPr>
              <w:tab/>
            </w:r>
            <w:r>
              <w:rPr>
                <w:rStyle w:val="Hyperlink"/>
                <w:rFonts w:ascii="Arial" w:hAnsi="Arial" w:cs="Arial"/>
              </w:rPr>
              <w:t>EVALUACION</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_Toc463457930 \h </w:instrText>
            </w:r>
            <w:r>
              <w:rPr>
                <w:rFonts w:ascii="Arial" w:hAnsi="Arial" w:cs="Arial"/>
                <w:webHidden/>
              </w:rPr>
            </w:r>
            <w:r>
              <w:rPr>
                <w:rFonts w:ascii="Arial" w:hAnsi="Arial" w:cs="Arial"/>
                <w:webHidden/>
              </w:rPr>
              <w:fldChar w:fldCharType="separate"/>
            </w:r>
            <w:r>
              <w:rPr>
                <w:rFonts w:ascii="Arial" w:hAnsi="Arial" w:cs="Arial"/>
                <w:webHidden/>
              </w:rPr>
              <w:t>29</w:t>
            </w:r>
            <w:r>
              <w:rPr>
                <w:rFonts w:ascii="Arial" w:hAnsi="Arial" w:cs="Arial"/>
                <w:webHidden/>
              </w:rPr>
              <w:fldChar w:fldCharType="end"/>
            </w:r>
          </w:hyperlink>
        </w:p>
        <w:p>
          <w:pPr>
            <w:pStyle w:val="TOC1"/>
            <w:rPr>
              <w:rFonts w:ascii="Arial" w:eastAsiaTheme="minorEastAsia" w:hAnsi="Arial" w:cs="Arial"/>
              <w:color w:val="auto"/>
              <w:lang w:eastAsia="es-AR"/>
            </w:rPr>
          </w:pPr>
          <w:hyperlink w:anchor="_Toc463457931" w:history="1">
            <w:r>
              <w:rPr>
                <w:rStyle w:val="Hyperlink"/>
                <w:rFonts w:ascii="Arial" w:hAnsi="Arial" w:cs="Arial"/>
              </w:rPr>
              <w:t>VII.</w:t>
            </w:r>
            <w:r>
              <w:rPr>
                <w:rFonts w:ascii="Arial" w:eastAsiaTheme="minorEastAsia" w:hAnsi="Arial" w:cs="Arial"/>
                <w:color w:val="auto"/>
                <w:lang w:eastAsia="es-AR"/>
              </w:rPr>
              <w:tab/>
            </w:r>
            <w:r>
              <w:rPr>
                <w:rStyle w:val="Hyperlink"/>
                <w:rFonts w:ascii="Arial" w:hAnsi="Arial" w:cs="Arial"/>
              </w:rPr>
              <w:t>AUDITORÍA</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_Toc463457931 \h </w:instrText>
            </w:r>
            <w:r>
              <w:rPr>
                <w:rFonts w:ascii="Arial" w:hAnsi="Arial" w:cs="Arial"/>
                <w:webHidden/>
              </w:rPr>
            </w:r>
            <w:r>
              <w:rPr>
                <w:rFonts w:ascii="Arial" w:hAnsi="Arial" w:cs="Arial"/>
                <w:webHidden/>
              </w:rPr>
              <w:fldChar w:fldCharType="separate"/>
            </w:r>
            <w:r>
              <w:rPr>
                <w:rFonts w:ascii="Arial" w:hAnsi="Arial" w:cs="Arial"/>
                <w:webHidden/>
              </w:rPr>
              <w:t>31</w:t>
            </w:r>
            <w:r>
              <w:rPr>
                <w:rFonts w:ascii="Arial" w:hAnsi="Arial" w:cs="Arial"/>
                <w:webHidden/>
              </w:rPr>
              <w:fldChar w:fldCharType="end"/>
            </w:r>
          </w:hyperlink>
        </w:p>
        <w:p>
          <w:pPr>
            <w:pStyle w:val="TOC1"/>
            <w:rPr>
              <w:rFonts w:ascii="Arial" w:eastAsiaTheme="minorEastAsia" w:hAnsi="Arial" w:cs="Arial"/>
              <w:color w:val="auto"/>
              <w:lang w:eastAsia="es-AR"/>
            </w:rPr>
          </w:pPr>
          <w:hyperlink w:anchor="_Toc463457932" w:history="1">
            <w:r>
              <w:rPr>
                <w:rStyle w:val="Hyperlink"/>
                <w:rFonts w:ascii="Arial" w:hAnsi="Arial" w:cs="Arial"/>
              </w:rPr>
              <w:t>VIII.</w:t>
            </w:r>
            <w:r>
              <w:rPr>
                <w:rFonts w:ascii="Arial" w:eastAsiaTheme="minorEastAsia" w:hAnsi="Arial" w:cs="Arial"/>
                <w:color w:val="auto"/>
                <w:lang w:eastAsia="es-AR"/>
              </w:rPr>
              <w:tab/>
            </w:r>
            <w:r>
              <w:rPr>
                <w:rStyle w:val="Hyperlink"/>
                <w:rFonts w:ascii="Arial" w:hAnsi="Arial" w:cs="Arial"/>
              </w:rPr>
              <w:t>TRANSPARENCIA Y DIFUSIÓN</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_Toc463457932 \h </w:instrText>
            </w:r>
            <w:r>
              <w:rPr>
                <w:rFonts w:ascii="Arial" w:hAnsi="Arial" w:cs="Arial"/>
                <w:webHidden/>
              </w:rPr>
            </w:r>
            <w:r>
              <w:rPr>
                <w:rFonts w:ascii="Arial" w:hAnsi="Arial" w:cs="Arial"/>
                <w:webHidden/>
              </w:rPr>
              <w:fldChar w:fldCharType="separate"/>
            </w:r>
            <w:r>
              <w:rPr>
                <w:rFonts w:ascii="Arial" w:hAnsi="Arial" w:cs="Arial"/>
                <w:webHidden/>
              </w:rPr>
              <w:t>31</w:t>
            </w:r>
            <w:r>
              <w:rPr>
                <w:rFonts w:ascii="Arial" w:hAnsi="Arial" w:cs="Arial"/>
                <w:webHidden/>
              </w:rPr>
              <w:fldChar w:fldCharType="end"/>
            </w:r>
          </w:hyperlink>
        </w:p>
        <w:p>
          <w:pPr>
            <w:pStyle w:val="TOC1"/>
            <w:rPr>
              <w:rFonts w:ascii="Arial" w:eastAsiaTheme="minorEastAsia" w:hAnsi="Arial" w:cs="Arial"/>
              <w:color w:val="auto"/>
              <w:lang w:eastAsia="es-AR"/>
            </w:rPr>
          </w:pPr>
          <w:hyperlink w:anchor="_Toc463457933" w:history="1">
            <w:r>
              <w:rPr>
                <w:rStyle w:val="Hyperlink"/>
                <w:rFonts w:ascii="Arial" w:hAnsi="Arial" w:cs="Arial"/>
              </w:rPr>
              <w:t>IX.</w:t>
            </w:r>
            <w:r>
              <w:rPr>
                <w:rFonts w:ascii="Arial" w:eastAsiaTheme="minorEastAsia" w:hAnsi="Arial" w:cs="Arial"/>
                <w:color w:val="auto"/>
                <w:lang w:eastAsia="es-AR"/>
              </w:rPr>
              <w:tab/>
            </w:r>
            <w:r>
              <w:rPr>
                <w:rStyle w:val="Hyperlink"/>
                <w:rFonts w:ascii="Arial" w:hAnsi="Arial" w:cs="Arial"/>
              </w:rPr>
              <w:t>ANEXOS</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_Toc463457933 \h </w:instrText>
            </w:r>
            <w:r>
              <w:rPr>
                <w:rFonts w:ascii="Arial" w:hAnsi="Arial" w:cs="Arial"/>
                <w:webHidden/>
              </w:rPr>
            </w:r>
            <w:r>
              <w:rPr>
                <w:rFonts w:ascii="Arial" w:hAnsi="Arial" w:cs="Arial"/>
                <w:webHidden/>
              </w:rPr>
              <w:fldChar w:fldCharType="separate"/>
            </w:r>
            <w:r>
              <w:rPr>
                <w:rFonts w:ascii="Arial" w:hAnsi="Arial" w:cs="Arial"/>
                <w:webHidden/>
              </w:rPr>
              <w:t>32</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934" w:history="1">
            <w:r>
              <w:rPr>
                <w:rStyle w:val="Hyperlink"/>
                <w:rFonts w:ascii="Arial" w:hAnsi="Arial" w:cs="Arial"/>
                <w:lang w:val="pt-BR"/>
              </w:rPr>
              <w:t>ANEXO I – MODELO DE CONVENIO MARCO DE ADHESIÓN</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_Toc463457934 \h </w:instrText>
            </w:r>
            <w:r>
              <w:rPr>
                <w:rFonts w:ascii="Arial" w:hAnsi="Arial" w:cs="Arial"/>
                <w:webHidden/>
              </w:rPr>
            </w:r>
            <w:r>
              <w:rPr>
                <w:rFonts w:ascii="Arial" w:hAnsi="Arial" w:cs="Arial"/>
                <w:webHidden/>
              </w:rPr>
              <w:fldChar w:fldCharType="separate"/>
            </w:r>
            <w:r>
              <w:rPr>
                <w:rFonts w:ascii="Arial" w:hAnsi="Arial" w:cs="Arial"/>
                <w:webHidden/>
              </w:rPr>
              <w:t>32</w:t>
            </w:r>
            <w:r>
              <w:rPr>
                <w:rFonts w:ascii="Arial" w:hAnsi="Arial" w:cs="Arial"/>
                <w:webHidden/>
              </w:rPr>
              <w:fldChar w:fldCharType="end"/>
            </w:r>
          </w:hyperlink>
        </w:p>
        <w:p>
          <w:pPr>
            <w:pStyle w:val="TOC2"/>
            <w:rPr>
              <w:rFonts w:ascii="Arial" w:eastAsiaTheme="minorEastAsia" w:hAnsi="Arial" w:cs="Arial"/>
              <w:color w:val="auto"/>
              <w:lang w:eastAsia="es-AR"/>
            </w:rPr>
          </w:pPr>
          <w:hyperlink w:anchor="_Toc463457935" w:history="1">
            <w:r>
              <w:rPr>
                <w:rStyle w:val="Hyperlink"/>
                <w:rFonts w:ascii="Arial" w:hAnsi="Arial" w:cs="Arial"/>
                <w:lang w:val="pt-BR"/>
              </w:rPr>
              <w:t>ANEXO II – MODELO DE PROTOCOLO ESPECÍFICO</w:t>
            </w:r>
            <w:r>
              <w:rPr>
                <w:rFonts w:ascii="Arial" w:hAnsi="Arial" w:cs="Arial"/>
                <w:webHidden/>
              </w:rPr>
              <w:tab/>
            </w:r>
            <w:r>
              <w:rPr>
                <w:rFonts w:ascii="Arial" w:hAnsi="Arial" w:cs="Arial"/>
                <w:webHidden/>
              </w:rPr>
              <w:fldChar w:fldCharType="begin"/>
            </w:r>
            <w:r>
              <w:rPr>
                <w:rFonts w:ascii="Arial" w:hAnsi="Arial" w:cs="Arial"/>
                <w:webHidden/>
              </w:rPr>
              <w:instrText xml:space="preserve"> PAGEREF _Toc463457935 \h </w:instrText>
            </w:r>
            <w:r>
              <w:rPr>
                <w:rFonts w:ascii="Arial" w:hAnsi="Arial" w:cs="Arial"/>
                <w:webHidden/>
              </w:rPr>
            </w:r>
            <w:r>
              <w:rPr>
                <w:rFonts w:ascii="Arial" w:hAnsi="Arial" w:cs="Arial"/>
                <w:webHidden/>
              </w:rPr>
              <w:fldChar w:fldCharType="separate"/>
            </w:r>
            <w:r>
              <w:rPr>
                <w:rFonts w:ascii="Arial" w:hAnsi="Arial" w:cs="Arial"/>
                <w:webHidden/>
              </w:rPr>
              <w:t>36</w:t>
            </w:r>
            <w:r>
              <w:rPr>
                <w:rFonts w:ascii="Arial" w:hAnsi="Arial" w:cs="Arial"/>
                <w:webHidden/>
              </w:rPr>
              <w:fldChar w:fldCharType="end"/>
            </w:r>
          </w:hyperlink>
        </w:p>
        <w:p>
          <w:pPr>
            <w:rPr>
              <w:rFonts w:ascii="Arial" w:hAnsi="Arial" w:cs="Arial"/>
            </w:rPr>
          </w:pPr>
          <w:r>
            <w:rPr>
              <w:rFonts w:ascii="Arial" w:hAnsi="Arial" w:cs="Arial"/>
              <w:b/>
              <w:bCs/>
              <w:noProof/>
            </w:rPr>
            <w:fldChar w:fldCharType="end"/>
          </w:r>
        </w:p>
      </w:sdtContent>
    </w:sdt>
    <w:p>
      <w:pPr>
        <w:pStyle w:val="ListParagraph"/>
        <w:numPr>
          <w:ilvl w:val="0"/>
          <w:numId w:val="3"/>
        </w:numPr>
        <w:pBdr>
          <w:bottom w:val="single" w:sz="4" w:space="1" w:color="365F91" w:themeColor="accent1" w:themeShade="BF"/>
        </w:pBdr>
        <w:spacing w:after="120"/>
        <w:ind w:left="450" w:hanging="450"/>
        <w:jc w:val="both"/>
        <w:outlineLvl w:val="0"/>
        <w:rPr>
          <w:rFonts w:ascii="Arial" w:hAnsi="Arial" w:cs="Arial"/>
          <w:b/>
          <w:color w:val="365F91" w:themeColor="accent1" w:themeShade="BF"/>
          <w:sz w:val="24"/>
          <w:szCs w:val="24"/>
          <w:lang w:val="es-AR"/>
        </w:rPr>
      </w:pPr>
      <w:bookmarkStart w:id="1" w:name="_Toc463457866"/>
      <w:r>
        <w:rPr>
          <w:rFonts w:ascii="Arial" w:hAnsi="Arial" w:cs="Arial"/>
          <w:b/>
          <w:color w:val="365F91" w:themeColor="accent1" w:themeShade="BF"/>
          <w:sz w:val="24"/>
          <w:szCs w:val="24"/>
          <w:lang w:val="es-AR"/>
        </w:rPr>
        <w:lastRenderedPageBreak/>
        <w:t>REGLAMENTO OPERATIVO DEL PROGRAMA</w:t>
      </w:r>
      <w:bookmarkEnd w:id="1"/>
    </w:p>
    <w:p>
      <w:pPr>
        <w:spacing w:after="120" w:line="240" w:lineRule="auto"/>
        <w:jc w:val="both"/>
        <w:rPr>
          <w:rFonts w:ascii="Arial" w:hAnsi="Arial" w:cs="Arial"/>
          <w:b/>
          <w:sz w:val="24"/>
          <w:szCs w:val="24"/>
          <w:lang w:val="es-AR"/>
        </w:rPr>
      </w:pPr>
    </w:p>
    <w:p>
      <w:pPr>
        <w:pStyle w:val="ListParagraph"/>
        <w:numPr>
          <w:ilvl w:val="1"/>
          <w:numId w:val="7"/>
        </w:numPr>
        <w:spacing w:after="120" w:line="240" w:lineRule="auto"/>
        <w:ind w:left="450" w:hanging="450"/>
        <w:contextualSpacing w:val="0"/>
        <w:jc w:val="both"/>
        <w:rPr>
          <w:rFonts w:ascii="Arial" w:hAnsi="Arial" w:cs="Arial"/>
          <w:b/>
          <w:sz w:val="24"/>
          <w:szCs w:val="24"/>
          <w:lang w:val="es-AR"/>
        </w:rPr>
      </w:pPr>
      <w:r>
        <w:rPr>
          <w:rFonts w:ascii="Arial" w:hAnsi="Arial" w:cs="Arial"/>
          <w:b/>
          <w:sz w:val="24"/>
          <w:szCs w:val="24"/>
          <w:lang w:val="es-AR"/>
        </w:rPr>
        <w:t xml:space="preserve">Objetivo. </w:t>
      </w:r>
      <w:r>
        <w:rPr>
          <w:rFonts w:ascii="Arial" w:hAnsi="Arial" w:cs="Arial"/>
          <w:sz w:val="24"/>
          <w:szCs w:val="24"/>
          <w:lang w:val="es-AR"/>
        </w:rPr>
        <w:t>El Objetivo del Reglamento Operativo del Programa (“ROP”) es instrumentar las normas y procedimientos de ejecución establecidos en el Anexo Único del Contrato de Préstamo del Programa de referencia.</w:t>
      </w:r>
    </w:p>
    <w:p>
      <w:pPr>
        <w:pStyle w:val="ListParagraph"/>
        <w:numPr>
          <w:ilvl w:val="1"/>
          <w:numId w:val="7"/>
        </w:numPr>
        <w:spacing w:after="120" w:line="240" w:lineRule="auto"/>
        <w:ind w:left="450" w:hanging="450"/>
        <w:contextualSpacing w:val="0"/>
        <w:jc w:val="both"/>
        <w:rPr>
          <w:rFonts w:ascii="Arial" w:hAnsi="Arial" w:cs="Arial"/>
          <w:b/>
          <w:sz w:val="24"/>
          <w:szCs w:val="24"/>
          <w:lang w:val="es-AR"/>
        </w:rPr>
      </w:pPr>
      <w:r>
        <w:rPr>
          <w:rFonts w:ascii="Arial" w:hAnsi="Arial" w:cs="Arial"/>
          <w:b/>
          <w:sz w:val="24"/>
          <w:szCs w:val="24"/>
          <w:lang w:val="es-AR"/>
        </w:rPr>
        <w:t xml:space="preserve">Alcance y vigencia. </w:t>
      </w:r>
      <w:r>
        <w:rPr>
          <w:rFonts w:ascii="Arial" w:hAnsi="Arial" w:cs="Arial"/>
          <w:sz w:val="24"/>
          <w:szCs w:val="24"/>
          <w:lang w:val="es-AR"/>
        </w:rPr>
        <w:t>El presente ROP establece las principales regulaciones normativas relacionadas al funcionamiento, estructura orgánica y procedimientos de trabajo que deberán seguir las instituciones y organismos que participan en la ejecución del Programa. Dichas regulaciones garantizan las seguridades técnica, administrativa y financiera requeridas para alcanzar los resultados y metas esperadas.</w:t>
      </w:r>
    </w:p>
    <w:p>
      <w:pPr>
        <w:pStyle w:val="ListParagraph"/>
        <w:numPr>
          <w:ilvl w:val="1"/>
          <w:numId w:val="7"/>
        </w:numPr>
        <w:spacing w:after="120" w:line="240" w:lineRule="auto"/>
        <w:ind w:left="450" w:hanging="450"/>
        <w:contextualSpacing w:val="0"/>
        <w:jc w:val="both"/>
        <w:rPr>
          <w:rFonts w:ascii="Arial" w:hAnsi="Arial" w:cs="Arial"/>
          <w:b/>
          <w:sz w:val="24"/>
          <w:szCs w:val="24"/>
          <w:lang w:val="es-AR"/>
        </w:rPr>
      </w:pPr>
      <w:r>
        <w:rPr>
          <w:rFonts w:ascii="Arial" w:hAnsi="Arial" w:cs="Arial"/>
          <w:b/>
          <w:sz w:val="24"/>
          <w:szCs w:val="24"/>
          <w:lang w:val="es-AR"/>
        </w:rPr>
        <w:t xml:space="preserve">Interpretación. </w:t>
      </w:r>
      <w:r>
        <w:rPr>
          <w:rFonts w:ascii="Arial" w:hAnsi="Arial" w:cs="Arial"/>
          <w:sz w:val="24"/>
          <w:szCs w:val="24"/>
          <w:lang w:val="es-AR"/>
        </w:rPr>
        <w:t>Mantiene la estructura y el contenido del Anexo Único del Contrato de Préstamo suscrito entre la República Argentina y el Banco Interamericano de Desarrollo (“BID” o “Banco”), mitigando el riesgo de interpretaciones divergentes. Si alguna disposición del presente no guardare consonancia o contradijera el Contrato de Préstamo, prevalecerá lo previsto en este último.</w:t>
      </w:r>
    </w:p>
    <w:p>
      <w:pPr>
        <w:pStyle w:val="ListParagraph"/>
        <w:numPr>
          <w:ilvl w:val="1"/>
          <w:numId w:val="7"/>
        </w:numPr>
        <w:spacing w:after="120" w:line="240" w:lineRule="auto"/>
        <w:ind w:left="450" w:hanging="450"/>
        <w:contextualSpacing w:val="0"/>
        <w:jc w:val="both"/>
        <w:rPr>
          <w:rFonts w:ascii="Arial" w:hAnsi="Arial" w:cs="Arial"/>
          <w:b/>
          <w:sz w:val="24"/>
          <w:szCs w:val="24"/>
          <w:lang w:val="es-AR"/>
        </w:rPr>
      </w:pPr>
      <w:r>
        <w:rPr>
          <w:rFonts w:ascii="Arial" w:hAnsi="Arial" w:cs="Arial"/>
          <w:b/>
          <w:sz w:val="24"/>
          <w:szCs w:val="24"/>
          <w:lang w:val="es-AR"/>
        </w:rPr>
        <w:t xml:space="preserve">Modificaciones. </w:t>
      </w:r>
      <w:r>
        <w:rPr>
          <w:rFonts w:ascii="Arial" w:hAnsi="Arial" w:cs="Arial"/>
          <w:sz w:val="24"/>
          <w:szCs w:val="24"/>
          <w:lang w:val="es-AR"/>
        </w:rPr>
        <w:t>La introducción de cambios necesarios y/o convenientes a las disposiciones de este ROP, siempre que no afecten las disposiciones contractuales ni los objetivos del Programa, deberán ser acordados entre el Prestatario, por si o a través del Organismo Ejecutor, y el Banco en forma previa a su entrada en vigencia.</w:t>
      </w:r>
    </w:p>
    <w:p>
      <w:pPr>
        <w:pStyle w:val="ListParagraph"/>
        <w:numPr>
          <w:ilvl w:val="1"/>
          <w:numId w:val="7"/>
        </w:numPr>
        <w:spacing w:after="120" w:line="240" w:lineRule="auto"/>
        <w:ind w:left="450" w:hanging="450"/>
        <w:contextualSpacing w:val="0"/>
        <w:jc w:val="both"/>
        <w:rPr>
          <w:rFonts w:ascii="Arial" w:hAnsi="Arial" w:cs="Arial"/>
          <w:b/>
          <w:sz w:val="24"/>
          <w:szCs w:val="24"/>
          <w:lang w:val="es-AR"/>
        </w:rPr>
      </w:pPr>
      <w:r>
        <w:rPr>
          <w:rFonts w:ascii="Arial" w:hAnsi="Arial" w:cs="Arial"/>
          <w:b/>
          <w:sz w:val="24"/>
          <w:szCs w:val="24"/>
          <w:lang w:val="es-AR"/>
        </w:rPr>
        <w:t xml:space="preserve">Abreviaturas. </w:t>
      </w:r>
    </w:p>
    <w:tbl>
      <w:tblPr>
        <w:tblW w:w="864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30"/>
        <w:gridCol w:w="7110"/>
      </w:tblGrid>
      <w:tr>
        <w:trPr>
          <w:cantSplit/>
          <w:trHeight w:val="20"/>
        </w:trPr>
        <w:tc>
          <w:tcPr>
            <w:tcW w:w="8640" w:type="dxa"/>
            <w:gridSpan w:val="2"/>
            <w:tcBorders>
              <w:top w:val="single" w:sz="4" w:space="0" w:color="auto"/>
              <w:bottom w:val="single" w:sz="4" w:space="0" w:color="auto"/>
            </w:tcBorders>
            <w:shd w:val="clear" w:color="auto" w:fill="BFBFBF" w:themeFill="background1" w:themeFillShade="BF"/>
            <w:vAlign w:val="center"/>
          </w:tcPr>
          <w:p>
            <w:pPr>
              <w:jc w:val="center"/>
              <w:rPr>
                <w:rFonts w:ascii="Arial" w:hAnsi="Arial" w:cs="Arial"/>
                <w:b/>
                <w:smallCaps/>
                <w:lang w:val="es-ES"/>
              </w:rPr>
            </w:pPr>
            <w:r>
              <w:rPr>
                <w:rFonts w:ascii="Arial" w:eastAsia="Arial Unicode MS" w:hAnsi="Arial" w:cs="Arial"/>
                <w:b/>
                <w:bCs/>
                <w:smallCaps/>
                <w:lang w:val="es-ES"/>
              </w:rPr>
              <w:t>Abreviaturas</w:t>
            </w:r>
          </w:p>
        </w:tc>
      </w:tr>
      <w:tr>
        <w:trPr>
          <w:cantSplit/>
          <w:trHeight w:val="20"/>
        </w:trPr>
        <w:tc>
          <w:tcPr>
            <w:tcW w:w="1530" w:type="dxa"/>
            <w:vAlign w:val="center"/>
          </w:tcPr>
          <w:p>
            <w:pPr>
              <w:rPr>
                <w:rFonts w:ascii="Arial" w:hAnsi="Arial" w:cs="Arial"/>
                <w:lang w:val="es-ES"/>
              </w:rPr>
            </w:pPr>
            <w:r>
              <w:rPr>
                <w:rFonts w:ascii="Arial" w:hAnsi="Arial" w:cs="Arial"/>
                <w:lang w:val="es-ES"/>
              </w:rPr>
              <w:t>AFIP</w:t>
            </w:r>
          </w:p>
        </w:tc>
        <w:tc>
          <w:tcPr>
            <w:tcW w:w="7110" w:type="dxa"/>
            <w:vAlign w:val="center"/>
          </w:tcPr>
          <w:p>
            <w:pPr>
              <w:rPr>
                <w:rFonts w:ascii="Arial" w:hAnsi="Arial" w:cs="Arial"/>
                <w:lang w:val="es-ES"/>
              </w:rPr>
            </w:pPr>
            <w:r>
              <w:rPr>
                <w:rFonts w:ascii="Arial" w:hAnsi="Arial" w:cs="Arial"/>
                <w:lang w:val="es-ES"/>
              </w:rPr>
              <w:t>Agencia Federal de Ingresos Públicos</w:t>
            </w:r>
          </w:p>
        </w:tc>
      </w:tr>
      <w:tr>
        <w:trPr>
          <w:cantSplit/>
          <w:trHeight w:val="20"/>
        </w:trPr>
        <w:tc>
          <w:tcPr>
            <w:tcW w:w="1530" w:type="dxa"/>
            <w:vAlign w:val="center"/>
          </w:tcPr>
          <w:p>
            <w:pPr>
              <w:rPr>
                <w:rFonts w:ascii="Arial" w:hAnsi="Arial" w:cs="Arial"/>
                <w:lang w:val="es-ES"/>
              </w:rPr>
            </w:pPr>
            <w:r>
              <w:rPr>
                <w:rFonts w:ascii="Arial" w:hAnsi="Arial" w:cs="Arial"/>
                <w:lang w:val="es-ES"/>
              </w:rPr>
              <w:t>AGN</w:t>
            </w:r>
          </w:p>
        </w:tc>
        <w:tc>
          <w:tcPr>
            <w:tcW w:w="7110" w:type="dxa"/>
            <w:vAlign w:val="center"/>
          </w:tcPr>
          <w:p>
            <w:pPr>
              <w:rPr>
                <w:rFonts w:ascii="Arial" w:hAnsi="Arial" w:cs="Arial"/>
                <w:lang w:val="es-ES"/>
              </w:rPr>
            </w:pPr>
            <w:r>
              <w:rPr>
                <w:rFonts w:ascii="Arial" w:hAnsi="Arial" w:cs="Arial"/>
                <w:lang w:val="es-ES_tradnl"/>
              </w:rPr>
              <w:t>Auditoría General de la Nación</w:t>
            </w:r>
          </w:p>
        </w:tc>
      </w:tr>
      <w:tr>
        <w:trPr>
          <w:cantSplit/>
          <w:trHeight w:val="20"/>
        </w:trPr>
        <w:tc>
          <w:tcPr>
            <w:tcW w:w="1530" w:type="dxa"/>
            <w:vAlign w:val="center"/>
          </w:tcPr>
          <w:p>
            <w:pPr>
              <w:rPr>
                <w:rFonts w:ascii="Arial" w:hAnsi="Arial" w:cs="Arial"/>
                <w:lang w:val="es-ES"/>
              </w:rPr>
            </w:pPr>
            <w:r>
              <w:rPr>
                <w:rFonts w:ascii="Arial" w:hAnsi="Arial" w:cs="Arial"/>
                <w:lang w:val="es-ES"/>
              </w:rPr>
              <w:t>ALC</w:t>
            </w:r>
          </w:p>
        </w:tc>
        <w:tc>
          <w:tcPr>
            <w:tcW w:w="7110" w:type="dxa"/>
            <w:vAlign w:val="center"/>
          </w:tcPr>
          <w:p>
            <w:pPr>
              <w:rPr>
                <w:rFonts w:ascii="Arial" w:hAnsi="Arial" w:cs="Arial"/>
                <w:lang w:val="es-ES"/>
              </w:rPr>
            </w:pPr>
            <w:r>
              <w:rPr>
                <w:rFonts w:ascii="Arial" w:hAnsi="Arial" w:cs="Arial"/>
                <w:lang w:val="es-ES"/>
              </w:rPr>
              <w:t>América Latina y el Caribe</w:t>
            </w:r>
          </w:p>
        </w:tc>
      </w:tr>
      <w:tr>
        <w:trPr>
          <w:cantSplit/>
          <w:trHeight w:val="20"/>
        </w:trPr>
        <w:tc>
          <w:tcPr>
            <w:tcW w:w="1530" w:type="dxa"/>
            <w:vAlign w:val="center"/>
          </w:tcPr>
          <w:p>
            <w:pPr>
              <w:rPr>
                <w:rFonts w:ascii="Arial" w:hAnsi="Arial" w:cs="Arial"/>
                <w:lang w:val="es-ES"/>
              </w:rPr>
            </w:pPr>
            <w:r>
              <w:rPr>
                <w:rFonts w:ascii="Arial" w:hAnsi="Arial" w:cs="Arial"/>
                <w:lang w:val="es-ES"/>
              </w:rPr>
              <w:t>AT</w:t>
            </w:r>
          </w:p>
        </w:tc>
        <w:tc>
          <w:tcPr>
            <w:tcW w:w="7110" w:type="dxa"/>
            <w:vAlign w:val="center"/>
          </w:tcPr>
          <w:p>
            <w:pPr>
              <w:rPr>
                <w:rFonts w:ascii="Arial" w:hAnsi="Arial" w:cs="Arial"/>
                <w:lang w:val="es-ES"/>
              </w:rPr>
            </w:pPr>
            <w:r>
              <w:rPr>
                <w:rFonts w:ascii="Arial" w:hAnsi="Arial" w:cs="Arial"/>
                <w:lang w:val="es-ES"/>
              </w:rPr>
              <w:t>Administración Tributaria</w:t>
            </w:r>
          </w:p>
        </w:tc>
      </w:tr>
      <w:tr>
        <w:trPr>
          <w:cantSplit/>
          <w:trHeight w:val="20"/>
        </w:trPr>
        <w:tc>
          <w:tcPr>
            <w:tcW w:w="1530" w:type="dxa"/>
          </w:tcPr>
          <w:p>
            <w:pPr>
              <w:rPr>
                <w:rFonts w:ascii="Arial" w:hAnsi="Arial" w:cs="Arial"/>
                <w:lang w:val="es-ES"/>
              </w:rPr>
            </w:pPr>
            <w:r>
              <w:rPr>
                <w:rFonts w:ascii="Arial" w:eastAsia="Arial" w:hAnsi="Arial" w:cs="Arial"/>
                <w:bCs/>
              </w:rPr>
              <w:t>CAPTAC</w:t>
            </w:r>
            <w:r>
              <w:rPr>
                <w:rFonts w:ascii="Arial" w:eastAsia="Arial" w:hAnsi="Arial" w:cs="Arial"/>
              </w:rPr>
              <w:t>-DR</w:t>
            </w:r>
          </w:p>
        </w:tc>
        <w:tc>
          <w:tcPr>
            <w:tcW w:w="7110" w:type="dxa"/>
          </w:tcPr>
          <w:p>
            <w:pPr>
              <w:rPr>
                <w:rFonts w:ascii="Arial" w:hAnsi="Arial" w:cs="Arial"/>
                <w:lang w:val="es-ES"/>
              </w:rPr>
            </w:pPr>
            <w:r>
              <w:rPr>
                <w:rFonts w:ascii="Arial" w:eastAsia="Arial" w:hAnsi="Arial" w:cs="Arial"/>
              </w:rPr>
              <w:t xml:space="preserve">Centro Regional de Asistencia Técnica para Centroamérica, Panamá y República Dominicana </w:t>
            </w:r>
          </w:p>
        </w:tc>
      </w:tr>
      <w:tr>
        <w:trPr>
          <w:cantSplit/>
          <w:trHeight w:val="20"/>
        </w:trPr>
        <w:tc>
          <w:tcPr>
            <w:tcW w:w="1530" w:type="dxa"/>
          </w:tcPr>
          <w:p>
            <w:pPr>
              <w:rPr>
                <w:rFonts w:ascii="Arial" w:eastAsia="Arial" w:hAnsi="Arial" w:cs="Arial"/>
                <w:bCs/>
              </w:rPr>
            </w:pPr>
            <w:r>
              <w:rPr>
                <w:rFonts w:ascii="Arial" w:eastAsia="Arial" w:hAnsi="Arial" w:cs="Arial"/>
              </w:rPr>
              <w:t>CCLIP</w:t>
            </w:r>
          </w:p>
        </w:tc>
        <w:tc>
          <w:tcPr>
            <w:tcW w:w="7110" w:type="dxa"/>
          </w:tcPr>
          <w:p>
            <w:pPr>
              <w:rPr>
                <w:rFonts w:ascii="Arial" w:eastAsia="Arial" w:hAnsi="Arial" w:cs="Arial"/>
                <w:lang w:val="es-ES_tradnl"/>
              </w:rPr>
            </w:pPr>
            <w:r>
              <w:rPr>
                <w:rFonts w:ascii="Arial" w:eastAsia="Arial" w:hAnsi="Arial" w:cs="Arial"/>
                <w:lang w:val="es-ES_tradnl"/>
              </w:rPr>
              <w:t>Línea de Crédito Condicional para Préstamos de Inversión</w:t>
            </w:r>
          </w:p>
        </w:tc>
      </w:tr>
      <w:tr>
        <w:trPr>
          <w:cantSplit/>
          <w:trHeight w:val="20"/>
        </w:trPr>
        <w:tc>
          <w:tcPr>
            <w:tcW w:w="1530" w:type="dxa"/>
            <w:vAlign w:val="center"/>
          </w:tcPr>
          <w:p>
            <w:pPr>
              <w:rPr>
                <w:rFonts w:ascii="Arial" w:hAnsi="Arial" w:cs="Arial"/>
                <w:lang w:val="es-ES"/>
              </w:rPr>
            </w:pPr>
            <w:r>
              <w:rPr>
                <w:rFonts w:ascii="Arial" w:eastAsia="Arial" w:hAnsi="Arial" w:cs="Arial"/>
              </w:rPr>
              <w:t>CIAT</w:t>
            </w:r>
          </w:p>
        </w:tc>
        <w:tc>
          <w:tcPr>
            <w:tcW w:w="7110" w:type="dxa"/>
            <w:vAlign w:val="center"/>
          </w:tcPr>
          <w:p>
            <w:pPr>
              <w:rPr>
                <w:rFonts w:ascii="Arial" w:hAnsi="Arial" w:cs="Arial"/>
                <w:i/>
                <w:lang w:val="es-ES"/>
              </w:rPr>
            </w:pPr>
            <w:r>
              <w:rPr>
                <w:rFonts w:ascii="Arial" w:eastAsia="Arial" w:hAnsi="Arial" w:cs="Arial"/>
              </w:rPr>
              <w:t>Centro Interamericano de Administraciones Tributarias</w:t>
            </w:r>
          </w:p>
        </w:tc>
      </w:tr>
      <w:tr>
        <w:trPr>
          <w:cantSplit/>
          <w:trHeight w:val="20"/>
        </w:trPr>
        <w:tc>
          <w:tcPr>
            <w:tcW w:w="1530" w:type="dxa"/>
            <w:vAlign w:val="center"/>
          </w:tcPr>
          <w:p>
            <w:pPr>
              <w:rPr>
                <w:rFonts w:ascii="Arial" w:hAnsi="Arial" w:cs="Arial"/>
                <w:lang w:val="es-ES"/>
              </w:rPr>
            </w:pPr>
            <w:r>
              <w:rPr>
                <w:rFonts w:ascii="Arial" w:hAnsi="Arial" w:cs="Arial"/>
                <w:lang w:val="es-ES"/>
              </w:rPr>
              <w:t>CO</w:t>
            </w:r>
          </w:p>
        </w:tc>
        <w:tc>
          <w:tcPr>
            <w:tcW w:w="7110" w:type="dxa"/>
            <w:vAlign w:val="center"/>
          </w:tcPr>
          <w:p>
            <w:pPr>
              <w:rPr>
                <w:rFonts w:ascii="Arial" w:hAnsi="Arial" w:cs="Arial"/>
                <w:lang w:val="es-ES"/>
              </w:rPr>
            </w:pPr>
            <w:r>
              <w:rPr>
                <w:rFonts w:ascii="Arial" w:hAnsi="Arial" w:cs="Arial"/>
                <w:lang w:val="es-ES"/>
              </w:rPr>
              <w:t>Capital Ordinario</w:t>
            </w:r>
          </w:p>
        </w:tc>
      </w:tr>
      <w:tr>
        <w:trPr>
          <w:cantSplit/>
          <w:trHeight w:val="20"/>
        </w:trPr>
        <w:tc>
          <w:tcPr>
            <w:tcW w:w="1530" w:type="dxa"/>
            <w:vAlign w:val="center"/>
          </w:tcPr>
          <w:p>
            <w:pPr>
              <w:rPr>
                <w:rFonts w:ascii="Arial" w:hAnsi="Arial" w:cs="Arial"/>
                <w:lang w:val="es-ES"/>
              </w:rPr>
            </w:pPr>
            <w:r>
              <w:rPr>
                <w:rFonts w:ascii="Arial" w:hAnsi="Arial" w:cs="Arial"/>
                <w:bCs/>
              </w:rPr>
              <w:t>CRF</w:t>
            </w:r>
          </w:p>
        </w:tc>
        <w:tc>
          <w:tcPr>
            <w:tcW w:w="7110" w:type="dxa"/>
            <w:vAlign w:val="center"/>
          </w:tcPr>
          <w:p>
            <w:pPr>
              <w:rPr>
                <w:rFonts w:ascii="Arial" w:hAnsi="Arial" w:cs="Arial"/>
                <w:lang w:val="es-ES"/>
              </w:rPr>
            </w:pPr>
            <w:r>
              <w:rPr>
                <w:rFonts w:ascii="Arial" w:hAnsi="Arial" w:cs="Arial"/>
                <w:bCs/>
              </w:rPr>
              <w:t xml:space="preserve">Marco de Resultados Corporativos </w:t>
            </w:r>
          </w:p>
        </w:tc>
      </w:tr>
      <w:tr>
        <w:trPr>
          <w:cantSplit/>
          <w:trHeight w:val="20"/>
        </w:trPr>
        <w:tc>
          <w:tcPr>
            <w:tcW w:w="1530" w:type="dxa"/>
            <w:vAlign w:val="center"/>
          </w:tcPr>
          <w:p>
            <w:pPr>
              <w:rPr>
                <w:rFonts w:ascii="Arial" w:hAnsi="Arial" w:cs="Arial"/>
                <w:lang w:val="es-ES"/>
              </w:rPr>
            </w:pPr>
            <w:r>
              <w:rPr>
                <w:rFonts w:ascii="Arial" w:hAnsi="Arial" w:cs="Arial"/>
                <w:lang w:val="es-ES"/>
              </w:rPr>
              <w:t>CRM</w:t>
            </w:r>
          </w:p>
        </w:tc>
        <w:tc>
          <w:tcPr>
            <w:tcW w:w="7110" w:type="dxa"/>
            <w:vAlign w:val="center"/>
          </w:tcPr>
          <w:p>
            <w:pPr>
              <w:rPr>
                <w:rFonts w:ascii="Arial" w:hAnsi="Arial" w:cs="Arial"/>
                <w:i/>
              </w:rPr>
            </w:pPr>
            <w:r>
              <w:rPr>
                <w:rFonts w:ascii="Arial" w:hAnsi="Arial" w:cs="Arial"/>
                <w:i/>
              </w:rPr>
              <w:t xml:space="preserve">Customer Relationship Management </w:t>
            </w:r>
          </w:p>
        </w:tc>
      </w:tr>
      <w:tr>
        <w:trPr>
          <w:cantSplit/>
          <w:trHeight w:val="20"/>
        </w:trPr>
        <w:tc>
          <w:tcPr>
            <w:tcW w:w="1530" w:type="dxa"/>
            <w:vAlign w:val="center"/>
          </w:tcPr>
          <w:p>
            <w:pPr>
              <w:rPr>
                <w:rFonts w:ascii="Arial" w:hAnsi="Arial" w:cs="Arial"/>
                <w:lang w:val="es-ES"/>
              </w:rPr>
            </w:pPr>
            <w:r>
              <w:rPr>
                <w:rFonts w:ascii="Arial" w:hAnsi="Arial" w:cs="Arial"/>
                <w:lang w:val="es-ES"/>
              </w:rPr>
              <w:t>DEL</w:t>
            </w:r>
          </w:p>
        </w:tc>
        <w:tc>
          <w:tcPr>
            <w:tcW w:w="7110" w:type="dxa"/>
            <w:vAlign w:val="center"/>
          </w:tcPr>
          <w:p>
            <w:pPr>
              <w:rPr>
                <w:rFonts w:ascii="Arial" w:hAnsi="Arial" w:cs="Arial"/>
                <w:i/>
              </w:rPr>
            </w:pPr>
            <w:r>
              <w:rPr>
                <w:rFonts w:ascii="Arial" w:hAnsi="Arial" w:cs="Arial"/>
                <w:lang w:eastAsia="es-ES_tradnl"/>
              </w:rPr>
              <w:t>Documentos Estándar de Licitaciones</w:t>
            </w:r>
          </w:p>
        </w:tc>
      </w:tr>
      <w:tr>
        <w:trPr>
          <w:cantSplit/>
          <w:trHeight w:val="20"/>
        </w:trPr>
        <w:tc>
          <w:tcPr>
            <w:tcW w:w="1530" w:type="dxa"/>
            <w:vAlign w:val="center"/>
          </w:tcPr>
          <w:p>
            <w:pPr>
              <w:rPr>
                <w:rFonts w:ascii="Arial" w:hAnsi="Arial" w:cs="Arial"/>
                <w:lang w:val="es-ES"/>
              </w:rPr>
            </w:pPr>
            <w:r>
              <w:rPr>
                <w:rFonts w:ascii="Arial" w:hAnsi="Arial" w:cs="Arial"/>
                <w:lang w:val="es-ES"/>
              </w:rPr>
              <w:t>DGA</w:t>
            </w:r>
          </w:p>
        </w:tc>
        <w:tc>
          <w:tcPr>
            <w:tcW w:w="7110" w:type="dxa"/>
            <w:vAlign w:val="center"/>
          </w:tcPr>
          <w:p>
            <w:pPr>
              <w:rPr>
                <w:rFonts w:ascii="Arial" w:hAnsi="Arial" w:cs="Arial"/>
                <w:lang w:val="es-ES"/>
              </w:rPr>
            </w:pPr>
            <w:r>
              <w:rPr>
                <w:rFonts w:ascii="Arial" w:hAnsi="Arial" w:cs="Arial"/>
                <w:lang w:val="es-ES"/>
              </w:rPr>
              <w:t>Dirección General de Aduanas</w:t>
            </w:r>
          </w:p>
        </w:tc>
      </w:tr>
      <w:tr>
        <w:trPr>
          <w:cantSplit/>
          <w:trHeight w:val="20"/>
        </w:trPr>
        <w:tc>
          <w:tcPr>
            <w:tcW w:w="1530" w:type="dxa"/>
            <w:vAlign w:val="center"/>
          </w:tcPr>
          <w:p>
            <w:pPr>
              <w:rPr>
                <w:rFonts w:ascii="Arial" w:hAnsi="Arial" w:cs="Arial"/>
                <w:lang w:val="es-ES"/>
              </w:rPr>
            </w:pPr>
            <w:r>
              <w:rPr>
                <w:rFonts w:ascii="Arial" w:hAnsi="Arial" w:cs="Arial"/>
                <w:lang w:val="es-ES"/>
              </w:rPr>
              <w:t>DGI</w:t>
            </w:r>
          </w:p>
        </w:tc>
        <w:tc>
          <w:tcPr>
            <w:tcW w:w="7110" w:type="dxa"/>
            <w:vAlign w:val="center"/>
          </w:tcPr>
          <w:p>
            <w:pPr>
              <w:rPr>
                <w:rFonts w:ascii="Arial" w:hAnsi="Arial" w:cs="Arial"/>
                <w:lang w:val="es-ES"/>
              </w:rPr>
            </w:pPr>
            <w:r>
              <w:rPr>
                <w:rFonts w:ascii="Arial" w:hAnsi="Arial" w:cs="Arial"/>
                <w:lang w:val="es-ES"/>
              </w:rPr>
              <w:t>Dirección General de Impuestos</w:t>
            </w:r>
          </w:p>
        </w:tc>
      </w:tr>
      <w:tr>
        <w:trPr>
          <w:cantSplit/>
          <w:trHeight w:val="20"/>
        </w:trPr>
        <w:tc>
          <w:tcPr>
            <w:tcW w:w="1530" w:type="dxa"/>
            <w:vAlign w:val="center"/>
          </w:tcPr>
          <w:p>
            <w:pPr>
              <w:rPr>
                <w:rFonts w:ascii="Arial" w:hAnsi="Arial" w:cs="Arial"/>
                <w:lang w:val="es-ES"/>
              </w:rPr>
            </w:pPr>
            <w:r>
              <w:rPr>
                <w:rFonts w:ascii="Arial" w:hAnsi="Arial" w:cs="Arial"/>
              </w:rPr>
              <w:lastRenderedPageBreak/>
              <w:t>DGRSS</w:t>
            </w:r>
          </w:p>
        </w:tc>
        <w:tc>
          <w:tcPr>
            <w:tcW w:w="7110" w:type="dxa"/>
            <w:vAlign w:val="center"/>
          </w:tcPr>
          <w:p>
            <w:pPr>
              <w:rPr>
                <w:rFonts w:ascii="Arial" w:hAnsi="Arial" w:cs="Arial"/>
                <w:lang w:val="es-ES"/>
              </w:rPr>
            </w:pPr>
            <w:r>
              <w:rPr>
                <w:rFonts w:ascii="Arial" w:hAnsi="Arial" w:cs="Arial"/>
                <w:lang w:val="es-ES_tradnl"/>
              </w:rPr>
              <w:t>Dirección General de los Recursos de la Seguridad Social</w:t>
            </w:r>
          </w:p>
        </w:tc>
      </w:tr>
      <w:tr>
        <w:trPr>
          <w:cantSplit/>
          <w:trHeight w:val="20"/>
        </w:trPr>
        <w:tc>
          <w:tcPr>
            <w:tcW w:w="1530" w:type="dxa"/>
            <w:vAlign w:val="center"/>
          </w:tcPr>
          <w:p>
            <w:pPr>
              <w:rPr>
                <w:rFonts w:ascii="Arial" w:hAnsi="Arial" w:cs="Arial"/>
                <w:lang w:val="es-ES"/>
              </w:rPr>
            </w:pPr>
            <w:r>
              <w:rPr>
                <w:rFonts w:ascii="Arial" w:hAnsi="Arial" w:cs="Arial"/>
                <w:lang w:val="es-ES"/>
              </w:rPr>
              <w:t>EFA</w:t>
            </w:r>
          </w:p>
        </w:tc>
        <w:tc>
          <w:tcPr>
            <w:tcW w:w="7110" w:type="dxa"/>
            <w:vAlign w:val="center"/>
          </w:tcPr>
          <w:p>
            <w:pPr>
              <w:rPr>
                <w:rFonts w:ascii="Arial" w:hAnsi="Arial" w:cs="Arial"/>
                <w:lang w:val="es-ES"/>
              </w:rPr>
            </w:pPr>
            <w:r>
              <w:rPr>
                <w:rFonts w:ascii="Arial" w:hAnsi="Arial" w:cs="Arial"/>
                <w:lang w:val="es-ES"/>
              </w:rPr>
              <w:t>Estados Financieros Auditados</w:t>
            </w:r>
          </w:p>
        </w:tc>
      </w:tr>
      <w:tr>
        <w:trPr>
          <w:cantSplit/>
          <w:trHeight w:val="20"/>
        </w:trPr>
        <w:tc>
          <w:tcPr>
            <w:tcW w:w="1530" w:type="dxa"/>
            <w:vAlign w:val="center"/>
          </w:tcPr>
          <w:p>
            <w:pPr>
              <w:rPr>
                <w:rFonts w:ascii="Arial" w:hAnsi="Arial" w:cs="Arial"/>
                <w:lang w:val="es-ES"/>
              </w:rPr>
            </w:pPr>
            <w:r>
              <w:rPr>
                <w:rFonts w:ascii="Arial" w:hAnsi="Arial" w:cs="Arial"/>
                <w:lang w:val="es-ES"/>
              </w:rPr>
              <w:t>GN</w:t>
            </w:r>
          </w:p>
        </w:tc>
        <w:tc>
          <w:tcPr>
            <w:tcW w:w="7110" w:type="dxa"/>
            <w:vAlign w:val="center"/>
          </w:tcPr>
          <w:p>
            <w:pPr>
              <w:rPr>
                <w:rFonts w:ascii="Arial" w:hAnsi="Arial" w:cs="Arial"/>
              </w:rPr>
            </w:pPr>
            <w:r>
              <w:rPr>
                <w:rFonts w:ascii="Arial" w:hAnsi="Arial" w:cs="Arial"/>
              </w:rPr>
              <w:t>Gobierno Nacional</w:t>
            </w:r>
          </w:p>
        </w:tc>
      </w:tr>
      <w:tr>
        <w:trPr>
          <w:cantSplit/>
          <w:trHeight w:val="20"/>
        </w:trPr>
        <w:tc>
          <w:tcPr>
            <w:tcW w:w="1530" w:type="dxa"/>
            <w:vAlign w:val="center"/>
          </w:tcPr>
          <w:p>
            <w:pPr>
              <w:rPr>
                <w:rFonts w:ascii="Arial" w:hAnsi="Arial" w:cs="Arial"/>
                <w:lang w:val="es-ES"/>
              </w:rPr>
            </w:pPr>
            <w:r>
              <w:rPr>
                <w:rFonts w:ascii="Arial" w:hAnsi="Arial" w:cs="Arial"/>
                <w:lang w:val="es-ES"/>
              </w:rPr>
              <w:t>ICMS</w:t>
            </w:r>
          </w:p>
        </w:tc>
        <w:tc>
          <w:tcPr>
            <w:tcW w:w="7110" w:type="dxa"/>
            <w:vAlign w:val="center"/>
          </w:tcPr>
          <w:p>
            <w:pPr>
              <w:rPr>
                <w:rFonts w:ascii="Arial" w:hAnsi="Arial" w:cs="Arial"/>
                <w:lang w:val="es-ES_tradnl"/>
              </w:rPr>
            </w:pPr>
            <w:r>
              <w:rPr>
                <w:rFonts w:ascii="Arial" w:hAnsi="Arial" w:cs="Arial"/>
                <w:lang w:val="es-ES_tradnl"/>
              </w:rPr>
              <w:t>Impuesto sobre el Valor Añadido</w:t>
            </w:r>
          </w:p>
        </w:tc>
      </w:tr>
      <w:tr>
        <w:trPr>
          <w:cantSplit/>
          <w:trHeight w:val="20"/>
        </w:trPr>
        <w:tc>
          <w:tcPr>
            <w:tcW w:w="1530" w:type="dxa"/>
            <w:vAlign w:val="center"/>
          </w:tcPr>
          <w:p>
            <w:pPr>
              <w:rPr>
                <w:rFonts w:ascii="Arial" w:hAnsi="Arial" w:cs="Arial"/>
                <w:lang w:val="es-ES"/>
              </w:rPr>
            </w:pPr>
            <w:r>
              <w:rPr>
                <w:rFonts w:ascii="Arial" w:hAnsi="Arial" w:cs="Arial"/>
                <w:lang w:val="es-ES"/>
              </w:rPr>
              <w:t>LPI</w:t>
            </w:r>
          </w:p>
        </w:tc>
        <w:tc>
          <w:tcPr>
            <w:tcW w:w="7110" w:type="dxa"/>
            <w:vAlign w:val="center"/>
          </w:tcPr>
          <w:p>
            <w:pPr>
              <w:rPr>
                <w:rFonts w:ascii="Arial" w:hAnsi="Arial" w:cs="Arial"/>
              </w:rPr>
            </w:pPr>
            <w:r>
              <w:rPr>
                <w:rFonts w:ascii="Arial" w:hAnsi="Arial" w:cs="Arial"/>
                <w:lang w:eastAsia="es-ES_tradnl"/>
              </w:rPr>
              <w:t>Licitación Pública Internacional</w:t>
            </w:r>
          </w:p>
        </w:tc>
      </w:tr>
      <w:tr>
        <w:trPr>
          <w:cantSplit/>
          <w:trHeight w:val="20"/>
        </w:trPr>
        <w:tc>
          <w:tcPr>
            <w:tcW w:w="1530" w:type="dxa"/>
            <w:vAlign w:val="center"/>
          </w:tcPr>
          <w:p>
            <w:pPr>
              <w:rPr>
                <w:rFonts w:ascii="Arial" w:hAnsi="Arial" w:cs="Arial"/>
                <w:lang w:val="es-ES"/>
              </w:rPr>
            </w:pPr>
            <w:r>
              <w:rPr>
                <w:rFonts w:ascii="Arial" w:hAnsi="Arial" w:cs="Arial"/>
                <w:lang w:val="es-ES"/>
              </w:rPr>
              <w:t>LPN</w:t>
            </w:r>
          </w:p>
        </w:tc>
        <w:tc>
          <w:tcPr>
            <w:tcW w:w="7110" w:type="dxa"/>
            <w:vAlign w:val="center"/>
          </w:tcPr>
          <w:p>
            <w:pPr>
              <w:rPr>
                <w:rFonts w:ascii="Arial" w:hAnsi="Arial" w:cs="Arial"/>
                <w:lang w:eastAsia="es-ES_tradnl"/>
              </w:rPr>
            </w:pPr>
            <w:r>
              <w:rPr>
                <w:rFonts w:ascii="Arial" w:hAnsi="Arial" w:cs="Arial"/>
                <w:lang w:eastAsia="es-ES_tradnl"/>
              </w:rPr>
              <w:t>Licitación Pública Nacional</w:t>
            </w:r>
          </w:p>
        </w:tc>
      </w:tr>
      <w:tr>
        <w:trPr>
          <w:cantSplit/>
          <w:trHeight w:val="20"/>
        </w:trPr>
        <w:tc>
          <w:tcPr>
            <w:tcW w:w="1530" w:type="dxa"/>
            <w:vAlign w:val="center"/>
          </w:tcPr>
          <w:p>
            <w:pPr>
              <w:rPr>
                <w:rFonts w:ascii="Arial" w:hAnsi="Arial" w:cs="Arial"/>
                <w:lang w:val="es-ES"/>
              </w:rPr>
            </w:pPr>
            <w:r>
              <w:rPr>
                <w:rFonts w:ascii="Arial" w:hAnsi="Arial" w:cs="Arial"/>
                <w:lang w:val="es-ES"/>
              </w:rPr>
              <w:t>MHFP</w:t>
            </w:r>
          </w:p>
        </w:tc>
        <w:tc>
          <w:tcPr>
            <w:tcW w:w="7110" w:type="dxa"/>
            <w:vAlign w:val="center"/>
          </w:tcPr>
          <w:p>
            <w:pPr>
              <w:rPr>
                <w:rFonts w:ascii="Arial" w:hAnsi="Arial" w:cs="Arial"/>
                <w:lang w:val="es-ES_tradnl"/>
              </w:rPr>
            </w:pPr>
            <w:r>
              <w:rPr>
                <w:rFonts w:ascii="Arial" w:hAnsi="Arial" w:cs="Arial"/>
                <w:lang w:val="es-ES_tradnl"/>
              </w:rPr>
              <w:t>Ministerio de Hacienda y Finanzas Públicas</w:t>
            </w:r>
          </w:p>
        </w:tc>
      </w:tr>
      <w:tr>
        <w:trPr>
          <w:cantSplit/>
          <w:trHeight w:val="20"/>
        </w:trPr>
        <w:tc>
          <w:tcPr>
            <w:tcW w:w="1530" w:type="dxa"/>
            <w:vAlign w:val="center"/>
          </w:tcPr>
          <w:p>
            <w:pPr>
              <w:rPr>
                <w:rFonts w:ascii="Arial" w:hAnsi="Arial" w:cs="Arial"/>
                <w:lang w:val="es-ES"/>
              </w:rPr>
            </w:pPr>
            <w:r>
              <w:rPr>
                <w:rFonts w:ascii="Arial" w:hAnsi="Arial" w:cs="Arial"/>
                <w:lang w:val="es-ES"/>
              </w:rPr>
              <w:t>OE</w:t>
            </w:r>
          </w:p>
        </w:tc>
        <w:tc>
          <w:tcPr>
            <w:tcW w:w="7110" w:type="dxa"/>
            <w:vAlign w:val="center"/>
          </w:tcPr>
          <w:p>
            <w:pPr>
              <w:rPr>
                <w:rFonts w:ascii="Arial" w:hAnsi="Arial" w:cs="Arial"/>
                <w:lang w:eastAsia="es-ES"/>
              </w:rPr>
            </w:pPr>
            <w:r>
              <w:rPr>
                <w:rFonts w:ascii="Arial" w:hAnsi="Arial" w:cs="Arial"/>
                <w:lang w:eastAsia="es-ES"/>
              </w:rPr>
              <w:t>Organismo Ejecutor</w:t>
            </w:r>
          </w:p>
        </w:tc>
      </w:tr>
      <w:tr>
        <w:trPr>
          <w:cantSplit/>
          <w:trHeight w:val="20"/>
        </w:trPr>
        <w:tc>
          <w:tcPr>
            <w:tcW w:w="1530" w:type="dxa"/>
            <w:vAlign w:val="center"/>
          </w:tcPr>
          <w:p>
            <w:pPr>
              <w:rPr>
                <w:rFonts w:ascii="Arial" w:hAnsi="Arial" w:cs="Arial"/>
                <w:lang w:val="es-ES"/>
              </w:rPr>
            </w:pPr>
            <w:r>
              <w:rPr>
                <w:rFonts w:ascii="Arial" w:hAnsi="Arial" w:cs="Arial"/>
                <w:lang w:val="es-ES"/>
              </w:rPr>
              <w:t>OEA</w:t>
            </w:r>
          </w:p>
        </w:tc>
        <w:tc>
          <w:tcPr>
            <w:tcW w:w="7110" w:type="dxa"/>
            <w:vAlign w:val="center"/>
          </w:tcPr>
          <w:p>
            <w:pPr>
              <w:rPr>
                <w:rFonts w:ascii="Arial" w:hAnsi="Arial" w:cs="Arial"/>
                <w:lang w:eastAsia="es-ES"/>
              </w:rPr>
            </w:pPr>
            <w:r>
              <w:rPr>
                <w:rFonts w:ascii="Arial" w:hAnsi="Arial" w:cs="Arial"/>
                <w:lang w:eastAsia="es-ES"/>
              </w:rPr>
              <w:t>Operador Económico Autorizado</w:t>
            </w:r>
          </w:p>
        </w:tc>
      </w:tr>
      <w:tr>
        <w:trPr>
          <w:cantSplit/>
          <w:trHeight w:val="20"/>
        </w:trPr>
        <w:tc>
          <w:tcPr>
            <w:tcW w:w="1530" w:type="dxa"/>
            <w:vAlign w:val="center"/>
          </w:tcPr>
          <w:p>
            <w:pPr>
              <w:rPr>
                <w:rFonts w:ascii="Arial" w:hAnsi="Arial" w:cs="Arial"/>
                <w:lang w:val="es-ES"/>
              </w:rPr>
            </w:pPr>
            <w:r>
              <w:rPr>
                <w:rFonts w:ascii="Arial" w:hAnsi="Arial" w:cs="Arial"/>
              </w:rPr>
              <w:t>OCDE</w:t>
            </w:r>
          </w:p>
        </w:tc>
        <w:tc>
          <w:tcPr>
            <w:tcW w:w="7110" w:type="dxa"/>
            <w:vAlign w:val="center"/>
          </w:tcPr>
          <w:p>
            <w:pPr>
              <w:rPr>
                <w:rFonts w:ascii="Arial" w:hAnsi="Arial" w:cs="Arial"/>
                <w:i/>
                <w:lang w:val="es-ES_tradnl" w:eastAsia="es-ES"/>
              </w:rPr>
            </w:pPr>
            <w:r>
              <w:rPr>
                <w:rFonts w:ascii="Arial" w:hAnsi="Arial" w:cs="Arial"/>
                <w:lang w:val="es-ES_tradnl"/>
              </w:rPr>
              <w:t>Organización para la Cooperación y el Desarrollo Económicos​</w:t>
            </w:r>
          </w:p>
        </w:tc>
      </w:tr>
      <w:tr>
        <w:trPr>
          <w:cantSplit/>
          <w:trHeight w:val="20"/>
        </w:trPr>
        <w:tc>
          <w:tcPr>
            <w:tcW w:w="1530" w:type="dxa"/>
            <w:vAlign w:val="center"/>
          </w:tcPr>
          <w:p>
            <w:pPr>
              <w:rPr>
                <w:rFonts w:ascii="Arial" w:hAnsi="Arial" w:cs="Arial"/>
              </w:rPr>
            </w:pPr>
            <w:r>
              <w:rPr>
                <w:rFonts w:ascii="Arial" w:hAnsi="Arial" w:cs="Arial"/>
              </w:rPr>
              <w:t>OMA</w:t>
            </w:r>
          </w:p>
        </w:tc>
        <w:tc>
          <w:tcPr>
            <w:tcW w:w="7110" w:type="dxa"/>
            <w:vAlign w:val="center"/>
          </w:tcPr>
          <w:p>
            <w:pPr>
              <w:rPr>
                <w:rFonts w:ascii="Arial" w:hAnsi="Arial" w:cs="Arial"/>
                <w:lang w:eastAsia="es-ES"/>
              </w:rPr>
            </w:pPr>
            <w:r>
              <w:rPr>
                <w:rFonts w:ascii="Arial" w:hAnsi="Arial" w:cs="Arial"/>
                <w:lang w:eastAsia="es-ES"/>
              </w:rPr>
              <w:t>Organización Mundial de Aduanas</w:t>
            </w:r>
          </w:p>
        </w:tc>
      </w:tr>
      <w:tr>
        <w:trPr>
          <w:cantSplit/>
          <w:trHeight w:val="20"/>
        </w:trPr>
        <w:tc>
          <w:tcPr>
            <w:tcW w:w="1530" w:type="dxa"/>
            <w:vAlign w:val="center"/>
          </w:tcPr>
          <w:p>
            <w:pPr>
              <w:rPr>
                <w:rFonts w:ascii="Arial" w:hAnsi="Arial" w:cs="Arial"/>
                <w:lang w:val="es-ES"/>
              </w:rPr>
            </w:pPr>
            <w:r>
              <w:rPr>
                <w:rFonts w:ascii="Arial" w:hAnsi="Arial" w:cs="Arial"/>
                <w:lang w:val="es-ES"/>
              </w:rPr>
              <w:t>OVE</w:t>
            </w:r>
          </w:p>
        </w:tc>
        <w:tc>
          <w:tcPr>
            <w:tcW w:w="7110" w:type="dxa"/>
            <w:vAlign w:val="center"/>
          </w:tcPr>
          <w:p>
            <w:pPr>
              <w:rPr>
                <w:rFonts w:ascii="Arial" w:hAnsi="Arial" w:cs="Arial"/>
                <w:lang w:val="es-ES" w:eastAsia="es-ES"/>
              </w:rPr>
            </w:pPr>
            <w:r>
              <w:rPr>
                <w:rFonts w:ascii="Arial" w:eastAsia="Arial" w:hAnsi="Arial" w:cs="Arial"/>
                <w:lang w:val="es-ES_tradnl"/>
              </w:rPr>
              <w:t>Oficina de Evaluación y Supervisión</w:t>
            </w:r>
          </w:p>
        </w:tc>
      </w:tr>
      <w:tr>
        <w:trPr>
          <w:cantSplit/>
          <w:trHeight w:val="20"/>
        </w:trPr>
        <w:tc>
          <w:tcPr>
            <w:tcW w:w="1530" w:type="dxa"/>
            <w:vAlign w:val="center"/>
          </w:tcPr>
          <w:p>
            <w:pPr>
              <w:rPr>
                <w:rFonts w:ascii="Arial" w:hAnsi="Arial" w:cs="Arial"/>
                <w:lang w:val="es-ES"/>
              </w:rPr>
            </w:pPr>
            <w:r>
              <w:rPr>
                <w:rFonts w:ascii="Arial" w:hAnsi="Arial" w:cs="Arial"/>
                <w:lang w:val="es-ES"/>
              </w:rPr>
              <w:t>PA</w:t>
            </w:r>
          </w:p>
        </w:tc>
        <w:tc>
          <w:tcPr>
            <w:tcW w:w="7110" w:type="dxa"/>
            <w:vAlign w:val="center"/>
          </w:tcPr>
          <w:p>
            <w:pPr>
              <w:rPr>
                <w:rFonts w:ascii="Arial" w:hAnsi="Arial" w:cs="Arial"/>
                <w:lang w:val="es-ES" w:eastAsia="es-ES"/>
              </w:rPr>
            </w:pPr>
            <w:r>
              <w:rPr>
                <w:rFonts w:ascii="Arial" w:hAnsi="Arial" w:cs="Arial"/>
                <w:lang w:val="es-ES" w:eastAsia="es-ES"/>
              </w:rPr>
              <w:t>Plan de Adquisiciones</w:t>
            </w:r>
          </w:p>
        </w:tc>
      </w:tr>
      <w:tr>
        <w:trPr>
          <w:cantSplit/>
          <w:trHeight w:val="20"/>
        </w:trPr>
        <w:tc>
          <w:tcPr>
            <w:tcW w:w="1530" w:type="dxa"/>
            <w:vAlign w:val="center"/>
          </w:tcPr>
          <w:p>
            <w:pPr>
              <w:rPr>
                <w:rFonts w:ascii="Arial" w:hAnsi="Arial" w:cs="Arial"/>
                <w:lang w:val="es-ES"/>
              </w:rPr>
            </w:pPr>
            <w:r>
              <w:rPr>
                <w:rFonts w:ascii="Arial" w:hAnsi="Arial" w:cs="Arial"/>
                <w:lang w:val="es-ES"/>
              </w:rPr>
              <w:t>PCR</w:t>
            </w:r>
          </w:p>
        </w:tc>
        <w:tc>
          <w:tcPr>
            <w:tcW w:w="7110" w:type="dxa"/>
            <w:vAlign w:val="center"/>
          </w:tcPr>
          <w:p>
            <w:pPr>
              <w:rPr>
                <w:rFonts w:ascii="Arial" w:hAnsi="Arial" w:cs="Arial"/>
                <w:lang w:val="es-ES"/>
              </w:rPr>
            </w:pPr>
            <w:r>
              <w:rPr>
                <w:rFonts w:ascii="Arial" w:hAnsi="Arial" w:cs="Arial"/>
                <w:lang w:val="es-ES"/>
              </w:rPr>
              <w:t>Informe de Terminación del Proyecto</w:t>
            </w:r>
          </w:p>
        </w:tc>
      </w:tr>
      <w:tr>
        <w:trPr>
          <w:cantSplit/>
          <w:trHeight w:val="20"/>
        </w:trPr>
        <w:tc>
          <w:tcPr>
            <w:tcW w:w="1530" w:type="dxa"/>
            <w:vAlign w:val="center"/>
          </w:tcPr>
          <w:p>
            <w:pPr>
              <w:rPr>
                <w:rFonts w:ascii="Arial" w:hAnsi="Arial" w:cs="Arial"/>
                <w:lang w:val="es-ES"/>
              </w:rPr>
            </w:pPr>
            <w:r>
              <w:rPr>
                <w:rFonts w:ascii="Arial" w:hAnsi="Arial" w:cs="Arial"/>
                <w:lang w:val="es-ES"/>
              </w:rPr>
              <w:t>PEP</w:t>
            </w:r>
          </w:p>
        </w:tc>
        <w:tc>
          <w:tcPr>
            <w:tcW w:w="7110" w:type="dxa"/>
            <w:vAlign w:val="center"/>
          </w:tcPr>
          <w:p>
            <w:pPr>
              <w:rPr>
                <w:rFonts w:ascii="Arial" w:hAnsi="Arial" w:cs="Arial"/>
                <w:lang w:val="es-ES" w:eastAsia="es-ES"/>
              </w:rPr>
            </w:pPr>
            <w:r>
              <w:rPr>
                <w:rFonts w:ascii="Arial" w:hAnsi="Arial" w:cs="Arial"/>
                <w:lang w:val="es-ES" w:eastAsia="es-ES"/>
              </w:rPr>
              <w:t>Plan de Ejecución Plurianual</w:t>
            </w:r>
          </w:p>
        </w:tc>
      </w:tr>
      <w:tr>
        <w:trPr>
          <w:cantSplit/>
          <w:trHeight w:val="20"/>
        </w:trPr>
        <w:tc>
          <w:tcPr>
            <w:tcW w:w="1530" w:type="dxa"/>
          </w:tcPr>
          <w:p>
            <w:pPr>
              <w:spacing w:before="20" w:after="20"/>
              <w:rPr>
                <w:rFonts w:ascii="Arial" w:hAnsi="Arial" w:cs="Arial"/>
                <w:lang w:val="es-ES"/>
              </w:rPr>
            </w:pPr>
            <w:r>
              <w:rPr>
                <w:rFonts w:ascii="Arial" w:hAnsi="Arial" w:cs="Arial"/>
                <w:lang w:val="es-ES"/>
              </w:rPr>
              <w:t>PIB</w:t>
            </w:r>
          </w:p>
        </w:tc>
        <w:tc>
          <w:tcPr>
            <w:tcW w:w="7110" w:type="dxa"/>
          </w:tcPr>
          <w:p>
            <w:pPr>
              <w:spacing w:before="20" w:after="20"/>
              <w:rPr>
                <w:rFonts w:ascii="Arial" w:hAnsi="Arial" w:cs="Arial"/>
                <w:lang w:val="es-ES"/>
              </w:rPr>
            </w:pPr>
            <w:r>
              <w:rPr>
                <w:rFonts w:ascii="Arial" w:hAnsi="Arial" w:cs="Arial"/>
                <w:lang w:val="es-ES"/>
              </w:rPr>
              <w:t>Producto Interno Bruto</w:t>
            </w:r>
          </w:p>
        </w:tc>
      </w:tr>
      <w:tr>
        <w:trPr>
          <w:cantSplit/>
          <w:trHeight w:val="20"/>
        </w:trPr>
        <w:tc>
          <w:tcPr>
            <w:tcW w:w="1530" w:type="dxa"/>
          </w:tcPr>
          <w:p>
            <w:pPr>
              <w:spacing w:before="20" w:after="20"/>
              <w:rPr>
                <w:rFonts w:ascii="Arial" w:hAnsi="Arial" w:cs="Arial"/>
                <w:lang w:val="es-ES"/>
              </w:rPr>
            </w:pPr>
            <w:r>
              <w:rPr>
                <w:rFonts w:ascii="Arial" w:hAnsi="Arial" w:cs="Arial"/>
                <w:lang w:val="es-ES"/>
              </w:rPr>
              <w:t>PME</w:t>
            </w:r>
          </w:p>
        </w:tc>
        <w:tc>
          <w:tcPr>
            <w:tcW w:w="7110" w:type="dxa"/>
          </w:tcPr>
          <w:p>
            <w:pPr>
              <w:spacing w:before="20" w:after="20"/>
              <w:rPr>
                <w:rFonts w:ascii="Arial" w:hAnsi="Arial" w:cs="Arial"/>
                <w:lang w:val="es-ES"/>
              </w:rPr>
            </w:pPr>
            <w:r>
              <w:rPr>
                <w:rFonts w:ascii="Arial" w:hAnsi="Arial" w:cs="Arial"/>
                <w:lang w:val="es-ES"/>
              </w:rPr>
              <w:t>Plan de Monitoreo y Evaluación</w:t>
            </w:r>
          </w:p>
        </w:tc>
      </w:tr>
      <w:tr>
        <w:trPr>
          <w:cantSplit/>
          <w:trHeight w:val="20"/>
        </w:trPr>
        <w:tc>
          <w:tcPr>
            <w:tcW w:w="1530" w:type="dxa"/>
          </w:tcPr>
          <w:p>
            <w:pPr>
              <w:spacing w:before="20" w:after="20"/>
              <w:rPr>
                <w:rFonts w:ascii="Arial" w:hAnsi="Arial" w:cs="Arial"/>
                <w:lang w:val="es-ES"/>
              </w:rPr>
            </w:pPr>
            <w:r>
              <w:rPr>
                <w:rFonts w:ascii="Arial" w:hAnsi="Arial" w:cs="Arial"/>
                <w:lang w:val="es-ES"/>
              </w:rPr>
              <w:t>PMR</w:t>
            </w:r>
          </w:p>
        </w:tc>
        <w:tc>
          <w:tcPr>
            <w:tcW w:w="7110" w:type="dxa"/>
          </w:tcPr>
          <w:p>
            <w:pPr>
              <w:spacing w:before="20" w:after="20"/>
              <w:rPr>
                <w:rFonts w:ascii="Arial" w:hAnsi="Arial" w:cs="Arial"/>
                <w:lang w:val="es-ES"/>
              </w:rPr>
            </w:pPr>
            <w:r>
              <w:rPr>
                <w:rFonts w:ascii="Arial" w:hAnsi="Arial" w:cs="Arial"/>
                <w:lang w:val="es-ES"/>
              </w:rPr>
              <w:t>Informe de Gestión de Proyectos</w:t>
            </w:r>
          </w:p>
        </w:tc>
      </w:tr>
      <w:tr>
        <w:trPr>
          <w:cantSplit/>
          <w:trHeight w:val="20"/>
        </w:trPr>
        <w:tc>
          <w:tcPr>
            <w:tcW w:w="1530" w:type="dxa"/>
            <w:vAlign w:val="center"/>
          </w:tcPr>
          <w:p>
            <w:pPr>
              <w:rPr>
                <w:rFonts w:ascii="Arial" w:hAnsi="Arial" w:cs="Arial"/>
                <w:lang w:val="es-ES"/>
              </w:rPr>
            </w:pPr>
            <w:r>
              <w:rPr>
                <w:rFonts w:ascii="Arial" w:hAnsi="Arial" w:cs="Arial"/>
                <w:lang w:val="es-ES"/>
              </w:rPr>
              <w:t>POA</w:t>
            </w:r>
          </w:p>
        </w:tc>
        <w:tc>
          <w:tcPr>
            <w:tcW w:w="7110" w:type="dxa"/>
            <w:vAlign w:val="center"/>
          </w:tcPr>
          <w:p>
            <w:pPr>
              <w:rPr>
                <w:rFonts w:ascii="Arial" w:hAnsi="Arial" w:cs="Arial"/>
                <w:lang w:val="es-ES" w:eastAsia="es-ES"/>
              </w:rPr>
            </w:pPr>
            <w:r>
              <w:rPr>
                <w:rFonts w:ascii="Arial" w:hAnsi="Arial" w:cs="Arial"/>
                <w:lang w:val="es-ES" w:eastAsia="es-ES"/>
              </w:rPr>
              <w:t>Plan Operativo Anual</w:t>
            </w:r>
          </w:p>
        </w:tc>
      </w:tr>
      <w:tr>
        <w:trPr>
          <w:cantSplit/>
          <w:trHeight w:val="20"/>
        </w:trPr>
        <w:tc>
          <w:tcPr>
            <w:tcW w:w="1530" w:type="dxa"/>
            <w:vAlign w:val="center"/>
          </w:tcPr>
          <w:p>
            <w:pPr>
              <w:rPr>
                <w:rFonts w:ascii="Arial" w:hAnsi="Arial" w:cs="Arial"/>
                <w:lang w:val="es-ES"/>
              </w:rPr>
            </w:pPr>
            <w:r>
              <w:rPr>
                <w:rFonts w:ascii="Arial" w:hAnsi="Arial" w:cs="Arial"/>
                <w:lang w:val="es-ES"/>
              </w:rPr>
              <w:t>POS</w:t>
            </w:r>
          </w:p>
        </w:tc>
        <w:tc>
          <w:tcPr>
            <w:tcW w:w="7110" w:type="dxa"/>
            <w:vAlign w:val="center"/>
          </w:tcPr>
          <w:p>
            <w:pPr>
              <w:rPr>
                <w:rFonts w:ascii="Arial" w:hAnsi="Arial" w:cs="Arial"/>
                <w:lang w:val="es-ES" w:eastAsia="es-ES"/>
              </w:rPr>
            </w:pPr>
            <w:r>
              <w:rPr>
                <w:rFonts w:ascii="Arial" w:hAnsi="Arial" w:cs="Arial"/>
                <w:lang w:val="es-ES" w:eastAsia="es-ES"/>
              </w:rPr>
              <w:t>Punto de Venta (por sus siglas en inglés)</w:t>
            </w:r>
          </w:p>
        </w:tc>
      </w:tr>
      <w:tr>
        <w:trPr>
          <w:cantSplit/>
          <w:trHeight w:val="20"/>
        </w:trPr>
        <w:tc>
          <w:tcPr>
            <w:tcW w:w="1530" w:type="dxa"/>
            <w:vAlign w:val="center"/>
          </w:tcPr>
          <w:p>
            <w:pPr>
              <w:rPr>
                <w:rFonts w:ascii="Arial" w:hAnsi="Arial" w:cs="Arial"/>
                <w:lang w:val="es-ES"/>
              </w:rPr>
            </w:pPr>
            <w:r>
              <w:rPr>
                <w:rFonts w:ascii="Arial" w:hAnsi="Arial" w:cs="Arial"/>
                <w:lang w:val="es-ES"/>
              </w:rPr>
              <w:t>SCT</w:t>
            </w:r>
          </w:p>
        </w:tc>
        <w:tc>
          <w:tcPr>
            <w:tcW w:w="7110" w:type="dxa"/>
            <w:vAlign w:val="center"/>
          </w:tcPr>
          <w:p>
            <w:pPr>
              <w:rPr>
                <w:rFonts w:ascii="Arial" w:hAnsi="Arial" w:cs="Arial"/>
                <w:lang w:val="es-ES"/>
              </w:rPr>
            </w:pPr>
            <w:r>
              <w:rPr>
                <w:rFonts w:ascii="Arial" w:hAnsi="Arial" w:cs="Arial"/>
                <w:lang w:val="es-ES"/>
              </w:rPr>
              <w:t>Sistema de Cuentas Tributarias</w:t>
            </w:r>
          </w:p>
        </w:tc>
      </w:tr>
      <w:tr>
        <w:trPr>
          <w:cantSplit/>
          <w:trHeight w:val="20"/>
        </w:trPr>
        <w:tc>
          <w:tcPr>
            <w:tcW w:w="1530" w:type="dxa"/>
            <w:vAlign w:val="center"/>
          </w:tcPr>
          <w:p>
            <w:pPr>
              <w:rPr>
                <w:rFonts w:ascii="Arial" w:hAnsi="Arial" w:cs="Arial"/>
                <w:lang w:val="es-ES"/>
              </w:rPr>
            </w:pPr>
            <w:r>
              <w:rPr>
                <w:rFonts w:ascii="Arial" w:hAnsi="Arial" w:cs="Arial"/>
                <w:lang w:val="es-ES"/>
              </w:rPr>
              <w:t>SECI</w:t>
            </w:r>
          </w:p>
        </w:tc>
        <w:tc>
          <w:tcPr>
            <w:tcW w:w="7110" w:type="dxa"/>
            <w:vAlign w:val="center"/>
          </w:tcPr>
          <w:p>
            <w:pPr>
              <w:rPr>
                <w:rFonts w:ascii="Arial" w:hAnsi="Arial" w:cs="Arial"/>
                <w:lang w:val="es-ES"/>
              </w:rPr>
            </w:pPr>
            <w:r>
              <w:rPr>
                <w:rFonts w:ascii="Arial" w:hAnsi="Arial" w:cs="Arial"/>
                <w:lang w:val="es-PA"/>
              </w:rPr>
              <w:t>Sistema de Evaluación de Capacidad Institucional</w:t>
            </w:r>
          </w:p>
        </w:tc>
      </w:tr>
      <w:tr>
        <w:trPr>
          <w:cantSplit/>
          <w:trHeight w:val="20"/>
        </w:trPr>
        <w:tc>
          <w:tcPr>
            <w:tcW w:w="1530" w:type="dxa"/>
            <w:vAlign w:val="center"/>
          </w:tcPr>
          <w:p>
            <w:pPr>
              <w:rPr>
                <w:rFonts w:ascii="Arial" w:hAnsi="Arial" w:cs="Arial"/>
                <w:lang w:val="es-ES"/>
              </w:rPr>
            </w:pPr>
            <w:r>
              <w:rPr>
                <w:rFonts w:ascii="Arial" w:hAnsi="Arial" w:cs="Arial"/>
                <w:lang w:val="es-ES"/>
              </w:rPr>
              <w:t>SEP</w:t>
            </w:r>
          </w:p>
        </w:tc>
        <w:tc>
          <w:tcPr>
            <w:tcW w:w="7110" w:type="dxa"/>
            <w:vAlign w:val="center"/>
          </w:tcPr>
          <w:p>
            <w:pPr>
              <w:rPr>
                <w:rFonts w:ascii="Arial" w:hAnsi="Arial" w:cs="Arial"/>
                <w:lang w:val="es-PA"/>
              </w:rPr>
            </w:pPr>
            <w:r>
              <w:rPr>
                <w:rFonts w:ascii="Arial" w:hAnsi="Arial" w:cs="Arial"/>
                <w:lang w:eastAsia="es-ES_tradnl"/>
              </w:rPr>
              <w:t>Solicitud Estándar de Propuestas</w:t>
            </w:r>
          </w:p>
        </w:tc>
      </w:tr>
      <w:tr>
        <w:trPr>
          <w:cantSplit/>
          <w:trHeight w:val="20"/>
        </w:trPr>
        <w:tc>
          <w:tcPr>
            <w:tcW w:w="1530" w:type="dxa"/>
            <w:vAlign w:val="center"/>
          </w:tcPr>
          <w:p>
            <w:pPr>
              <w:rPr>
                <w:rFonts w:ascii="Arial" w:hAnsi="Arial" w:cs="Arial"/>
                <w:lang w:val="es-ES"/>
              </w:rPr>
            </w:pPr>
            <w:r>
              <w:rPr>
                <w:rFonts w:ascii="Arial" w:hAnsi="Arial" w:cs="Arial"/>
                <w:lang w:val="es-ES"/>
              </w:rPr>
              <w:t>SEPA</w:t>
            </w:r>
          </w:p>
        </w:tc>
        <w:tc>
          <w:tcPr>
            <w:tcW w:w="7110" w:type="dxa"/>
            <w:vAlign w:val="center"/>
          </w:tcPr>
          <w:p>
            <w:pPr>
              <w:rPr>
                <w:rFonts w:ascii="Arial" w:hAnsi="Arial" w:cs="Arial"/>
                <w:lang w:val="es-ES"/>
              </w:rPr>
            </w:pPr>
            <w:r>
              <w:rPr>
                <w:rFonts w:ascii="Arial" w:hAnsi="Arial" w:cs="Arial"/>
                <w:lang w:val="es-ES"/>
              </w:rPr>
              <w:t>Sistema de Ejecución del Plan de Adquisiciones</w:t>
            </w:r>
          </w:p>
        </w:tc>
      </w:tr>
      <w:tr>
        <w:trPr>
          <w:cantSplit/>
          <w:trHeight w:val="20"/>
        </w:trPr>
        <w:tc>
          <w:tcPr>
            <w:tcW w:w="1530" w:type="dxa"/>
            <w:vAlign w:val="center"/>
          </w:tcPr>
          <w:p>
            <w:pPr>
              <w:rPr>
                <w:rFonts w:ascii="Arial" w:hAnsi="Arial" w:cs="Arial"/>
                <w:lang w:val="es-ES"/>
              </w:rPr>
            </w:pPr>
            <w:r>
              <w:rPr>
                <w:rFonts w:ascii="Arial" w:hAnsi="Arial" w:cs="Arial"/>
              </w:rPr>
              <w:t>SIDIF</w:t>
            </w:r>
          </w:p>
        </w:tc>
        <w:tc>
          <w:tcPr>
            <w:tcW w:w="7110" w:type="dxa"/>
            <w:vAlign w:val="center"/>
          </w:tcPr>
          <w:p>
            <w:pPr>
              <w:rPr>
                <w:rFonts w:ascii="Arial" w:hAnsi="Arial" w:cs="Arial"/>
                <w:lang w:val="es-ES"/>
              </w:rPr>
            </w:pPr>
            <w:r>
              <w:rPr>
                <w:rFonts w:ascii="Arial" w:hAnsi="Arial" w:cs="Arial"/>
                <w:lang w:val="es-ES_tradnl"/>
              </w:rPr>
              <w:t>Sistema Integrado de Información Financiera</w:t>
            </w:r>
          </w:p>
        </w:tc>
      </w:tr>
      <w:tr>
        <w:trPr>
          <w:cantSplit/>
          <w:trHeight w:val="20"/>
        </w:trPr>
        <w:tc>
          <w:tcPr>
            <w:tcW w:w="1530" w:type="dxa"/>
            <w:vAlign w:val="center"/>
          </w:tcPr>
          <w:p>
            <w:pPr>
              <w:rPr>
                <w:rFonts w:ascii="Arial" w:hAnsi="Arial" w:cs="Arial"/>
              </w:rPr>
            </w:pPr>
            <w:r>
              <w:rPr>
                <w:rFonts w:ascii="Arial" w:hAnsi="Arial" w:cs="Arial"/>
              </w:rPr>
              <w:t>SIGMA</w:t>
            </w:r>
          </w:p>
        </w:tc>
        <w:tc>
          <w:tcPr>
            <w:tcW w:w="7110" w:type="dxa"/>
            <w:vAlign w:val="center"/>
          </w:tcPr>
          <w:p>
            <w:pPr>
              <w:rPr>
                <w:rFonts w:ascii="Arial" w:hAnsi="Arial" w:cs="Arial"/>
                <w:lang w:val="es-ES_tradnl"/>
              </w:rPr>
            </w:pPr>
            <w:r>
              <w:rPr>
                <w:rFonts w:ascii="Arial" w:hAnsi="Arial" w:cs="Arial"/>
                <w:lang w:val="es-ES_tradnl"/>
              </w:rPr>
              <w:t>Sistema Integral de Gestión y Monitoreo de Administración</w:t>
            </w:r>
          </w:p>
        </w:tc>
      </w:tr>
      <w:tr>
        <w:trPr>
          <w:cantSplit/>
          <w:trHeight w:val="20"/>
        </w:trPr>
        <w:tc>
          <w:tcPr>
            <w:tcW w:w="1530" w:type="dxa"/>
            <w:vAlign w:val="center"/>
          </w:tcPr>
          <w:p>
            <w:pPr>
              <w:rPr>
                <w:rFonts w:ascii="Arial" w:hAnsi="Arial" w:cs="Arial"/>
                <w:lang w:val="es-ES"/>
              </w:rPr>
            </w:pPr>
            <w:r>
              <w:rPr>
                <w:rFonts w:ascii="Arial" w:hAnsi="Arial" w:cs="Arial"/>
                <w:lang w:val="es-ES"/>
              </w:rPr>
              <w:t>SIM</w:t>
            </w:r>
          </w:p>
        </w:tc>
        <w:tc>
          <w:tcPr>
            <w:tcW w:w="7110" w:type="dxa"/>
            <w:vAlign w:val="center"/>
          </w:tcPr>
          <w:p>
            <w:pPr>
              <w:rPr>
                <w:rFonts w:ascii="Arial" w:hAnsi="Arial" w:cs="Arial"/>
                <w:lang w:val="es-ES"/>
              </w:rPr>
            </w:pPr>
            <w:r>
              <w:rPr>
                <w:rFonts w:ascii="Arial" w:hAnsi="Arial" w:cs="Arial"/>
                <w:bCs/>
              </w:rPr>
              <w:t>Sistema Informático Malvina</w:t>
            </w:r>
          </w:p>
        </w:tc>
      </w:tr>
      <w:tr>
        <w:trPr>
          <w:cantSplit/>
          <w:trHeight w:val="20"/>
        </w:trPr>
        <w:tc>
          <w:tcPr>
            <w:tcW w:w="1530" w:type="dxa"/>
            <w:vAlign w:val="center"/>
          </w:tcPr>
          <w:p>
            <w:pPr>
              <w:rPr>
                <w:rFonts w:ascii="Arial" w:hAnsi="Arial" w:cs="Arial"/>
                <w:lang w:val="es-ES"/>
              </w:rPr>
            </w:pPr>
            <w:r>
              <w:rPr>
                <w:rFonts w:ascii="Arial" w:hAnsi="Arial" w:cs="Arial"/>
                <w:lang w:val="es-ES"/>
              </w:rPr>
              <w:t>TIC</w:t>
            </w:r>
          </w:p>
        </w:tc>
        <w:tc>
          <w:tcPr>
            <w:tcW w:w="7110" w:type="dxa"/>
            <w:vAlign w:val="center"/>
          </w:tcPr>
          <w:p>
            <w:pPr>
              <w:rPr>
                <w:rFonts w:ascii="Arial" w:hAnsi="Arial" w:cs="Arial"/>
                <w:lang w:val="es-ES"/>
              </w:rPr>
            </w:pPr>
            <w:r>
              <w:rPr>
                <w:rFonts w:ascii="Arial" w:hAnsi="Arial" w:cs="Arial"/>
                <w:lang w:val="es-ES_tradnl"/>
              </w:rPr>
              <w:t>Tecnología de Información y Comunicaciones</w:t>
            </w:r>
          </w:p>
        </w:tc>
      </w:tr>
      <w:tr>
        <w:trPr>
          <w:cantSplit/>
          <w:trHeight w:val="20"/>
        </w:trPr>
        <w:tc>
          <w:tcPr>
            <w:tcW w:w="1530" w:type="dxa"/>
            <w:vAlign w:val="center"/>
          </w:tcPr>
          <w:p>
            <w:pPr>
              <w:rPr>
                <w:rFonts w:ascii="Arial" w:hAnsi="Arial" w:cs="Arial"/>
                <w:lang w:val="es-ES"/>
              </w:rPr>
            </w:pPr>
            <w:r>
              <w:rPr>
                <w:rFonts w:ascii="Arial" w:hAnsi="Arial" w:cs="Arial"/>
                <w:lang w:val="es-ES"/>
              </w:rPr>
              <w:t>TIR</w:t>
            </w:r>
          </w:p>
        </w:tc>
        <w:tc>
          <w:tcPr>
            <w:tcW w:w="7110" w:type="dxa"/>
            <w:vAlign w:val="center"/>
          </w:tcPr>
          <w:p>
            <w:pPr>
              <w:rPr>
                <w:rFonts w:ascii="Arial" w:hAnsi="Arial" w:cs="Arial"/>
                <w:lang w:val="es-ES"/>
              </w:rPr>
            </w:pPr>
            <w:r>
              <w:rPr>
                <w:rFonts w:ascii="Arial" w:hAnsi="Arial" w:cs="Arial"/>
                <w:lang w:val="es-ES"/>
              </w:rPr>
              <w:t>Tasa Interna de Retorno</w:t>
            </w:r>
          </w:p>
        </w:tc>
      </w:tr>
      <w:tr>
        <w:trPr>
          <w:cantSplit/>
          <w:trHeight w:val="20"/>
        </w:trPr>
        <w:tc>
          <w:tcPr>
            <w:tcW w:w="1530" w:type="dxa"/>
            <w:vAlign w:val="center"/>
          </w:tcPr>
          <w:p>
            <w:pPr>
              <w:rPr>
                <w:rFonts w:ascii="Arial" w:hAnsi="Arial" w:cs="Arial"/>
                <w:lang w:val="es-ES"/>
              </w:rPr>
            </w:pPr>
            <w:r>
              <w:rPr>
                <w:rFonts w:ascii="Arial" w:hAnsi="Arial" w:cs="Arial"/>
                <w:lang w:val="es-ES"/>
              </w:rPr>
              <w:lastRenderedPageBreak/>
              <w:t>UCP</w:t>
            </w:r>
          </w:p>
        </w:tc>
        <w:tc>
          <w:tcPr>
            <w:tcW w:w="7110" w:type="dxa"/>
            <w:vAlign w:val="center"/>
          </w:tcPr>
          <w:p>
            <w:pPr>
              <w:rPr>
                <w:rFonts w:ascii="Arial" w:hAnsi="Arial" w:cs="Arial"/>
                <w:lang w:val="es-ES"/>
              </w:rPr>
            </w:pPr>
            <w:r>
              <w:rPr>
                <w:rFonts w:ascii="Arial" w:hAnsi="Arial" w:cs="Arial"/>
                <w:lang w:val="es-ES"/>
              </w:rPr>
              <w:t>Unidad Coordinadora del Programa</w:t>
            </w:r>
          </w:p>
        </w:tc>
      </w:tr>
      <w:tr>
        <w:trPr>
          <w:cantSplit/>
          <w:trHeight w:val="20"/>
        </w:trPr>
        <w:tc>
          <w:tcPr>
            <w:tcW w:w="1530" w:type="dxa"/>
            <w:vAlign w:val="center"/>
          </w:tcPr>
          <w:p>
            <w:pPr>
              <w:rPr>
                <w:rFonts w:ascii="Arial" w:hAnsi="Arial" w:cs="Arial"/>
                <w:lang w:val="es-ES"/>
              </w:rPr>
            </w:pPr>
            <w:r>
              <w:rPr>
                <w:rFonts w:ascii="Arial" w:hAnsi="Arial" w:cs="Arial"/>
              </w:rPr>
              <w:t>UEPEX</w:t>
            </w:r>
          </w:p>
        </w:tc>
        <w:tc>
          <w:tcPr>
            <w:tcW w:w="7110" w:type="dxa"/>
            <w:vAlign w:val="center"/>
          </w:tcPr>
          <w:p>
            <w:pPr>
              <w:rPr>
                <w:rFonts w:ascii="Arial" w:hAnsi="Arial" w:cs="Arial"/>
                <w:lang w:val="es-ES"/>
              </w:rPr>
            </w:pPr>
            <w:r>
              <w:rPr>
                <w:rFonts w:ascii="Arial" w:hAnsi="Arial" w:cs="Arial"/>
                <w:lang w:val="es-ES_tradnl"/>
              </w:rPr>
              <w:t>Sistema de Gestión de Unidades Ejecutoras de Préstamos Externos</w:t>
            </w:r>
          </w:p>
        </w:tc>
      </w:tr>
      <w:tr>
        <w:trPr>
          <w:cantSplit/>
          <w:trHeight w:val="20"/>
        </w:trPr>
        <w:tc>
          <w:tcPr>
            <w:tcW w:w="1530" w:type="dxa"/>
            <w:vAlign w:val="center"/>
          </w:tcPr>
          <w:p>
            <w:pPr>
              <w:rPr>
                <w:rFonts w:ascii="Arial" w:hAnsi="Arial" w:cs="Arial"/>
                <w:lang w:val="es-ES"/>
              </w:rPr>
            </w:pPr>
            <w:r>
              <w:rPr>
                <w:rFonts w:ascii="Arial" w:hAnsi="Arial" w:cs="Arial"/>
                <w:lang w:val="es-ES"/>
              </w:rPr>
              <w:t>UIS</w:t>
            </w:r>
          </w:p>
        </w:tc>
        <w:tc>
          <w:tcPr>
            <w:tcW w:w="7110" w:type="dxa"/>
            <w:vAlign w:val="center"/>
          </w:tcPr>
          <w:p>
            <w:pPr>
              <w:rPr>
                <w:rFonts w:ascii="Arial" w:hAnsi="Arial" w:cs="Arial"/>
                <w:lang w:val="es-ES"/>
              </w:rPr>
            </w:pPr>
            <w:r>
              <w:rPr>
                <w:rFonts w:ascii="Arial" w:hAnsi="Arial" w:cs="Arial"/>
                <w:lang w:val="es-ES"/>
              </w:rPr>
              <w:t xml:space="preserve">Actualización de la Estrategia Institucional </w:t>
            </w:r>
          </w:p>
        </w:tc>
      </w:tr>
      <w:tr>
        <w:trPr>
          <w:cantSplit/>
          <w:trHeight w:val="20"/>
        </w:trPr>
        <w:tc>
          <w:tcPr>
            <w:tcW w:w="1530" w:type="dxa"/>
            <w:vAlign w:val="center"/>
          </w:tcPr>
          <w:p>
            <w:pPr>
              <w:rPr>
                <w:rFonts w:ascii="Arial" w:hAnsi="Arial" w:cs="Arial"/>
                <w:lang w:val="es-ES"/>
              </w:rPr>
            </w:pPr>
            <w:r>
              <w:rPr>
                <w:rFonts w:ascii="Arial" w:hAnsi="Arial" w:cs="Arial"/>
              </w:rPr>
              <w:t>USAID</w:t>
            </w:r>
          </w:p>
        </w:tc>
        <w:tc>
          <w:tcPr>
            <w:tcW w:w="7110" w:type="dxa"/>
            <w:vAlign w:val="center"/>
          </w:tcPr>
          <w:p>
            <w:pPr>
              <w:rPr>
                <w:rFonts w:ascii="Arial" w:hAnsi="Arial" w:cs="Arial"/>
              </w:rPr>
            </w:pPr>
            <w:r>
              <w:rPr>
                <w:rFonts w:ascii="Arial" w:hAnsi="Arial" w:cs="Arial"/>
                <w:bCs/>
                <w:i/>
              </w:rPr>
              <w:t>United States Agency for International Development</w:t>
            </w:r>
            <w:r>
              <w:rPr>
                <w:rFonts w:ascii="Arial" w:hAnsi="Arial" w:cs="Arial"/>
              </w:rPr>
              <w:t xml:space="preserve"> </w:t>
            </w:r>
          </w:p>
        </w:tc>
      </w:tr>
      <w:tr>
        <w:trPr>
          <w:cantSplit/>
          <w:trHeight w:val="20"/>
        </w:trPr>
        <w:tc>
          <w:tcPr>
            <w:tcW w:w="1530" w:type="dxa"/>
            <w:vAlign w:val="center"/>
          </w:tcPr>
          <w:p>
            <w:pPr>
              <w:rPr>
                <w:rFonts w:ascii="Arial" w:hAnsi="Arial" w:cs="Arial"/>
              </w:rPr>
            </w:pPr>
            <w:r>
              <w:rPr>
                <w:rFonts w:ascii="Arial" w:hAnsi="Arial" w:cs="Arial"/>
              </w:rPr>
              <w:t>VDI</w:t>
            </w:r>
          </w:p>
        </w:tc>
        <w:tc>
          <w:tcPr>
            <w:tcW w:w="7110" w:type="dxa"/>
            <w:vAlign w:val="center"/>
          </w:tcPr>
          <w:p>
            <w:pPr>
              <w:rPr>
                <w:rFonts w:ascii="Arial" w:hAnsi="Arial" w:cs="Arial"/>
                <w:bCs/>
                <w:i/>
              </w:rPr>
            </w:pPr>
            <w:r>
              <w:rPr>
                <w:rFonts w:ascii="Arial" w:hAnsi="Arial" w:cs="Arial"/>
                <w:i/>
              </w:rPr>
              <w:t>Virtual Desktop Infrastructure</w:t>
            </w:r>
          </w:p>
        </w:tc>
      </w:tr>
      <w:tr>
        <w:trPr>
          <w:cantSplit/>
          <w:trHeight w:val="20"/>
        </w:trPr>
        <w:tc>
          <w:tcPr>
            <w:tcW w:w="1530" w:type="dxa"/>
            <w:vAlign w:val="center"/>
          </w:tcPr>
          <w:p>
            <w:pPr>
              <w:rPr>
                <w:rFonts w:ascii="Arial" w:hAnsi="Arial" w:cs="Arial"/>
                <w:lang w:val="es-ES"/>
              </w:rPr>
            </w:pPr>
            <w:r>
              <w:rPr>
                <w:rFonts w:ascii="Arial" w:hAnsi="Arial" w:cs="Arial"/>
                <w:lang w:val="es-ES"/>
              </w:rPr>
              <w:t>VUCE</w:t>
            </w:r>
          </w:p>
        </w:tc>
        <w:tc>
          <w:tcPr>
            <w:tcW w:w="7110" w:type="dxa"/>
            <w:vAlign w:val="center"/>
          </w:tcPr>
          <w:p>
            <w:pPr>
              <w:rPr>
                <w:rFonts w:ascii="Arial" w:hAnsi="Arial" w:cs="Arial"/>
                <w:lang w:val="es-ES"/>
              </w:rPr>
            </w:pPr>
            <w:r>
              <w:rPr>
                <w:rFonts w:ascii="Arial" w:hAnsi="Arial" w:cs="Arial"/>
                <w:lang w:val="es-ES"/>
              </w:rPr>
              <w:t>Ventanilla Única de Comercio Exterior</w:t>
            </w:r>
          </w:p>
        </w:tc>
      </w:tr>
    </w:tbl>
    <w:p>
      <w:pPr>
        <w:rPr>
          <w:rFonts w:ascii="Arial" w:hAnsi="Arial" w:cs="Arial"/>
          <w:b/>
          <w:color w:val="365F91" w:themeColor="accent1" w:themeShade="BF"/>
          <w:sz w:val="24"/>
          <w:szCs w:val="24"/>
          <w:lang w:val="es-AR"/>
        </w:rPr>
      </w:pPr>
      <w:r>
        <w:rPr>
          <w:rFonts w:ascii="Arial" w:hAnsi="Arial" w:cs="Arial"/>
          <w:b/>
          <w:color w:val="365F91" w:themeColor="accent1" w:themeShade="BF"/>
          <w:sz w:val="24"/>
          <w:szCs w:val="24"/>
          <w:lang w:val="es-AR"/>
        </w:rPr>
        <w:br w:type="page"/>
      </w:r>
    </w:p>
    <w:p>
      <w:pPr>
        <w:pStyle w:val="ListParagraph"/>
        <w:numPr>
          <w:ilvl w:val="0"/>
          <w:numId w:val="2"/>
        </w:numPr>
        <w:pBdr>
          <w:bottom w:val="single" w:sz="4" w:space="1" w:color="365F91" w:themeColor="accent1" w:themeShade="BF"/>
        </w:pBdr>
        <w:spacing w:after="120" w:line="240" w:lineRule="auto"/>
        <w:ind w:left="450" w:hanging="450"/>
        <w:jc w:val="both"/>
        <w:outlineLvl w:val="0"/>
        <w:rPr>
          <w:rFonts w:ascii="Arial" w:hAnsi="Arial" w:cs="Arial"/>
          <w:color w:val="365F91" w:themeColor="accent1" w:themeShade="BF"/>
          <w:sz w:val="24"/>
          <w:szCs w:val="24"/>
          <w:lang w:val="es-AR"/>
        </w:rPr>
      </w:pPr>
      <w:bookmarkStart w:id="2" w:name="_Toc463457867"/>
      <w:r>
        <w:rPr>
          <w:rFonts w:ascii="Arial" w:hAnsi="Arial" w:cs="Arial"/>
          <w:b/>
          <w:color w:val="365F91" w:themeColor="accent1" w:themeShade="BF"/>
          <w:sz w:val="24"/>
          <w:szCs w:val="24"/>
          <w:lang w:val="es-AR"/>
        </w:rPr>
        <w:lastRenderedPageBreak/>
        <w:t>PROGRAMA</w:t>
      </w:r>
      <w:bookmarkEnd w:id="2"/>
    </w:p>
    <w:p>
      <w:pPr>
        <w:tabs>
          <w:tab w:val="left" w:pos="567"/>
        </w:tabs>
        <w:spacing w:after="0" w:line="240" w:lineRule="auto"/>
        <w:jc w:val="both"/>
        <w:rPr>
          <w:rFonts w:ascii="Arial" w:hAnsi="Arial" w:cs="Arial"/>
          <w:sz w:val="24"/>
          <w:szCs w:val="24"/>
          <w:lang w:val="es-AR"/>
        </w:rPr>
      </w:pPr>
    </w:p>
    <w:p>
      <w:pPr>
        <w:pStyle w:val="ListParagraph"/>
        <w:numPr>
          <w:ilvl w:val="0"/>
          <w:numId w:val="4"/>
        </w:numPr>
        <w:tabs>
          <w:tab w:val="left" w:pos="567"/>
        </w:tabs>
        <w:spacing w:after="120" w:line="240" w:lineRule="auto"/>
        <w:ind w:left="360"/>
        <w:contextualSpacing w:val="0"/>
        <w:jc w:val="both"/>
        <w:outlineLvl w:val="1"/>
        <w:rPr>
          <w:rFonts w:ascii="Arial" w:hAnsi="Arial" w:cs="Arial"/>
          <w:b/>
          <w:sz w:val="24"/>
          <w:szCs w:val="24"/>
          <w:lang w:val="es-AR"/>
        </w:rPr>
      </w:pPr>
      <w:bookmarkStart w:id="3" w:name="_Toc463457868"/>
      <w:r>
        <w:rPr>
          <w:rFonts w:ascii="Arial" w:hAnsi="Arial" w:cs="Arial"/>
          <w:b/>
          <w:sz w:val="24"/>
          <w:szCs w:val="24"/>
          <w:lang w:val="es-AR"/>
        </w:rPr>
        <w:t>OBJETIVO</w:t>
      </w:r>
      <w:bookmarkEnd w:id="3"/>
    </w:p>
    <w:p>
      <w:pPr>
        <w:pStyle w:val="ListParagraph"/>
        <w:numPr>
          <w:ilvl w:val="1"/>
          <w:numId w:val="2"/>
        </w:numPr>
        <w:tabs>
          <w:tab w:val="left" w:pos="567"/>
        </w:tabs>
        <w:spacing w:after="120" w:line="240" w:lineRule="auto"/>
        <w:ind w:left="630" w:hanging="630"/>
        <w:contextualSpacing w:val="0"/>
        <w:jc w:val="both"/>
        <w:rPr>
          <w:rFonts w:ascii="Arial" w:hAnsi="Arial" w:cs="Arial"/>
          <w:sz w:val="24"/>
          <w:szCs w:val="24"/>
          <w:lang w:val="es-AR"/>
        </w:rPr>
      </w:pPr>
      <w:r>
        <w:rPr>
          <w:rFonts w:ascii="Arial" w:hAnsi="Arial" w:cs="Arial"/>
          <w:sz w:val="24"/>
          <w:szCs w:val="24"/>
          <w:lang w:val="es-AR"/>
        </w:rPr>
        <w:t>De conformidad con lo dispuesto en el Anexo Único del Contrato de Préstamo,</w:t>
      </w:r>
      <w:r>
        <w:rPr>
          <w:rFonts w:ascii="Arial" w:hAnsi="Arial" w:cs="Arial"/>
          <w:lang w:val="es-ES_tradnl"/>
        </w:rPr>
        <w:t xml:space="preserve"> </w:t>
      </w:r>
      <w:r>
        <w:rPr>
          <w:rFonts w:ascii="Arial" w:hAnsi="Arial" w:cs="Arial"/>
          <w:sz w:val="24"/>
          <w:szCs w:val="24"/>
          <w:lang w:val="es-AR"/>
        </w:rPr>
        <w:t xml:space="preserve">Los objetivos del programa son: (i) fortalecer la recaudación tributaria, aduanera y de las contribuciones a la seguridad social reduciendo los costos de cumplimiento; y (ii) mejorar el servicio y la atención al contribuyente y a los operadores de comercio exterior. </w:t>
      </w:r>
    </w:p>
    <w:p>
      <w:pPr>
        <w:pStyle w:val="ListParagraph"/>
        <w:tabs>
          <w:tab w:val="left" w:pos="360"/>
          <w:tab w:val="left" w:pos="567"/>
        </w:tabs>
        <w:spacing w:after="120" w:line="240" w:lineRule="auto"/>
        <w:ind w:left="360"/>
        <w:contextualSpacing w:val="0"/>
        <w:jc w:val="both"/>
        <w:rPr>
          <w:rFonts w:ascii="Arial" w:hAnsi="Arial" w:cs="Arial"/>
          <w:b/>
          <w:sz w:val="24"/>
          <w:szCs w:val="24"/>
          <w:lang w:val="es-AR"/>
        </w:rPr>
      </w:pPr>
    </w:p>
    <w:p>
      <w:pPr>
        <w:pStyle w:val="ListParagraph"/>
        <w:numPr>
          <w:ilvl w:val="0"/>
          <w:numId w:val="6"/>
        </w:numPr>
        <w:tabs>
          <w:tab w:val="left" w:pos="360"/>
          <w:tab w:val="left" w:pos="567"/>
        </w:tabs>
        <w:spacing w:after="120" w:line="240" w:lineRule="auto"/>
        <w:ind w:left="446" w:hanging="446"/>
        <w:contextualSpacing w:val="0"/>
        <w:jc w:val="both"/>
        <w:outlineLvl w:val="1"/>
        <w:rPr>
          <w:rFonts w:ascii="Arial" w:hAnsi="Arial" w:cs="Arial"/>
          <w:b/>
          <w:sz w:val="24"/>
          <w:szCs w:val="24"/>
          <w:lang w:val="es-AR"/>
        </w:rPr>
      </w:pPr>
      <w:bookmarkStart w:id="4" w:name="_Toc463457869"/>
      <w:r>
        <w:rPr>
          <w:rFonts w:ascii="Arial" w:hAnsi="Arial" w:cs="Arial"/>
          <w:b/>
          <w:sz w:val="24"/>
          <w:szCs w:val="24"/>
          <w:lang w:val="es-AR"/>
        </w:rPr>
        <w:t>DESCRIPCIÓN</w:t>
      </w:r>
      <w:bookmarkEnd w:id="4"/>
    </w:p>
    <w:p>
      <w:pPr>
        <w:pStyle w:val="ListParagraph"/>
        <w:numPr>
          <w:ilvl w:val="1"/>
          <w:numId w:val="2"/>
        </w:numPr>
        <w:tabs>
          <w:tab w:val="left" w:pos="567"/>
        </w:tabs>
        <w:spacing w:after="120" w:line="240" w:lineRule="auto"/>
        <w:ind w:left="446" w:hanging="446"/>
        <w:contextualSpacing w:val="0"/>
        <w:jc w:val="both"/>
        <w:rPr>
          <w:rFonts w:ascii="Arial" w:hAnsi="Arial" w:cs="Arial"/>
          <w:sz w:val="24"/>
          <w:szCs w:val="24"/>
          <w:lang w:val="es-AR"/>
        </w:rPr>
      </w:pPr>
      <w:r>
        <w:rPr>
          <w:rFonts w:ascii="Arial" w:hAnsi="Arial" w:cs="Arial"/>
          <w:sz w:val="24"/>
          <w:szCs w:val="24"/>
          <w:lang w:val="es-AR"/>
        </w:rPr>
        <w:t>El Programa financiará los siguientes componentes con sus correspondientes objetivos:</w:t>
      </w:r>
    </w:p>
    <w:p>
      <w:pPr>
        <w:pStyle w:val="Paragraph"/>
        <w:numPr>
          <w:ilvl w:val="1"/>
          <w:numId w:val="2"/>
        </w:numPr>
        <w:tabs>
          <w:tab w:val="num" w:pos="1746"/>
        </w:tabs>
        <w:rPr>
          <w:rFonts w:ascii="Arial" w:hAnsi="Arial" w:cs="Arial"/>
          <w:szCs w:val="24"/>
        </w:rPr>
      </w:pPr>
      <w:r>
        <w:rPr>
          <w:rFonts w:ascii="Arial" w:hAnsi="Arial" w:cs="Arial"/>
          <w:b/>
          <w:szCs w:val="24"/>
        </w:rPr>
        <w:t xml:space="preserve">Componente I. Fortalecimiento de la gestión de riesgo de la AFIP (US$48,0 millones). </w:t>
      </w:r>
      <w:r>
        <w:rPr>
          <w:rFonts w:ascii="Arial" w:hAnsi="Arial" w:cs="Arial"/>
          <w:szCs w:val="24"/>
        </w:rPr>
        <w:t>El objetivo de este componente es incrementar la percepción de riesgo de evadir por parte de los contribuyentes y los operadores de comercio exterior al mismo tiempo que se reduce el costo del cumplimiento a través de:</w:t>
      </w:r>
    </w:p>
    <w:p>
      <w:pPr>
        <w:pStyle w:val="Paragraph"/>
        <w:tabs>
          <w:tab w:val="clear" w:pos="3273"/>
        </w:tabs>
        <w:ind w:left="720" w:firstLine="0"/>
        <w:rPr>
          <w:rFonts w:ascii="Arial" w:hAnsi="Arial" w:cs="Arial"/>
          <w:szCs w:val="24"/>
        </w:rPr>
      </w:pPr>
    </w:p>
    <w:p>
      <w:pPr>
        <w:pStyle w:val="subpar"/>
        <w:numPr>
          <w:ilvl w:val="2"/>
          <w:numId w:val="2"/>
        </w:numPr>
        <w:rPr>
          <w:rFonts w:ascii="Arial" w:hAnsi="Arial" w:cs="Arial"/>
          <w:szCs w:val="24"/>
          <w:lang w:val="es-ES"/>
        </w:rPr>
      </w:pPr>
      <w:r>
        <w:rPr>
          <w:rFonts w:ascii="Arial" w:hAnsi="Arial" w:cs="Arial"/>
          <w:b/>
          <w:szCs w:val="24"/>
        </w:rPr>
        <w:t>Subcomponente 1.1. Fortalecimiento del control y fiscalización en la administración de tributos internos (US$12,3 millones).</w:t>
      </w:r>
      <w:r>
        <w:rPr>
          <w:rFonts w:ascii="Arial" w:hAnsi="Arial" w:cs="Arial"/>
          <w:szCs w:val="24"/>
        </w:rPr>
        <w:t xml:space="preserve"> </w:t>
      </w:r>
      <w:r>
        <w:rPr>
          <w:rFonts w:ascii="Arial" w:hAnsi="Arial" w:cs="Arial"/>
          <w:szCs w:val="24"/>
          <w:lang w:val="es-ES"/>
        </w:rPr>
        <w:t>Para mejorar la efectividad y la eficiencia en la administración de los tributos internos, es necesario restaurar los instrumentos que permitan contar con una visión integral del contribuyente, para disponer de información que permita que en cada uno de los pasos del ciclo tributario (registro, declaración, pago, control, fiscalización, cobranza inducida y coactiva, etc.) se cuente con los procedimientos más adecuados para atender los riesgos potenciales que pueda presentar cada segmento de contribuyentes (monotributistas independientes, pequeños, medianos, grandes). Adicionalmente es necesario contar con una fiscalización con una visión integral del riesgo de incumplimiento. Para ello los productos a ser financiados incluyen:</w:t>
      </w:r>
      <w:r>
        <w:rPr>
          <w:rFonts w:ascii="Arial" w:hAnsi="Arial" w:cs="Arial"/>
          <w:szCs w:val="24"/>
        </w:rPr>
        <w:t xml:space="preserve"> (i)  consultorías especializadas para completar el control de las obligaciones de los contribuyentes en los siguientes ejes: (a) simplificación del SCT y monitoreo; (b) control de los saldos a favor y su forma de utilización; (c) control de computables</w:t>
      </w:r>
      <w:r>
        <w:rPr>
          <w:rStyle w:val="FootnoteReference"/>
          <w:rFonts w:ascii="Arial" w:eastAsia="MS Mincho" w:hAnsi="Arial" w:cs="Arial"/>
          <w:szCs w:val="24"/>
        </w:rPr>
        <w:footnoteReference w:id="1"/>
      </w:r>
      <w:r>
        <w:rPr>
          <w:rFonts w:ascii="Arial" w:hAnsi="Arial" w:cs="Arial"/>
          <w:szCs w:val="24"/>
        </w:rPr>
        <w:t>; (d) impuestos, conceptos y funcionalidades faltantes; (e) interacción con otros sistemas; y (f) incorporación de los estados de cargos aduaneros; (ii) consultoría especializada para realizar la actualización tecnológica de los sistemas que alimentan al SCT, orientándolos al control del cumplimiento de las obligaciones fiscales</w:t>
      </w:r>
      <w:r>
        <w:rPr>
          <w:rStyle w:val="FootnoteReference"/>
          <w:rFonts w:ascii="Arial" w:eastAsia="MS Mincho" w:hAnsi="Arial" w:cs="Arial"/>
          <w:szCs w:val="24"/>
        </w:rPr>
        <w:footnoteReference w:id="2"/>
      </w:r>
      <w:r>
        <w:rPr>
          <w:rFonts w:ascii="Arial" w:hAnsi="Arial" w:cs="Arial"/>
          <w:szCs w:val="24"/>
        </w:rPr>
        <w:t xml:space="preserve">; (iii) consultoría especializada para implementar un método integrado de gestión de riesgo de cumplimiento, a través de: (a) utilización de perfiles de riesgo; (b) mejora en el análisis de información de riesgo y control de la tributación en transacciones internacionales; (c) mejora en la selección de </w:t>
      </w:r>
      <w:r>
        <w:rPr>
          <w:rFonts w:ascii="Arial" w:hAnsi="Arial" w:cs="Arial"/>
          <w:szCs w:val="24"/>
        </w:rPr>
        <w:lastRenderedPageBreak/>
        <w:t xml:space="preserve">casos para fiscalización; (d) reingeniería de la base de fiscalización (eFISCO); (e) reingeniería de los sistemas de facturación electrónica; y (f) desarrollar un sistema de gestión integral de solicitudes de devolución; (iv)  consultoría especializada desarrollar e implementar sistemas de seguimiento jurídico; y (v)  compra de software para consolidar el acervo tecnológico y consultoría especializada para capacitar  usando herramientas de </w:t>
      </w:r>
      <w:r>
        <w:rPr>
          <w:rFonts w:ascii="Arial" w:hAnsi="Arial" w:cs="Arial"/>
          <w:i/>
          <w:szCs w:val="24"/>
        </w:rPr>
        <w:t>Big Data, Advanced Analytics</w:t>
      </w:r>
      <w:r>
        <w:rPr>
          <w:rFonts w:ascii="Arial" w:hAnsi="Arial" w:cs="Arial"/>
          <w:szCs w:val="24"/>
        </w:rPr>
        <w:t>, y Minería de Datos</w:t>
      </w:r>
      <w:r>
        <w:rPr>
          <w:rFonts w:ascii="Arial" w:hAnsi="Arial" w:cs="Arial"/>
          <w:szCs w:val="24"/>
          <w:lang w:val="es-ES"/>
        </w:rPr>
        <w:t>.</w:t>
      </w:r>
    </w:p>
    <w:p>
      <w:pPr>
        <w:pStyle w:val="subpar"/>
        <w:numPr>
          <w:ilvl w:val="2"/>
          <w:numId w:val="2"/>
        </w:numPr>
        <w:rPr>
          <w:rFonts w:ascii="Arial" w:hAnsi="Arial" w:cs="Arial"/>
          <w:b/>
          <w:szCs w:val="24"/>
        </w:rPr>
      </w:pPr>
      <w:r>
        <w:rPr>
          <w:rFonts w:ascii="Arial" w:hAnsi="Arial" w:cs="Arial"/>
          <w:b/>
          <w:szCs w:val="24"/>
        </w:rPr>
        <w:t xml:space="preserve">Subcomponente 1.2. Fortalecimiento de los controles aduaneros y nueva estrategia de control (US$32,7 millones). </w:t>
      </w:r>
      <w:r>
        <w:rPr>
          <w:rFonts w:ascii="Arial" w:hAnsi="Arial" w:cs="Arial"/>
          <w:szCs w:val="24"/>
        </w:rPr>
        <w:t>Incluye: (i) consultoría especializada para desarrollar el del  Modelo Integral de Gestión de Riesgo</w:t>
      </w:r>
      <w:r>
        <w:rPr>
          <w:rStyle w:val="FootnoteReference"/>
          <w:rFonts w:ascii="Arial" w:eastAsia="MS Mincho" w:hAnsi="Arial" w:cs="Arial"/>
          <w:szCs w:val="24"/>
        </w:rPr>
        <w:footnoteReference w:id="3"/>
      </w:r>
      <w:r>
        <w:rPr>
          <w:rFonts w:ascii="Arial" w:hAnsi="Arial" w:cs="Arial"/>
          <w:szCs w:val="24"/>
        </w:rPr>
        <w:t>; (ii) adquisición de equipamiento y consultoría especializada realizar la actualización tecnológica del SIM, orientándolo al control de la gestión de las operaciones de comercio exterior, garantizando su interoperabilidad con el SCT y su módulo de gestión integrada de riesgo, y asegurando su vinculación con la Ventanilla Única de Comercio Exterior (VUCE); (iii) adquisición de equipamiento para actualizar la infraestructura tecnológica</w:t>
      </w:r>
      <w:r>
        <w:rPr>
          <w:rStyle w:val="FootnoteReference"/>
          <w:rFonts w:ascii="Arial" w:eastAsia="MS Mincho" w:hAnsi="Arial" w:cs="Arial"/>
          <w:szCs w:val="24"/>
        </w:rPr>
        <w:footnoteReference w:id="4"/>
      </w:r>
      <w:r>
        <w:rPr>
          <w:rFonts w:ascii="Arial" w:hAnsi="Arial" w:cs="Arial"/>
          <w:szCs w:val="24"/>
        </w:rPr>
        <w:t xml:space="preserve"> incluyendo adecuaciones edilicias; (iv) consultoría especializada para fortalecer el programa OEA; y (v) nuevo Sistema de Atención en Frontera.</w:t>
      </w:r>
    </w:p>
    <w:p>
      <w:pPr>
        <w:pStyle w:val="subpar"/>
        <w:numPr>
          <w:ilvl w:val="2"/>
          <w:numId w:val="2"/>
        </w:numPr>
        <w:rPr>
          <w:rFonts w:ascii="Arial" w:hAnsi="Arial" w:cs="Arial"/>
          <w:szCs w:val="24"/>
          <w:lang w:val="es-ES"/>
        </w:rPr>
      </w:pPr>
      <w:r>
        <w:rPr>
          <w:rFonts w:ascii="Arial" w:hAnsi="Arial" w:cs="Arial"/>
          <w:b/>
          <w:szCs w:val="24"/>
          <w:lang w:val="es-ES"/>
        </w:rPr>
        <w:t>Subcomponente 1.3. Fortalecimiento del control y fiscalización de los recursos de la seguridad social (US$3,0 millones).</w:t>
      </w:r>
      <w:r>
        <w:rPr>
          <w:rFonts w:ascii="Arial" w:hAnsi="Arial" w:cs="Arial"/>
          <w:szCs w:val="24"/>
          <w:lang w:val="es-ES"/>
        </w:rPr>
        <w:t xml:space="preserve"> Incluye consultoría especializada: (i) completar el desarrollo del cálculo de las obligaciones de la seguridad social en formato </w:t>
      </w:r>
      <w:r>
        <w:rPr>
          <w:rFonts w:ascii="Arial" w:hAnsi="Arial" w:cs="Arial"/>
          <w:i/>
          <w:szCs w:val="24"/>
          <w:lang w:val="es-ES"/>
        </w:rPr>
        <w:t>web</w:t>
      </w:r>
      <w:r>
        <w:rPr>
          <w:rFonts w:ascii="Arial" w:hAnsi="Arial" w:cs="Arial"/>
          <w:szCs w:val="24"/>
          <w:lang w:val="es-ES"/>
        </w:rPr>
        <w:t xml:space="preserve"> de los grandes contribuyentes, incorporando controles para la inscripción de agentes de retención y el cómputo de las mismas en sus declaraciones juradas; (ii) realizar la actualización tecnológica del libro de sueldos digital y simplificación registral; (iii) desarrollar la Cuenta Corriente de Provincias; y (iv) desarrollar el relevamiento electrónico de monotributistas, y control de retenciones. </w:t>
      </w:r>
    </w:p>
    <w:p>
      <w:pPr>
        <w:pStyle w:val="Paragraph"/>
        <w:numPr>
          <w:ilvl w:val="1"/>
          <w:numId w:val="2"/>
        </w:numPr>
        <w:tabs>
          <w:tab w:val="num" w:pos="1746"/>
        </w:tabs>
        <w:rPr>
          <w:rFonts w:ascii="Arial" w:hAnsi="Arial" w:cs="Arial"/>
          <w:szCs w:val="24"/>
        </w:rPr>
      </w:pPr>
      <w:r>
        <w:rPr>
          <w:rFonts w:ascii="Arial" w:hAnsi="Arial" w:cs="Arial"/>
          <w:b/>
          <w:szCs w:val="24"/>
        </w:rPr>
        <w:t>Componente II. Fortalecimiento de los sistemas de información de la AFIP (US$47,6 millones).</w:t>
      </w:r>
      <w:r>
        <w:rPr>
          <w:rFonts w:ascii="Arial" w:hAnsi="Arial" w:cs="Arial"/>
          <w:szCs w:val="24"/>
        </w:rPr>
        <w:t xml:space="preserve"> El presente componente tiene como objetivo financiar la adecuación del modelo de arquitectura tecnológica para la institución, en función de las nuevas estrategias de negocio en tres dimensiones principales: (i) actualizar sistemas y</w:t>
      </w:r>
      <w:r>
        <w:rPr>
          <w:rFonts w:ascii="Arial" w:hAnsi="Arial" w:cs="Arial"/>
          <w:i/>
          <w:szCs w:val="24"/>
        </w:rPr>
        <w:t xml:space="preserve"> software </w:t>
      </w:r>
      <w:r>
        <w:rPr>
          <w:rFonts w:ascii="Arial" w:hAnsi="Arial" w:cs="Arial"/>
          <w:szCs w:val="24"/>
        </w:rPr>
        <w:t xml:space="preserve">en el </w:t>
      </w:r>
      <w:r>
        <w:rPr>
          <w:rFonts w:ascii="Arial" w:hAnsi="Arial" w:cs="Arial"/>
          <w:i/>
          <w:szCs w:val="24"/>
        </w:rPr>
        <w:t>Data Center</w:t>
      </w:r>
      <w:r>
        <w:rPr>
          <w:rStyle w:val="FootnoteReference"/>
          <w:rFonts w:ascii="Arial" w:eastAsia="MS Mincho" w:hAnsi="Arial" w:cs="Arial"/>
          <w:szCs w:val="24"/>
        </w:rPr>
        <w:footnoteReference w:id="5"/>
      </w:r>
      <w:r>
        <w:rPr>
          <w:rFonts w:ascii="Arial" w:hAnsi="Arial" w:cs="Arial"/>
          <w:szCs w:val="24"/>
        </w:rPr>
        <w:t>; (ii) adquirir equipos relacionados con mejora de comunicaciones</w:t>
      </w:r>
      <w:r>
        <w:rPr>
          <w:rStyle w:val="FootnoteReference"/>
          <w:rFonts w:ascii="Arial" w:eastAsia="MS Mincho" w:hAnsi="Arial" w:cs="Arial"/>
          <w:szCs w:val="24"/>
        </w:rPr>
        <w:footnoteReference w:id="6"/>
      </w:r>
      <w:r>
        <w:rPr>
          <w:rFonts w:ascii="Arial" w:hAnsi="Arial" w:cs="Arial"/>
          <w:szCs w:val="24"/>
        </w:rPr>
        <w:t xml:space="preserve"> y (iii) adquirir </w:t>
      </w:r>
      <w:r>
        <w:rPr>
          <w:rFonts w:ascii="Arial" w:hAnsi="Arial" w:cs="Arial"/>
          <w:i/>
          <w:szCs w:val="24"/>
        </w:rPr>
        <w:t>software</w:t>
      </w:r>
      <w:r>
        <w:rPr>
          <w:rFonts w:ascii="Arial" w:hAnsi="Arial" w:cs="Arial"/>
          <w:szCs w:val="24"/>
        </w:rPr>
        <w:t xml:space="preserve"> y servicios relacionados a la seguridad informática</w:t>
      </w:r>
      <w:r>
        <w:rPr>
          <w:rStyle w:val="FootnoteReference"/>
          <w:rFonts w:ascii="Arial" w:eastAsia="MS Mincho" w:hAnsi="Arial" w:cs="Arial"/>
          <w:szCs w:val="24"/>
        </w:rPr>
        <w:footnoteReference w:id="7"/>
      </w:r>
      <w:r>
        <w:rPr>
          <w:rFonts w:ascii="Arial" w:hAnsi="Arial" w:cs="Arial"/>
          <w:szCs w:val="24"/>
        </w:rPr>
        <w:t>.</w:t>
      </w:r>
    </w:p>
    <w:p>
      <w:pPr>
        <w:pStyle w:val="Paragraph"/>
        <w:numPr>
          <w:ilvl w:val="1"/>
          <w:numId w:val="2"/>
        </w:numPr>
        <w:rPr>
          <w:rFonts w:ascii="Arial" w:hAnsi="Arial" w:cs="Arial"/>
          <w:szCs w:val="24"/>
        </w:rPr>
      </w:pPr>
      <w:r>
        <w:rPr>
          <w:rFonts w:ascii="Arial" w:hAnsi="Arial" w:cs="Arial"/>
          <w:b/>
          <w:szCs w:val="24"/>
        </w:rPr>
        <w:lastRenderedPageBreak/>
        <w:t xml:space="preserve">Componente III. Mejora del servicio y de la atención al contribuyente </w:t>
      </w:r>
      <w:r>
        <w:rPr>
          <w:rFonts w:ascii="Arial" w:hAnsi="Arial" w:cs="Arial"/>
          <w:b/>
          <w:szCs w:val="24"/>
        </w:rPr>
        <w:br/>
        <w:t>(US$9,4 millones).</w:t>
      </w:r>
      <w:r>
        <w:rPr>
          <w:rFonts w:ascii="Arial" w:hAnsi="Arial" w:cs="Arial"/>
          <w:szCs w:val="24"/>
        </w:rPr>
        <w:t xml:space="preserve"> Se financiará una</w:t>
      </w:r>
      <w:r>
        <w:rPr>
          <w:rFonts w:ascii="Arial" w:hAnsi="Arial" w:cs="Arial"/>
          <w:szCs w:val="24"/>
          <w:lang w:val="es-AR"/>
        </w:rPr>
        <w:t xml:space="preserve"> mejora de la </w:t>
      </w:r>
      <w:r>
        <w:rPr>
          <w:rFonts w:ascii="Arial" w:hAnsi="Arial" w:cs="Arial"/>
          <w:bCs/>
          <w:szCs w:val="24"/>
          <w:lang w:val="es-AR"/>
        </w:rPr>
        <w:t>gestión de la relación con los ciudadanos</w:t>
      </w:r>
      <w:r>
        <w:rPr>
          <w:rFonts w:ascii="Arial" w:hAnsi="Arial" w:cs="Arial"/>
          <w:szCs w:val="24"/>
          <w:lang w:val="es-AR"/>
        </w:rPr>
        <w:t xml:space="preserve"> a través del Sistema de Gestión de Atención Institucional que permitirá ordenar la atención, registrar los contactos mantenidos con el ciudadano y suministrar al funcionario información detallada del ciudadano y su perfil, datos adicionales extraídos de terceros organismos, acceso a herramientas de asistencia sobre consultas e interacción directa con los servicios del trámite en cuestión. La figura del </w:t>
      </w:r>
      <w:r>
        <w:rPr>
          <w:rFonts w:ascii="Arial" w:hAnsi="Arial" w:cs="Arial"/>
          <w:bCs/>
          <w:szCs w:val="24"/>
          <w:lang w:val="es-AR"/>
        </w:rPr>
        <w:t>Contribuyente Digital</w:t>
      </w:r>
      <w:r>
        <w:rPr>
          <w:rFonts w:ascii="Arial" w:hAnsi="Arial" w:cs="Arial"/>
          <w:szCs w:val="24"/>
          <w:lang w:val="es-AR"/>
        </w:rPr>
        <w:t xml:space="preserve"> cobrará fuerza junto con la mayor importancia que adquirirá el Canal Digital como consecuencia de </w:t>
      </w:r>
      <w:r>
        <w:rPr>
          <w:rFonts w:ascii="Arial" w:hAnsi="Arial" w:cs="Arial"/>
          <w:bCs/>
          <w:szCs w:val="24"/>
          <w:lang w:val="es-AR"/>
        </w:rPr>
        <w:t>la informatización de la mayor cantidad de trámites</w:t>
      </w:r>
      <w:r>
        <w:rPr>
          <w:rFonts w:ascii="Arial" w:hAnsi="Arial" w:cs="Arial"/>
          <w:szCs w:val="24"/>
          <w:lang w:val="es-AR"/>
        </w:rPr>
        <w:t xml:space="preserve"> posible. </w:t>
      </w:r>
      <w:r>
        <w:rPr>
          <w:rFonts w:ascii="Arial" w:hAnsi="Arial" w:cs="Arial"/>
          <w:szCs w:val="24"/>
        </w:rPr>
        <w:t>Los productos a ser financiados incluyen: (i) consultoría especializada completar el desarrollo del CRM en la integración de la información, módulo de reclamos y sugerencias, módulo de gestión de consultas de organismos de seguridad social, módulo de calidad de atención y módulo de campañas salientes y el módulo aduanero; (ii) consultoría especializada para la incorporación de nuevos procesos, medios y tecnologías y reorientación del rol de las sucursales/agencias que constituyen el despliegue territorial de la AFIP; (iii) adquisición de software dos nuevas aplicaciones móviles para denuncias y viajeros; y (iii) un nuevo modelo de gestión planificación y organización que incluye el diseño  e implementación de un nuevo Plan Estratégico, acciones de desburocratización e interoperabilidad con otros organismos.</w:t>
      </w:r>
    </w:p>
    <w:p>
      <w:pPr>
        <w:pStyle w:val="Paragraph"/>
        <w:numPr>
          <w:ilvl w:val="1"/>
          <w:numId w:val="2"/>
        </w:numPr>
        <w:tabs>
          <w:tab w:val="num" w:pos="1746"/>
        </w:tabs>
        <w:rPr>
          <w:rFonts w:ascii="Arial" w:hAnsi="Arial" w:cs="Arial"/>
          <w:b/>
          <w:szCs w:val="24"/>
          <w:shd w:val="clear" w:color="auto" w:fill="FFFFFF"/>
        </w:rPr>
      </w:pPr>
      <w:r>
        <w:rPr>
          <w:rFonts w:ascii="Arial" w:hAnsi="Arial" w:cs="Arial"/>
          <w:b/>
          <w:szCs w:val="24"/>
          <w:shd w:val="clear" w:color="auto" w:fill="FFFFFF"/>
        </w:rPr>
        <w:t xml:space="preserve">Administración del programa (US$5,5 millones). </w:t>
      </w:r>
      <w:r>
        <w:rPr>
          <w:rFonts w:ascii="Arial" w:hAnsi="Arial" w:cs="Arial"/>
          <w:szCs w:val="24"/>
          <w:shd w:val="clear" w:color="auto" w:fill="FFFFFF"/>
        </w:rPr>
        <w:t xml:space="preserve">Con cargo a la administración del programa se financiará la creación y funcionamiento de la </w:t>
      </w:r>
      <w:r>
        <w:rPr>
          <w:rFonts w:ascii="Arial" w:hAnsi="Arial" w:cs="Arial"/>
          <w:szCs w:val="24"/>
        </w:rPr>
        <w:t>Unidad Coordinadora del Programa (</w:t>
      </w:r>
      <w:r>
        <w:rPr>
          <w:rFonts w:ascii="Arial" w:hAnsi="Arial" w:cs="Arial"/>
          <w:szCs w:val="24"/>
          <w:shd w:val="clear" w:color="auto" w:fill="FFFFFF"/>
        </w:rPr>
        <w:t>UCP), así como gastos para la elaboración de informes e imprevistos.</w:t>
      </w:r>
    </w:p>
    <w:p>
      <w:pPr>
        <w:pStyle w:val="ListParagraph"/>
        <w:tabs>
          <w:tab w:val="left" w:pos="450"/>
          <w:tab w:val="left" w:pos="567"/>
        </w:tabs>
        <w:spacing w:after="120" w:line="240" w:lineRule="auto"/>
        <w:ind w:left="450"/>
        <w:jc w:val="both"/>
        <w:rPr>
          <w:rFonts w:ascii="Arial" w:hAnsi="Arial" w:cs="Arial"/>
          <w:sz w:val="24"/>
          <w:szCs w:val="24"/>
          <w:lang w:val="es-AR"/>
        </w:rPr>
      </w:pPr>
    </w:p>
    <w:p>
      <w:pPr>
        <w:tabs>
          <w:tab w:val="left" w:pos="567"/>
        </w:tabs>
        <w:spacing w:after="0" w:line="240" w:lineRule="auto"/>
        <w:jc w:val="both"/>
        <w:outlineLvl w:val="1"/>
        <w:rPr>
          <w:rFonts w:ascii="Arial" w:hAnsi="Arial" w:cs="Arial"/>
          <w:b/>
          <w:sz w:val="24"/>
          <w:szCs w:val="24"/>
          <w:lang w:val="es-AR"/>
        </w:rPr>
      </w:pPr>
    </w:p>
    <w:p>
      <w:pPr>
        <w:pStyle w:val="ListParagraph"/>
        <w:numPr>
          <w:ilvl w:val="0"/>
          <w:numId w:val="6"/>
        </w:numPr>
        <w:tabs>
          <w:tab w:val="left" w:pos="567"/>
        </w:tabs>
        <w:spacing w:after="120" w:line="240" w:lineRule="auto"/>
        <w:ind w:left="446" w:hanging="446"/>
        <w:contextualSpacing w:val="0"/>
        <w:jc w:val="both"/>
        <w:outlineLvl w:val="1"/>
        <w:rPr>
          <w:rFonts w:ascii="Arial" w:hAnsi="Arial" w:cs="Arial"/>
          <w:b/>
          <w:sz w:val="24"/>
          <w:szCs w:val="24"/>
          <w:lang w:val="es-AR"/>
        </w:rPr>
      </w:pPr>
      <w:bookmarkStart w:id="5" w:name="_Toc463457870"/>
      <w:r>
        <w:rPr>
          <w:rFonts w:ascii="Arial" w:hAnsi="Arial" w:cs="Arial"/>
          <w:b/>
          <w:sz w:val="24"/>
          <w:szCs w:val="24"/>
          <w:lang w:val="es-AR"/>
        </w:rPr>
        <w:t>COSTO DEL PROGRAMA Y PLAN DE FINANCIAMIENTO</w:t>
      </w:r>
      <w:bookmarkEnd w:id="5"/>
    </w:p>
    <w:p>
      <w:pPr>
        <w:pStyle w:val="ListParagraph"/>
        <w:numPr>
          <w:ilvl w:val="1"/>
          <w:numId w:val="2"/>
        </w:numPr>
        <w:tabs>
          <w:tab w:val="left" w:pos="450"/>
          <w:tab w:val="left" w:pos="567"/>
        </w:tabs>
        <w:spacing w:after="120" w:line="240" w:lineRule="auto"/>
        <w:ind w:left="450" w:hanging="450"/>
        <w:jc w:val="both"/>
        <w:rPr>
          <w:rFonts w:ascii="Arial" w:hAnsi="Arial" w:cs="Arial"/>
          <w:sz w:val="24"/>
          <w:szCs w:val="24"/>
          <w:lang w:val="es-AR"/>
        </w:rPr>
      </w:pPr>
      <w:r>
        <w:rPr>
          <w:rFonts w:ascii="Arial" w:hAnsi="Arial" w:cs="Arial"/>
          <w:sz w:val="24"/>
          <w:szCs w:val="24"/>
          <w:lang w:val="es-AR"/>
        </w:rPr>
        <w:t xml:space="preserve">De conformidad con el Anexo Único del Contrato de Préstamo, el siguiente Cuadro de Costos y Financiamiento del Programa prevé la distribución por categorías de inversión y por fuentes de financiamiento: </w:t>
      </w:r>
    </w:p>
    <w:p>
      <w:pPr>
        <w:tabs>
          <w:tab w:val="left" w:pos="567"/>
        </w:tabs>
        <w:spacing w:after="120" w:line="240" w:lineRule="auto"/>
        <w:jc w:val="center"/>
        <w:rPr>
          <w:rFonts w:ascii="Arial" w:hAnsi="Arial" w:cs="Arial"/>
          <w:sz w:val="24"/>
          <w:szCs w:val="24"/>
          <w:lang w:val="es-ES_tradnl"/>
        </w:rPr>
      </w:pPr>
      <w:r>
        <w:rPr>
          <w:rFonts w:ascii="Arial" w:hAnsi="Arial" w:cs="Arial"/>
          <w:b/>
          <w:bCs/>
          <w:sz w:val="24"/>
          <w:szCs w:val="24"/>
          <w:lang w:val="es-ES_tradnl"/>
        </w:rPr>
        <w:t>Costos y Financiamiento (En US$</w:t>
      </w:r>
      <w:r>
        <w:rPr>
          <w:rFonts w:ascii="Arial" w:hAnsi="Arial" w:cs="Arial"/>
          <w:b/>
          <w:bCs/>
          <w:smallCaps/>
          <w:sz w:val="24"/>
          <w:szCs w:val="24"/>
          <w:lang w:val="es-ES_tradnl"/>
        </w:rPr>
        <w:t>)</w:t>
      </w:r>
    </w:p>
    <w:tbl>
      <w:tblPr>
        <w:tblW w:w="4586" w:type="pct"/>
        <w:tblInd w:w="715" w:type="dxa"/>
        <w:tblLayout w:type="fixed"/>
        <w:tblCellMar>
          <w:left w:w="70" w:type="dxa"/>
          <w:right w:w="70" w:type="dxa"/>
        </w:tblCellMar>
        <w:tblLook w:val="04A0" w:firstRow="1" w:lastRow="0" w:firstColumn="1" w:lastColumn="0" w:noHBand="0" w:noVBand="1"/>
      </w:tblPr>
      <w:tblGrid>
        <w:gridCol w:w="6694"/>
        <w:gridCol w:w="590"/>
        <w:gridCol w:w="788"/>
        <w:gridCol w:w="585"/>
      </w:tblGrid>
      <w:tr>
        <w:trPr>
          <w:trHeight w:val="20"/>
        </w:trPr>
        <w:tc>
          <w:tcPr>
            <w:tcW w:w="3866"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pPr>
              <w:jc w:val="center"/>
              <w:rPr>
                <w:rFonts w:ascii="Arial" w:hAnsi="Arial" w:cs="Arial"/>
                <w:b/>
                <w:bCs/>
                <w:sz w:val="18"/>
                <w:szCs w:val="18"/>
                <w:lang w:val="es-ES" w:eastAsia="es-ES"/>
              </w:rPr>
            </w:pPr>
            <w:r>
              <w:rPr>
                <w:rFonts w:ascii="Arial" w:hAnsi="Arial" w:cs="Arial"/>
                <w:b/>
                <w:bCs/>
                <w:sz w:val="18"/>
                <w:szCs w:val="18"/>
                <w:lang w:val="es-ES" w:eastAsia="es-ES"/>
              </w:rPr>
              <w:t>Componente</w:t>
            </w:r>
          </w:p>
        </w:tc>
        <w:tc>
          <w:tcPr>
            <w:tcW w:w="341"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BID</w:t>
            </w:r>
          </w:p>
        </w:tc>
        <w:tc>
          <w:tcPr>
            <w:tcW w:w="455"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Aporte Local</w:t>
            </w:r>
          </w:p>
        </w:tc>
        <w:tc>
          <w:tcPr>
            <w:tcW w:w="338"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Total</w:t>
            </w:r>
          </w:p>
        </w:tc>
      </w:tr>
      <w:tr>
        <w:trPr>
          <w:trHeight w:val="20"/>
        </w:trPr>
        <w:tc>
          <w:tcPr>
            <w:tcW w:w="3866" w:type="pct"/>
            <w:tcBorders>
              <w:top w:val="nil"/>
              <w:left w:val="single" w:sz="4" w:space="0" w:color="auto"/>
              <w:bottom w:val="single" w:sz="4" w:space="0" w:color="auto"/>
              <w:right w:val="single" w:sz="4" w:space="0" w:color="auto"/>
            </w:tcBorders>
            <w:shd w:val="clear" w:color="auto" w:fill="auto"/>
            <w:noWrap/>
            <w:vAlign w:val="center"/>
          </w:tcPr>
          <w:p>
            <w:pPr>
              <w:rPr>
                <w:rFonts w:ascii="Arial" w:hAnsi="Arial" w:cs="Arial"/>
                <w:b/>
                <w:bCs/>
                <w:sz w:val="18"/>
                <w:szCs w:val="18"/>
                <w:lang w:val="es-ES" w:eastAsia="es-ES"/>
              </w:rPr>
            </w:pPr>
            <w:r>
              <w:rPr>
                <w:rFonts w:ascii="Arial" w:hAnsi="Arial" w:cs="Arial"/>
                <w:b/>
                <w:bCs/>
                <w:sz w:val="18"/>
                <w:szCs w:val="18"/>
                <w:lang w:val="es-ES" w:eastAsia="es-ES"/>
              </w:rPr>
              <w:t xml:space="preserve">I. </w:t>
            </w:r>
            <w:r>
              <w:rPr>
                <w:rFonts w:ascii="Arial" w:hAnsi="Arial" w:cs="Arial"/>
                <w:b/>
                <w:bCs/>
                <w:sz w:val="18"/>
                <w:szCs w:val="18"/>
                <w:lang w:val="es-ES_tradnl" w:eastAsia="es-ES"/>
              </w:rPr>
              <w:t>Fortalecimiento de la gestión de riesgo de la AFIP</w:t>
            </w:r>
          </w:p>
        </w:tc>
        <w:tc>
          <w:tcPr>
            <w:tcW w:w="341"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43,2</w:t>
            </w:r>
          </w:p>
        </w:tc>
        <w:tc>
          <w:tcPr>
            <w:tcW w:w="455"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4,8</w:t>
            </w:r>
          </w:p>
        </w:tc>
        <w:tc>
          <w:tcPr>
            <w:tcW w:w="338"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48,0</w:t>
            </w:r>
          </w:p>
        </w:tc>
      </w:tr>
      <w:tr>
        <w:trPr>
          <w:trHeight w:val="20"/>
        </w:trPr>
        <w:tc>
          <w:tcPr>
            <w:tcW w:w="3866" w:type="pct"/>
            <w:tcBorders>
              <w:top w:val="nil"/>
              <w:left w:val="single" w:sz="4" w:space="0" w:color="auto"/>
              <w:bottom w:val="single" w:sz="4" w:space="0" w:color="auto"/>
              <w:right w:val="single" w:sz="4" w:space="0" w:color="auto"/>
            </w:tcBorders>
            <w:shd w:val="clear" w:color="auto" w:fill="auto"/>
            <w:noWrap/>
            <w:vAlign w:val="center"/>
          </w:tcPr>
          <w:p>
            <w:pPr>
              <w:rPr>
                <w:rFonts w:ascii="Arial" w:hAnsi="Arial" w:cs="Arial"/>
                <w:bCs/>
                <w:sz w:val="18"/>
                <w:szCs w:val="18"/>
                <w:lang w:val="es-ES" w:eastAsia="es-ES"/>
              </w:rPr>
            </w:pPr>
            <w:r>
              <w:rPr>
                <w:rFonts w:ascii="Arial" w:hAnsi="Arial" w:cs="Arial"/>
                <w:bCs/>
                <w:sz w:val="18"/>
                <w:szCs w:val="18"/>
                <w:lang w:val="es-ES" w:eastAsia="es-ES"/>
              </w:rPr>
              <w:t>1.1. Fortalecimiento del control y fiscalización en la administración de tributos internos</w:t>
            </w:r>
          </w:p>
        </w:tc>
        <w:tc>
          <w:tcPr>
            <w:tcW w:w="341"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Cs/>
                <w:sz w:val="18"/>
                <w:szCs w:val="18"/>
                <w:lang w:val="es-ES" w:eastAsia="es-ES"/>
              </w:rPr>
            </w:pPr>
            <w:r>
              <w:rPr>
                <w:rFonts w:ascii="Arial" w:hAnsi="Arial" w:cs="Arial"/>
                <w:bCs/>
                <w:sz w:val="18"/>
                <w:szCs w:val="18"/>
                <w:lang w:val="es-ES" w:eastAsia="es-ES"/>
              </w:rPr>
              <w:t>11,1</w:t>
            </w:r>
          </w:p>
        </w:tc>
        <w:tc>
          <w:tcPr>
            <w:tcW w:w="455"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Cs/>
                <w:sz w:val="18"/>
                <w:szCs w:val="18"/>
                <w:lang w:val="es-ES" w:eastAsia="es-ES"/>
              </w:rPr>
            </w:pPr>
            <w:r>
              <w:rPr>
                <w:rFonts w:ascii="Arial" w:hAnsi="Arial" w:cs="Arial"/>
                <w:bCs/>
                <w:sz w:val="18"/>
                <w:szCs w:val="18"/>
                <w:lang w:val="es-ES" w:eastAsia="es-ES"/>
              </w:rPr>
              <w:t>1,2</w:t>
            </w:r>
          </w:p>
        </w:tc>
        <w:tc>
          <w:tcPr>
            <w:tcW w:w="338"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Cs/>
                <w:sz w:val="18"/>
                <w:szCs w:val="18"/>
                <w:lang w:val="es-ES" w:eastAsia="es-ES"/>
              </w:rPr>
            </w:pPr>
            <w:r>
              <w:rPr>
                <w:rFonts w:ascii="Arial" w:hAnsi="Arial" w:cs="Arial"/>
                <w:bCs/>
                <w:sz w:val="18"/>
                <w:szCs w:val="18"/>
                <w:lang w:val="es-ES" w:eastAsia="es-ES"/>
              </w:rPr>
              <w:t>12,3</w:t>
            </w:r>
          </w:p>
        </w:tc>
      </w:tr>
      <w:tr>
        <w:trPr>
          <w:trHeight w:val="20"/>
        </w:trPr>
        <w:tc>
          <w:tcPr>
            <w:tcW w:w="3866" w:type="pct"/>
            <w:tcBorders>
              <w:top w:val="nil"/>
              <w:left w:val="single" w:sz="4" w:space="0" w:color="auto"/>
              <w:bottom w:val="single" w:sz="4" w:space="0" w:color="auto"/>
              <w:right w:val="single" w:sz="4" w:space="0" w:color="auto"/>
            </w:tcBorders>
            <w:shd w:val="clear" w:color="auto" w:fill="auto"/>
            <w:noWrap/>
            <w:vAlign w:val="center"/>
          </w:tcPr>
          <w:p>
            <w:pPr>
              <w:rPr>
                <w:rFonts w:ascii="Arial" w:hAnsi="Arial" w:cs="Arial"/>
                <w:bCs/>
                <w:sz w:val="18"/>
                <w:szCs w:val="18"/>
                <w:lang w:val="es-ES" w:eastAsia="es-ES"/>
              </w:rPr>
            </w:pPr>
            <w:r>
              <w:rPr>
                <w:rFonts w:ascii="Arial" w:hAnsi="Arial" w:cs="Arial"/>
                <w:bCs/>
                <w:sz w:val="18"/>
                <w:szCs w:val="18"/>
                <w:lang w:val="es-ES" w:eastAsia="es-ES"/>
              </w:rPr>
              <w:t xml:space="preserve">1.2. </w:t>
            </w:r>
            <w:r>
              <w:rPr>
                <w:rFonts w:ascii="Arial" w:hAnsi="Arial" w:cs="Arial"/>
                <w:bCs/>
                <w:sz w:val="18"/>
                <w:szCs w:val="18"/>
                <w:lang w:val="es-ES"/>
              </w:rPr>
              <w:t>Fortalecimiento de los controles aduaneros y nueva estrategia de control</w:t>
            </w:r>
          </w:p>
        </w:tc>
        <w:tc>
          <w:tcPr>
            <w:tcW w:w="341"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Cs/>
                <w:sz w:val="18"/>
                <w:szCs w:val="18"/>
                <w:lang w:val="es-ES" w:eastAsia="es-ES"/>
              </w:rPr>
            </w:pPr>
            <w:r>
              <w:rPr>
                <w:rFonts w:ascii="Arial" w:hAnsi="Arial" w:cs="Arial"/>
                <w:bCs/>
                <w:sz w:val="18"/>
                <w:szCs w:val="18"/>
                <w:lang w:val="es-ES" w:eastAsia="es-ES"/>
              </w:rPr>
              <w:t>29,4</w:t>
            </w:r>
          </w:p>
        </w:tc>
        <w:tc>
          <w:tcPr>
            <w:tcW w:w="455"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Cs/>
                <w:sz w:val="18"/>
                <w:szCs w:val="18"/>
                <w:lang w:val="es-ES" w:eastAsia="es-ES"/>
              </w:rPr>
            </w:pPr>
            <w:r>
              <w:rPr>
                <w:rFonts w:ascii="Arial" w:hAnsi="Arial" w:cs="Arial"/>
                <w:bCs/>
                <w:sz w:val="18"/>
                <w:szCs w:val="18"/>
                <w:lang w:val="es-ES" w:eastAsia="es-ES"/>
              </w:rPr>
              <w:t>3,3</w:t>
            </w:r>
          </w:p>
        </w:tc>
        <w:tc>
          <w:tcPr>
            <w:tcW w:w="338"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Cs/>
                <w:sz w:val="18"/>
                <w:szCs w:val="18"/>
                <w:lang w:val="es-ES" w:eastAsia="es-ES"/>
              </w:rPr>
            </w:pPr>
            <w:r>
              <w:rPr>
                <w:rFonts w:ascii="Arial" w:hAnsi="Arial" w:cs="Arial"/>
                <w:bCs/>
                <w:sz w:val="18"/>
                <w:szCs w:val="18"/>
                <w:lang w:val="es-ES" w:eastAsia="es-ES"/>
              </w:rPr>
              <w:t>32,7</w:t>
            </w:r>
          </w:p>
        </w:tc>
      </w:tr>
      <w:tr>
        <w:trPr>
          <w:trHeight w:val="20"/>
        </w:trPr>
        <w:tc>
          <w:tcPr>
            <w:tcW w:w="3866" w:type="pct"/>
            <w:tcBorders>
              <w:top w:val="nil"/>
              <w:left w:val="single" w:sz="4" w:space="0" w:color="auto"/>
              <w:bottom w:val="single" w:sz="4" w:space="0" w:color="auto"/>
              <w:right w:val="single" w:sz="4" w:space="0" w:color="auto"/>
            </w:tcBorders>
            <w:shd w:val="clear" w:color="auto" w:fill="auto"/>
            <w:noWrap/>
            <w:vAlign w:val="center"/>
          </w:tcPr>
          <w:p>
            <w:pPr>
              <w:rPr>
                <w:rFonts w:ascii="Arial" w:hAnsi="Arial" w:cs="Arial"/>
                <w:bCs/>
                <w:sz w:val="18"/>
                <w:szCs w:val="18"/>
                <w:lang w:val="es-ES" w:eastAsia="es-ES"/>
              </w:rPr>
            </w:pPr>
            <w:r>
              <w:rPr>
                <w:rFonts w:ascii="Arial" w:hAnsi="Arial" w:cs="Arial"/>
                <w:bCs/>
                <w:sz w:val="18"/>
                <w:szCs w:val="18"/>
                <w:lang w:val="es-ES" w:eastAsia="es-ES"/>
              </w:rPr>
              <w:t xml:space="preserve">1.3. </w:t>
            </w:r>
            <w:r>
              <w:rPr>
                <w:rFonts w:ascii="Arial" w:hAnsi="Arial" w:cs="Arial"/>
                <w:bCs/>
                <w:sz w:val="18"/>
                <w:szCs w:val="18"/>
                <w:lang w:val="es-ES"/>
              </w:rPr>
              <w:t>Fortalecimiento del control y fiscalización de los recursos de la seguridad social</w:t>
            </w:r>
          </w:p>
        </w:tc>
        <w:tc>
          <w:tcPr>
            <w:tcW w:w="341"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Cs/>
                <w:sz w:val="18"/>
                <w:szCs w:val="18"/>
                <w:lang w:val="es-ES" w:eastAsia="es-ES"/>
              </w:rPr>
            </w:pPr>
            <w:r>
              <w:rPr>
                <w:rFonts w:ascii="Arial" w:hAnsi="Arial" w:cs="Arial"/>
                <w:bCs/>
                <w:sz w:val="18"/>
                <w:szCs w:val="18"/>
                <w:lang w:val="es-ES" w:eastAsia="es-ES"/>
              </w:rPr>
              <w:t>2,7</w:t>
            </w:r>
          </w:p>
        </w:tc>
        <w:tc>
          <w:tcPr>
            <w:tcW w:w="455"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Cs/>
                <w:sz w:val="18"/>
                <w:szCs w:val="18"/>
                <w:lang w:val="es-ES" w:eastAsia="es-ES"/>
              </w:rPr>
            </w:pPr>
            <w:r>
              <w:rPr>
                <w:rFonts w:ascii="Arial" w:hAnsi="Arial" w:cs="Arial"/>
                <w:bCs/>
                <w:sz w:val="18"/>
                <w:szCs w:val="18"/>
                <w:lang w:val="es-ES" w:eastAsia="es-ES"/>
              </w:rPr>
              <w:t>0,3</w:t>
            </w:r>
          </w:p>
        </w:tc>
        <w:tc>
          <w:tcPr>
            <w:tcW w:w="338"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Cs/>
                <w:sz w:val="18"/>
                <w:szCs w:val="18"/>
                <w:lang w:val="es-ES" w:eastAsia="es-ES"/>
              </w:rPr>
            </w:pPr>
            <w:r>
              <w:rPr>
                <w:rFonts w:ascii="Arial" w:hAnsi="Arial" w:cs="Arial"/>
                <w:bCs/>
                <w:sz w:val="18"/>
                <w:szCs w:val="18"/>
                <w:lang w:val="es-ES" w:eastAsia="es-ES"/>
              </w:rPr>
              <w:t>3,0</w:t>
            </w:r>
          </w:p>
        </w:tc>
      </w:tr>
      <w:tr>
        <w:trPr>
          <w:trHeight w:val="20"/>
        </w:trPr>
        <w:tc>
          <w:tcPr>
            <w:tcW w:w="3866" w:type="pct"/>
            <w:tcBorders>
              <w:top w:val="nil"/>
              <w:left w:val="single" w:sz="4" w:space="0" w:color="auto"/>
              <w:bottom w:val="single" w:sz="4" w:space="0" w:color="auto"/>
              <w:right w:val="single" w:sz="4" w:space="0" w:color="auto"/>
            </w:tcBorders>
            <w:shd w:val="clear" w:color="auto" w:fill="auto"/>
            <w:noWrap/>
            <w:vAlign w:val="center"/>
          </w:tcPr>
          <w:p>
            <w:pPr>
              <w:rPr>
                <w:rFonts w:ascii="Arial" w:hAnsi="Arial" w:cs="Arial"/>
                <w:b/>
                <w:bCs/>
                <w:sz w:val="18"/>
                <w:szCs w:val="18"/>
                <w:lang w:val="es-ES" w:eastAsia="es-ES"/>
              </w:rPr>
            </w:pPr>
            <w:r>
              <w:rPr>
                <w:rFonts w:ascii="Arial" w:hAnsi="Arial" w:cs="Arial"/>
                <w:b/>
                <w:bCs/>
                <w:sz w:val="18"/>
                <w:szCs w:val="18"/>
                <w:lang w:val="es-ES" w:eastAsia="es-ES"/>
              </w:rPr>
              <w:t xml:space="preserve">II. </w:t>
            </w:r>
            <w:r>
              <w:rPr>
                <w:rFonts w:ascii="Arial" w:hAnsi="Arial" w:cs="Arial"/>
                <w:b/>
                <w:bCs/>
                <w:sz w:val="18"/>
                <w:szCs w:val="18"/>
                <w:lang w:val="es-ES"/>
              </w:rPr>
              <w:t>Fortalecimiento de los sistemas de información de la AFIP</w:t>
            </w:r>
          </w:p>
        </w:tc>
        <w:tc>
          <w:tcPr>
            <w:tcW w:w="341"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42,8</w:t>
            </w:r>
          </w:p>
        </w:tc>
        <w:tc>
          <w:tcPr>
            <w:tcW w:w="455"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4,8</w:t>
            </w:r>
          </w:p>
        </w:tc>
        <w:tc>
          <w:tcPr>
            <w:tcW w:w="338" w:type="pct"/>
            <w:tcBorders>
              <w:top w:val="nil"/>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47,6</w:t>
            </w:r>
          </w:p>
        </w:tc>
      </w:tr>
      <w:tr>
        <w:trPr>
          <w:trHeight w:val="20"/>
        </w:trPr>
        <w:tc>
          <w:tcPr>
            <w:tcW w:w="3866" w:type="pct"/>
            <w:tcBorders>
              <w:top w:val="single" w:sz="4" w:space="0" w:color="auto"/>
              <w:left w:val="single" w:sz="4" w:space="0" w:color="auto"/>
              <w:bottom w:val="single" w:sz="4" w:space="0" w:color="auto"/>
              <w:right w:val="single" w:sz="4" w:space="0" w:color="auto"/>
            </w:tcBorders>
            <w:shd w:val="clear" w:color="auto" w:fill="auto"/>
            <w:noWrap/>
            <w:vAlign w:val="center"/>
          </w:tcPr>
          <w:p>
            <w:pPr>
              <w:rPr>
                <w:rFonts w:ascii="Arial" w:hAnsi="Arial" w:cs="Arial"/>
                <w:b/>
                <w:bCs/>
                <w:sz w:val="18"/>
                <w:szCs w:val="18"/>
                <w:lang w:val="es-ES" w:eastAsia="es-ES"/>
              </w:rPr>
            </w:pPr>
            <w:r>
              <w:rPr>
                <w:rFonts w:ascii="Arial" w:hAnsi="Arial" w:cs="Arial"/>
                <w:b/>
                <w:bCs/>
                <w:sz w:val="18"/>
                <w:szCs w:val="18"/>
                <w:lang w:val="es-ES" w:eastAsia="es-ES"/>
              </w:rPr>
              <w:t xml:space="preserve">III. </w:t>
            </w:r>
            <w:r>
              <w:rPr>
                <w:rFonts w:ascii="Arial" w:hAnsi="Arial" w:cs="Arial"/>
                <w:b/>
                <w:bCs/>
                <w:sz w:val="18"/>
                <w:szCs w:val="18"/>
                <w:lang w:val="es-ES"/>
              </w:rPr>
              <w:t>Mejora del servicio y de la atención al contribuyente</w:t>
            </w:r>
          </w:p>
        </w:tc>
        <w:tc>
          <w:tcPr>
            <w:tcW w:w="341" w:type="pct"/>
            <w:tcBorders>
              <w:top w:val="single" w:sz="4" w:space="0" w:color="auto"/>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8,5</w:t>
            </w:r>
          </w:p>
        </w:tc>
        <w:tc>
          <w:tcPr>
            <w:tcW w:w="455" w:type="pct"/>
            <w:tcBorders>
              <w:top w:val="single" w:sz="4" w:space="0" w:color="auto"/>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0,9</w:t>
            </w:r>
          </w:p>
        </w:tc>
        <w:tc>
          <w:tcPr>
            <w:tcW w:w="338" w:type="pct"/>
            <w:tcBorders>
              <w:top w:val="single" w:sz="4" w:space="0" w:color="auto"/>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9,4</w:t>
            </w:r>
          </w:p>
        </w:tc>
      </w:tr>
      <w:tr>
        <w:trPr>
          <w:trHeight w:val="20"/>
        </w:trPr>
        <w:tc>
          <w:tcPr>
            <w:tcW w:w="3866" w:type="pct"/>
            <w:tcBorders>
              <w:top w:val="single" w:sz="4" w:space="0" w:color="auto"/>
              <w:left w:val="single" w:sz="4" w:space="0" w:color="auto"/>
              <w:bottom w:val="single" w:sz="4" w:space="0" w:color="auto"/>
              <w:right w:val="single" w:sz="4" w:space="0" w:color="auto"/>
            </w:tcBorders>
            <w:shd w:val="clear" w:color="auto" w:fill="auto"/>
            <w:noWrap/>
            <w:vAlign w:val="center"/>
          </w:tcPr>
          <w:p>
            <w:pPr>
              <w:rPr>
                <w:rFonts w:ascii="Arial" w:hAnsi="Arial" w:cs="Arial"/>
                <w:b/>
                <w:bCs/>
                <w:sz w:val="18"/>
                <w:szCs w:val="18"/>
                <w:lang w:val="es-ES" w:eastAsia="es-ES"/>
              </w:rPr>
            </w:pPr>
            <w:r>
              <w:rPr>
                <w:rFonts w:ascii="Arial" w:hAnsi="Arial" w:cs="Arial"/>
                <w:b/>
                <w:bCs/>
                <w:sz w:val="18"/>
                <w:szCs w:val="18"/>
                <w:lang w:val="es-ES" w:eastAsia="es-ES"/>
              </w:rPr>
              <w:lastRenderedPageBreak/>
              <w:t>Administración y Gestión del Programa</w:t>
            </w:r>
          </w:p>
        </w:tc>
        <w:tc>
          <w:tcPr>
            <w:tcW w:w="341" w:type="pct"/>
            <w:tcBorders>
              <w:top w:val="single" w:sz="4" w:space="0" w:color="auto"/>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5,5</w:t>
            </w:r>
          </w:p>
        </w:tc>
        <w:tc>
          <w:tcPr>
            <w:tcW w:w="455" w:type="pct"/>
            <w:tcBorders>
              <w:top w:val="single" w:sz="4" w:space="0" w:color="auto"/>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0,0</w:t>
            </w:r>
          </w:p>
        </w:tc>
        <w:tc>
          <w:tcPr>
            <w:tcW w:w="338" w:type="pct"/>
            <w:tcBorders>
              <w:top w:val="single" w:sz="4" w:space="0" w:color="auto"/>
              <w:left w:val="nil"/>
              <w:bottom w:val="single" w:sz="4" w:space="0" w:color="auto"/>
              <w:right w:val="single" w:sz="4" w:space="0" w:color="auto"/>
            </w:tcBorders>
            <w:shd w:val="clear" w:color="auto" w:fill="auto"/>
            <w:noWrap/>
            <w:vAlign w:val="center"/>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5,5</w:t>
            </w:r>
          </w:p>
        </w:tc>
      </w:tr>
      <w:tr>
        <w:trPr>
          <w:trHeight w:val="20"/>
        </w:trPr>
        <w:tc>
          <w:tcPr>
            <w:tcW w:w="3866"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pPr>
              <w:rPr>
                <w:rFonts w:ascii="Arial" w:hAnsi="Arial" w:cs="Arial"/>
                <w:b/>
                <w:bCs/>
                <w:sz w:val="18"/>
                <w:szCs w:val="18"/>
                <w:lang w:val="es-ES" w:eastAsia="es-ES"/>
              </w:rPr>
            </w:pPr>
            <w:r>
              <w:rPr>
                <w:rFonts w:ascii="Arial" w:hAnsi="Arial" w:cs="Arial"/>
                <w:b/>
                <w:bCs/>
                <w:sz w:val="18"/>
                <w:szCs w:val="18"/>
                <w:lang w:val="es-ES" w:eastAsia="es-ES"/>
              </w:rPr>
              <w:t>Total</w:t>
            </w:r>
          </w:p>
        </w:tc>
        <w:tc>
          <w:tcPr>
            <w:tcW w:w="341" w:type="pct"/>
            <w:tcBorders>
              <w:top w:val="single" w:sz="4" w:space="0" w:color="auto"/>
              <w:left w:val="nil"/>
              <w:bottom w:val="single" w:sz="4" w:space="0" w:color="auto"/>
              <w:right w:val="single" w:sz="4" w:space="0" w:color="auto"/>
            </w:tcBorders>
            <w:shd w:val="clear" w:color="auto" w:fill="BFBFBF" w:themeFill="background1" w:themeFillShade="BF"/>
            <w:noWrap/>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100</w:t>
            </w:r>
          </w:p>
        </w:tc>
        <w:tc>
          <w:tcPr>
            <w:tcW w:w="455" w:type="pct"/>
            <w:tcBorders>
              <w:top w:val="single" w:sz="4" w:space="0" w:color="auto"/>
              <w:left w:val="nil"/>
              <w:bottom w:val="single" w:sz="4" w:space="0" w:color="auto"/>
              <w:right w:val="single" w:sz="4" w:space="0" w:color="auto"/>
            </w:tcBorders>
            <w:shd w:val="clear" w:color="auto" w:fill="BFBFBF" w:themeFill="background1" w:themeFillShade="BF"/>
            <w:noWrap/>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10,5</w:t>
            </w:r>
          </w:p>
        </w:tc>
        <w:tc>
          <w:tcPr>
            <w:tcW w:w="338" w:type="pct"/>
            <w:tcBorders>
              <w:top w:val="single" w:sz="4" w:space="0" w:color="auto"/>
              <w:left w:val="nil"/>
              <w:bottom w:val="single" w:sz="4" w:space="0" w:color="auto"/>
              <w:right w:val="single" w:sz="4" w:space="0" w:color="auto"/>
            </w:tcBorders>
            <w:shd w:val="clear" w:color="auto" w:fill="BFBFBF" w:themeFill="background1" w:themeFillShade="BF"/>
            <w:noWrap/>
          </w:tcPr>
          <w:p>
            <w:pPr>
              <w:ind w:left="-72" w:right="-70"/>
              <w:jc w:val="center"/>
              <w:rPr>
                <w:rFonts w:ascii="Arial" w:hAnsi="Arial" w:cs="Arial"/>
                <w:b/>
                <w:bCs/>
                <w:sz w:val="18"/>
                <w:szCs w:val="18"/>
                <w:lang w:val="es-ES" w:eastAsia="es-ES"/>
              </w:rPr>
            </w:pPr>
            <w:r>
              <w:rPr>
                <w:rFonts w:ascii="Arial" w:hAnsi="Arial" w:cs="Arial"/>
                <w:b/>
                <w:bCs/>
                <w:sz w:val="18"/>
                <w:szCs w:val="18"/>
                <w:lang w:val="es-ES" w:eastAsia="es-ES"/>
              </w:rPr>
              <w:t>110,5</w:t>
            </w:r>
          </w:p>
        </w:tc>
      </w:tr>
    </w:tbl>
    <w:p>
      <w:pPr>
        <w:pStyle w:val="ListParagraph"/>
        <w:pBdr>
          <w:bottom w:val="single" w:sz="4" w:space="1" w:color="365F91" w:themeColor="accent1" w:themeShade="BF"/>
        </w:pBdr>
        <w:tabs>
          <w:tab w:val="left" w:pos="567"/>
          <w:tab w:val="left" w:pos="810"/>
        </w:tabs>
        <w:spacing w:after="120" w:line="240" w:lineRule="auto"/>
        <w:ind w:left="540"/>
        <w:jc w:val="both"/>
        <w:outlineLvl w:val="0"/>
        <w:rPr>
          <w:rFonts w:ascii="Arial" w:hAnsi="Arial" w:cs="Arial"/>
          <w:b/>
          <w:color w:val="365F91" w:themeColor="accent1" w:themeShade="BF"/>
          <w:sz w:val="24"/>
          <w:szCs w:val="24"/>
          <w:lang w:val="es-AR"/>
        </w:rPr>
      </w:pPr>
    </w:p>
    <w:p>
      <w:pPr>
        <w:rPr>
          <w:rFonts w:ascii="Arial" w:hAnsi="Arial" w:cs="Arial"/>
          <w:b/>
          <w:color w:val="365F91" w:themeColor="accent1" w:themeShade="BF"/>
          <w:sz w:val="24"/>
          <w:szCs w:val="24"/>
          <w:lang w:val="es-AR"/>
        </w:rPr>
      </w:pPr>
      <w:r>
        <w:rPr>
          <w:rFonts w:ascii="Arial" w:hAnsi="Arial" w:cs="Arial"/>
          <w:b/>
          <w:color w:val="365F91" w:themeColor="accent1" w:themeShade="BF"/>
          <w:sz w:val="24"/>
          <w:szCs w:val="24"/>
          <w:lang w:val="es-AR"/>
        </w:rPr>
        <w:br w:type="page"/>
      </w:r>
    </w:p>
    <w:p>
      <w:pPr>
        <w:pStyle w:val="ListParagraph"/>
        <w:numPr>
          <w:ilvl w:val="0"/>
          <w:numId w:val="2"/>
        </w:numPr>
        <w:pBdr>
          <w:bottom w:val="single" w:sz="4" w:space="1" w:color="365F91" w:themeColor="accent1" w:themeShade="BF"/>
        </w:pBdr>
        <w:tabs>
          <w:tab w:val="left" w:pos="567"/>
          <w:tab w:val="left" w:pos="810"/>
        </w:tabs>
        <w:spacing w:after="120" w:line="240" w:lineRule="auto"/>
        <w:ind w:left="540" w:hanging="540"/>
        <w:jc w:val="both"/>
        <w:outlineLvl w:val="0"/>
        <w:rPr>
          <w:rFonts w:ascii="Arial" w:hAnsi="Arial" w:cs="Arial"/>
          <w:b/>
          <w:color w:val="365F91" w:themeColor="accent1" w:themeShade="BF"/>
          <w:sz w:val="24"/>
          <w:szCs w:val="24"/>
          <w:lang w:val="es-AR"/>
        </w:rPr>
      </w:pPr>
      <w:bookmarkStart w:id="6" w:name="_Toc463457871"/>
      <w:r>
        <w:rPr>
          <w:rFonts w:ascii="Arial" w:hAnsi="Arial" w:cs="Arial"/>
          <w:b/>
          <w:color w:val="365F91" w:themeColor="accent1" w:themeShade="BF"/>
          <w:sz w:val="24"/>
          <w:szCs w:val="24"/>
          <w:lang w:val="es-AR"/>
        </w:rPr>
        <w:lastRenderedPageBreak/>
        <w:t>ORGANIZACIÓN INSTITUCIONAL</w:t>
      </w:r>
      <w:bookmarkEnd w:id="6"/>
    </w:p>
    <w:p>
      <w:pPr>
        <w:pStyle w:val="ListParagraph"/>
        <w:spacing w:after="0"/>
        <w:ind w:left="357"/>
        <w:contextualSpacing w:val="0"/>
        <w:jc w:val="both"/>
        <w:rPr>
          <w:rFonts w:ascii="Arial" w:hAnsi="Arial" w:cs="Arial"/>
          <w:sz w:val="24"/>
          <w:szCs w:val="24"/>
          <w:lang w:val="es-AR"/>
        </w:rPr>
      </w:pPr>
    </w:p>
    <w:p>
      <w:pPr>
        <w:pStyle w:val="ListParagraph"/>
        <w:numPr>
          <w:ilvl w:val="1"/>
          <w:numId w:val="2"/>
        </w:numPr>
        <w:tabs>
          <w:tab w:val="left" w:pos="450"/>
        </w:tabs>
        <w:spacing w:after="120" w:line="240" w:lineRule="auto"/>
        <w:ind w:left="450" w:hanging="450"/>
        <w:contextualSpacing w:val="0"/>
        <w:jc w:val="both"/>
        <w:rPr>
          <w:rFonts w:ascii="Arial" w:hAnsi="Arial" w:cs="Arial"/>
          <w:sz w:val="24"/>
          <w:szCs w:val="24"/>
          <w:lang w:val="es-AR"/>
        </w:rPr>
      </w:pPr>
      <w:r>
        <w:rPr>
          <w:rFonts w:ascii="Arial" w:hAnsi="Arial" w:cs="Arial"/>
          <w:b/>
          <w:sz w:val="24"/>
          <w:szCs w:val="24"/>
          <w:lang w:val="es-AR"/>
        </w:rPr>
        <w:t xml:space="preserve">Prestatario. </w:t>
      </w:r>
      <w:r>
        <w:rPr>
          <w:rFonts w:ascii="Arial" w:hAnsi="Arial" w:cs="Arial"/>
          <w:sz w:val="24"/>
          <w:szCs w:val="24"/>
          <w:lang w:val="es-AR"/>
        </w:rPr>
        <w:t>Es la República Argentina.</w:t>
      </w:r>
    </w:p>
    <w:p>
      <w:pPr>
        <w:pStyle w:val="ListParagraph"/>
        <w:numPr>
          <w:ilvl w:val="1"/>
          <w:numId w:val="2"/>
        </w:numPr>
        <w:tabs>
          <w:tab w:val="left" w:pos="450"/>
        </w:tabs>
        <w:spacing w:after="120" w:line="240" w:lineRule="auto"/>
        <w:ind w:left="450" w:hanging="450"/>
        <w:contextualSpacing w:val="0"/>
        <w:jc w:val="both"/>
        <w:rPr>
          <w:rFonts w:ascii="Arial" w:hAnsi="Arial" w:cs="Arial"/>
          <w:sz w:val="24"/>
          <w:szCs w:val="24"/>
          <w:lang w:val="es-AR"/>
        </w:rPr>
      </w:pPr>
      <w:r>
        <w:rPr>
          <w:rFonts w:ascii="Arial" w:hAnsi="Arial" w:cs="Arial"/>
          <w:b/>
          <w:sz w:val="24"/>
          <w:szCs w:val="24"/>
          <w:lang w:val="es-AR"/>
        </w:rPr>
        <w:t>Organismo Ejecutor (“OE”).</w:t>
      </w:r>
      <w:r>
        <w:rPr>
          <w:rFonts w:ascii="Arial" w:hAnsi="Arial" w:cs="Arial"/>
          <w:sz w:val="24"/>
          <w:szCs w:val="24"/>
          <w:lang w:val="es-AR"/>
        </w:rPr>
        <w:t xml:space="preserve"> Es AFIP, encargado de coordinar y administrar la ejecución del Programa, así como promover la comunicación e integración entre las partes involucradas en las distintas instancias del mismo. El OE llevará adelante todas las funciones inherentes a la implementación efectiva del proyecto en términos de gestión y resultados.</w:t>
      </w:r>
    </w:p>
    <w:p>
      <w:pPr>
        <w:pStyle w:val="ListParagraph"/>
        <w:numPr>
          <w:ilvl w:val="1"/>
          <w:numId w:val="2"/>
        </w:numPr>
        <w:tabs>
          <w:tab w:val="left" w:pos="450"/>
        </w:tabs>
        <w:spacing w:after="120" w:line="240" w:lineRule="auto"/>
        <w:ind w:left="450" w:hanging="450"/>
        <w:contextualSpacing w:val="0"/>
        <w:jc w:val="both"/>
        <w:rPr>
          <w:rFonts w:ascii="Arial" w:hAnsi="Arial" w:cs="Arial"/>
          <w:b/>
          <w:sz w:val="24"/>
          <w:szCs w:val="24"/>
          <w:lang w:val="es-AR"/>
        </w:rPr>
      </w:pPr>
      <w:r>
        <w:rPr>
          <w:rFonts w:ascii="Arial" w:hAnsi="Arial" w:cs="Arial"/>
          <w:b/>
          <w:sz w:val="24"/>
          <w:szCs w:val="24"/>
          <w:lang w:val="es-AR"/>
        </w:rPr>
        <w:t>Unidad Coordinadora del Programa (“UCP”</w:t>
      </w:r>
      <w:r>
        <w:rPr>
          <w:rFonts w:ascii="Arial" w:hAnsi="Arial" w:cs="Arial"/>
          <w:b/>
          <w:color w:val="auto"/>
          <w:sz w:val="24"/>
          <w:szCs w:val="24"/>
          <w:lang w:val="es-AR"/>
        </w:rPr>
        <w:t>)</w:t>
      </w:r>
      <w:r>
        <w:rPr>
          <w:rFonts w:ascii="Arial" w:hAnsi="Arial" w:cs="Arial"/>
          <w:b/>
          <w:sz w:val="24"/>
          <w:szCs w:val="24"/>
          <w:lang w:val="es-AR"/>
        </w:rPr>
        <w:t xml:space="preserve">. </w:t>
      </w:r>
      <w:r>
        <w:rPr>
          <w:rFonts w:ascii="Arial" w:hAnsi="Arial" w:cs="Arial"/>
          <w:sz w:val="24"/>
          <w:szCs w:val="24"/>
          <w:lang w:val="es-AR"/>
        </w:rPr>
        <w:t>El OE ejecuta el Programa a través de la UCP</w:t>
      </w:r>
      <w:r>
        <w:rPr>
          <w:rFonts w:ascii="Arial" w:hAnsi="Arial" w:cs="Arial"/>
          <w:color w:val="auto"/>
          <w:sz w:val="24"/>
          <w:szCs w:val="24"/>
          <w:lang w:val="es-AR"/>
        </w:rPr>
        <w:t xml:space="preserve">, </w:t>
      </w:r>
      <w:r>
        <w:rPr>
          <w:rFonts w:ascii="Arial" w:hAnsi="Arial" w:cs="Arial"/>
          <w:sz w:val="24"/>
          <w:szCs w:val="24"/>
          <w:lang w:val="es-AR"/>
        </w:rPr>
        <w:t xml:space="preserve"> creada específicamente en la órbita del Administrador Federal para los fines de este Programa, teniendo a su cargo la coordinación general y técnica de todas las actividades relacionadas con la ejecución, y el monitoreo y evaluación de los resultados del Programa. También es el encargado de la ejecución financiera del Programa, considerando acciones necesarias para los procesos de adquisiciones, administración presupuestaria y financiera de los fondos, y las cuestiones vinculadas a temas ambientales y sociales del mismo. </w:t>
      </w:r>
    </w:p>
    <w:p>
      <w:pPr>
        <w:pStyle w:val="ListParagraph"/>
        <w:numPr>
          <w:ilvl w:val="0"/>
          <w:numId w:val="5"/>
        </w:numPr>
        <w:spacing w:after="120"/>
        <w:ind w:left="360"/>
        <w:contextualSpacing w:val="0"/>
        <w:jc w:val="both"/>
        <w:outlineLvl w:val="1"/>
        <w:rPr>
          <w:rFonts w:ascii="Arial" w:hAnsi="Arial" w:cs="Arial"/>
          <w:b/>
          <w:sz w:val="24"/>
          <w:szCs w:val="24"/>
          <w:lang w:val="es-AR"/>
        </w:rPr>
      </w:pPr>
      <w:bookmarkStart w:id="7" w:name="_Toc463457873"/>
      <w:r>
        <w:rPr>
          <w:rFonts w:ascii="Arial" w:hAnsi="Arial" w:cs="Arial"/>
          <w:b/>
          <w:sz w:val="24"/>
          <w:szCs w:val="24"/>
          <w:lang w:val="es-AR"/>
        </w:rPr>
        <w:t>FUNCIONES Y RESPONSABILIDADES</w:t>
      </w:r>
      <w:bookmarkEnd w:id="7"/>
    </w:p>
    <w:p>
      <w:pPr>
        <w:pStyle w:val="ListParagraph"/>
        <w:numPr>
          <w:ilvl w:val="1"/>
          <w:numId w:val="2"/>
        </w:numPr>
        <w:spacing w:after="120" w:line="240" w:lineRule="auto"/>
        <w:ind w:left="360"/>
        <w:contextualSpacing w:val="0"/>
        <w:jc w:val="both"/>
        <w:rPr>
          <w:rFonts w:ascii="Arial" w:hAnsi="Arial" w:cs="Arial"/>
          <w:b/>
          <w:sz w:val="24"/>
          <w:szCs w:val="24"/>
          <w:lang w:val="es-AR"/>
        </w:rPr>
      </w:pPr>
      <w:r>
        <w:rPr>
          <w:rFonts w:ascii="Arial" w:hAnsi="Arial" w:cs="Arial"/>
          <w:b/>
          <w:sz w:val="24"/>
          <w:szCs w:val="24"/>
          <w:lang w:val="es-AR"/>
        </w:rPr>
        <w:t xml:space="preserve">OE y UCP. </w:t>
      </w:r>
      <w:r>
        <w:rPr>
          <w:rFonts w:ascii="Arial" w:hAnsi="Arial" w:cs="Arial"/>
          <w:sz w:val="24"/>
          <w:szCs w:val="24"/>
          <w:lang w:val="es-AR"/>
        </w:rPr>
        <w:t>El OE, por si o a través de la UCP, tiene las siguientes funciones y responsabilidades:</w:t>
      </w:r>
    </w:p>
    <w:p>
      <w:pPr>
        <w:pStyle w:val="Paragraph"/>
        <w:numPr>
          <w:ilvl w:val="1"/>
          <w:numId w:val="6"/>
        </w:numPr>
        <w:spacing w:before="0" w:after="60"/>
        <w:outlineLvl w:val="9"/>
        <w:rPr>
          <w:rFonts w:ascii="Arial" w:hAnsi="Arial" w:cs="Arial"/>
          <w:szCs w:val="24"/>
        </w:rPr>
      </w:pPr>
      <w:bookmarkStart w:id="8" w:name="_Toc458595750"/>
      <w:bookmarkStart w:id="9" w:name="_Toc458697033"/>
      <w:bookmarkStart w:id="10" w:name="_Toc458697147"/>
      <w:bookmarkStart w:id="11" w:name="_Toc459730699"/>
      <w:r>
        <w:rPr>
          <w:rFonts w:ascii="Arial" w:hAnsi="Arial" w:cs="Arial"/>
          <w:szCs w:val="24"/>
        </w:rPr>
        <w:t>Coordinación general del Programa.</w:t>
      </w:r>
      <w:bookmarkEnd w:id="8"/>
      <w:bookmarkEnd w:id="9"/>
      <w:bookmarkEnd w:id="10"/>
      <w:bookmarkEnd w:id="11"/>
    </w:p>
    <w:p>
      <w:pPr>
        <w:pStyle w:val="Paragraph"/>
        <w:numPr>
          <w:ilvl w:val="1"/>
          <w:numId w:val="6"/>
        </w:numPr>
        <w:spacing w:before="0" w:after="60"/>
        <w:outlineLvl w:val="9"/>
        <w:rPr>
          <w:rFonts w:ascii="Arial" w:hAnsi="Arial" w:cs="Arial"/>
          <w:szCs w:val="24"/>
        </w:rPr>
      </w:pPr>
      <w:bookmarkStart w:id="12" w:name="_Toc458595751"/>
      <w:bookmarkStart w:id="13" w:name="_Toc458697034"/>
      <w:bookmarkStart w:id="14" w:name="_Toc458697148"/>
      <w:bookmarkStart w:id="15" w:name="_Toc459730700"/>
      <w:r>
        <w:rPr>
          <w:rFonts w:ascii="Arial" w:hAnsi="Arial" w:cs="Arial"/>
          <w:szCs w:val="24"/>
        </w:rPr>
        <w:t>Disponer de los recursos del programa y planificar su ejecución presupuestaria y financiera.</w:t>
      </w:r>
      <w:bookmarkEnd w:id="12"/>
      <w:bookmarkEnd w:id="13"/>
      <w:bookmarkEnd w:id="14"/>
      <w:bookmarkEnd w:id="15"/>
    </w:p>
    <w:p>
      <w:pPr>
        <w:pStyle w:val="Paragraph"/>
        <w:numPr>
          <w:ilvl w:val="1"/>
          <w:numId w:val="6"/>
        </w:numPr>
        <w:spacing w:before="0" w:after="60"/>
        <w:outlineLvl w:val="9"/>
        <w:rPr>
          <w:rFonts w:ascii="Arial" w:hAnsi="Arial" w:cs="Arial"/>
          <w:szCs w:val="24"/>
        </w:rPr>
      </w:pPr>
      <w:bookmarkStart w:id="16" w:name="_Toc458595752"/>
      <w:bookmarkStart w:id="17" w:name="_Toc458697035"/>
      <w:bookmarkStart w:id="18" w:name="_Toc458697149"/>
      <w:bookmarkStart w:id="19" w:name="_Toc459730701"/>
      <w:r>
        <w:rPr>
          <w:rFonts w:ascii="Arial" w:hAnsi="Arial" w:cs="Arial"/>
          <w:szCs w:val="24"/>
        </w:rPr>
        <w:t>Ser interlocutor directo con el Banco y elaborar los respectivos informes requeridos.</w:t>
      </w:r>
      <w:bookmarkEnd w:id="16"/>
      <w:bookmarkEnd w:id="17"/>
      <w:bookmarkEnd w:id="18"/>
      <w:bookmarkEnd w:id="19"/>
    </w:p>
    <w:p>
      <w:pPr>
        <w:pStyle w:val="Paragraph"/>
        <w:numPr>
          <w:ilvl w:val="1"/>
          <w:numId w:val="6"/>
        </w:numPr>
        <w:spacing w:before="0" w:after="60"/>
        <w:outlineLvl w:val="9"/>
        <w:rPr>
          <w:rFonts w:ascii="Arial" w:hAnsi="Arial" w:cs="Arial"/>
          <w:szCs w:val="24"/>
        </w:rPr>
      </w:pPr>
      <w:bookmarkStart w:id="20" w:name="_Toc458595753"/>
      <w:bookmarkStart w:id="21" w:name="_Toc458697036"/>
      <w:bookmarkStart w:id="22" w:name="_Toc458697150"/>
      <w:bookmarkStart w:id="23" w:name="_Toc459730702"/>
      <w:r>
        <w:rPr>
          <w:rFonts w:ascii="Arial" w:hAnsi="Arial" w:cs="Arial"/>
          <w:szCs w:val="24"/>
        </w:rPr>
        <w:t>Realizar el control técnico y financiero del Programa, acompañando los procesos de adquisiciones.</w:t>
      </w:r>
      <w:bookmarkEnd w:id="20"/>
      <w:bookmarkEnd w:id="21"/>
      <w:bookmarkEnd w:id="22"/>
      <w:bookmarkEnd w:id="23"/>
    </w:p>
    <w:p>
      <w:pPr>
        <w:pStyle w:val="Paragraph"/>
        <w:numPr>
          <w:ilvl w:val="1"/>
          <w:numId w:val="6"/>
        </w:numPr>
        <w:spacing w:before="0" w:after="60"/>
        <w:outlineLvl w:val="9"/>
        <w:rPr>
          <w:rFonts w:ascii="Arial" w:hAnsi="Arial" w:cs="Arial"/>
          <w:szCs w:val="24"/>
        </w:rPr>
      </w:pPr>
      <w:r>
        <w:rPr>
          <w:rFonts w:ascii="Arial" w:hAnsi="Arial" w:cs="Arial"/>
          <w:szCs w:val="24"/>
        </w:rPr>
        <w:t xml:space="preserve">Coordinar la preparación de documentos pertinentes en términos técnicos. </w:t>
      </w:r>
    </w:p>
    <w:p>
      <w:pPr>
        <w:pStyle w:val="Paragraph"/>
        <w:numPr>
          <w:ilvl w:val="1"/>
          <w:numId w:val="6"/>
        </w:numPr>
        <w:spacing w:before="0" w:after="60"/>
        <w:outlineLvl w:val="9"/>
        <w:rPr>
          <w:rFonts w:ascii="Arial" w:hAnsi="Arial" w:cs="Arial"/>
          <w:szCs w:val="24"/>
        </w:rPr>
      </w:pPr>
      <w:bookmarkStart w:id="24" w:name="_Toc458595755"/>
      <w:bookmarkStart w:id="25" w:name="_Toc458697038"/>
      <w:bookmarkStart w:id="26" w:name="_Toc458697152"/>
      <w:bookmarkStart w:id="27" w:name="_Toc459730704"/>
      <w:r>
        <w:rPr>
          <w:rFonts w:ascii="Arial" w:hAnsi="Arial" w:cs="Arial"/>
          <w:szCs w:val="24"/>
        </w:rPr>
        <w:t xml:space="preserve">Realizar los procesos de contratación y pagos. </w:t>
      </w:r>
      <w:bookmarkStart w:id="28" w:name="_Toc458595757"/>
      <w:bookmarkStart w:id="29" w:name="_Toc458697040"/>
      <w:bookmarkStart w:id="30" w:name="_Toc458697154"/>
      <w:bookmarkStart w:id="31" w:name="_Toc459730706"/>
      <w:bookmarkEnd w:id="24"/>
      <w:bookmarkEnd w:id="25"/>
      <w:bookmarkEnd w:id="26"/>
      <w:bookmarkEnd w:id="27"/>
      <w:r>
        <w:rPr>
          <w:rFonts w:ascii="Arial" w:hAnsi="Arial" w:cs="Arial"/>
          <w:szCs w:val="24"/>
        </w:rPr>
        <w:t xml:space="preserve">Supervisar y evaluar la totalidad de las actividades comprendidas en el Programa, considerando la Matriz de Resultados del mismo, y proporcionando una visión transversal de las metas de políticas sectoriales en el marco de los objetivos de AFIP. </w:t>
      </w:r>
      <w:bookmarkStart w:id="32" w:name="_Toc458595758"/>
      <w:bookmarkStart w:id="33" w:name="_Toc458697041"/>
      <w:bookmarkStart w:id="34" w:name="_Toc458697155"/>
      <w:bookmarkStart w:id="35" w:name="_Toc459730707"/>
      <w:bookmarkEnd w:id="28"/>
      <w:bookmarkEnd w:id="29"/>
      <w:bookmarkEnd w:id="30"/>
      <w:bookmarkEnd w:id="31"/>
    </w:p>
    <w:p>
      <w:pPr>
        <w:pStyle w:val="Paragraph"/>
        <w:numPr>
          <w:ilvl w:val="1"/>
          <w:numId w:val="6"/>
        </w:numPr>
        <w:spacing w:before="0" w:after="60"/>
        <w:outlineLvl w:val="9"/>
        <w:rPr>
          <w:rFonts w:ascii="Arial" w:hAnsi="Arial" w:cs="Arial"/>
          <w:szCs w:val="24"/>
        </w:rPr>
      </w:pPr>
      <w:bookmarkStart w:id="36" w:name="_Toc458595759"/>
      <w:bookmarkStart w:id="37" w:name="_Toc458697042"/>
      <w:bookmarkStart w:id="38" w:name="_Toc458697156"/>
      <w:bookmarkStart w:id="39" w:name="_Toc459730708"/>
      <w:bookmarkEnd w:id="32"/>
      <w:bookmarkEnd w:id="33"/>
      <w:bookmarkEnd w:id="34"/>
      <w:bookmarkEnd w:id="35"/>
      <w:r>
        <w:rPr>
          <w:rFonts w:ascii="Arial" w:hAnsi="Arial" w:cs="Arial"/>
          <w:szCs w:val="24"/>
        </w:rPr>
        <w:t>Controlar la contabilidad y archivos, presentar solicitudes de desembolso y presentar los informes correspondientes.</w:t>
      </w:r>
      <w:bookmarkEnd w:id="36"/>
      <w:bookmarkEnd w:id="37"/>
      <w:bookmarkEnd w:id="38"/>
      <w:bookmarkEnd w:id="39"/>
    </w:p>
    <w:p>
      <w:pPr>
        <w:pStyle w:val="Paragraph"/>
        <w:numPr>
          <w:ilvl w:val="1"/>
          <w:numId w:val="6"/>
        </w:numPr>
        <w:spacing w:before="0" w:after="60"/>
        <w:outlineLvl w:val="9"/>
        <w:rPr>
          <w:rFonts w:ascii="Arial" w:hAnsi="Arial" w:cs="Arial"/>
          <w:szCs w:val="24"/>
        </w:rPr>
      </w:pPr>
      <w:bookmarkStart w:id="40" w:name="_Toc458595761"/>
      <w:bookmarkStart w:id="41" w:name="_Toc458697044"/>
      <w:bookmarkStart w:id="42" w:name="_Toc458697158"/>
      <w:bookmarkStart w:id="43" w:name="_Toc459730710"/>
      <w:r>
        <w:rPr>
          <w:rFonts w:ascii="Arial" w:hAnsi="Arial" w:cs="Arial"/>
          <w:szCs w:val="24"/>
        </w:rPr>
        <w:t>Atender y coordinar el cumplimento de cláusulas contractuales establecidas en el Contrato de Préstamo.</w:t>
      </w:r>
      <w:bookmarkEnd w:id="40"/>
      <w:bookmarkEnd w:id="41"/>
      <w:bookmarkEnd w:id="42"/>
      <w:bookmarkEnd w:id="43"/>
    </w:p>
    <w:p>
      <w:pPr>
        <w:pStyle w:val="Paragraph"/>
        <w:numPr>
          <w:ilvl w:val="1"/>
          <w:numId w:val="6"/>
        </w:numPr>
        <w:spacing w:before="0"/>
        <w:outlineLvl w:val="9"/>
        <w:rPr>
          <w:rFonts w:ascii="Arial" w:hAnsi="Arial" w:cs="Arial"/>
          <w:szCs w:val="24"/>
        </w:rPr>
      </w:pPr>
      <w:bookmarkStart w:id="44" w:name="_Toc458595763"/>
      <w:bookmarkStart w:id="45" w:name="_Toc458697047"/>
      <w:bookmarkStart w:id="46" w:name="_Toc458697161"/>
      <w:bookmarkStart w:id="47" w:name="_Toc459730713"/>
      <w:r>
        <w:rPr>
          <w:rFonts w:ascii="Arial" w:hAnsi="Arial" w:cs="Arial"/>
          <w:szCs w:val="24"/>
        </w:rPr>
        <w:t>Elaborar y dar seguimiento a los Planes Operativos Anuales (“POA”).</w:t>
      </w:r>
      <w:bookmarkEnd w:id="44"/>
      <w:bookmarkEnd w:id="45"/>
      <w:bookmarkEnd w:id="46"/>
      <w:bookmarkEnd w:id="47"/>
    </w:p>
    <w:p>
      <w:pPr>
        <w:pStyle w:val="Paragraph"/>
        <w:numPr>
          <w:ilvl w:val="1"/>
          <w:numId w:val="2"/>
        </w:numPr>
        <w:tabs>
          <w:tab w:val="left" w:pos="4950"/>
        </w:tabs>
        <w:spacing w:before="0"/>
        <w:ind w:left="450" w:hanging="450"/>
        <w:outlineLvl w:val="9"/>
        <w:rPr>
          <w:rFonts w:ascii="Arial" w:hAnsi="Arial" w:cs="Arial"/>
          <w:szCs w:val="24"/>
          <w:lang w:val="es-AR"/>
        </w:rPr>
      </w:pPr>
      <w:bookmarkStart w:id="48" w:name="_Toc458595764"/>
      <w:bookmarkStart w:id="49" w:name="_Toc458697048"/>
      <w:bookmarkStart w:id="50" w:name="_Toc458697162"/>
      <w:bookmarkStart w:id="51" w:name="_Toc459730714"/>
      <w:r>
        <w:rPr>
          <w:rFonts w:ascii="Arial" w:hAnsi="Arial" w:cs="Arial"/>
          <w:szCs w:val="24"/>
          <w:lang w:val="es-AR"/>
        </w:rPr>
        <w:t>A continuación se describen la misión y actividades de cada integrante de la UCP:</w:t>
      </w:r>
    </w:p>
    <w:p>
      <w:pPr>
        <w:pStyle w:val="Paragraph"/>
        <w:numPr>
          <w:ilvl w:val="1"/>
          <w:numId w:val="2"/>
        </w:numPr>
        <w:tabs>
          <w:tab w:val="left" w:pos="4950"/>
        </w:tabs>
        <w:ind w:left="450" w:hanging="450"/>
        <w:rPr>
          <w:rFonts w:ascii="Arial" w:hAnsi="Arial" w:cs="Arial"/>
          <w:szCs w:val="24"/>
          <w:lang w:val="es-AR"/>
        </w:rPr>
      </w:pPr>
      <w:bookmarkStart w:id="52" w:name="_Toc463457874"/>
      <w:r>
        <w:rPr>
          <w:rFonts w:ascii="Arial" w:hAnsi="Arial" w:cs="Arial"/>
          <w:b/>
          <w:szCs w:val="24"/>
          <w:lang w:val="es-AR"/>
        </w:rPr>
        <w:t>Coordinador General del Programa</w:t>
      </w:r>
      <w:r>
        <w:rPr>
          <w:rFonts w:ascii="Arial" w:hAnsi="Arial" w:cs="Arial"/>
          <w:szCs w:val="24"/>
          <w:lang w:val="es-AR"/>
        </w:rPr>
        <w:t>. Tiene la responsabilidad de Conducir, coordinar y supervisar las acciones a realizar por la UCP vinculadas al Programa, propiciando el desarrollo articulado de las mismas, en el marco de las competencias de AFIP. Tiene a su cargo las siguientes actividades:</w:t>
      </w:r>
      <w:bookmarkEnd w:id="52"/>
    </w:p>
    <w:p>
      <w:pPr>
        <w:pStyle w:val="Default"/>
        <w:numPr>
          <w:ilvl w:val="0"/>
          <w:numId w:val="30"/>
        </w:numPr>
        <w:spacing w:after="60"/>
        <w:ind w:left="720" w:hanging="360"/>
        <w:jc w:val="both"/>
        <w:rPr>
          <w:rFonts w:ascii="Arial" w:hAnsi="Arial" w:cs="Arial"/>
          <w:lang w:val="es-AR"/>
        </w:rPr>
      </w:pPr>
      <w:r>
        <w:rPr>
          <w:rFonts w:ascii="Arial" w:hAnsi="Arial" w:cs="Arial"/>
          <w:lang w:val="es-AR"/>
        </w:rPr>
        <w:t>Supervisar la ejecución de todos los componentes del presente Programa.</w:t>
      </w:r>
    </w:p>
    <w:p>
      <w:pPr>
        <w:pStyle w:val="Default"/>
        <w:numPr>
          <w:ilvl w:val="0"/>
          <w:numId w:val="30"/>
        </w:numPr>
        <w:spacing w:before="100" w:beforeAutospacing="1" w:after="60"/>
        <w:ind w:left="720" w:hanging="360"/>
        <w:jc w:val="both"/>
        <w:rPr>
          <w:rFonts w:ascii="Arial" w:hAnsi="Arial" w:cs="Arial"/>
          <w:lang w:val="es-AR"/>
        </w:rPr>
      </w:pPr>
      <w:r>
        <w:rPr>
          <w:rFonts w:ascii="Arial" w:hAnsi="Arial" w:cs="Arial"/>
          <w:lang w:val="es-AR"/>
        </w:rPr>
        <w:t xml:space="preserve">Representar a la UCP ante el organismo financiador, en el marco de la preparación, ejecución y seguimiento del Programa, suministrando toda la información pertinente en aspectos técnicos, económicos financieros y </w:t>
      </w:r>
      <w:r>
        <w:rPr>
          <w:rFonts w:ascii="Arial" w:hAnsi="Arial" w:cs="Arial"/>
          <w:lang w:val="es-AR"/>
        </w:rPr>
        <w:lastRenderedPageBreak/>
        <w:t>programáticos de los Estudios, así como las solicitudes en caso de pedidos de prórrogas específicas.</w:t>
      </w:r>
    </w:p>
    <w:p>
      <w:pPr>
        <w:pStyle w:val="Default"/>
        <w:numPr>
          <w:ilvl w:val="0"/>
          <w:numId w:val="30"/>
        </w:numPr>
        <w:spacing w:before="100" w:beforeAutospacing="1" w:after="60"/>
        <w:ind w:left="720" w:hanging="360"/>
        <w:jc w:val="both"/>
        <w:rPr>
          <w:rFonts w:ascii="Arial" w:hAnsi="Arial" w:cs="Arial"/>
          <w:lang w:val="es-AR"/>
        </w:rPr>
      </w:pPr>
      <w:r>
        <w:rPr>
          <w:rFonts w:ascii="Arial" w:hAnsi="Arial" w:cs="Arial"/>
          <w:lang w:val="es-AR"/>
        </w:rPr>
        <w:t>Coordinar las actividades del programa marco de las acciones que persiguen la concreción de las metas políticas de AFIP.</w:t>
      </w:r>
    </w:p>
    <w:p>
      <w:pPr>
        <w:pStyle w:val="Default"/>
        <w:numPr>
          <w:ilvl w:val="0"/>
          <w:numId w:val="30"/>
        </w:numPr>
        <w:spacing w:before="100" w:beforeAutospacing="1" w:after="60"/>
        <w:ind w:left="720" w:hanging="360"/>
        <w:jc w:val="both"/>
        <w:rPr>
          <w:rFonts w:ascii="Arial" w:hAnsi="Arial" w:cs="Arial"/>
          <w:lang w:val="es-AR"/>
        </w:rPr>
      </w:pPr>
      <w:r>
        <w:rPr>
          <w:rFonts w:ascii="Arial" w:hAnsi="Arial" w:cs="Arial"/>
          <w:lang w:val="es-AR"/>
        </w:rPr>
        <w:t>Impulsar la ejecución de los procesos que conforman los componentes del Programa, velando por el cumplimiento de las normas que los regulan y los objetivos y metas preestablecidos; evaluando paralelamente los resultados de los mismos.</w:t>
      </w:r>
    </w:p>
    <w:p>
      <w:pPr>
        <w:pStyle w:val="Default"/>
        <w:numPr>
          <w:ilvl w:val="0"/>
          <w:numId w:val="30"/>
        </w:numPr>
        <w:spacing w:before="100" w:beforeAutospacing="1" w:after="60"/>
        <w:ind w:left="720" w:hanging="360"/>
        <w:jc w:val="both"/>
        <w:rPr>
          <w:rFonts w:ascii="Arial" w:hAnsi="Arial" w:cs="Arial"/>
          <w:lang w:val="es-AR"/>
        </w:rPr>
      </w:pPr>
      <w:r>
        <w:rPr>
          <w:rFonts w:ascii="Arial" w:hAnsi="Arial" w:cs="Arial"/>
          <w:lang w:val="es-AR"/>
        </w:rPr>
        <w:t>Adjudicar y suscribir las contrataciones pertinentes.</w:t>
      </w:r>
    </w:p>
    <w:p>
      <w:pPr>
        <w:pStyle w:val="Default"/>
        <w:numPr>
          <w:ilvl w:val="0"/>
          <w:numId w:val="30"/>
        </w:numPr>
        <w:spacing w:before="100" w:beforeAutospacing="1" w:after="60"/>
        <w:ind w:left="720" w:hanging="360"/>
        <w:jc w:val="both"/>
        <w:rPr>
          <w:rFonts w:ascii="Arial" w:hAnsi="Arial" w:cs="Arial"/>
          <w:lang w:val="es-AR"/>
        </w:rPr>
      </w:pPr>
      <w:r>
        <w:rPr>
          <w:rFonts w:ascii="Arial" w:hAnsi="Arial" w:cs="Arial"/>
          <w:lang w:val="es-AR"/>
        </w:rPr>
        <w:t>Supervisar la planificación y coordinación de los procesos de cada componente, así como las actividades que se realizarán en cada período, verificando la correcta ejecución de las mismas.</w:t>
      </w:r>
    </w:p>
    <w:p>
      <w:pPr>
        <w:pStyle w:val="Default"/>
        <w:numPr>
          <w:ilvl w:val="0"/>
          <w:numId w:val="30"/>
        </w:numPr>
        <w:spacing w:before="100" w:beforeAutospacing="1" w:after="60"/>
        <w:ind w:left="720" w:hanging="360"/>
        <w:jc w:val="both"/>
        <w:rPr>
          <w:rFonts w:ascii="Arial" w:hAnsi="Arial" w:cs="Arial"/>
          <w:lang w:val="es-AR"/>
        </w:rPr>
      </w:pPr>
      <w:r>
        <w:rPr>
          <w:rFonts w:ascii="Arial" w:hAnsi="Arial" w:cs="Arial"/>
          <w:lang w:val="es-AR"/>
        </w:rPr>
        <w:t>Asegurar la organización y coordinación con los organismos públicos intervinientes, cumplimentando sus normas, disposiciones y reglamentaciones, requeridas para posibilitar la ejecución de los Estudios y  obras.</w:t>
      </w:r>
    </w:p>
    <w:p>
      <w:pPr>
        <w:pStyle w:val="Default"/>
        <w:numPr>
          <w:ilvl w:val="0"/>
          <w:numId w:val="30"/>
        </w:numPr>
        <w:spacing w:before="100" w:beforeAutospacing="1" w:after="60"/>
        <w:ind w:left="720" w:hanging="360"/>
        <w:jc w:val="both"/>
        <w:rPr>
          <w:rFonts w:ascii="Arial" w:hAnsi="Arial" w:cs="Arial"/>
          <w:lang w:val="es-AR"/>
        </w:rPr>
      </w:pPr>
      <w:r>
        <w:rPr>
          <w:rFonts w:ascii="Arial" w:hAnsi="Arial" w:cs="Arial"/>
          <w:lang w:val="es-AR"/>
        </w:rPr>
        <w:t>Velar por la correcta utilización de los fondos del Programa y de la aplicación de los procedimientos administrativos financieros.</w:t>
      </w:r>
    </w:p>
    <w:p>
      <w:pPr>
        <w:pStyle w:val="Default"/>
        <w:numPr>
          <w:ilvl w:val="0"/>
          <w:numId w:val="30"/>
        </w:numPr>
        <w:spacing w:before="100" w:beforeAutospacing="1" w:after="60"/>
        <w:ind w:left="720" w:hanging="360"/>
        <w:jc w:val="both"/>
        <w:rPr>
          <w:rFonts w:ascii="Arial" w:hAnsi="Arial" w:cs="Arial"/>
          <w:lang w:val="es-AR"/>
        </w:rPr>
      </w:pPr>
      <w:r>
        <w:rPr>
          <w:rFonts w:ascii="Arial" w:hAnsi="Arial" w:cs="Arial"/>
          <w:lang w:val="es-AR"/>
        </w:rPr>
        <w:t>Velar por la adecuada aplicación del Reglamento Operativo y las Políticas y Procedimientos que rigen al Programa.</w:t>
      </w:r>
    </w:p>
    <w:p>
      <w:pPr>
        <w:pStyle w:val="ListParagraph"/>
        <w:numPr>
          <w:ilvl w:val="0"/>
          <w:numId w:val="30"/>
        </w:numPr>
        <w:spacing w:after="60" w:line="240" w:lineRule="auto"/>
        <w:ind w:left="720" w:hanging="360"/>
        <w:contextualSpacing w:val="0"/>
        <w:jc w:val="both"/>
        <w:rPr>
          <w:rFonts w:ascii="Arial" w:hAnsi="Arial" w:cs="Arial"/>
          <w:sz w:val="24"/>
          <w:szCs w:val="24"/>
          <w:lang w:val="es-AR"/>
        </w:rPr>
      </w:pPr>
      <w:r>
        <w:rPr>
          <w:rFonts w:ascii="Arial" w:hAnsi="Arial" w:cs="Arial"/>
          <w:sz w:val="24"/>
          <w:szCs w:val="24"/>
          <w:lang w:val="es-AR"/>
        </w:rPr>
        <w:t>Seleccionar las iniciativas propuestas por las distintas áreas de AFIP.</w:t>
      </w:r>
    </w:p>
    <w:p>
      <w:pPr>
        <w:pStyle w:val="ListParagraph"/>
        <w:numPr>
          <w:ilvl w:val="0"/>
          <w:numId w:val="30"/>
        </w:numPr>
        <w:spacing w:after="60" w:line="240" w:lineRule="auto"/>
        <w:ind w:left="720" w:hanging="360"/>
        <w:contextualSpacing w:val="0"/>
        <w:jc w:val="both"/>
        <w:rPr>
          <w:rFonts w:ascii="Arial" w:hAnsi="Arial" w:cs="Arial"/>
          <w:sz w:val="24"/>
          <w:szCs w:val="24"/>
          <w:lang w:val="es-AR"/>
        </w:rPr>
      </w:pPr>
      <w:r>
        <w:rPr>
          <w:rFonts w:ascii="Arial" w:hAnsi="Arial" w:cs="Arial"/>
          <w:sz w:val="24"/>
          <w:szCs w:val="24"/>
          <w:lang w:val="es-AR"/>
        </w:rPr>
        <w:t>Conformar las Comisiones de Evaluación de Propuestas para los concursos o llamados a licitación.</w:t>
      </w:r>
    </w:p>
    <w:p>
      <w:pPr>
        <w:pStyle w:val="ListParagraph"/>
        <w:numPr>
          <w:ilvl w:val="0"/>
          <w:numId w:val="30"/>
        </w:numPr>
        <w:spacing w:after="60" w:line="240" w:lineRule="auto"/>
        <w:ind w:left="720" w:hanging="360"/>
        <w:contextualSpacing w:val="0"/>
        <w:jc w:val="both"/>
        <w:rPr>
          <w:rFonts w:ascii="Arial" w:hAnsi="Arial" w:cs="Arial"/>
          <w:sz w:val="24"/>
          <w:szCs w:val="24"/>
          <w:lang w:val="es-AR"/>
        </w:rPr>
      </w:pPr>
      <w:r>
        <w:rPr>
          <w:rFonts w:ascii="Arial" w:hAnsi="Arial" w:cs="Arial"/>
          <w:sz w:val="24"/>
          <w:szCs w:val="24"/>
          <w:lang w:val="es-AR"/>
        </w:rPr>
        <w:t>Impulsar las contrataciones y/o adjudicaciones necesarias para la ejecución del programa</w:t>
      </w:r>
    </w:p>
    <w:p>
      <w:pPr>
        <w:pStyle w:val="ListParagraph"/>
        <w:numPr>
          <w:ilvl w:val="0"/>
          <w:numId w:val="30"/>
        </w:numPr>
        <w:spacing w:after="60" w:line="240" w:lineRule="auto"/>
        <w:ind w:left="720" w:hanging="360"/>
        <w:contextualSpacing w:val="0"/>
        <w:jc w:val="both"/>
        <w:rPr>
          <w:rFonts w:ascii="Arial" w:hAnsi="Arial" w:cs="Arial"/>
          <w:sz w:val="24"/>
          <w:szCs w:val="24"/>
          <w:lang w:val="es-AR"/>
        </w:rPr>
      </w:pPr>
      <w:r>
        <w:rPr>
          <w:rFonts w:ascii="Arial" w:hAnsi="Arial" w:cs="Arial"/>
          <w:sz w:val="24"/>
          <w:szCs w:val="24"/>
          <w:lang w:val="es-AR"/>
        </w:rPr>
        <w:t>Aprobar los productos de los procedimientos y adjudicaciones de las contrataciones/.</w:t>
      </w:r>
    </w:p>
    <w:p>
      <w:pPr>
        <w:pStyle w:val="ListParagraph"/>
        <w:numPr>
          <w:ilvl w:val="0"/>
          <w:numId w:val="30"/>
        </w:numPr>
        <w:spacing w:after="240" w:line="240" w:lineRule="auto"/>
        <w:ind w:left="720" w:hanging="360"/>
        <w:contextualSpacing w:val="0"/>
        <w:jc w:val="both"/>
        <w:rPr>
          <w:rFonts w:ascii="Arial" w:hAnsi="Arial" w:cs="Arial"/>
          <w:sz w:val="24"/>
          <w:szCs w:val="24"/>
          <w:lang w:val="es-AR"/>
        </w:rPr>
      </w:pPr>
      <w:r>
        <w:rPr>
          <w:rFonts w:ascii="Arial" w:hAnsi="Arial" w:cs="Arial"/>
          <w:sz w:val="24"/>
          <w:szCs w:val="24"/>
          <w:lang w:val="es-AR"/>
        </w:rPr>
        <w:t>Aprobar las normas técnicas, procedimientos y manuales técnicos que se consideren necesarios para la contratación, seguimiento, control, aprobación y cierre de los proyectos de estudios aprobados a ser desarrollados por la UCP.</w:t>
      </w:r>
    </w:p>
    <w:p>
      <w:pPr>
        <w:pStyle w:val="Paragraph"/>
        <w:numPr>
          <w:ilvl w:val="1"/>
          <w:numId w:val="2"/>
        </w:numPr>
        <w:tabs>
          <w:tab w:val="left" w:pos="4950"/>
        </w:tabs>
        <w:ind w:left="450" w:hanging="450"/>
        <w:rPr>
          <w:rFonts w:ascii="Arial" w:hAnsi="Arial" w:cs="Arial"/>
          <w:szCs w:val="24"/>
          <w:lang w:val="es-AR"/>
        </w:rPr>
      </w:pPr>
      <w:bookmarkStart w:id="53" w:name="_Toc463457875"/>
      <w:r>
        <w:rPr>
          <w:rFonts w:ascii="Arial" w:hAnsi="Arial" w:cs="Arial"/>
          <w:b/>
          <w:szCs w:val="24"/>
          <w:lang w:val="es-AR"/>
        </w:rPr>
        <w:t xml:space="preserve">Coordinador Operativo. </w:t>
      </w:r>
      <w:r>
        <w:rPr>
          <w:rFonts w:ascii="Arial" w:hAnsi="Arial" w:cs="Arial"/>
          <w:szCs w:val="24"/>
          <w:lang w:val="es-AR"/>
        </w:rPr>
        <w:t>Es el responsable de la coordinación cotidiana del Programa, colaborando con el Coordinador General en la conducción, coordinación y supervisión de las acciones a realizar por la UCP vinculadas al Programa. Tiene a su cargo las siguientes actividades:</w:t>
      </w:r>
      <w:bookmarkEnd w:id="53"/>
    </w:p>
    <w:p>
      <w:pPr>
        <w:pStyle w:val="Paragraph"/>
        <w:tabs>
          <w:tab w:val="left" w:pos="1134"/>
          <w:tab w:val="left" w:pos="4950"/>
        </w:tabs>
        <w:ind w:left="720" w:hanging="360"/>
        <w:rPr>
          <w:rFonts w:ascii="Arial" w:hAnsi="Arial" w:cs="Arial"/>
          <w:szCs w:val="24"/>
          <w:lang w:val="es-AR"/>
        </w:rPr>
      </w:pPr>
      <w:bookmarkStart w:id="54" w:name="_Toc463457876"/>
      <w:r>
        <w:rPr>
          <w:rFonts w:ascii="Arial" w:hAnsi="Arial" w:cs="Arial"/>
          <w:szCs w:val="24"/>
          <w:lang w:val="es-AR"/>
        </w:rPr>
        <w:t>a)</w:t>
      </w:r>
      <w:r>
        <w:rPr>
          <w:rFonts w:ascii="Arial" w:hAnsi="Arial" w:cs="Arial"/>
          <w:szCs w:val="24"/>
          <w:lang w:val="es-AR"/>
        </w:rPr>
        <w:tab/>
        <w:t>Supervisar de forma cotidiana la ejecución de todos los componentes del presente Programa.</w:t>
      </w:r>
      <w:bookmarkEnd w:id="54"/>
    </w:p>
    <w:p>
      <w:pPr>
        <w:pStyle w:val="Paragraph"/>
        <w:tabs>
          <w:tab w:val="left" w:pos="1134"/>
          <w:tab w:val="left" w:pos="4950"/>
        </w:tabs>
        <w:ind w:left="720" w:hanging="360"/>
        <w:rPr>
          <w:rFonts w:ascii="Arial" w:hAnsi="Arial" w:cs="Arial"/>
          <w:szCs w:val="24"/>
          <w:lang w:val="es-AR"/>
        </w:rPr>
      </w:pPr>
      <w:bookmarkStart w:id="55" w:name="_Toc463457877"/>
      <w:r>
        <w:rPr>
          <w:rFonts w:ascii="Arial" w:hAnsi="Arial" w:cs="Arial"/>
          <w:szCs w:val="24"/>
          <w:lang w:val="es-AR"/>
        </w:rPr>
        <w:t>b)</w:t>
      </w:r>
      <w:r>
        <w:rPr>
          <w:rFonts w:ascii="Arial" w:hAnsi="Arial" w:cs="Arial"/>
          <w:szCs w:val="24"/>
          <w:lang w:val="es-AR"/>
        </w:rPr>
        <w:tab/>
        <w:t>Coordinar la preparación de toda la información pertinente en aspectos técnicos, económicos financieros y programáticos de los Estudios, así como las solicitudes en caso de pedidos de prórrogas específicas; que fueran requeridas por el organismo financiador.</w:t>
      </w:r>
      <w:bookmarkEnd w:id="55"/>
    </w:p>
    <w:p>
      <w:pPr>
        <w:pStyle w:val="Paragraph"/>
        <w:tabs>
          <w:tab w:val="left" w:pos="1134"/>
          <w:tab w:val="left" w:pos="4950"/>
        </w:tabs>
        <w:ind w:left="720" w:hanging="360"/>
        <w:rPr>
          <w:rFonts w:ascii="Arial" w:hAnsi="Arial" w:cs="Arial"/>
          <w:szCs w:val="24"/>
          <w:lang w:val="es-AR"/>
        </w:rPr>
      </w:pPr>
      <w:bookmarkStart w:id="56" w:name="_Toc463457878"/>
      <w:r>
        <w:rPr>
          <w:rFonts w:ascii="Arial" w:hAnsi="Arial" w:cs="Arial"/>
          <w:szCs w:val="24"/>
          <w:lang w:val="es-AR"/>
        </w:rPr>
        <w:t>c)</w:t>
      </w:r>
      <w:r>
        <w:rPr>
          <w:rFonts w:ascii="Arial" w:hAnsi="Arial" w:cs="Arial"/>
          <w:szCs w:val="24"/>
          <w:lang w:val="es-AR"/>
        </w:rPr>
        <w:tab/>
        <w:t>Coordinar la ejecución de los procesos que conforman los componentes del Programa, velando por el cumplimiento de las normas que los regulan y los objetivos y metas preestablecidos; evaluando paralelamente los resultados de los mismos.</w:t>
      </w:r>
      <w:bookmarkEnd w:id="56"/>
    </w:p>
    <w:p>
      <w:pPr>
        <w:pStyle w:val="Paragraph"/>
        <w:tabs>
          <w:tab w:val="left" w:pos="1134"/>
          <w:tab w:val="left" w:pos="4950"/>
        </w:tabs>
        <w:ind w:left="720" w:hanging="360"/>
        <w:rPr>
          <w:rFonts w:ascii="Arial" w:hAnsi="Arial" w:cs="Arial"/>
          <w:szCs w:val="24"/>
          <w:lang w:val="es-AR"/>
        </w:rPr>
      </w:pPr>
      <w:bookmarkStart w:id="57" w:name="_Toc463457879"/>
      <w:r>
        <w:rPr>
          <w:rFonts w:ascii="Arial" w:hAnsi="Arial" w:cs="Arial"/>
          <w:szCs w:val="24"/>
          <w:lang w:val="es-AR"/>
        </w:rPr>
        <w:t>d)</w:t>
      </w:r>
      <w:r>
        <w:rPr>
          <w:rFonts w:ascii="Arial" w:hAnsi="Arial" w:cs="Arial"/>
          <w:szCs w:val="24"/>
          <w:lang w:val="es-AR"/>
        </w:rPr>
        <w:tab/>
        <w:t>Supervisar de forma cotidiana la planificación y coordinación de los procesos de cada componente, así como las actividades que se realizarán en cada período, verificando la correcta ejecución de las mismas.</w:t>
      </w:r>
      <w:bookmarkEnd w:id="57"/>
    </w:p>
    <w:p>
      <w:pPr>
        <w:pStyle w:val="Paragraph"/>
        <w:tabs>
          <w:tab w:val="left" w:pos="1134"/>
          <w:tab w:val="left" w:pos="4950"/>
        </w:tabs>
        <w:ind w:left="720" w:hanging="360"/>
        <w:rPr>
          <w:rFonts w:ascii="Arial" w:hAnsi="Arial" w:cs="Arial"/>
          <w:szCs w:val="24"/>
          <w:lang w:val="es-AR"/>
        </w:rPr>
      </w:pPr>
      <w:bookmarkStart w:id="58" w:name="_Toc463457880"/>
      <w:r>
        <w:rPr>
          <w:rFonts w:ascii="Arial" w:hAnsi="Arial" w:cs="Arial"/>
          <w:szCs w:val="24"/>
          <w:lang w:val="es-AR"/>
        </w:rPr>
        <w:lastRenderedPageBreak/>
        <w:t>e)</w:t>
      </w:r>
      <w:r>
        <w:rPr>
          <w:rFonts w:ascii="Arial" w:hAnsi="Arial" w:cs="Arial"/>
          <w:szCs w:val="24"/>
          <w:lang w:val="es-AR"/>
        </w:rPr>
        <w:tab/>
        <w:t>Colaborar en la coordinación con los organismos públicos intervinientes, cumplimentando sus normas, disposiciones y reglamentaciones, requeridas para posibilitar la ejecución de los Estudios y obras.</w:t>
      </w:r>
      <w:bookmarkEnd w:id="58"/>
    </w:p>
    <w:p>
      <w:pPr>
        <w:pStyle w:val="Paragraph"/>
        <w:tabs>
          <w:tab w:val="left" w:pos="1134"/>
          <w:tab w:val="left" w:pos="4950"/>
        </w:tabs>
        <w:ind w:left="720" w:hanging="360"/>
        <w:rPr>
          <w:rFonts w:ascii="Arial" w:hAnsi="Arial" w:cs="Arial"/>
          <w:szCs w:val="24"/>
          <w:lang w:val="es-AR"/>
        </w:rPr>
      </w:pPr>
      <w:bookmarkStart w:id="59" w:name="_Toc463457881"/>
      <w:r>
        <w:rPr>
          <w:rFonts w:ascii="Arial" w:hAnsi="Arial" w:cs="Arial"/>
          <w:szCs w:val="24"/>
          <w:lang w:val="es-AR"/>
        </w:rPr>
        <w:t>f)</w:t>
      </w:r>
      <w:r>
        <w:rPr>
          <w:rFonts w:ascii="Arial" w:hAnsi="Arial" w:cs="Arial"/>
          <w:szCs w:val="24"/>
          <w:lang w:val="es-AR"/>
        </w:rPr>
        <w:tab/>
        <w:t>Supervisar la utilización de los fondos del Programa y de la aplicación de los procedimientos administrativos financieros.</w:t>
      </w:r>
      <w:bookmarkEnd w:id="59"/>
    </w:p>
    <w:p>
      <w:pPr>
        <w:pStyle w:val="Paragraph"/>
        <w:tabs>
          <w:tab w:val="left" w:pos="1134"/>
          <w:tab w:val="left" w:pos="4950"/>
        </w:tabs>
        <w:ind w:left="720" w:hanging="360"/>
        <w:rPr>
          <w:rFonts w:ascii="Arial" w:hAnsi="Arial" w:cs="Arial"/>
          <w:szCs w:val="24"/>
          <w:lang w:val="es-AR"/>
        </w:rPr>
      </w:pPr>
      <w:bookmarkStart w:id="60" w:name="_Toc463457882"/>
      <w:r>
        <w:rPr>
          <w:rFonts w:ascii="Arial" w:hAnsi="Arial" w:cs="Arial"/>
          <w:szCs w:val="24"/>
          <w:lang w:val="es-AR"/>
        </w:rPr>
        <w:t>g)</w:t>
      </w:r>
      <w:r>
        <w:rPr>
          <w:rFonts w:ascii="Arial" w:hAnsi="Arial" w:cs="Arial"/>
          <w:szCs w:val="24"/>
          <w:lang w:val="es-AR"/>
        </w:rPr>
        <w:tab/>
        <w:t>Supervisar la aplicación del Reglamento Operativo y las Políticas y Procedimientos que rigen al Programa.</w:t>
      </w:r>
      <w:bookmarkEnd w:id="60"/>
    </w:p>
    <w:p>
      <w:pPr>
        <w:pStyle w:val="Paragraph"/>
        <w:tabs>
          <w:tab w:val="left" w:pos="1134"/>
          <w:tab w:val="left" w:pos="4950"/>
        </w:tabs>
        <w:ind w:left="720" w:hanging="360"/>
        <w:rPr>
          <w:rFonts w:ascii="Arial" w:hAnsi="Arial" w:cs="Arial"/>
          <w:szCs w:val="24"/>
          <w:lang w:val="es-AR"/>
        </w:rPr>
      </w:pPr>
      <w:bookmarkStart w:id="61" w:name="_Toc463457883"/>
      <w:r>
        <w:rPr>
          <w:rFonts w:ascii="Arial" w:hAnsi="Arial" w:cs="Arial"/>
          <w:szCs w:val="24"/>
          <w:lang w:val="es-AR"/>
        </w:rPr>
        <w:t>h)</w:t>
      </w:r>
      <w:r>
        <w:rPr>
          <w:rFonts w:ascii="Arial" w:hAnsi="Arial" w:cs="Arial"/>
          <w:szCs w:val="24"/>
          <w:lang w:val="es-AR"/>
        </w:rPr>
        <w:tab/>
        <w:t>Organizar y coordinar la conformación de las Comisiones de Evaluación de Propuestas para los concursos o llamados a licitación.</w:t>
      </w:r>
      <w:bookmarkEnd w:id="61"/>
    </w:p>
    <w:p>
      <w:pPr>
        <w:pStyle w:val="Paragraph"/>
        <w:tabs>
          <w:tab w:val="left" w:pos="1134"/>
          <w:tab w:val="left" w:pos="4950"/>
        </w:tabs>
        <w:ind w:left="720" w:hanging="360"/>
        <w:rPr>
          <w:rFonts w:ascii="Arial" w:hAnsi="Arial" w:cs="Arial"/>
          <w:szCs w:val="24"/>
          <w:lang w:val="es-AR"/>
        </w:rPr>
      </w:pPr>
      <w:bookmarkStart w:id="62" w:name="_Toc463457884"/>
      <w:r>
        <w:rPr>
          <w:rFonts w:ascii="Arial" w:hAnsi="Arial" w:cs="Arial"/>
          <w:szCs w:val="24"/>
          <w:lang w:val="es-AR"/>
        </w:rPr>
        <w:t>i)</w:t>
      </w:r>
      <w:r>
        <w:rPr>
          <w:rFonts w:ascii="Arial" w:hAnsi="Arial" w:cs="Arial"/>
          <w:szCs w:val="24"/>
          <w:lang w:val="es-AR"/>
        </w:rPr>
        <w:tab/>
        <w:t>Supervisar la realización de las contrataciones y/o adjudicaciones necesarias para la ejecución del programa.</w:t>
      </w:r>
      <w:bookmarkEnd w:id="62"/>
    </w:p>
    <w:p>
      <w:pPr>
        <w:pStyle w:val="Paragraph"/>
        <w:numPr>
          <w:ilvl w:val="1"/>
          <w:numId w:val="2"/>
        </w:numPr>
        <w:tabs>
          <w:tab w:val="left" w:pos="4950"/>
        </w:tabs>
        <w:ind w:left="450" w:hanging="450"/>
        <w:rPr>
          <w:rFonts w:ascii="Arial" w:hAnsi="Arial" w:cs="Arial"/>
          <w:szCs w:val="24"/>
          <w:lang w:val="es-AR"/>
        </w:rPr>
      </w:pPr>
      <w:bookmarkStart w:id="63" w:name="_Toc463457885"/>
      <w:r>
        <w:rPr>
          <w:rFonts w:ascii="Arial" w:hAnsi="Arial" w:cs="Arial"/>
          <w:b/>
          <w:szCs w:val="24"/>
          <w:lang w:val="es-AR"/>
        </w:rPr>
        <w:t>Coordinador Técnicos del Componente I, II y III</w:t>
      </w:r>
      <w:r>
        <w:rPr>
          <w:rFonts w:ascii="Arial" w:hAnsi="Arial" w:cs="Arial"/>
          <w:szCs w:val="24"/>
          <w:lang w:val="es-AR"/>
        </w:rPr>
        <w:t>. Es responsable por llevar adelante las acciones para ejecutar el Componente a su cargo, considerando actividades de planificación, elaboración de Términos de Referencia (“TDR”), ejecución, monitoreo y evaluación de las acciones de fortalecimiento en materia de ingresos, gastos e inversión a elegibles en el marco del Programa. Tiene a su cargo las siguientes actividades:</w:t>
      </w:r>
      <w:bookmarkEnd w:id="63"/>
    </w:p>
    <w:p>
      <w:pPr>
        <w:widowControl w:val="0"/>
        <w:numPr>
          <w:ilvl w:val="0"/>
          <w:numId w:val="31"/>
        </w:numPr>
        <w:spacing w:after="60" w:line="240" w:lineRule="auto"/>
        <w:ind w:left="720" w:hanging="360"/>
        <w:jc w:val="both"/>
        <w:rPr>
          <w:rFonts w:ascii="Arial" w:hAnsi="Arial" w:cs="Arial"/>
          <w:sz w:val="24"/>
          <w:szCs w:val="24"/>
          <w:lang w:val="es-AR"/>
        </w:rPr>
      </w:pPr>
      <w:r>
        <w:rPr>
          <w:rFonts w:ascii="Arial" w:hAnsi="Arial" w:cs="Arial"/>
          <w:sz w:val="24"/>
          <w:szCs w:val="24"/>
          <w:lang w:val="es-AR"/>
        </w:rPr>
        <w:t xml:space="preserve">Supervisar las actividades y tareas a desarrollar en el marco del Componente 1 </w:t>
      </w:r>
    </w:p>
    <w:p>
      <w:pPr>
        <w:widowControl w:val="0"/>
        <w:numPr>
          <w:ilvl w:val="0"/>
          <w:numId w:val="31"/>
        </w:numPr>
        <w:spacing w:after="60" w:line="240" w:lineRule="auto"/>
        <w:ind w:left="720" w:hanging="360"/>
        <w:jc w:val="both"/>
        <w:rPr>
          <w:rFonts w:ascii="Arial" w:hAnsi="Arial" w:cs="Arial"/>
          <w:sz w:val="24"/>
          <w:szCs w:val="24"/>
          <w:lang w:val="es-AR"/>
        </w:rPr>
      </w:pPr>
      <w:r>
        <w:rPr>
          <w:rFonts w:ascii="Arial" w:hAnsi="Arial" w:cs="Arial"/>
          <w:sz w:val="24"/>
          <w:szCs w:val="24"/>
          <w:lang w:val="es-AR"/>
        </w:rPr>
        <w:t>Elaborar los TDR, o analizar aquellos propuestos por las áreas funcionales de AFIP, en función de las necesidades identificadas en cada área funcional.</w:t>
      </w:r>
    </w:p>
    <w:p>
      <w:pPr>
        <w:widowControl w:val="0"/>
        <w:numPr>
          <w:ilvl w:val="0"/>
          <w:numId w:val="31"/>
        </w:numPr>
        <w:spacing w:after="60" w:line="240" w:lineRule="auto"/>
        <w:ind w:left="720" w:hanging="360"/>
        <w:jc w:val="both"/>
        <w:rPr>
          <w:rFonts w:ascii="Arial" w:hAnsi="Arial" w:cs="Arial"/>
          <w:sz w:val="24"/>
          <w:szCs w:val="24"/>
          <w:lang w:val="es-AR"/>
        </w:rPr>
      </w:pPr>
      <w:r>
        <w:rPr>
          <w:rFonts w:ascii="Arial" w:hAnsi="Arial" w:cs="Arial"/>
          <w:sz w:val="24"/>
          <w:szCs w:val="24"/>
          <w:lang w:val="es-AR"/>
        </w:rPr>
        <w:t>Diseñar el esquema de seguimiento y evaluación de las contrataciones que se realicen dentro del presente componente.</w:t>
      </w:r>
    </w:p>
    <w:p>
      <w:pPr>
        <w:numPr>
          <w:ilvl w:val="0"/>
          <w:numId w:val="31"/>
        </w:numPr>
        <w:spacing w:before="100" w:beforeAutospacing="1" w:after="60" w:line="240" w:lineRule="auto"/>
        <w:ind w:left="720" w:hanging="360"/>
        <w:jc w:val="both"/>
        <w:rPr>
          <w:rFonts w:ascii="Arial" w:hAnsi="Arial" w:cs="Arial"/>
          <w:sz w:val="24"/>
          <w:szCs w:val="24"/>
          <w:lang w:val="es-AR"/>
        </w:rPr>
      </w:pPr>
      <w:r>
        <w:rPr>
          <w:rFonts w:ascii="Arial" w:hAnsi="Arial" w:cs="Arial"/>
          <w:sz w:val="24"/>
          <w:szCs w:val="24"/>
          <w:lang w:val="es-AR"/>
        </w:rPr>
        <w:t>Participar en la evaluación de las Ofertas de las Consultorías de su competencia.</w:t>
      </w:r>
    </w:p>
    <w:p>
      <w:pPr>
        <w:widowControl w:val="0"/>
        <w:numPr>
          <w:ilvl w:val="0"/>
          <w:numId w:val="31"/>
        </w:numPr>
        <w:spacing w:after="60" w:line="240" w:lineRule="auto"/>
        <w:ind w:left="720" w:hanging="360"/>
        <w:jc w:val="both"/>
        <w:rPr>
          <w:rFonts w:ascii="Arial" w:hAnsi="Arial" w:cs="Arial"/>
          <w:sz w:val="24"/>
          <w:szCs w:val="24"/>
          <w:lang w:val="es-AR"/>
        </w:rPr>
      </w:pPr>
      <w:r>
        <w:rPr>
          <w:rFonts w:ascii="Arial" w:hAnsi="Arial" w:cs="Arial"/>
          <w:sz w:val="24"/>
          <w:szCs w:val="24"/>
          <w:lang w:val="es-AR"/>
        </w:rPr>
        <w:t>Aprobar y/o proponer modificaciones a los informes de las Firmas y Consultores, elevándolos luego a la Coordinación General para su proceso de aprobación y pago.</w:t>
      </w:r>
    </w:p>
    <w:p>
      <w:pPr>
        <w:widowControl w:val="0"/>
        <w:numPr>
          <w:ilvl w:val="0"/>
          <w:numId w:val="31"/>
        </w:numPr>
        <w:spacing w:after="60" w:line="240" w:lineRule="auto"/>
        <w:ind w:left="720" w:hanging="360"/>
        <w:jc w:val="both"/>
        <w:rPr>
          <w:rFonts w:ascii="Arial" w:hAnsi="Arial" w:cs="Arial"/>
          <w:sz w:val="24"/>
          <w:szCs w:val="24"/>
          <w:lang w:val="es-AR"/>
        </w:rPr>
      </w:pPr>
      <w:r>
        <w:rPr>
          <w:rFonts w:ascii="Arial" w:hAnsi="Arial" w:cs="Arial"/>
          <w:sz w:val="24"/>
          <w:szCs w:val="24"/>
          <w:lang w:val="es-AR"/>
        </w:rPr>
        <w:t xml:space="preserve">Asistir al Coordinador General en todas aquellas funciones que le soliciten en el marco de los temas de su competencia, especialmente en la preparación de informes para el BID y organismos intervinientes en el marco de su competencia. </w:t>
      </w:r>
    </w:p>
    <w:p>
      <w:pPr>
        <w:widowControl w:val="0"/>
        <w:numPr>
          <w:ilvl w:val="0"/>
          <w:numId w:val="31"/>
        </w:numPr>
        <w:spacing w:after="60" w:line="240" w:lineRule="auto"/>
        <w:ind w:left="720" w:hanging="360"/>
        <w:jc w:val="both"/>
        <w:rPr>
          <w:rFonts w:ascii="Arial" w:hAnsi="Arial" w:cs="Arial"/>
          <w:sz w:val="24"/>
          <w:szCs w:val="24"/>
          <w:lang w:val="es-ES"/>
        </w:rPr>
      </w:pPr>
      <w:r>
        <w:rPr>
          <w:rFonts w:ascii="Arial" w:hAnsi="Arial" w:cs="Arial"/>
          <w:sz w:val="24"/>
          <w:szCs w:val="24"/>
          <w:lang w:val="es-AR"/>
        </w:rPr>
        <w:t xml:space="preserve">Interactuar con los responsables de las áreas funcionales de AFIP a </w:t>
      </w:r>
      <w:r>
        <w:rPr>
          <w:rFonts w:ascii="Arial" w:hAnsi="Arial" w:cs="Arial"/>
          <w:sz w:val="24"/>
          <w:szCs w:val="24"/>
          <w:lang w:val="es-ES"/>
        </w:rPr>
        <w:t>fin de lograr los objetivos del Componente.</w:t>
      </w:r>
    </w:p>
    <w:p>
      <w:pPr>
        <w:widowControl w:val="0"/>
        <w:numPr>
          <w:ilvl w:val="0"/>
          <w:numId w:val="31"/>
        </w:numPr>
        <w:spacing w:after="60" w:line="240" w:lineRule="auto"/>
        <w:ind w:left="720" w:hanging="360"/>
        <w:jc w:val="both"/>
        <w:rPr>
          <w:rFonts w:ascii="Arial" w:hAnsi="Arial" w:cs="Arial"/>
          <w:sz w:val="24"/>
          <w:szCs w:val="24"/>
          <w:lang w:val="es-AR"/>
        </w:rPr>
      </w:pPr>
      <w:r>
        <w:rPr>
          <w:rFonts w:ascii="Arial" w:hAnsi="Arial" w:cs="Arial"/>
          <w:sz w:val="24"/>
          <w:szCs w:val="24"/>
          <w:lang w:val="es-AR"/>
        </w:rPr>
        <w:t>Solicitar los recursos y capacidades técnicas necesarias para cumplir sus funciones.</w:t>
      </w:r>
    </w:p>
    <w:p>
      <w:pPr>
        <w:widowControl w:val="0"/>
        <w:numPr>
          <w:ilvl w:val="0"/>
          <w:numId w:val="31"/>
        </w:numPr>
        <w:spacing w:after="60" w:line="240" w:lineRule="auto"/>
        <w:ind w:left="720" w:hanging="360"/>
        <w:jc w:val="both"/>
        <w:rPr>
          <w:rFonts w:ascii="Arial" w:hAnsi="Arial" w:cs="Arial"/>
          <w:sz w:val="24"/>
          <w:szCs w:val="24"/>
          <w:lang w:val="es-AR"/>
        </w:rPr>
      </w:pPr>
      <w:r>
        <w:rPr>
          <w:rFonts w:ascii="Arial" w:hAnsi="Arial" w:cs="Arial"/>
          <w:sz w:val="24"/>
          <w:szCs w:val="24"/>
          <w:lang w:val="es-AR"/>
        </w:rPr>
        <w:t>Mantener un registro y archivo actualizado de la documentación e información técnica bajo su responsabilidad, en una base de datos que facilite la auditoría de la misma.</w:t>
      </w:r>
    </w:p>
    <w:p>
      <w:pPr>
        <w:numPr>
          <w:ilvl w:val="0"/>
          <w:numId w:val="31"/>
        </w:numPr>
        <w:spacing w:before="100" w:beforeAutospacing="1" w:after="240" w:line="240" w:lineRule="auto"/>
        <w:ind w:left="720" w:hanging="360"/>
        <w:jc w:val="both"/>
        <w:rPr>
          <w:rFonts w:ascii="Arial" w:hAnsi="Arial" w:cs="Arial"/>
          <w:sz w:val="24"/>
          <w:szCs w:val="24"/>
          <w:lang w:val="es-AR"/>
        </w:rPr>
      </w:pPr>
      <w:r>
        <w:rPr>
          <w:rFonts w:ascii="Arial" w:hAnsi="Arial" w:cs="Arial"/>
          <w:sz w:val="24"/>
          <w:szCs w:val="24"/>
          <w:lang w:val="es-AR"/>
        </w:rPr>
        <w:t>Garantizar la adecuada implementación de las actividades a través de un asesoramiento y consulta permanente con todas aquellas instancias involucradas.</w:t>
      </w:r>
    </w:p>
    <w:p>
      <w:pPr>
        <w:pStyle w:val="Paragraph"/>
        <w:numPr>
          <w:ilvl w:val="1"/>
          <w:numId w:val="2"/>
        </w:numPr>
        <w:tabs>
          <w:tab w:val="left" w:pos="4950"/>
        </w:tabs>
        <w:spacing w:before="0"/>
        <w:ind w:left="450" w:hanging="450"/>
        <w:outlineLvl w:val="9"/>
        <w:rPr>
          <w:rFonts w:ascii="Arial" w:hAnsi="Arial" w:cs="Arial"/>
          <w:szCs w:val="24"/>
          <w:lang w:val="es-AR"/>
        </w:rPr>
      </w:pPr>
      <w:bookmarkStart w:id="64" w:name="_Toc458595765"/>
      <w:bookmarkStart w:id="65" w:name="_Toc458697049"/>
      <w:bookmarkStart w:id="66" w:name="_Toc458697163"/>
      <w:bookmarkStart w:id="67" w:name="_Toc459730715"/>
      <w:bookmarkEnd w:id="48"/>
      <w:bookmarkEnd w:id="49"/>
      <w:bookmarkEnd w:id="50"/>
      <w:bookmarkEnd w:id="51"/>
      <w:r>
        <w:rPr>
          <w:rFonts w:ascii="Arial" w:hAnsi="Arial" w:cs="Arial"/>
          <w:b/>
          <w:szCs w:val="24"/>
          <w:lang w:val="es-AR"/>
        </w:rPr>
        <w:t xml:space="preserve">Coordinación de Gestión y Administración. </w:t>
      </w:r>
      <w:r>
        <w:rPr>
          <w:rFonts w:ascii="Arial" w:hAnsi="Arial" w:cs="Arial"/>
          <w:szCs w:val="24"/>
        </w:rPr>
        <w:t>Tiene a su cargo la gestión administrativa, financiera y de seguimiento del Programa, a fin de asegurar la correcta gestión de los procedimientos. Se incluyen las siguientes actividades:</w:t>
      </w:r>
      <w:bookmarkEnd w:id="64"/>
      <w:bookmarkEnd w:id="65"/>
      <w:bookmarkEnd w:id="66"/>
      <w:bookmarkEnd w:id="67"/>
    </w:p>
    <w:p>
      <w:pPr>
        <w:pStyle w:val="Paragraph"/>
        <w:numPr>
          <w:ilvl w:val="0"/>
          <w:numId w:val="11"/>
        </w:numPr>
        <w:tabs>
          <w:tab w:val="left" w:pos="4950"/>
        </w:tabs>
        <w:spacing w:before="0" w:after="60"/>
        <w:outlineLvl w:val="9"/>
        <w:rPr>
          <w:rFonts w:ascii="Arial" w:hAnsi="Arial" w:cs="Arial"/>
          <w:iCs/>
          <w:szCs w:val="24"/>
          <w:lang w:val="es-AR"/>
        </w:rPr>
      </w:pPr>
      <w:bookmarkStart w:id="68" w:name="_Toc458595767"/>
      <w:bookmarkStart w:id="69" w:name="_Toc458697051"/>
      <w:bookmarkStart w:id="70" w:name="_Toc458697165"/>
      <w:bookmarkStart w:id="71" w:name="_Toc459730717"/>
      <w:r>
        <w:rPr>
          <w:rFonts w:ascii="Arial" w:hAnsi="Arial" w:cs="Arial"/>
          <w:iCs/>
          <w:szCs w:val="24"/>
          <w:lang w:val="es-AR"/>
        </w:rPr>
        <w:lastRenderedPageBreak/>
        <w:t>Coordinarla administración financiera del Programa y asistir al Coordinador General en todas las actividades de su competencia.</w:t>
      </w:r>
      <w:bookmarkEnd w:id="68"/>
      <w:bookmarkEnd w:id="69"/>
      <w:bookmarkEnd w:id="70"/>
      <w:bookmarkEnd w:id="71"/>
    </w:p>
    <w:p>
      <w:pPr>
        <w:pStyle w:val="Paragraph"/>
        <w:numPr>
          <w:ilvl w:val="0"/>
          <w:numId w:val="11"/>
        </w:numPr>
        <w:tabs>
          <w:tab w:val="left" w:pos="4950"/>
        </w:tabs>
        <w:spacing w:before="0" w:after="60"/>
        <w:outlineLvl w:val="9"/>
        <w:rPr>
          <w:rFonts w:ascii="Arial" w:hAnsi="Arial" w:cs="Arial"/>
          <w:iCs/>
          <w:szCs w:val="24"/>
          <w:lang w:val="es-AR"/>
        </w:rPr>
      </w:pPr>
      <w:r>
        <w:rPr>
          <w:rFonts w:ascii="Arial" w:hAnsi="Arial" w:cs="Arial"/>
          <w:iCs/>
          <w:szCs w:val="24"/>
          <w:lang w:val="es-AR"/>
        </w:rPr>
        <w:t>Interactuar con las coordinaciones técnicas a fin de impulsar procedimientos que estas requieran.</w:t>
      </w:r>
    </w:p>
    <w:p>
      <w:pPr>
        <w:pStyle w:val="Paragraph"/>
        <w:numPr>
          <w:ilvl w:val="0"/>
          <w:numId w:val="11"/>
        </w:numPr>
        <w:tabs>
          <w:tab w:val="left" w:pos="4950"/>
        </w:tabs>
        <w:spacing w:before="0" w:after="60"/>
        <w:outlineLvl w:val="9"/>
        <w:rPr>
          <w:rFonts w:ascii="Arial" w:hAnsi="Arial" w:cs="Arial"/>
          <w:iCs/>
          <w:szCs w:val="24"/>
          <w:lang w:val="es-AR"/>
        </w:rPr>
      </w:pPr>
      <w:bookmarkStart w:id="72" w:name="_Toc458595768"/>
      <w:bookmarkStart w:id="73" w:name="_Toc458697052"/>
      <w:bookmarkStart w:id="74" w:name="_Toc458697166"/>
      <w:bookmarkStart w:id="75" w:name="_Toc459730718"/>
      <w:r>
        <w:rPr>
          <w:rFonts w:ascii="Arial" w:hAnsi="Arial" w:cs="Arial"/>
          <w:iCs/>
          <w:szCs w:val="24"/>
          <w:lang w:val="es-AR"/>
        </w:rPr>
        <w:t>Los procesos de contrataciones y adquisiciones asociados al Programa.</w:t>
      </w:r>
    </w:p>
    <w:p>
      <w:pPr>
        <w:pStyle w:val="Paragraph"/>
        <w:numPr>
          <w:ilvl w:val="0"/>
          <w:numId w:val="11"/>
        </w:numPr>
        <w:tabs>
          <w:tab w:val="left" w:pos="4950"/>
        </w:tabs>
        <w:spacing w:before="0" w:after="60"/>
        <w:outlineLvl w:val="9"/>
        <w:rPr>
          <w:rFonts w:ascii="Arial" w:hAnsi="Arial" w:cs="Arial"/>
          <w:iCs/>
          <w:szCs w:val="24"/>
          <w:lang w:val="es-AR"/>
        </w:rPr>
      </w:pPr>
      <w:r>
        <w:rPr>
          <w:rFonts w:ascii="Arial" w:hAnsi="Arial" w:cs="Arial"/>
          <w:iCs/>
          <w:szCs w:val="24"/>
          <w:lang w:val="es-AR"/>
        </w:rPr>
        <w:t>Realizar el seguimiento del proceso de licitación y pagos, verificando y asegurando el cumplimiento de las Políticas del Banco.</w:t>
      </w:r>
      <w:bookmarkEnd w:id="72"/>
      <w:bookmarkEnd w:id="73"/>
      <w:bookmarkEnd w:id="74"/>
      <w:bookmarkEnd w:id="75"/>
    </w:p>
    <w:p>
      <w:pPr>
        <w:pStyle w:val="Paragraph"/>
        <w:numPr>
          <w:ilvl w:val="0"/>
          <w:numId w:val="11"/>
        </w:numPr>
        <w:tabs>
          <w:tab w:val="left" w:pos="4950"/>
        </w:tabs>
        <w:spacing w:before="0" w:after="60"/>
        <w:outlineLvl w:val="9"/>
        <w:rPr>
          <w:rFonts w:ascii="Arial" w:hAnsi="Arial" w:cs="Arial"/>
          <w:szCs w:val="24"/>
          <w:lang w:val="es-AR"/>
        </w:rPr>
      </w:pPr>
      <w:bookmarkStart w:id="76" w:name="_Toc458595770"/>
      <w:bookmarkStart w:id="77" w:name="_Toc458697054"/>
      <w:bookmarkStart w:id="78" w:name="_Toc458697168"/>
      <w:bookmarkStart w:id="79" w:name="_Toc459730720"/>
      <w:r>
        <w:rPr>
          <w:rFonts w:ascii="Arial" w:hAnsi="Arial" w:cs="Arial"/>
          <w:iCs/>
          <w:szCs w:val="24"/>
          <w:lang w:val="es-AR"/>
        </w:rPr>
        <w:t>Realizar las gestiones impositivas del programa.</w:t>
      </w:r>
      <w:bookmarkEnd w:id="76"/>
      <w:bookmarkEnd w:id="77"/>
      <w:bookmarkEnd w:id="78"/>
      <w:bookmarkEnd w:id="79"/>
    </w:p>
    <w:p>
      <w:pPr>
        <w:pStyle w:val="Paragraph"/>
        <w:numPr>
          <w:ilvl w:val="0"/>
          <w:numId w:val="11"/>
        </w:numPr>
        <w:tabs>
          <w:tab w:val="left" w:pos="4950"/>
        </w:tabs>
        <w:outlineLvl w:val="9"/>
        <w:rPr>
          <w:rFonts w:ascii="Arial" w:hAnsi="Arial" w:cs="Arial"/>
          <w:iCs/>
          <w:szCs w:val="24"/>
          <w:lang w:val="es-AR"/>
        </w:rPr>
      </w:pPr>
      <w:bookmarkStart w:id="80" w:name="_Toc458595771"/>
      <w:bookmarkStart w:id="81" w:name="_Toc458697055"/>
      <w:bookmarkStart w:id="82" w:name="_Toc458697169"/>
      <w:bookmarkStart w:id="83" w:name="_Toc459730721"/>
      <w:r>
        <w:rPr>
          <w:rFonts w:ascii="Arial" w:hAnsi="Arial" w:cs="Arial"/>
          <w:iCs/>
          <w:szCs w:val="24"/>
          <w:lang w:val="es-AR"/>
        </w:rPr>
        <w:t>Implementar y monitorear los sistemas financieros disponibles del Programa,</w:t>
      </w:r>
      <w:bookmarkEnd w:id="80"/>
      <w:bookmarkEnd w:id="81"/>
      <w:bookmarkEnd w:id="82"/>
      <w:bookmarkEnd w:id="83"/>
    </w:p>
    <w:p>
      <w:pPr>
        <w:pStyle w:val="Paragraph"/>
        <w:numPr>
          <w:ilvl w:val="0"/>
          <w:numId w:val="11"/>
        </w:numPr>
        <w:tabs>
          <w:tab w:val="left" w:pos="851"/>
        </w:tabs>
        <w:spacing w:before="0" w:after="60"/>
        <w:outlineLvl w:val="9"/>
        <w:rPr>
          <w:rFonts w:ascii="Arial" w:hAnsi="Arial" w:cs="Arial"/>
          <w:szCs w:val="24"/>
          <w:lang w:val="es-AR"/>
        </w:rPr>
      </w:pPr>
      <w:bookmarkStart w:id="84" w:name="_Toc458595773"/>
      <w:bookmarkStart w:id="85" w:name="_Toc458697057"/>
      <w:bookmarkStart w:id="86" w:name="_Toc458697171"/>
      <w:bookmarkStart w:id="87" w:name="_Toc459730723"/>
      <w:r>
        <w:rPr>
          <w:rFonts w:ascii="Arial" w:hAnsi="Arial" w:cs="Arial"/>
          <w:iCs/>
          <w:szCs w:val="24"/>
          <w:lang w:val="es-AR"/>
        </w:rPr>
        <w:t xml:space="preserve">Elaborar los documentos requeridos por el Programa, como el POA, el Plan de Adquisiciones, los Informes de Seguimiento, </w:t>
      </w:r>
      <w:bookmarkStart w:id="88" w:name="_Toc458595774"/>
      <w:bookmarkStart w:id="89" w:name="_Toc458697058"/>
      <w:bookmarkStart w:id="90" w:name="_Toc458697172"/>
      <w:bookmarkStart w:id="91" w:name="_Toc459730724"/>
      <w:bookmarkEnd w:id="84"/>
      <w:bookmarkEnd w:id="85"/>
      <w:bookmarkEnd w:id="86"/>
      <w:bookmarkEnd w:id="87"/>
      <w:r>
        <w:rPr>
          <w:rFonts w:ascii="Arial" w:hAnsi="Arial" w:cs="Arial"/>
          <w:iCs/>
          <w:szCs w:val="24"/>
          <w:lang w:val="es-AR"/>
        </w:rPr>
        <w:t>informes de estados financieros anuales e informes de auditoría para el Banco, entre otros que sean requeridos.</w:t>
      </w:r>
      <w:bookmarkEnd w:id="88"/>
      <w:bookmarkEnd w:id="89"/>
      <w:bookmarkEnd w:id="90"/>
      <w:bookmarkEnd w:id="91"/>
    </w:p>
    <w:p>
      <w:pPr>
        <w:pStyle w:val="Paragraph"/>
        <w:numPr>
          <w:ilvl w:val="0"/>
          <w:numId w:val="11"/>
        </w:numPr>
        <w:tabs>
          <w:tab w:val="left" w:pos="851"/>
        </w:tabs>
        <w:spacing w:before="0" w:after="60"/>
        <w:outlineLvl w:val="9"/>
        <w:rPr>
          <w:rFonts w:ascii="Arial" w:hAnsi="Arial" w:cs="Arial"/>
          <w:iCs/>
          <w:szCs w:val="24"/>
          <w:lang w:val="es-AR"/>
        </w:rPr>
      </w:pPr>
      <w:bookmarkStart w:id="92" w:name="_Toc458595776"/>
      <w:bookmarkStart w:id="93" w:name="_Toc458697060"/>
      <w:bookmarkStart w:id="94" w:name="_Toc458697174"/>
      <w:bookmarkStart w:id="95" w:name="_Toc459730726"/>
      <w:r>
        <w:rPr>
          <w:rFonts w:ascii="Arial" w:hAnsi="Arial" w:cs="Arial"/>
          <w:iCs/>
          <w:szCs w:val="24"/>
          <w:lang w:val="es-AR"/>
        </w:rPr>
        <w:t>Elaborar las solicitudes de Desembolso</w:t>
      </w:r>
      <w:bookmarkEnd w:id="92"/>
      <w:bookmarkEnd w:id="93"/>
      <w:bookmarkEnd w:id="94"/>
      <w:bookmarkEnd w:id="95"/>
    </w:p>
    <w:p>
      <w:pPr>
        <w:pStyle w:val="Paragraph"/>
        <w:numPr>
          <w:ilvl w:val="0"/>
          <w:numId w:val="11"/>
        </w:numPr>
        <w:tabs>
          <w:tab w:val="left" w:pos="4950"/>
        </w:tabs>
        <w:spacing w:before="0" w:after="60"/>
        <w:outlineLvl w:val="9"/>
        <w:rPr>
          <w:rFonts w:ascii="Arial" w:hAnsi="Arial" w:cs="Arial"/>
          <w:szCs w:val="24"/>
          <w:lang w:val="es-AR"/>
        </w:rPr>
      </w:pPr>
      <w:bookmarkStart w:id="96" w:name="_Toc458595777"/>
      <w:bookmarkStart w:id="97" w:name="_Toc458697061"/>
      <w:bookmarkStart w:id="98" w:name="_Toc458697175"/>
      <w:bookmarkStart w:id="99" w:name="_Toc459730727"/>
      <w:r>
        <w:rPr>
          <w:rFonts w:ascii="Arial" w:hAnsi="Arial" w:cs="Arial"/>
          <w:iCs/>
          <w:szCs w:val="24"/>
          <w:lang w:val="es-AR"/>
        </w:rPr>
        <w:t>Registrar documentación de todas las actividades administrativas, contables y financieras del Programa, incluyendo la cuenta especial, documentación de desembolsos e informes de auditoría, en el marco de su competencia.</w:t>
      </w:r>
      <w:bookmarkEnd w:id="96"/>
      <w:bookmarkEnd w:id="97"/>
      <w:bookmarkEnd w:id="98"/>
      <w:bookmarkEnd w:id="99"/>
    </w:p>
    <w:p>
      <w:pPr>
        <w:pStyle w:val="Paragraph"/>
        <w:numPr>
          <w:ilvl w:val="0"/>
          <w:numId w:val="11"/>
        </w:numPr>
        <w:tabs>
          <w:tab w:val="left" w:pos="4950"/>
        </w:tabs>
        <w:outlineLvl w:val="9"/>
        <w:rPr>
          <w:rFonts w:ascii="Arial" w:hAnsi="Arial" w:cs="Arial"/>
          <w:iCs/>
          <w:szCs w:val="24"/>
          <w:lang w:val="es-AR"/>
        </w:rPr>
      </w:pPr>
      <w:bookmarkStart w:id="100" w:name="_Toc458595778"/>
      <w:bookmarkStart w:id="101" w:name="_Toc458697062"/>
      <w:bookmarkStart w:id="102" w:name="_Toc458697176"/>
      <w:bookmarkStart w:id="103" w:name="_Toc459730728"/>
      <w:r>
        <w:rPr>
          <w:rFonts w:ascii="Arial" w:hAnsi="Arial" w:cs="Arial"/>
          <w:iCs/>
          <w:szCs w:val="24"/>
          <w:lang w:val="es-AR"/>
        </w:rPr>
        <w:t>Emprender acciones necesarias para asegurar la oportuna disponibilidad de fondos de diferentes fuentes, en el marco de su competencia.</w:t>
      </w:r>
      <w:bookmarkEnd w:id="100"/>
      <w:bookmarkEnd w:id="101"/>
      <w:bookmarkEnd w:id="102"/>
      <w:bookmarkEnd w:id="103"/>
    </w:p>
    <w:p>
      <w:pPr>
        <w:pStyle w:val="ListParagraph"/>
        <w:numPr>
          <w:ilvl w:val="0"/>
          <w:numId w:val="10"/>
        </w:numPr>
        <w:tabs>
          <w:tab w:val="left" w:pos="450"/>
        </w:tabs>
        <w:spacing w:after="60" w:line="240" w:lineRule="auto"/>
        <w:contextualSpacing w:val="0"/>
        <w:jc w:val="both"/>
        <w:rPr>
          <w:rFonts w:ascii="Arial" w:hAnsi="Arial" w:cs="Arial"/>
          <w:sz w:val="24"/>
          <w:szCs w:val="24"/>
          <w:lang w:val="es-AR"/>
        </w:rPr>
      </w:pPr>
      <w:r>
        <w:rPr>
          <w:rFonts w:ascii="Arial" w:hAnsi="Arial" w:cs="Arial"/>
          <w:sz w:val="24"/>
          <w:szCs w:val="24"/>
          <w:lang w:val="es-AR"/>
        </w:rPr>
        <w:t>Administrar, los recursos del financiamiento multilateral y de la contrapartida local, en términos presupuestarios, financieros y contables.</w:t>
      </w:r>
    </w:p>
    <w:p>
      <w:pPr>
        <w:pStyle w:val="ListParagraph"/>
        <w:numPr>
          <w:ilvl w:val="0"/>
          <w:numId w:val="10"/>
        </w:numPr>
        <w:tabs>
          <w:tab w:val="left" w:pos="450"/>
        </w:tabs>
        <w:spacing w:after="60" w:line="240" w:lineRule="auto"/>
        <w:contextualSpacing w:val="0"/>
        <w:jc w:val="both"/>
        <w:rPr>
          <w:rFonts w:ascii="Arial" w:hAnsi="Arial" w:cs="Arial"/>
          <w:sz w:val="24"/>
          <w:szCs w:val="24"/>
          <w:lang w:val="es-AR"/>
        </w:rPr>
      </w:pPr>
      <w:r>
        <w:rPr>
          <w:rFonts w:ascii="Arial" w:hAnsi="Arial" w:cs="Arial"/>
          <w:sz w:val="24"/>
          <w:szCs w:val="24"/>
          <w:lang w:val="es-AR"/>
        </w:rPr>
        <w:t>Colaborar con la planificación financiera del Programa, incluyendo aspectos presupuestarios, la elaboración de los POA y de los Planes de Adquisiciones (“PA”).</w:t>
      </w:r>
    </w:p>
    <w:p>
      <w:pPr>
        <w:pStyle w:val="ListParagraph"/>
        <w:numPr>
          <w:ilvl w:val="0"/>
          <w:numId w:val="10"/>
        </w:numPr>
        <w:tabs>
          <w:tab w:val="left" w:pos="450"/>
        </w:tabs>
        <w:spacing w:after="60" w:line="240" w:lineRule="auto"/>
        <w:contextualSpacing w:val="0"/>
        <w:jc w:val="both"/>
        <w:rPr>
          <w:rFonts w:ascii="Arial" w:hAnsi="Arial" w:cs="Arial"/>
          <w:sz w:val="24"/>
          <w:szCs w:val="24"/>
          <w:lang w:val="es-AR"/>
        </w:rPr>
      </w:pPr>
      <w:r>
        <w:rPr>
          <w:rFonts w:ascii="Arial" w:hAnsi="Arial" w:cs="Arial"/>
          <w:sz w:val="24"/>
          <w:szCs w:val="24"/>
          <w:lang w:val="es-AR"/>
        </w:rPr>
        <w:t>Implementar sistemas gerenciales y contables necesarios para el seguimiento físico-financiero y compartirlos con la UCP toda vez que sea pertinente.</w:t>
      </w:r>
    </w:p>
    <w:p>
      <w:pPr>
        <w:pStyle w:val="ListParagraph"/>
        <w:numPr>
          <w:ilvl w:val="0"/>
          <w:numId w:val="10"/>
        </w:numPr>
        <w:tabs>
          <w:tab w:val="left" w:pos="450"/>
        </w:tabs>
        <w:spacing w:after="60" w:line="240" w:lineRule="auto"/>
        <w:contextualSpacing w:val="0"/>
        <w:jc w:val="both"/>
        <w:rPr>
          <w:rFonts w:ascii="Arial" w:hAnsi="Arial" w:cs="Arial"/>
          <w:sz w:val="24"/>
          <w:szCs w:val="24"/>
          <w:lang w:val="es-AR"/>
        </w:rPr>
      </w:pPr>
      <w:r>
        <w:rPr>
          <w:rFonts w:ascii="Arial" w:hAnsi="Arial" w:cs="Arial"/>
          <w:sz w:val="24"/>
          <w:szCs w:val="24"/>
          <w:lang w:val="es-AR"/>
        </w:rPr>
        <w:t xml:space="preserve">Colaborar en la preparación y aprobación de los  Pliegos para contrataciones toda vez que sea requerido. </w:t>
      </w:r>
    </w:p>
    <w:p>
      <w:pPr>
        <w:pStyle w:val="ListParagraph"/>
        <w:numPr>
          <w:ilvl w:val="0"/>
          <w:numId w:val="10"/>
        </w:numPr>
        <w:tabs>
          <w:tab w:val="left" w:pos="450"/>
        </w:tabs>
        <w:spacing w:after="60" w:line="240" w:lineRule="auto"/>
        <w:contextualSpacing w:val="0"/>
        <w:jc w:val="both"/>
        <w:rPr>
          <w:rFonts w:ascii="Arial" w:hAnsi="Arial" w:cs="Arial"/>
          <w:sz w:val="24"/>
          <w:szCs w:val="24"/>
          <w:lang w:val="es-AR"/>
        </w:rPr>
      </w:pPr>
      <w:r>
        <w:rPr>
          <w:rFonts w:ascii="Arial" w:hAnsi="Arial" w:cs="Arial"/>
          <w:sz w:val="24"/>
          <w:szCs w:val="24"/>
          <w:lang w:val="es-AR"/>
        </w:rPr>
        <w:t xml:space="preserve">Llevar adelante los procesos de contrataciones. </w:t>
      </w:r>
    </w:p>
    <w:p>
      <w:pPr>
        <w:pStyle w:val="ListParagraph"/>
        <w:numPr>
          <w:ilvl w:val="0"/>
          <w:numId w:val="10"/>
        </w:numPr>
        <w:tabs>
          <w:tab w:val="left" w:pos="450"/>
        </w:tabs>
        <w:spacing w:after="60" w:line="240" w:lineRule="auto"/>
        <w:contextualSpacing w:val="0"/>
        <w:jc w:val="both"/>
        <w:rPr>
          <w:rFonts w:ascii="Arial" w:hAnsi="Arial" w:cs="Arial"/>
          <w:sz w:val="24"/>
          <w:szCs w:val="24"/>
          <w:lang w:val="es-AR"/>
        </w:rPr>
      </w:pPr>
      <w:r>
        <w:rPr>
          <w:rFonts w:ascii="Arial" w:hAnsi="Arial" w:cs="Arial"/>
          <w:sz w:val="24"/>
          <w:szCs w:val="24"/>
          <w:lang w:val="es-AR"/>
        </w:rPr>
        <w:t xml:space="preserve">Realizar los pagos,  correspondientes a cada contratación en el marco de la ejecución del Programa. </w:t>
      </w:r>
    </w:p>
    <w:p>
      <w:pPr>
        <w:tabs>
          <w:tab w:val="left" w:pos="450"/>
        </w:tabs>
        <w:spacing w:after="120" w:line="240" w:lineRule="auto"/>
        <w:ind w:left="450"/>
        <w:jc w:val="both"/>
        <w:rPr>
          <w:rFonts w:ascii="Arial" w:hAnsi="Arial" w:cs="Arial"/>
          <w:sz w:val="24"/>
          <w:szCs w:val="24"/>
          <w:lang w:val="es-AR"/>
        </w:rPr>
      </w:pPr>
    </w:p>
    <w:p>
      <w:pPr>
        <w:pStyle w:val="Listavistosa-nfasis11"/>
        <w:ind w:left="0"/>
        <w:contextualSpacing w:val="0"/>
        <w:rPr>
          <w:rFonts w:ascii="Arial" w:hAnsi="Arial" w:cs="Arial"/>
          <w:b w:val="0"/>
        </w:rPr>
      </w:pPr>
    </w:p>
    <w:p>
      <w:pPr>
        <w:rPr>
          <w:rFonts w:ascii="Arial" w:hAnsi="Arial" w:cs="Arial"/>
          <w:b/>
          <w:color w:val="365F91" w:themeColor="accent1" w:themeShade="BF"/>
          <w:sz w:val="24"/>
          <w:szCs w:val="24"/>
          <w:lang w:val="es-AR"/>
        </w:rPr>
      </w:pPr>
      <w:bookmarkStart w:id="104" w:name="_Toc463457888"/>
      <w:r>
        <w:rPr>
          <w:rFonts w:ascii="Arial" w:hAnsi="Arial" w:cs="Arial"/>
          <w:b/>
          <w:color w:val="365F91" w:themeColor="accent1" w:themeShade="BF"/>
          <w:sz w:val="24"/>
          <w:szCs w:val="24"/>
          <w:lang w:val="es-AR"/>
        </w:rPr>
        <w:br w:type="page"/>
      </w:r>
    </w:p>
    <w:p>
      <w:pPr>
        <w:pStyle w:val="ListParagraph"/>
        <w:numPr>
          <w:ilvl w:val="0"/>
          <w:numId w:val="2"/>
        </w:numPr>
        <w:pBdr>
          <w:bottom w:val="single" w:sz="4" w:space="1" w:color="365F91" w:themeColor="accent1" w:themeShade="BF"/>
        </w:pBdr>
        <w:tabs>
          <w:tab w:val="left" w:pos="567"/>
        </w:tabs>
        <w:spacing w:after="120" w:line="240" w:lineRule="auto"/>
        <w:ind w:left="567" w:hanging="567"/>
        <w:jc w:val="both"/>
        <w:outlineLvl w:val="0"/>
        <w:rPr>
          <w:rFonts w:ascii="Arial" w:hAnsi="Arial" w:cs="Arial"/>
          <w:b/>
          <w:color w:val="365F91" w:themeColor="accent1" w:themeShade="BF"/>
          <w:sz w:val="24"/>
          <w:szCs w:val="24"/>
          <w:lang w:val="es-AR"/>
        </w:rPr>
      </w:pPr>
      <w:r>
        <w:rPr>
          <w:rFonts w:ascii="Arial" w:hAnsi="Arial" w:cs="Arial"/>
          <w:b/>
          <w:color w:val="365F91" w:themeColor="accent1" w:themeShade="BF"/>
          <w:sz w:val="24"/>
          <w:szCs w:val="24"/>
          <w:lang w:val="es-AR"/>
        </w:rPr>
        <w:lastRenderedPageBreak/>
        <w:t>EJECUCIÓN</w:t>
      </w:r>
      <w:bookmarkEnd w:id="104"/>
    </w:p>
    <w:p>
      <w:pPr>
        <w:tabs>
          <w:tab w:val="left" w:pos="567"/>
        </w:tabs>
        <w:spacing w:after="0" w:line="240" w:lineRule="auto"/>
        <w:jc w:val="both"/>
        <w:rPr>
          <w:rFonts w:ascii="Arial" w:hAnsi="Arial" w:cs="Arial"/>
          <w:sz w:val="24"/>
          <w:szCs w:val="24"/>
          <w:lang w:val="es-AR"/>
        </w:rPr>
      </w:pPr>
    </w:p>
    <w:p>
      <w:pPr>
        <w:pStyle w:val="ListParagraph"/>
        <w:numPr>
          <w:ilvl w:val="1"/>
          <w:numId w:val="2"/>
        </w:numPr>
        <w:tabs>
          <w:tab w:val="left" w:pos="567"/>
        </w:tabs>
        <w:spacing w:after="120" w:line="240" w:lineRule="auto"/>
        <w:ind w:left="450" w:hanging="450"/>
        <w:contextualSpacing w:val="0"/>
        <w:jc w:val="both"/>
        <w:rPr>
          <w:rFonts w:ascii="Arial" w:hAnsi="Arial" w:cs="Arial"/>
          <w:sz w:val="24"/>
          <w:szCs w:val="24"/>
          <w:lang w:val="es-AR"/>
        </w:rPr>
      </w:pPr>
      <w:r>
        <w:rPr>
          <w:rFonts w:ascii="Arial" w:hAnsi="Arial" w:cs="Arial"/>
          <w:sz w:val="24"/>
          <w:szCs w:val="24"/>
          <w:lang w:val="es-AR"/>
        </w:rPr>
        <w:t xml:space="preserve">Esta sección detalla la ejecución de las tres instancias de ejecución del Programa, de acuerdo a sus componentes: </w:t>
      </w:r>
    </w:p>
    <w:p>
      <w:pPr>
        <w:pStyle w:val="ListParagraph"/>
        <w:tabs>
          <w:tab w:val="left" w:pos="567"/>
        </w:tabs>
        <w:spacing w:after="120" w:line="240" w:lineRule="auto"/>
        <w:ind w:left="360"/>
        <w:contextualSpacing w:val="0"/>
        <w:jc w:val="both"/>
        <w:outlineLvl w:val="1"/>
        <w:rPr>
          <w:rFonts w:ascii="Arial" w:hAnsi="Arial" w:cs="Arial"/>
          <w:b/>
          <w:sz w:val="24"/>
          <w:szCs w:val="24"/>
          <w:lang w:val="es-AR"/>
        </w:rPr>
      </w:pPr>
      <w:bookmarkStart w:id="105" w:name="_Toc463457889"/>
    </w:p>
    <w:p>
      <w:pPr>
        <w:pStyle w:val="ListParagraph"/>
        <w:numPr>
          <w:ilvl w:val="1"/>
          <w:numId w:val="1"/>
        </w:numPr>
        <w:tabs>
          <w:tab w:val="left" w:pos="567"/>
        </w:tabs>
        <w:spacing w:after="120" w:line="240" w:lineRule="auto"/>
        <w:contextualSpacing w:val="0"/>
        <w:jc w:val="both"/>
        <w:outlineLvl w:val="1"/>
        <w:rPr>
          <w:rFonts w:ascii="Arial" w:hAnsi="Arial" w:cs="Arial"/>
          <w:b/>
          <w:sz w:val="24"/>
          <w:szCs w:val="24"/>
          <w:lang w:val="es-AR"/>
        </w:rPr>
      </w:pPr>
      <w:r>
        <w:rPr>
          <w:rFonts w:ascii="Arial" w:hAnsi="Arial" w:cs="Arial"/>
          <w:b/>
          <w:sz w:val="24"/>
          <w:szCs w:val="24"/>
          <w:lang w:val="es-AR"/>
        </w:rPr>
        <w:t xml:space="preserve">EJECUCIÓN </w:t>
      </w:r>
      <w:bookmarkEnd w:id="105"/>
    </w:p>
    <w:p>
      <w:pPr>
        <w:pStyle w:val="ListParagraph"/>
        <w:numPr>
          <w:ilvl w:val="1"/>
          <w:numId w:val="2"/>
        </w:numPr>
        <w:tabs>
          <w:tab w:val="left" w:pos="567"/>
        </w:tabs>
        <w:spacing w:after="0" w:line="240" w:lineRule="auto"/>
        <w:ind w:left="450" w:hanging="450"/>
        <w:contextualSpacing w:val="0"/>
        <w:jc w:val="both"/>
        <w:rPr>
          <w:rFonts w:ascii="Arial" w:hAnsi="Arial" w:cs="Arial"/>
          <w:sz w:val="24"/>
          <w:szCs w:val="24"/>
          <w:lang w:val="es-AR"/>
        </w:rPr>
      </w:pPr>
      <w:r>
        <w:rPr>
          <w:rFonts w:ascii="Arial" w:hAnsi="Arial" w:cs="Arial"/>
          <w:sz w:val="24"/>
          <w:szCs w:val="24"/>
          <w:lang w:val="es-AR"/>
        </w:rPr>
        <w:t>El proceso de estructuración de la ejecución del Programa prevé la siguiente secuencia de acciones:</w:t>
      </w:r>
    </w:p>
    <w:p>
      <w:pPr>
        <w:pStyle w:val="ListParagraph"/>
        <w:tabs>
          <w:tab w:val="left" w:pos="567"/>
        </w:tabs>
        <w:spacing w:after="0" w:line="240" w:lineRule="auto"/>
        <w:ind w:left="450"/>
        <w:contextualSpacing w:val="0"/>
        <w:jc w:val="both"/>
        <w:rPr>
          <w:rFonts w:ascii="Arial" w:hAnsi="Arial" w:cs="Arial"/>
          <w:sz w:val="24"/>
          <w:szCs w:val="24"/>
          <w:lang w:val="es-AR"/>
        </w:rPr>
      </w:pPr>
      <w:r>
        <w:rPr>
          <w:rFonts w:ascii="Arial" w:hAnsi="Arial" w:cs="Arial"/>
          <w:noProof/>
          <w:sz w:val="24"/>
          <w:szCs w:val="24"/>
        </w:rPr>
        <w:drawing>
          <wp:inline distT="0" distB="0" distL="0" distR="0">
            <wp:extent cx="5486400" cy="1105786"/>
            <wp:effectExtent l="76200" t="0" r="76200" b="1841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pPr>
        <w:pStyle w:val="ListParagraph"/>
        <w:numPr>
          <w:ilvl w:val="1"/>
          <w:numId w:val="1"/>
        </w:numPr>
        <w:spacing w:after="120"/>
        <w:jc w:val="both"/>
        <w:outlineLvl w:val="1"/>
        <w:rPr>
          <w:rFonts w:ascii="Arial" w:hAnsi="Arial" w:cs="Arial"/>
          <w:b/>
          <w:color w:val="auto"/>
          <w:sz w:val="24"/>
          <w:szCs w:val="24"/>
          <w:lang w:val="es-AR"/>
        </w:rPr>
      </w:pPr>
      <w:bookmarkStart w:id="106" w:name="_Toc463457901"/>
      <w:r>
        <w:rPr>
          <w:rFonts w:ascii="Arial" w:hAnsi="Arial" w:cs="Arial"/>
          <w:b/>
          <w:color w:val="auto"/>
          <w:sz w:val="24"/>
          <w:szCs w:val="24"/>
          <w:lang w:val="es-AR"/>
        </w:rPr>
        <w:t>EJECUCIÓN DE LAS ADQUISICIONES</w:t>
      </w:r>
      <w:bookmarkEnd w:id="106"/>
    </w:p>
    <w:p>
      <w:pPr>
        <w:pStyle w:val="Paragraph"/>
        <w:numPr>
          <w:ilvl w:val="1"/>
          <w:numId w:val="24"/>
        </w:numPr>
        <w:spacing w:before="0"/>
        <w:ind w:left="450" w:hanging="450"/>
        <w:outlineLvl w:val="9"/>
        <w:rPr>
          <w:rFonts w:ascii="Arial" w:hAnsi="Arial" w:cs="Arial"/>
          <w:lang w:eastAsia="es-AR"/>
        </w:rPr>
      </w:pPr>
      <w:bookmarkStart w:id="107" w:name="_Toc458697193"/>
      <w:bookmarkStart w:id="108" w:name="_Toc459730745"/>
      <w:r>
        <w:rPr>
          <w:rFonts w:ascii="Arial" w:hAnsi="Arial" w:cs="Arial"/>
          <w:lang w:eastAsia="es-AR"/>
        </w:rPr>
        <w:t>Se aplicaran la Política para la Adquisición de Bienes y obras financiadas por el Banco Interamericano de Desarrollo (GN-2349-9) de marzo de 2011 y la Política para la Selección y contratación de Servicios de Consultoría financiados por el Banco Interamericano de Desarrollo (GN-2350-9), de marzo de 2011. Asimismo se acuerda con el ejecutor la utilización del Sistema de ejecución de Planes de Adquisición (“SEPA”) para la administración y gestión de la planificación de las adquisiciones del Programa.</w:t>
      </w:r>
      <w:bookmarkEnd w:id="107"/>
      <w:bookmarkEnd w:id="108"/>
    </w:p>
    <w:p>
      <w:pPr>
        <w:pStyle w:val="Paragraph"/>
        <w:numPr>
          <w:ilvl w:val="1"/>
          <w:numId w:val="24"/>
        </w:numPr>
        <w:spacing w:before="0"/>
        <w:ind w:left="450" w:hanging="450"/>
        <w:outlineLvl w:val="9"/>
        <w:rPr>
          <w:rFonts w:ascii="Arial" w:hAnsi="Arial" w:cs="Arial"/>
          <w:lang w:eastAsia="es-AR"/>
        </w:rPr>
      </w:pPr>
      <w:bookmarkStart w:id="109" w:name="_Toc458697194"/>
      <w:bookmarkStart w:id="110" w:name="_Toc459730746"/>
      <w:r>
        <w:rPr>
          <w:rFonts w:ascii="Arial" w:hAnsi="Arial" w:cs="Arial"/>
          <w:b/>
          <w:lang w:eastAsia="es-AR"/>
        </w:rPr>
        <w:t>POA y Plan de Adquisiciones (“PA”)</w:t>
      </w:r>
      <w:r>
        <w:rPr>
          <w:rFonts w:ascii="Arial" w:hAnsi="Arial" w:cs="Arial"/>
          <w:lang w:eastAsia="es-AR"/>
        </w:rPr>
        <w:t>. Todas las adquisiciones de obras, bienes, servicios y consultorías realizadas por el OE, deberán estar incluidas en el POA y en el PA aprobado previamente por el BID. La gestión del PA se realizará a través del SEPA, de acuerdo con las necesidades del proyecto y deberá guardar coincidencia con la planificación general del Programa (PEP y POA).</w:t>
      </w:r>
      <w:bookmarkEnd w:id="109"/>
      <w:bookmarkEnd w:id="110"/>
    </w:p>
    <w:p>
      <w:pPr>
        <w:pStyle w:val="Paragraph"/>
        <w:numPr>
          <w:ilvl w:val="1"/>
          <w:numId w:val="24"/>
        </w:numPr>
        <w:spacing w:before="0"/>
        <w:ind w:left="450" w:hanging="450"/>
        <w:outlineLvl w:val="9"/>
        <w:rPr>
          <w:rFonts w:ascii="Arial" w:hAnsi="Arial" w:cs="Arial"/>
          <w:lang w:eastAsia="es-AR"/>
        </w:rPr>
      </w:pPr>
      <w:bookmarkStart w:id="111" w:name="_Toc458697195"/>
      <w:bookmarkStart w:id="112" w:name="_Toc459730747"/>
      <w:r>
        <w:rPr>
          <w:rFonts w:ascii="Arial" w:hAnsi="Arial" w:cs="Arial"/>
          <w:lang w:eastAsia="es-AR"/>
        </w:rPr>
        <w:t>El Prestatario debe preparar y someter al Banco para su aprobación, el Plan de Adquisiciones aceptable al Banco que detalle: (a) los contratos particulares para bienes, obras, servicios y servicios de consultoría requeridos para llevar a cabo el proyecto durante los primeros18 meses (el primer plan) del proyecto; (b) los métodos propuestos para las contrataciones que estén previstas en el Contrato de Préstamo; y (c) los procedimientos aplicables para el examen del Banco. El Prestatario debe actualizar el PA de acuerdo con la necesidad del proyecto y mínimo una vez al año, a lo largo de la duración del mismo. El Prestatario debe ejecutar el Plan de Adquisiciones en la forma en que haya sido aprobado por el Banco</w:t>
      </w:r>
      <w:bookmarkEnd w:id="111"/>
      <w:r>
        <w:rPr>
          <w:rFonts w:ascii="Arial" w:hAnsi="Arial" w:cs="Arial"/>
          <w:lang w:eastAsia="es-AR"/>
        </w:rPr>
        <w:t>.</w:t>
      </w:r>
      <w:bookmarkEnd w:id="112"/>
    </w:p>
    <w:p>
      <w:pPr>
        <w:pStyle w:val="Paragraph"/>
        <w:numPr>
          <w:ilvl w:val="1"/>
          <w:numId w:val="24"/>
        </w:numPr>
        <w:spacing w:before="0"/>
        <w:ind w:left="450" w:hanging="450"/>
        <w:outlineLvl w:val="9"/>
        <w:rPr>
          <w:rFonts w:ascii="Arial" w:hAnsi="Arial" w:cs="Arial"/>
          <w:lang w:eastAsia="es-AR"/>
        </w:rPr>
      </w:pPr>
      <w:bookmarkStart w:id="113" w:name="_Toc459730748"/>
      <w:bookmarkStart w:id="114" w:name="_Toc458697196"/>
      <w:r>
        <w:rPr>
          <w:rFonts w:ascii="Arial" w:hAnsi="Arial" w:cs="Arial"/>
          <w:lang w:eastAsia="es-AR"/>
        </w:rPr>
        <w:t>El área de contrataciones estará encargada de mantener los archivos de las adquisiciones del Programa.</w:t>
      </w:r>
      <w:bookmarkEnd w:id="113"/>
    </w:p>
    <w:p>
      <w:pPr>
        <w:pStyle w:val="Paragraph"/>
        <w:numPr>
          <w:ilvl w:val="1"/>
          <w:numId w:val="24"/>
        </w:numPr>
        <w:spacing w:before="0"/>
        <w:ind w:left="450" w:hanging="450"/>
        <w:outlineLvl w:val="9"/>
        <w:rPr>
          <w:rFonts w:ascii="Arial" w:hAnsi="Arial" w:cs="Arial"/>
          <w:lang w:eastAsia="es-AR"/>
        </w:rPr>
      </w:pPr>
      <w:bookmarkStart w:id="115" w:name="_Toc459730749"/>
      <w:r>
        <w:rPr>
          <w:rFonts w:ascii="Arial" w:hAnsi="Arial" w:cs="Arial"/>
          <w:b/>
          <w:lang w:eastAsia="es-AR"/>
        </w:rPr>
        <w:t>Adquisiciones de obras, bienes y servicios diferentes de consultoría</w:t>
      </w:r>
      <w:r>
        <w:rPr>
          <w:rFonts w:ascii="Arial" w:hAnsi="Arial" w:cs="Arial"/>
          <w:lang w:eastAsia="es-AR"/>
        </w:rPr>
        <w:t xml:space="preserve">. Los contratos de Bienes, Obras y Servicios Diferentes de Consultoría generados bajo el programa y sujetos a Licitación Pública Internacional (“LPI”) se ejecutarán utilizando los Documentos Estándar de Licitaciones (“DEL”) emitidos por el Banco. Las licitaciones sujetas a Licitación Pública Nacional (“LPN”) se ejecutarán usando Documentos de Licitación Nacional acordados con el Banco. La revisión de las especificaciones técnicas de las adquisiciones durante la preparación de procesos de selección, es responsabilidad del especialista sectorial del programa. En el PA </w:t>
      </w:r>
      <w:r>
        <w:rPr>
          <w:rFonts w:ascii="Arial" w:hAnsi="Arial" w:cs="Arial"/>
          <w:lang w:eastAsia="es-AR"/>
        </w:rPr>
        <w:lastRenderedPageBreak/>
        <w:t>a ser presentado por el Ejecutor se deberán identificar todos los procesos de selección que serán contratados, incluso aquellos que de justificarse, sea necesario realizar de forma directa.</w:t>
      </w:r>
      <w:bookmarkEnd w:id="114"/>
      <w:r>
        <w:rPr>
          <w:rFonts w:ascii="Arial" w:hAnsi="Arial" w:cs="Arial"/>
          <w:lang w:eastAsia="es-AR"/>
        </w:rPr>
        <w:t xml:space="preserve"> La inclusión de las adquisiciones en el PA se debe hacer de manera previa al inicio de los procesos.</w:t>
      </w:r>
      <w:bookmarkEnd w:id="115"/>
    </w:p>
    <w:p>
      <w:pPr>
        <w:pStyle w:val="Paragraph"/>
        <w:numPr>
          <w:ilvl w:val="1"/>
          <w:numId w:val="24"/>
        </w:numPr>
        <w:spacing w:before="0"/>
        <w:ind w:left="450" w:hanging="450"/>
        <w:outlineLvl w:val="9"/>
        <w:rPr>
          <w:rFonts w:ascii="Arial" w:hAnsi="Arial" w:cs="Arial"/>
          <w:lang w:eastAsia="es-AR"/>
        </w:rPr>
      </w:pPr>
      <w:bookmarkStart w:id="116" w:name="_Toc458697197"/>
      <w:bookmarkStart w:id="117" w:name="_Toc459730750"/>
      <w:r>
        <w:rPr>
          <w:rFonts w:ascii="Arial" w:hAnsi="Arial" w:cs="Arial"/>
          <w:b/>
          <w:lang w:eastAsia="es-AR"/>
        </w:rPr>
        <w:t>Selección y contratación de consultores.</w:t>
      </w:r>
      <w:r>
        <w:rPr>
          <w:rFonts w:ascii="Arial" w:hAnsi="Arial" w:cs="Arial"/>
          <w:lang w:eastAsia="es-AR"/>
        </w:rPr>
        <w:t xml:space="preserve"> Los contratos de Servicios de Consultoría generados bajo el programa se ejecutarán utilizando la Solicitud Estándar de Propuestas acordada con el Banco. La revisión de TDR para la contratación de servicios de consultoría es responsabilidad del especialista sectorial del Programa. En el PA se detallarán todos los procesos de selección, incluso aquellos que serán contratados de forma directa, cuando exista justificación.</w:t>
      </w:r>
      <w:bookmarkEnd w:id="116"/>
      <w:r>
        <w:rPr>
          <w:rFonts w:ascii="Arial" w:hAnsi="Arial" w:cs="Arial"/>
          <w:lang w:eastAsia="es-AR"/>
        </w:rPr>
        <w:t xml:space="preserve"> La inclusión de las adquisiciones en el PA se debe hacer de manera previa al inicio de los procesos.</w:t>
      </w:r>
      <w:bookmarkEnd w:id="117"/>
    </w:p>
    <w:p>
      <w:pPr>
        <w:pStyle w:val="Paragraph"/>
        <w:numPr>
          <w:ilvl w:val="1"/>
          <w:numId w:val="24"/>
        </w:numPr>
        <w:spacing w:before="0"/>
        <w:ind w:left="450" w:hanging="450"/>
        <w:outlineLvl w:val="9"/>
        <w:rPr>
          <w:rFonts w:ascii="Arial" w:hAnsi="Arial" w:cs="Arial"/>
          <w:lang w:eastAsia="es-AR"/>
        </w:rPr>
      </w:pPr>
      <w:bookmarkStart w:id="118" w:name="_Toc458697198"/>
      <w:bookmarkStart w:id="119" w:name="_Toc459730751"/>
      <w:r>
        <w:rPr>
          <w:rFonts w:ascii="Arial" w:hAnsi="Arial" w:cs="Arial"/>
          <w:b/>
          <w:lang w:eastAsia="es-AR"/>
        </w:rPr>
        <w:t>Selección de los consultores individuales</w:t>
      </w:r>
      <w:r>
        <w:rPr>
          <w:rFonts w:ascii="Arial" w:hAnsi="Arial" w:cs="Arial"/>
          <w:lang w:eastAsia="es-AR"/>
        </w:rPr>
        <w:t>. En los casos identificados en los PA aprobados, la contratación de consultores individuales no requiere publicación y los consultores no necesitan presentar propuestas, siguiendo lo establecido en el documento GN- 2350-9, Sección V (Ver proceso párrafo 5.34 del presente ROP). En los casos de locación de servicio, los consultores presentarán al ejecutor el informe intermedio o final que éste requiera.</w:t>
      </w:r>
      <w:bookmarkEnd w:id="118"/>
      <w:r>
        <w:rPr>
          <w:rFonts w:ascii="Arial" w:hAnsi="Arial" w:cs="Arial"/>
          <w:lang w:eastAsia="es-AR"/>
        </w:rPr>
        <w:t xml:space="preserve"> Al finalizar el Contrato, el OE deberá realizar una evaluación de desempeño.</w:t>
      </w:r>
      <w:bookmarkEnd w:id="119"/>
    </w:p>
    <w:p>
      <w:pPr>
        <w:pStyle w:val="Paragraph"/>
        <w:numPr>
          <w:ilvl w:val="1"/>
          <w:numId w:val="24"/>
        </w:numPr>
        <w:spacing w:before="0"/>
        <w:ind w:left="450" w:hanging="450"/>
        <w:outlineLvl w:val="9"/>
        <w:rPr>
          <w:rFonts w:ascii="Arial" w:hAnsi="Arial" w:cs="Arial"/>
          <w:lang w:eastAsia="es-AR"/>
        </w:rPr>
      </w:pPr>
      <w:bookmarkStart w:id="120" w:name="_Toc458697199"/>
      <w:bookmarkStart w:id="121" w:name="_Toc459730752"/>
      <w:r>
        <w:rPr>
          <w:rFonts w:ascii="Arial" w:hAnsi="Arial" w:cs="Arial"/>
          <w:b/>
          <w:lang w:eastAsia="es-AR"/>
        </w:rPr>
        <w:t>Capacitación</w:t>
      </w:r>
      <w:r>
        <w:rPr>
          <w:rFonts w:ascii="Arial" w:hAnsi="Arial" w:cs="Arial"/>
          <w:lang w:eastAsia="es-AR"/>
        </w:rPr>
        <w:t>. En el Plan de adquisiciones se detallan las adquisiciones que se aplican a los componentes del programa que incluyen elementos de capacitación y que se contratan como servicios de consultoría y diferentes a consultoría.</w:t>
      </w:r>
      <w:bookmarkEnd w:id="120"/>
      <w:bookmarkEnd w:id="121"/>
    </w:p>
    <w:p>
      <w:pPr>
        <w:pStyle w:val="Paragraph"/>
        <w:numPr>
          <w:ilvl w:val="1"/>
          <w:numId w:val="24"/>
        </w:numPr>
        <w:spacing w:before="0"/>
        <w:ind w:left="450" w:hanging="450"/>
        <w:outlineLvl w:val="9"/>
        <w:rPr>
          <w:rFonts w:ascii="Arial" w:hAnsi="Arial" w:cs="Arial"/>
          <w:lang w:eastAsia="es-AR"/>
        </w:rPr>
      </w:pPr>
      <w:bookmarkStart w:id="122" w:name="_Toc458697200"/>
      <w:bookmarkStart w:id="123" w:name="_Toc459730753"/>
      <w:r>
        <w:rPr>
          <w:rFonts w:ascii="Arial" w:hAnsi="Arial" w:cs="Arial"/>
          <w:b/>
          <w:szCs w:val="24"/>
          <w:lang w:eastAsia="es-AR"/>
        </w:rPr>
        <w:t xml:space="preserve">Gastos recurrentes. </w:t>
      </w:r>
      <w:r>
        <w:rPr>
          <w:rFonts w:ascii="Arial" w:hAnsi="Arial" w:cs="Arial"/>
          <w:szCs w:val="24"/>
        </w:rPr>
        <w:t xml:space="preserve">Los gastos recurrentes aplicables, tales como gastos de comunicación, traducciones, artículos de oficina, gastos de propaganda o anuncios, fotocopias, viáticos, pasajes, entre otros, serán financiados por el proyecto dentro del presupuesto anual aprobado por el Banco, y serán realizados siguiendo los procedimientos administrativos del OE, siempre que no vulneren los principios fundamentales de competencia, eficiencia, razonabilidad del precio y economía. </w:t>
      </w:r>
      <w:r>
        <w:rPr>
          <w:rFonts w:ascii="Arial" w:hAnsi="Arial" w:cs="Arial"/>
          <w:lang w:eastAsia="es-AR"/>
        </w:rPr>
        <w:t>Los costos de operación no incluyen salarios de funcionarios del Sector Público. El proceso para la realización de estos gastos debe garantizar la utilización de procedimientos que permitan una amplia participación del mercado y prestar debida atención a los aspectos de economía, eficiencia y razonabilidad de precios</w:t>
      </w:r>
      <w:bookmarkEnd w:id="122"/>
      <w:bookmarkEnd w:id="123"/>
    </w:p>
    <w:p>
      <w:pPr>
        <w:pStyle w:val="Paragraph"/>
        <w:numPr>
          <w:ilvl w:val="1"/>
          <w:numId w:val="24"/>
        </w:numPr>
        <w:spacing w:before="0"/>
        <w:ind w:left="450" w:hanging="450"/>
        <w:outlineLvl w:val="9"/>
        <w:rPr>
          <w:rFonts w:ascii="Arial" w:hAnsi="Arial" w:cs="Arial"/>
          <w:lang w:eastAsia="es-AR"/>
        </w:rPr>
      </w:pPr>
      <w:bookmarkStart w:id="124" w:name="_Toc458697201"/>
      <w:bookmarkStart w:id="125" w:name="_Toc459730754"/>
      <w:r>
        <w:rPr>
          <w:rFonts w:ascii="Arial" w:hAnsi="Arial" w:cs="Arial"/>
          <w:b/>
          <w:lang w:eastAsia="es-AR"/>
        </w:rPr>
        <w:t>Responsabilidad</w:t>
      </w:r>
      <w:r>
        <w:rPr>
          <w:rFonts w:ascii="Arial" w:hAnsi="Arial" w:cs="Arial"/>
          <w:lang w:eastAsia="es-AR"/>
        </w:rPr>
        <w:t>. La responsabilidad de los procedimientos de selección, contratación y aprobación de las adquisiciones será de la UCP,.</w:t>
      </w:r>
      <w:bookmarkEnd w:id="124"/>
      <w:bookmarkEnd w:id="125"/>
    </w:p>
    <w:p>
      <w:pPr>
        <w:pStyle w:val="Paragraph"/>
        <w:numPr>
          <w:ilvl w:val="1"/>
          <w:numId w:val="24"/>
        </w:numPr>
        <w:spacing w:before="0"/>
        <w:ind w:left="450" w:hanging="450"/>
        <w:outlineLvl w:val="9"/>
        <w:rPr>
          <w:rFonts w:ascii="Arial" w:hAnsi="Arial" w:cs="Arial"/>
          <w:lang w:eastAsia="es-AR"/>
        </w:rPr>
      </w:pPr>
      <w:bookmarkStart w:id="126" w:name="_Toc458697202"/>
      <w:bookmarkStart w:id="127" w:name="_Toc459730755"/>
      <w:r>
        <w:rPr>
          <w:rFonts w:ascii="Arial" w:hAnsi="Arial" w:cs="Arial"/>
        </w:rPr>
        <w:t>De acuerdo al Contrato de Préstamo y las políticas operativas del Banco, el OE prevé una ejecución autónoma del Programa, a fin de aplicar la normativa del BID en materia de contrataciones y administración financiera donde sean utilizados recursos del Banco, prescindiendo de la legislación propia del país.</w:t>
      </w:r>
      <w:bookmarkEnd w:id="126"/>
      <w:bookmarkEnd w:id="127"/>
    </w:p>
    <w:p>
      <w:pPr>
        <w:pStyle w:val="Paragraph"/>
        <w:numPr>
          <w:ilvl w:val="1"/>
          <w:numId w:val="24"/>
        </w:numPr>
        <w:spacing w:before="0"/>
        <w:ind w:left="450" w:hanging="450"/>
        <w:outlineLvl w:val="9"/>
        <w:rPr>
          <w:rFonts w:ascii="Arial" w:hAnsi="Arial" w:cs="Arial"/>
          <w:lang w:eastAsia="es-AR"/>
        </w:rPr>
      </w:pPr>
      <w:bookmarkStart w:id="128" w:name="_Toc459730756"/>
      <w:r>
        <w:rPr>
          <w:rFonts w:ascii="Arial" w:hAnsi="Arial" w:cs="Arial"/>
        </w:rPr>
        <w:t>Los procesos de adquisiciones durante la ejecución del Programa deberán ajustarse a lo establecido en el Contrato de Préstamo, las políticas del Banco, el PA y el ROP, prevaleciendo el primero en caso de conflicto.</w:t>
      </w:r>
      <w:bookmarkEnd w:id="128"/>
    </w:p>
    <w:p>
      <w:pPr>
        <w:pStyle w:val="Paragraph"/>
        <w:numPr>
          <w:ilvl w:val="1"/>
          <w:numId w:val="24"/>
        </w:numPr>
        <w:spacing w:before="0"/>
        <w:ind w:left="450" w:hanging="450"/>
        <w:outlineLvl w:val="9"/>
        <w:rPr>
          <w:rFonts w:ascii="Arial" w:hAnsi="Arial" w:cs="Arial"/>
          <w:lang w:eastAsia="es-AR"/>
        </w:rPr>
      </w:pPr>
      <w:bookmarkStart w:id="129" w:name="_Toc459730757"/>
      <w:bookmarkStart w:id="130" w:name="_Toc458697203"/>
      <w:bookmarkStart w:id="131" w:name="_Toc459730758"/>
      <w:bookmarkEnd w:id="129"/>
      <w:r>
        <w:rPr>
          <w:rFonts w:ascii="Arial" w:hAnsi="Arial" w:cs="Arial"/>
          <w:b/>
          <w:lang w:eastAsia="es-AR"/>
        </w:rPr>
        <w:t>Montos límite</w:t>
      </w:r>
      <w:r>
        <w:rPr>
          <w:rFonts w:ascii="Arial" w:hAnsi="Arial" w:cs="Arial"/>
          <w:lang w:eastAsia="es-AR"/>
        </w:rPr>
        <w:t>. En el siguiente cuadro se indican los procedimientos aplicables para cada tipo de adquisición conforme los montos involucrados y el tipo de revisión que se llevará a cabo por parte del Banco:</w:t>
      </w:r>
      <w:bookmarkEnd w:id="130"/>
      <w:bookmarkEnd w:id="131"/>
    </w:p>
    <w:p>
      <w:pPr>
        <w:pStyle w:val="Paragraph"/>
        <w:tabs>
          <w:tab w:val="clear" w:pos="3273"/>
        </w:tabs>
        <w:spacing w:before="0"/>
        <w:ind w:left="450" w:firstLine="0"/>
        <w:outlineLvl w:val="9"/>
        <w:rPr>
          <w:rFonts w:ascii="Arial" w:hAnsi="Arial" w:cs="Arial"/>
          <w:lang w:eastAsia="es-AR"/>
        </w:rPr>
      </w:pPr>
    </w:p>
    <w:tbl>
      <w:tblPr>
        <w:tblStyle w:val="TableGrid"/>
        <w:tblW w:w="0" w:type="auto"/>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2429"/>
        <w:gridCol w:w="2326"/>
        <w:gridCol w:w="2326"/>
        <w:gridCol w:w="2326"/>
      </w:tblGrid>
      <w:tr>
        <w:tc>
          <w:tcPr>
            <w:tcW w:w="2429" w:type="dxa"/>
            <w:shd w:val="clear" w:color="auto" w:fill="B8CCE4" w:themeFill="accent1" w:themeFillTint="66"/>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32" w:name="_Toc459730759"/>
            <w:r>
              <w:rPr>
                <w:rFonts w:ascii="Arial" w:hAnsi="Arial" w:cs="Arial"/>
                <w:b/>
                <w:sz w:val="20"/>
                <w:lang w:eastAsia="es-AR"/>
              </w:rPr>
              <w:lastRenderedPageBreak/>
              <w:t>Método</w:t>
            </w:r>
            <w:bookmarkEnd w:id="132"/>
          </w:p>
        </w:tc>
        <w:tc>
          <w:tcPr>
            <w:tcW w:w="2326" w:type="dxa"/>
            <w:shd w:val="clear" w:color="auto" w:fill="B8CCE4" w:themeFill="accent1" w:themeFillTint="66"/>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33" w:name="_Toc459730760"/>
            <w:r>
              <w:rPr>
                <w:rFonts w:ascii="Arial" w:hAnsi="Arial" w:cs="Arial"/>
                <w:b/>
                <w:sz w:val="20"/>
                <w:lang w:eastAsia="es-AR"/>
              </w:rPr>
              <w:t>LPI Obras</w:t>
            </w:r>
            <w:bookmarkEnd w:id="133"/>
          </w:p>
        </w:tc>
        <w:tc>
          <w:tcPr>
            <w:tcW w:w="2326" w:type="dxa"/>
            <w:shd w:val="clear" w:color="auto" w:fill="B8CCE4" w:themeFill="accent1" w:themeFillTint="66"/>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34" w:name="_Toc459730761"/>
            <w:r>
              <w:rPr>
                <w:rFonts w:ascii="Arial" w:hAnsi="Arial" w:cs="Arial"/>
                <w:b/>
                <w:sz w:val="20"/>
                <w:lang w:eastAsia="es-AR"/>
              </w:rPr>
              <w:t>LPI Bienes y Servicios diferentes de Consultoría</w:t>
            </w:r>
            <w:bookmarkEnd w:id="134"/>
          </w:p>
        </w:tc>
        <w:tc>
          <w:tcPr>
            <w:tcW w:w="2326" w:type="dxa"/>
            <w:shd w:val="clear" w:color="auto" w:fill="B8CCE4" w:themeFill="accent1" w:themeFillTint="66"/>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35" w:name="_Toc459730762"/>
            <w:r>
              <w:rPr>
                <w:rFonts w:ascii="Arial" w:hAnsi="Arial" w:cs="Arial"/>
                <w:b/>
                <w:sz w:val="20"/>
                <w:lang w:eastAsia="es-AR"/>
              </w:rPr>
              <w:t>Lista Corta Internacional en Servicios de Consultoría</w:t>
            </w:r>
            <w:bookmarkEnd w:id="135"/>
          </w:p>
        </w:tc>
      </w:tr>
      <w:tr>
        <w:tc>
          <w:tcPr>
            <w:tcW w:w="2429" w:type="dxa"/>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36" w:name="_Toc459730763"/>
            <w:r>
              <w:rPr>
                <w:rFonts w:ascii="Arial" w:hAnsi="Arial" w:cs="Arial"/>
                <w:b/>
                <w:sz w:val="20"/>
                <w:lang w:eastAsia="es-AR"/>
              </w:rPr>
              <w:t>Monto Límite</w:t>
            </w:r>
            <w:bookmarkEnd w:id="136"/>
          </w:p>
        </w:tc>
        <w:tc>
          <w:tcPr>
            <w:tcW w:w="2326" w:type="dxa"/>
            <w:vAlign w:val="center"/>
          </w:tcPr>
          <w:p>
            <w:pPr>
              <w:pStyle w:val="Paragraph"/>
              <w:tabs>
                <w:tab w:val="clear" w:pos="3273"/>
              </w:tabs>
              <w:spacing w:before="60" w:after="60"/>
              <w:ind w:left="0" w:firstLine="0"/>
              <w:jc w:val="center"/>
              <w:outlineLvl w:val="9"/>
              <w:rPr>
                <w:rFonts w:ascii="Arial" w:hAnsi="Arial" w:cs="Arial"/>
                <w:sz w:val="20"/>
                <w:lang w:eastAsia="es-AR"/>
              </w:rPr>
            </w:pPr>
            <w:bookmarkStart w:id="137" w:name="_Toc459730764"/>
            <w:r>
              <w:rPr>
                <w:rFonts w:ascii="Arial" w:hAnsi="Arial" w:cs="Arial"/>
                <w:b/>
                <w:sz w:val="20"/>
                <w:u w:val="single"/>
                <w:lang w:val="en-US" w:eastAsia="es-AR"/>
              </w:rPr>
              <w:t>&gt;</w:t>
            </w:r>
            <w:r>
              <w:rPr>
                <w:rFonts w:ascii="Arial" w:hAnsi="Arial" w:cs="Arial"/>
                <w:sz w:val="20"/>
                <w:lang w:val="en-US" w:eastAsia="es-AR"/>
              </w:rPr>
              <w:t>5.000.000</w:t>
            </w:r>
            <w:bookmarkEnd w:id="137"/>
          </w:p>
        </w:tc>
        <w:tc>
          <w:tcPr>
            <w:tcW w:w="2326" w:type="dxa"/>
            <w:vAlign w:val="center"/>
          </w:tcPr>
          <w:p>
            <w:pPr>
              <w:pStyle w:val="Paragraph"/>
              <w:tabs>
                <w:tab w:val="clear" w:pos="3273"/>
              </w:tabs>
              <w:spacing w:before="60" w:after="60"/>
              <w:ind w:left="0" w:firstLine="0"/>
              <w:jc w:val="center"/>
              <w:outlineLvl w:val="9"/>
              <w:rPr>
                <w:rFonts w:ascii="Arial" w:hAnsi="Arial" w:cs="Arial"/>
                <w:sz w:val="20"/>
                <w:lang w:eastAsia="es-AR"/>
              </w:rPr>
            </w:pPr>
            <w:bookmarkStart w:id="138" w:name="_Toc459730765"/>
            <w:r>
              <w:rPr>
                <w:rFonts w:ascii="Arial" w:hAnsi="Arial" w:cs="Arial"/>
                <w:b/>
                <w:sz w:val="20"/>
                <w:u w:val="single"/>
                <w:lang w:val="en-US" w:eastAsia="es-AR"/>
              </w:rPr>
              <w:t>&gt;</w:t>
            </w:r>
            <w:r>
              <w:rPr>
                <w:rFonts w:ascii="Arial" w:hAnsi="Arial" w:cs="Arial"/>
                <w:sz w:val="20"/>
                <w:lang w:val="en-US" w:eastAsia="es-AR"/>
              </w:rPr>
              <w:t>500.000</w:t>
            </w:r>
            <w:bookmarkEnd w:id="138"/>
          </w:p>
        </w:tc>
        <w:tc>
          <w:tcPr>
            <w:tcW w:w="2326" w:type="dxa"/>
            <w:vAlign w:val="center"/>
          </w:tcPr>
          <w:p>
            <w:pPr>
              <w:pStyle w:val="Paragraph"/>
              <w:tabs>
                <w:tab w:val="clear" w:pos="3273"/>
              </w:tabs>
              <w:spacing w:before="60" w:after="60"/>
              <w:ind w:left="0" w:firstLine="0"/>
              <w:jc w:val="center"/>
              <w:outlineLvl w:val="9"/>
              <w:rPr>
                <w:rFonts w:ascii="Arial" w:hAnsi="Arial" w:cs="Arial"/>
                <w:sz w:val="20"/>
                <w:lang w:eastAsia="es-AR"/>
              </w:rPr>
            </w:pPr>
            <w:bookmarkStart w:id="139" w:name="_Toc459730766"/>
            <w:r>
              <w:rPr>
                <w:rFonts w:ascii="Arial" w:hAnsi="Arial" w:cs="Arial"/>
                <w:b/>
                <w:sz w:val="20"/>
                <w:u w:val="single"/>
                <w:lang w:val="en-US" w:eastAsia="es-AR"/>
              </w:rPr>
              <w:t>&gt;</w:t>
            </w:r>
            <w:r>
              <w:rPr>
                <w:rFonts w:ascii="Arial" w:hAnsi="Arial" w:cs="Arial"/>
                <w:sz w:val="20"/>
                <w:lang w:val="en-US" w:eastAsia="es-AR"/>
              </w:rPr>
              <w:t>500.000</w:t>
            </w:r>
            <w:bookmarkEnd w:id="139"/>
          </w:p>
        </w:tc>
      </w:tr>
    </w:tbl>
    <w:p>
      <w:pPr>
        <w:pStyle w:val="Paragraph"/>
        <w:tabs>
          <w:tab w:val="clear" w:pos="3273"/>
        </w:tabs>
        <w:spacing w:before="0"/>
        <w:ind w:left="450" w:firstLine="0"/>
        <w:outlineLvl w:val="9"/>
        <w:rPr>
          <w:rFonts w:ascii="Arial" w:hAnsi="Arial" w:cs="Arial"/>
          <w:b/>
          <w:lang w:eastAsia="es-AR"/>
        </w:rPr>
      </w:pPr>
    </w:p>
    <w:tbl>
      <w:tblPr>
        <w:tblW w:w="0" w:type="auto"/>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ayout w:type="fixed"/>
        <w:tblLook w:val="04A0" w:firstRow="1" w:lastRow="0" w:firstColumn="1" w:lastColumn="0" w:noHBand="0" w:noVBand="1"/>
      </w:tblPr>
      <w:tblGrid>
        <w:gridCol w:w="3420"/>
        <w:gridCol w:w="3240"/>
        <w:gridCol w:w="2747"/>
      </w:tblGrid>
      <w:tr>
        <w:tc>
          <w:tcPr>
            <w:tcW w:w="9407" w:type="dxa"/>
            <w:gridSpan w:val="3"/>
            <w:shd w:val="clear" w:color="auto" w:fill="B8CCE4" w:themeFill="accent1" w:themeFillTint="66"/>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40" w:name="_Toc458697225"/>
            <w:bookmarkStart w:id="141" w:name="_Toc459730767"/>
            <w:r>
              <w:rPr>
                <w:rFonts w:ascii="Arial" w:hAnsi="Arial" w:cs="Arial"/>
                <w:b/>
                <w:sz w:val="20"/>
                <w:lang w:val="es-AR" w:eastAsia="es-AR"/>
              </w:rPr>
              <w:t>Límite para revisión ex-post</w:t>
            </w:r>
            <w:bookmarkEnd w:id="140"/>
            <w:bookmarkEnd w:id="141"/>
          </w:p>
        </w:tc>
      </w:tr>
      <w:tr>
        <w:tc>
          <w:tcPr>
            <w:tcW w:w="3420" w:type="dxa"/>
            <w:shd w:val="clear" w:color="auto" w:fill="B8CCE4" w:themeFill="accent1" w:themeFillTint="66"/>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42" w:name="_Toc458697226"/>
            <w:bookmarkStart w:id="143" w:name="_Toc459730768"/>
            <w:r>
              <w:rPr>
                <w:rFonts w:ascii="Arial" w:hAnsi="Arial" w:cs="Arial"/>
                <w:b/>
                <w:sz w:val="20"/>
                <w:lang w:eastAsia="es-AR"/>
              </w:rPr>
              <w:t xml:space="preserve"> Obras</w:t>
            </w:r>
            <w:bookmarkEnd w:id="142"/>
            <w:bookmarkEnd w:id="143"/>
          </w:p>
        </w:tc>
        <w:tc>
          <w:tcPr>
            <w:tcW w:w="3240" w:type="dxa"/>
            <w:shd w:val="clear" w:color="auto" w:fill="B8CCE4" w:themeFill="accent1" w:themeFillTint="66"/>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44" w:name="_Toc458697227"/>
            <w:bookmarkStart w:id="145" w:name="_Toc459730769"/>
            <w:r>
              <w:rPr>
                <w:rFonts w:ascii="Arial" w:hAnsi="Arial" w:cs="Arial"/>
                <w:b/>
                <w:sz w:val="20"/>
                <w:lang w:eastAsia="es-AR"/>
              </w:rPr>
              <w:t xml:space="preserve">Bienes </w:t>
            </w:r>
            <w:bookmarkEnd w:id="144"/>
            <w:r>
              <w:rPr>
                <w:rFonts w:ascii="Arial" w:hAnsi="Arial" w:cs="Arial"/>
                <w:b/>
                <w:sz w:val="20"/>
                <w:lang w:eastAsia="es-AR"/>
              </w:rPr>
              <w:t>y Servicios diferentes de Consultoría</w:t>
            </w:r>
            <w:bookmarkEnd w:id="145"/>
          </w:p>
        </w:tc>
        <w:tc>
          <w:tcPr>
            <w:tcW w:w="2747" w:type="dxa"/>
            <w:shd w:val="clear" w:color="auto" w:fill="B8CCE4" w:themeFill="accent1" w:themeFillTint="66"/>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46" w:name="_Toc458697228"/>
            <w:bookmarkStart w:id="147" w:name="_Toc459730770"/>
            <w:r>
              <w:rPr>
                <w:rFonts w:ascii="Arial" w:hAnsi="Arial" w:cs="Arial"/>
                <w:b/>
                <w:sz w:val="20"/>
                <w:lang w:eastAsia="es-AR"/>
              </w:rPr>
              <w:t>Servicios de Consultoría</w:t>
            </w:r>
            <w:bookmarkEnd w:id="146"/>
            <w:bookmarkEnd w:id="147"/>
          </w:p>
        </w:tc>
      </w:tr>
      <w:tr>
        <w:tc>
          <w:tcPr>
            <w:tcW w:w="3420" w:type="dxa"/>
            <w:vAlign w:val="center"/>
          </w:tcPr>
          <w:p>
            <w:pPr>
              <w:pStyle w:val="Paragraph"/>
              <w:tabs>
                <w:tab w:val="clear" w:pos="3273"/>
              </w:tabs>
              <w:spacing w:before="60" w:after="60"/>
              <w:ind w:left="0" w:firstLine="0"/>
              <w:jc w:val="center"/>
              <w:outlineLvl w:val="9"/>
              <w:rPr>
                <w:rFonts w:ascii="Arial" w:hAnsi="Arial" w:cs="Arial"/>
                <w:b/>
                <w:sz w:val="20"/>
                <w:u w:val="single"/>
                <w:lang w:val="en-US" w:eastAsia="es-AR"/>
              </w:rPr>
            </w:pPr>
            <w:bookmarkStart w:id="148" w:name="_Toc458697230"/>
            <w:bookmarkStart w:id="149" w:name="_Toc459730771"/>
            <w:r>
              <w:rPr>
                <w:rFonts w:ascii="Arial" w:hAnsi="Arial" w:cs="Arial"/>
                <w:b/>
                <w:sz w:val="20"/>
                <w:lang w:val="en-US" w:eastAsia="es-AR"/>
              </w:rPr>
              <w:t>&lt;</w:t>
            </w:r>
            <w:r>
              <w:rPr>
                <w:rFonts w:ascii="Arial" w:hAnsi="Arial" w:cs="Arial"/>
                <w:sz w:val="20"/>
                <w:lang w:val="en-US" w:eastAsia="es-AR"/>
              </w:rPr>
              <w:t xml:space="preserve"> 5.000.000</w:t>
            </w:r>
            <w:bookmarkEnd w:id="148"/>
            <w:bookmarkEnd w:id="149"/>
          </w:p>
        </w:tc>
        <w:tc>
          <w:tcPr>
            <w:tcW w:w="3240" w:type="dxa"/>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50" w:name="_Toc458697231"/>
            <w:bookmarkStart w:id="151" w:name="_Toc459730772"/>
            <w:r>
              <w:rPr>
                <w:rFonts w:ascii="Arial" w:hAnsi="Arial" w:cs="Arial"/>
                <w:b/>
                <w:sz w:val="20"/>
                <w:lang w:eastAsia="es-AR"/>
              </w:rPr>
              <w:t>&lt;</w:t>
            </w:r>
            <w:r>
              <w:rPr>
                <w:rFonts w:ascii="Arial" w:hAnsi="Arial" w:cs="Arial"/>
                <w:sz w:val="20"/>
                <w:lang w:eastAsia="es-AR"/>
              </w:rPr>
              <w:t>500.000</w:t>
            </w:r>
            <w:bookmarkEnd w:id="150"/>
            <w:bookmarkEnd w:id="151"/>
          </w:p>
        </w:tc>
        <w:tc>
          <w:tcPr>
            <w:tcW w:w="2747" w:type="dxa"/>
            <w:vAlign w:val="center"/>
          </w:tcPr>
          <w:p>
            <w:pPr>
              <w:pStyle w:val="Paragraph"/>
              <w:tabs>
                <w:tab w:val="clear" w:pos="3273"/>
              </w:tabs>
              <w:spacing w:before="60" w:after="60"/>
              <w:ind w:left="0" w:firstLine="0"/>
              <w:jc w:val="center"/>
              <w:outlineLvl w:val="9"/>
              <w:rPr>
                <w:rFonts w:ascii="Arial" w:hAnsi="Arial" w:cs="Arial"/>
                <w:b/>
                <w:sz w:val="20"/>
                <w:lang w:eastAsia="es-AR"/>
              </w:rPr>
            </w:pPr>
            <w:bookmarkStart w:id="152" w:name="_Toc458697233"/>
            <w:bookmarkStart w:id="153" w:name="_Toc459730773"/>
            <w:r>
              <w:rPr>
                <w:rFonts w:ascii="Arial" w:hAnsi="Arial" w:cs="Arial"/>
                <w:b/>
                <w:sz w:val="20"/>
                <w:lang w:eastAsia="es-AR"/>
              </w:rPr>
              <w:t>&lt;</w:t>
            </w:r>
            <w:r>
              <w:rPr>
                <w:rFonts w:ascii="Arial" w:hAnsi="Arial" w:cs="Arial"/>
                <w:sz w:val="20"/>
                <w:lang w:eastAsia="es-AR"/>
              </w:rPr>
              <w:t>500.000</w:t>
            </w:r>
            <w:bookmarkEnd w:id="152"/>
            <w:bookmarkEnd w:id="153"/>
          </w:p>
        </w:tc>
      </w:tr>
    </w:tbl>
    <w:p>
      <w:pPr>
        <w:pStyle w:val="Paragraph"/>
        <w:tabs>
          <w:tab w:val="clear" w:pos="3273"/>
        </w:tabs>
        <w:spacing w:before="0"/>
        <w:ind w:left="450" w:firstLine="0"/>
        <w:outlineLvl w:val="9"/>
        <w:rPr>
          <w:rFonts w:ascii="Arial" w:hAnsi="Arial" w:cs="Arial"/>
          <w:b/>
          <w:sz w:val="20"/>
          <w:lang w:val="es-AR" w:eastAsia="es-AR"/>
        </w:rPr>
      </w:pPr>
      <w:bookmarkStart w:id="154" w:name="_Toc458697234"/>
      <w:bookmarkStart w:id="155" w:name="_Toc459730774"/>
      <w:r>
        <w:rPr>
          <w:rFonts w:ascii="Arial" w:hAnsi="Arial" w:cs="Arial"/>
          <w:b/>
          <w:sz w:val="20"/>
          <w:lang w:eastAsia="es-AR"/>
        </w:rPr>
        <w:t>Nota</w:t>
      </w:r>
      <w:r>
        <w:rPr>
          <w:rFonts w:ascii="Arial" w:hAnsi="Arial" w:cs="Arial"/>
          <w:sz w:val="20"/>
          <w:lang w:eastAsia="es-AR"/>
        </w:rPr>
        <w:t xml:space="preserve">: 1. Los montos </w:t>
      </w:r>
      <w:r>
        <w:rPr>
          <w:rFonts w:ascii="Arial" w:hAnsi="Arial" w:cs="Arial"/>
          <w:sz w:val="20"/>
          <w:lang w:val="es-AR" w:eastAsia="es-AR"/>
        </w:rPr>
        <w:t xml:space="preserve"> límites establecidos par revisión ex-post se aplican en función de la capacidad fiduciaria de ejecución del OE y pueden ser modificados por el Banco en la medida que tal capacidad varíe.</w:t>
      </w:r>
      <w:bookmarkEnd w:id="154"/>
      <w:r>
        <w:rPr>
          <w:rFonts w:ascii="Arial" w:hAnsi="Arial" w:cs="Arial"/>
          <w:sz w:val="20"/>
          <w:lang w:val="es-AR" w:eastAsia="es-AR"/>
        </w:rPr>
        <w:t>2. Los procesos de bienes y obras por debajo de US$100.000 podrán ser efectuados bajo el método de comparación de precios, al igual que las obras por debajo de US$350.000. en los dos casos, la revisión será ex-post.</w:t>
      </w:r>
      <w:bookmarkEnd w:id="155"/>
    </w:p>
    <w:p>
      <w:pPr>
        <w:pStyle w:val="Paragraph"/>
        <w:tabs>
          <w:tab w:val="clear" w:pos="3273"/>
        </w:tabs>
        <w:spacing w:before="0"/>
        <w:ind w:left="450" w:firstLine="0"/>
        <w:outlineLvl w:val="9"/>
        <w:rPr>
          <w:rFonts w:ascii="Arial" w:hAnsi="Arial" w:cs="Arial"/>
          <w:b/>
          <w:lang w:eastAsia="es-AR"/>
        </w:rPr>
      </w:pPr>
    </w:p>
    <w:p>
      <w:pPr>
        <w:numPr>
          <w:ilvl w:val="1"/>
          <w:numId w:val="44"/>
        </w:numPr>
        <w:autoSpaceDE w:val="0"/>
        <w:autoSpaceDN w:val="0"/>
        <w:adjustRightInd w:val="0"/>
        <w:spacing w:before="100" w:beforeAutospacing="1" w:after="100" w:afterAutospacing="1" w:line="240" w:lineRule="auto"/>
        <w:ind w:left="360" w:hanging="630"/>
        <w:jc w:val="both"/>
        <w:rPr>
          <w:rFonts w:ascii="Arial" w:eastAsia="Times New Roman" w:hAnsi="Arial" w:cs="Arial"/>
          <w:lang w:val="es-ES_tradnl" w:eastAsia="es-ES_tradnl"/>
        </w:rPr>
      </w:pPr>
      <w:bookmarkStart w:id="156" w:name="_Toc459730775"/>
      <w:bookmarkStart w:id="157" w:name="_Toc458697235"/>
      <w:r>
        <w:rPr>
          <w:rFonts w:ascii="Arial" w:hAnsi="Arial" w:cs="Arial"/>
          <w:b/>
          <w:lang w:eastAsia="es-AR"/>
        </w:rPr>
        <w:t>Supervisión de Adquisiciones</w:t>
      </w:r>
      <w:r>
        <w:rPr>
          <w:rFonts w:ascii="Arial" w:hAnsi="Arial" w:cs="Arial"/>
          <w:lang w:eastAsia="es-AR"/>
        </w:rPr>
        <w:t xml:space="preserve">. </w:t>
      </w:r>
      <w:bookmarkEnd w:id="156"/>
      <w:bookmarkEnd w:id="157"/>
      <w:r>
        <w:rPr>
          <w:rFonts w:ascii="Arial" w:eastAsia="Times New Roman" w:hAnsi="Arial" w:cs="Arial"/>
          <w:lang w:val="es-ES_tradnl" w:eastAsia="es-ES_tradnl"/>
        </w:rPr>
        <w:t>Las adquisiciones serán supervisadas de manera ex ante con excepción de las Comparaciones de precios y consultoría individual, las que se realizarán de manera ex post. Las visitas de revisión ex post se realizarán, cada 12 meses. Los reportes de revisión ex post incluirán al menos una visita de inspección física, escogida de los procesos de adquisiciones sujetos a la revisión ex post. Al menos el 10% de los contratos revisados se inspeccionarán físicamente durante el programa.</w:t>
      </w:r>
    </w:p>
    <w:p>
      <w:pPr>
        <w:autoSpaceDE w:val="0"/>
        <w:autoSpaceDN w:val="0"/>
        <w:adjustRightInd w:val="0"/>
        <w:spacing w:before="120"/>
        <w:jc w:val="center"/>
        <w:rPr>
          <w:rFonts w:ascii="Arial" w:eastAsia="Times New Roman" w:hAnsi="Arial" w:cs="Arial"/>
          <w:b/>
          <w:sz w:val="18"/>
          <w:lang w:val="es-ES_tradnl" w:eastAsia="es-ES_tradnl"/>
        </w:rPr>
      </w:pPr>
      <w:r>
        <w:rPr>
          <w:rFonts w:ascii="Arial" w:eastAsia="Times New Roman" w:hAnsi="Arial" w:cs="Arial"/>
          <w:b/>
          <w:sz w:val="18"/>
          <w:lang w:val="es-ES_tradnl" w:eastAsia="es-ES_tradnl"/>
        </w:rPr>
        <w:t>Cuadro 4. Límites para Revisión Ex post</w:t>
      </w:r>
    </w:p>
    <w:tbl>
      <w:tblPr>
        <w:tblW w:w="0" w:type="auto"/>
        <w:jc w:val="center"/>
        <w:tblLayout w:type="fixed"/>
        <w:tblLook w:val="0000" w:firstRow="0" w:lastRow="0" w:firstColumn="0" w:lastColumn="0" w:noHBand="0" w:noVBand="0"/>
      </w:tblPr>
      <w:tblGrid>
        <w:gridCol w:w="2267"/>
        <w:gridCol w:w="2015"/>
      </w:tblGrid>
      <w:tr>
        <w:trPr>
          <w:jc w:val="center"/>
        </w:trPr>
        <w:tc>
          <w:tcPr>
            <w:tcW w:w="2267" w:type="dxa"/>
            <w:tcBorders>
              <w:top w:val="single" w:sz="4" w:space="0" w:color="808080"/>
              <w:left w:val="single" w:sz="4" w:space="0" w:color="808080"/>
              <w:bottom w:val="single" w:sz="4" w:space="0" w:color="808080"/>
            </w:tcBorders>
            <w:shd w:val="clear" w:color="auto" w:fill="365F91"/>
          </w:tcPr>
          <w:p>
            <w:pPr>
              <w:autoSpaceDE w:val="0"/>
              <w:snapToGrid w:val="0"/>
              <w:jc w:val="center"/>
              <w:rPr>
                <w:rFonts w:ascii="Arial" w:eastAsia="Times New Roman" w:hAnsi="Arial" w:cs="Arial"/>
                <w:b/>
                <w:color w:val="EEECE1"/>
                <w:sz w:val="18"/>
                <w:lang w:val="es-AR" w:eastAsia="es-ES_tradnl"/>
              </w:rPr>
            </w:pPr>
            <w:r>
              <w:rPr>
                <w:rFonts w:ascii="Arial" w:eastAsia="Times New Roman" w:hAnsi="Arial" w:cs="Arial"/>
                <w:b/>
                <w:color w:val="EEECE1"/>
                <w:sz w:val="18"/>
                <w:lang w:val="es-AR" w:eastAsia="es-ES_tradnl"/>
              </w:rPr>
              <w:t>Comparación de precios</w:t>
            </w:r>
          </w:p>
        </w:tc>
        <w:tc>
          <w:tcPr>
            <w:tcW w:w="2015" w:type="dxa"/>
            <w:tcBorders>
              <w:top w:val="single" w:sz="4" w:space="0" w:color="808080"/>
              <w:left w:val="single" w:sz="4" w:space="0" w:color="808080"/>
              <w:bottom w:val="single" w:sz="4" w:space="0" w:color="808080"/>
              <w:right w:val="single" w:sz="4" w:space="0" w:color="808080"/>
            </w:tcBorders>
            <w:shd w:val="clear" w:color="auto" w:fill="365F91"/>
          </w:tcPr>
          <w:p>
            <w:pPr>
              <w:autoSpaceDE w:val="0"/>
              <w:snapToGrid w:val="0"/>
              <w:jc w:val="center"/>
              <w:rPr>
                <w:rFonts w:ascii="Arial" w:eastAsia="Times New Roman" w:hAnsi="Arial" w:cs="Arial"/>
                <w:b/>
                <w:color w:val="EEECE1"/>
                <w:sz w:val="18"/>
                <w:lang w:val="es-AR" w:eastAsia="es-ES_tradnl"/>
              </w:rPr>
            </w:pPr>
            <w:r>
              <w:rPr>
                <w:rFonts w:ascii="Arial" w:eastAsia="Times New Roman" w:hAnsi="Arial" w:cs="Arial"/>
                <w:b/>
                <w:color w:val="EEECE1"/>
                <w:sz w:val="18"/>
                <w:lang w:val="es-AR" w:eastAsia="es-ES_tradnl"/>
              </w:rPr>
              <w:t>Consultoría Individual</w:t>
            </w:r>
          </w:p>
        </w:tc>
      </w:tr>
      <w:tr>
        <w:trPr>
          <w:trHeight w:val="293"/>
          <w:jc w:val="center"/>
        </w:trPr>
        <w:tc>
          <w:tcPr>
            <w:tcW w:w="2267" w:type="dxa"/>
            <w:tcBorders>
              <w:top w:val="single" w:sz="4" w:space="0" w:color="808080"/>
              <w:left w:val="single" w:sz="4" w:space="0" w:color="808080"/>
              <w:bottom w:val="single" w:sz="4" w:space="0" w:color="808080"/>
            </w:tcBorders>
            <w:shd w:val="clear" w:color="auto" w:fill="auto"/>
          </w:tcPr>
          <w:p>
            <w:pPr>
              <w:autoSpaceDE w:val="0"/>
              <w:snapToGrid w:val="0"/>
              <w:jc w:val="center"/>
              <w:rPr>
                <w:rFonts w:ascii="Arial" w:eastAsia="Times New Roman" w:hAnsi="Arial" w:cs="Arial"/>
                <w:sz w:val="18"/>
                <w:lang w:eastAsia="es-ES_tradnl"/>
              </w:rPr>
            </w:pPr>
            <w:r>
              <w:rPr>
                <w:rFonts w:ascii="Arial" w:eastAsia="Times New Roman" w:hAnsi="Arial" w:cs="Arial"/>
                <w:sz w:val="18"/>
                <w:lang w:eastAsia="es-ES_tradnl"/>
              </w:rPr>
              <w:t>&lt;</w:t>
            </w:r>
            <w:r>
              <w:rPr>
                <w:rFonts w:ascii="Arial" w:hAnsi="Arial" w:cs="Arial"/>
                <w:sz w:val="18"/>
                <w:lang w:eastAsia="es-ES_tradnl"/>
              </w:rPr>
              <w:t xml:space="preserve"> 1</w:t>
            </w:r>
            <w:r>
              <w:rPr>
                <w:rFonts w:ascii="Arial" w:eastAsia="Times New Roman" w:hAnsi="Arial" w:cs="Arial"/>
                <w:sz w:val="18"/>
                <w:lang w:eastAsia="es-ES_tradnl"/>
              </w:rPr>
              <w:t>00.000</w:t>
            </w:r>
          </w:p>
        </w:tc>
        <w:tc>
          <w:tcPr>
            <w:tcW w:w="2015" w:type="dxa"/>
            <w:tcBorders>
              <w:top w:val="single" w:sz="4" w:space="0" w:color="808080"/>
              <w:left w:val="single" w:sz="4" w:space="0" w:color="808080"/>
              <w:bottom w:val="single" w:sz="4" w:space="0" w:color="808080"/>
              <w:right w:val="single" w:sz="4" w:space="0" w:color="808080"/>
            </w:tcBorders>
            <w:shd w:val="clear" w:color="auto" w:fill="auto"/>
          </w:tcPr>
          <w:p>
            <w:pPr>
              <w:autoSpaceDE w:val="0"/>
              <w:snapToGrid w:val="0"/>
              <w:jc w:val="center"/>
              <w:rPr>
                <w:rFonts w:ascii="Arial" w:eastAsia="Times New Roman" w:hAnsi="Arial" w:cs="Arial"/>
                <w:sz w:val="18"/>
                <w:lang w:eastAsia="es-ES_tradnl"/>
              </w:rPr>
            </w:pPr>
            <w:r>
              <w:rPr>
                <w:rFonts w:ascii="Arial" w:eastAsia="Times New Roman" w:hAnsi="Arial" w:cs="Arial"/>
                <w:sz w:val="18"/>
                <w:lang w:eastAsia="es-ES_tradnl"/>
              </w:rPr>
              <w:t>&lt;50.000</w:t>
            </w:r>
          </w:p>
        </w:tc>
      </w:tr>
    </w:tbl>
    <w:p>
      <w:pPr>
        <w:spacing w:before="120" w:after="120"/>
        <w:ind w:left="360"/>
        <w:jc w:val="both"/>
        <w:outlineLvl w:val="1"/>
        <w:rPr>
          <w:rFonts w:ascii="Arial" w:eastAsia="Times New Roman" w:hAnsi="Arial" w:cs="Arial"/>
          <w:sz w:val="20"/>
          <w:lang w:val="es-ES_tradnl" w:eastAsia="es-ES_tradnl"/>
        </w:rPr>
      </w:pPr>
      <w:r>
        <w:rPr>
          <w:rFonts w:ascii="Arial" w:eastAsia="Times New Roman" w:hAnsi="Arial" w:cs="Arial"/>
          <w:b/>
          <w:sz w:val="20"/>
          <w:lang w:val="es-ES_tradnl" w:eastAsia="es-ES_tradnl"/>
        </w:rPr>
        <w:t>Nota</w:t>
      </w:r>
      <w:r>
        <w:rPr>
          <w:rFonts w:ascii="Arial" w:eastAsia="Times New Roman" w:hAnsi="Arial" w:cs="Arial"/>
          <w:sz w:val="20"/>
          <w:lang w:val="es-ES_tradnl" w:eastAsia="es-ES_tradnl"/>
        </w:rPr>
        <w:t>: Los montos límites establecidos para revisión ex post se aplican en función de la capacidad fiduciaria de ejecución del OE y pueden ser modificados por el Banco en la medida que tal capacidad varíe.</w:t>
      </w:r>
    </w:p>
    <w:p>
      <w:pPr>
        <w:pStyle w:val="Prrafodelista1"/>
        <w:tabs>
          <w:tab w:val="clear" w:pos="720"/>
        </w:tabs>
        <w:spacing w:before="0"/>
        <w:ind w:left="0" w:firstLine="0"/>
        <w:rPr>
          <w:rFonts w:ascii="Arial" w:eastAsiaTheme="minorHAnsi" w:hAnsi="Arial" w:cs="Arial"/>
          <w:b/>
          <w:bCs/>
          <w:lang w:val="es-ES"/>
        </w:rPr>
      </w:pPr>
    </w:p>
    <w:p>
      <w:pPr>
        <w:pStyle w:val="Prrafodelista1"/>
        <w:numPr>
          <w:ilvl w:val="1"/>
          <w:numId w:val="24"/>
        </w:numPr>
        <w:spacing w:before="0"/>
        <w:ind w:left="450" w:hanging="450"/>
        <w:rPr>
          <w:rFonts w:ascii="Arial" w:eastAsiaTheme="minorHAnsi" w:hAnsi="Arial" w:cs="Arial"/>
          <w:b/>
          <w:bCs/>
          <w:lang w:val="es-ES"/>
        </w:rPr>
      </w:pPr>
      <w:r>
        <w:rPr>
          <w:rFonts w:ascii="Arial" w:eastAsiaTheme="minorHAnsi" w:hAnsi="Arial" w:cs="Arial"/>
          <w:b/>
          <w:lang w:val="es-ES"/>
        </w:rPr>
        <w:t>Procedimientos de adquisiciones</w:t>
      </w:r>
      <w:r>
        <w:rPr>
          <w:rFonts w:ascii="Arial" w:eastAsiaTheme="minorHAnsi" w:hAnsi="Arial" w:cs="Arial"/>
          <w:lang w:val="es-ES"/>
        </w:rPr>
        <w:t xml:space="preserve">. </w:t>
      </w:r>
      <w:r>
        <w:rPr>
          <w:rFonts w:ascii="Arial" w:eastAsiaTheme="minorHAnsi" w:hAnsi="Arial" w:cs="Arial"/>
        </w:rPr>
        <w:t>La diferencia entre los procedimientos denominados "internacional" y "nacional", reside, entre otras, en las características de la difusión del llamado a licitación o concurso y no en la nacionalidad de los oferentes. En ambos casos podrán presentarse licitantes que cumplan los requisitos de elegibilidad.</w:t>
      </w:r>
    </w:p>
    <w:p>
      <w:pPr>
        <w:pStyle w:val="Paragraph"/>
        <w:numPr>
          <w:ilvl w:val="1"/>
          <w:numId w:val="24"/>
        </w:numPr>
        <w:tabs>
          <w:tab w:val="left" w:pos="9270"/>
        </w:tabs>
        <w:autoSpaceDE w:val="0"/>
        <w:autoSpaceDN w:val="0"/>
        <w:adjustRightInd w:val="0"/>
        <w:ind w:left="450" w:right="29"/>
        <w:rPr>
          <w:rFonts w:ascii="Arial" w:hAnsi="Arial" w:cs="Arial"/>
        </w:rPr>
      </w:pPr>
      <w:bookmarkStart w:id="158" w:name="_Toc456213461"/>
      <w:bookmarkStart w:id="159" w:name="_Toc459730777"/>
      <w:bookmarkStart w:id="160" w:name="_Toc463457902"/>
      <w:r>
        <w:rPr>
          <w:rFonts w:ascii="Arial" w:hAnsi="Arial" w:cs="Arial"/>
        </w:rPr>
        <w:t>En cualquier caso se podrá utilizar un procedimiento de adquisición de mayor jerarquía que el señalado en cualquiera de los cuadros, de acuerdo con la conveniencia que esto represente para el proyecto.</w:t>
      </w:r>
      <w:bookmarkEnd w:id="158"/>
      <w:bookmarkEnd w:id="159"/>
      <w:bookmarkEnd w:id="160"/>
    </w:p>
    <w:p>
      <w:pPr>
        <w:pStyle w:val="Paragraph"/>
        <w:numPr>
          <w:ilvl w:val="1"/>
          <w:numId w:val="24"/>
        </w:numPr>
        <w:tabs>
          <w:tab w:val="left" w:pos="9270"/>
        </w:tabs>
        <w:autoSpaceDE w:val="0"/>
        <w:autoSpaceDN w:val="0"/>
        <w:adjustRightInd w:val="0"/>
        <w:ind w:left="450" w:right="29"/>
        <w:rPr>
          <w:rFonts w:ascii="Arial" w:hAnsi="Arial" w:cs="Arial"/>
        </w:rPr>
      </w:pPr>
      <w:bookmarkStart w:id="161" w:name="_Toc456213462"/>
      <w:bookmarkStart w:id="162" w:name="_Toc459730778"/>
      <w:bookmarkStart w:id="163" w:name="_Toc463457903"/>
      <w:r>
        <w:rPr>
          <w:rFonts w:ascii="Arial" w:hAnsi="Arial" w:cs="Arial"/>
        </w:rPr>
        <w:t>Para la conformación de las listas cortas, en el caso de los procesos de selección de firmas consultoras, se deberá considerar en primer lugar a aquellas firmas que expresen interés y que tengan las calificaciones apropiadas, de acuerdo con lo expresado en el numeral 2.6 de las Políticas para la Selección y Contratación de Consultores Financiados por el Banco Interamericano de Desarrollo GN-2350-9.</w:t>
      </w:r>
      <w:bookmarkStart w:id="164" w:name="_Toc456213463"/>
      <w:bookmarkEnd w:id="161"/>
      <w:r>
        <w:rPr>
          <w:rFonts w:ascii="Arial" w:hAnsi="Arial" w:cs="Arial"/>
        </w:rPr>
        <w:t xml:space="preserve"> La lista corta podrá estar compuesta enteramente de consultores nacionales, si el trabajo por realizar está por debajo del techo de US$500.000, si se dispone de un </w:t>
      </w:r>
      <w:r>
        <w:rPr>
          <w:rFonts w:ascii="Arial" w:hAnsi="Arial" w:cs="Arial"/>
        </w:rPr>
        <w:lastRenderedPageBreak/>
        <w:t>número suficiente de firmas calificadas para constituir una lista corta a costos competitivos y si es evidente que no se justifica una competencia que incluya a consultores extranjeros o éstos no expresaron interés por participar en el proceso.</w:t>
      </w:r>
      <w:bookmarkEnd w:id="162"/>
      <w:bookmarkEnd w:id="163"/>
      <w:bookmarkEnd w:id="164"/>
    </w:p>
    <w:p>
      <w:pPr>
        <w:pStyle w:val="Paragraph"/>
        <w:numPr>
          <w:ilvl w:val="1"/>
          <w:numId w:val="24"/>
        </w:numPr>
        <w:tabs>
          <w:tab w:val="left" w:pos="9270"/>
        </w:tabs>
        <w:autoSpaceDE w:val="0"/>
        <w:autoSpaceDN w:val="0"/>
        <w:adjustRightInd w:val="0"/>
        <w:ind w:left="450" w:right="29"/>
        <w:rPr>
          <w:rFonts w:ascii="Arial" w:hAnsi="Arial" w:cs="Arial"/>
        </w:rPr>
      </w:pPr>
      <w:bookmarkStart w:id="165" w:name="_Toc456213464"/>
      <w:bookmarkStart w:id="166" w:name="_Toc459730779"/>
      <w:bookmarkStart w:id="167" w:name="_Toc463457904"/>
      <w:r>
        <w:rPr>
          <w:rFonts w:ascii="Arial" w:hAnsi="Arial" w:cs="Arial"/>
        </w:rPr>
        <w:t>Por encima de los US$500.000, la lista corta estará conformada por firmas internacionales y no más de dos podrán pertenecer al mismo país. En ninguno de los dos casos se restringirá la participación de firmas extranjeras o locales y la lista corta estará conformada por seis empresas. Solo mediante excepción solicitada al Banco, se considerarán listas cortas con un número menor de empresas participantes.</w:t>
      </w:r>
      <w:bookmarkEnd w:id="165"/>
      <w:bookmarkEnd w:id="166"/>
      <w:bookmarkEnd w:id="167"/>
    </w:p>
    <w:p>
      <w:pPr>
        <w:pStyle w:val="Prrafodelista1"/>
        <w:tabs>
          <w:tab w:val="clear" w:pos="720"/>
        </w:tabs>
        <w:spacing w:before="0"/>
        <w:ind w:left="450" w:firstLine="0"/>
        <w:rPr>
          <w:rFonts w:ascii="Arial" w:eastAsiaTheme="minorHAnsi" w:hAnsi="Arial" w:cs="Arial"/>
          <w:bCs/>
        </w:rPr>
      </w:pPr>
      <w:r>
        <w:rPr>
          <w:rFonts w:ascii="Arial" w:eastAsiaTheme="minorHAnsi" w:hAnsi="Arial" w:cs="Arial"/>
          <w:bCs/>
        </w:rPr>
        <w:t>.</w:t>
      </w:r>
    </w:p>
    <w:p>
      <w:pPr>
        <w:pStyle w:val="Prrafodelista1"/>
        <w:tabs>
          <w:tab w:val="clear" w:pos="720"/>
        </w:tabs>
        <w:spacing w:before="0"/>
        <w:ind w:left="0" w:firstLine="0"/>
        <w:rPr>
          <w:rFonts w:ascii="Arial" w:eastAsiaTheme="minorHAnsi" w:hAnsi="Arial" w:cs="Arial"/>
          <w:b/>
          <w:bCs/>
        </w:rPr>
      </w:pPr>
      <w:r>
        <w:rPr>
          <w:rFonts w:ascii="Arial" w:eastAsiaTheme="minorHAnsi" w:hAnsi="Arial" w:cs="Arial"/>
          <w:b/>
          <w:bCs/>
        </w:rPr>
        <w:t xml:space="preserve">A.1 Procesos de </w:t>
      </w:r>
      <w:r>
        <w:rPr>
          <w:rFonts w:ascii="Arial" w:hAnsi="Arial" w:cs="Arial"/>
          <w:b/>
          <w:lang w:eastAsia="es-AR"/>
        </w:rPr>
        <w:t>Adquisiciones de obras, bienes y servicios diferentes de consultoría</w:t>
      </w:r>
    </w:p>
    <w:p>
      <w:pPr>
        <w:pStyle w:val="Prrafodelista1"/>
        <w:numPr>
          <w:ilvl w:val="1"/>
          <w:numId w:val="24"/>
        </w:numPr>
        <w:spacing w:before="0"/>
        <w:ind w:left="450" w:hanging="450"/>
        <w:rPr>
          <w:rFonts w:ascii="Arial" w:eastAsiaTheme="minorHAnsi" w:hAnsi="Arial" w:cs="Arial"/>
          <w:bCs/>
        </w:rPr>
      </w:pPr>
      <w:r>
        <w:rPr>
          <w:rFonts w:ascii="Arial" w:eastAsiaTheme="minorHAnsi" w:hAnsi="Arial" w:cs="Arial"/>
          <w:b/>
          <w:bCs/>
        </w:rPr>
        <w:t>Licitación Pública Internacional (“LPI”)</w:t>
      </w:r>
      <w:r>
        <w:rPr>
          <w:rFonts w:ascii="Arial" w:eastAsiaTheme="minorHAnsi" w:hAnsi="Arial" w:cs="Arial"/>
          <w:bCs/>
        </w:rPr>
        <w:t xml:space="preserve">. </w:t>
      </w:r>
      <w:bookmarkStart w:id="168" w:name="_Toc456213475"/>
      <w:r>
        <w:rPr>
          <w:rFonts w:ascii="Arial" w:hAnsi="Arial" w:cs="Arial"/>
          <w:color w:val="000000"/>
          <w:lang w:eastAsia="es-ES"/>
        </w:rPr>
        <w:t>Se deberá emplear este procedimiento cuando corresponda de acuerdo a las categorías señaladas en el Cuadro de montos límite. El objetivo de la LPI, es proporcionar a todos los posibles oferentes elegibles notificación oportuna y adecuada de los requerimientos de un Prestatario en cuanto a los bienes y obras necesarios de un proyecto, y proporcionar a dichos oferentes igualdad de oportunidades para presentar ofertas en relación con los mismos.</w:t>
      </w:r>
      <w:bookmarkEnd w:id="168"/>
    </w:p>
    <w:p>
      <w:pPr>
        <w:pStyle w:val="Paragraph"/>
        <w:numPr>
          <w:ilvl w:val="1"/>
          <w:numId w:val="24"/>
        </w:numPr>
        <w:autoSpaceDE w:val="0"/>
        <w:autoSpaceDN w:val="0"/>
        <w:adjustRightInd w:val="0"/>
        <w:ind w:left="450" w:right="29"/>
        <w:rPr>
          <w:rFonts w:ascii="Arial" w:hAnsi="Arial" w:cs="Arial"/>
          <w:color w:val="000000"/>
          <w:szCs w:val="24"/>
          <w:lang w:eastAsia="es-ES"/>
        </w:rPr>
      </w:pPr>
      <w:bookmarkStart w:id="169" w:name="_Toc456213476"/>
      <w:bookmarkStart w:id="170" w:name="_Toc459730780"/>
      <w:bookmarkStart w:id="171" w:name="_Toc463457905"/>
      <w:r>
        <w:rPr>
          <w:rFonts w:ascii="Arial" w:hAnsi="Arial" w:cs="Arial"/>
          <w:color w:val="000000"/>
          <w:szCs w:val="24"/>
          <w:lang w:eastAsia="es-ES"/>
        </w:rPr>
        <w:t>Los llamados a licitación deben publicarse como Anuncios Específicos de Adquisiciones por lo menos en un periódico de circulación nacional en el país del Prestatario o en el Boletín Oficial (si se encuentra disponible en Internet), o en un portal único electrónico de libre acceso donde el país publique todas sus oportunidades de negocios. Tales llamados se deben publicar también en los sitios de Internet del UNDB online y del Banco. La notificación debe efectuarse con antelación suficiente para que los posibles oferentes puedan obtener los documentos de precalificación o licitación y preparar y presentar sus ofertas</w:t>
      </w:r>
      <w:bookmarkEnd w:id="169"/>
      <w:r>
        <w:rPr>
          <w:rFonts w:ascii="Arial" w:hAnsi="Arial" w:cs="Arial"/>
          <w:color w:val="000000"/>
          <w:szCs w:val="24"/>
          <w:lang w:eastAsia="es-ES"/>
        </w:rPr>
        <w:t>.</w:t>
      </w:r>
      <w:bookmarkEnd w:id="170"/>
      <w:bookmarkEnd w:id="171"/>
    </w:p>
    <w:p>
      <w:pPr>
        <w:pStyle w:val="Paragraph"/>
        <w:numPr>
          <w:ilvl w:val="1"/>
          <w:numId w:val="24"/>
        </w:numPr>
        <w:autoSpaceDE w:val="0"/>
        <w:autoSpaceDN w:val="0"/>
        <w:adjustRightInd w:val="0"/>
        <w:ind w:left="450" w:right="29"/>
        <w:rPr>
          <w:rFonts w:ascii="Arial" w:hAnsi="Arial" w:cs="Arial"/>
          <w:color w:val="000000"/>
          <w:szCs w:val="24"/>
          <w:lang w:eastAsia="es-ES"/>
        </w:rPr>
      </w:pPr>
      <w:bookmarkStart w:id="172" w:name="_Toc459730781"/>
      <w:bookmarkStart w:id="173" w:name="_Toc463457906"/>
      <w:r>
        <w:rPr>
          <w:rFonts w:ascii="Arial" w:eastAsiaTheme="minorHAnsi" w:hAnsi="Arial" w:cs="Arial"/>
          <w:b/>
          <w:bCs/>
        </w:rPr>
        <w:t>Licitación Pública Nacional (“LPN”)</w:t>
      </w:r>
      <w:r>
        <w:rPr>
          <w:rFonts w:ascii="Arial" w:eastAsiaTheme="minorHAnsi" w:hAnsi="Arial" w:cs="Arial"/>
          <w:bCs/>
        </w:rPr>
        <w:t xml:space="preserve">. </w:t>
      </w:r>
      <w:bookmarkStart w:id="174" w:name="_Toc456213478"/>
      <w:r>
        <w:rPr>
          <w:rFonts w:ascii="Arial" w:hAnsi="Arial" w:cs="Arial"/>
          <w:szCs w:val="24"/>
        </w:rPr>
        <w:t xml:space="preserve">Este método puede constituir la forma más eficiente y económica de adquirir bienes o ejecutar obras cuando, dadas las características y alcance de dichas adquisiciones, no sea probable que atraigan competencia internacional. La LPN puede constituir el método de contratación preferido cuando no se espera que los oferentes extranjeros manifiesten interés ya sea debido a que: (a) los valores contractuales son pequeños; (b) se trata de obras geográficamente dispersas o escalonadas en el curso del tiempo; (c) las obras requieren una utilización intensiva de mano de obra; o (d) los bienes u obras pueden </w:t>
      </w:r>
      <w:r>
        <w:rPr>
          <w:rFonts w:ascii="Arial" w:hAnsi="Arial" w:cs="Arial"/>
          <w:color w:val="000000"/>
          <w:szCs w:val="24"/>
          <w:lang w:eastAsia="es-ES"/>
        </w:rPr>
        <w:t>obtenerse</w:t>
      </w:r>
      <w:r>
        <w:rPr>
          <w:rFonts w:ascii="Arial" w:hAnsi="Arial" w:cs="Arial"/>
          <w:szCs w:val="24"/>
        </w:rPr>
        <w:t xml:space="preserve"> o contratarse localmente a precios inferiores a los del mercado internacional. Los procedimientos de la LPN pueden utilizarse también cuando sea evidente que las ventajas de la LPI quedan ampliamente contrarrestadas por la carga administrativa y financiera que ella supone.</w:t>
      </w:r>
      <w:bookmarkEnd w:id="172"/>
      <w:bookmarkEnd w:id="173"/>
      <w:bookmarkEnd w:id="174"/>
    </w:p>
    <w:p>
      <w:pPr>
        <w:pStyle w:val="Prrafodelista1"/>
        <w:numPr>
          <w:ilvl w:val="1"/>
          <w:numId w:val="24"/>
        </w:numPr>
        <w:spacing w:before="0"/>
        <w:ind w:left="450" w:hanging="450"/>
        <w:rPr>
          <w:rFonts w:ascii="Arial" w:eastAsiaTheme="minorHAnsi" w:hAnsi="Arial" w:cs="Arial"/>
          <w:b/>
          <w:bCs/>
          <w:lang w:val="es-ES"/>
        </w:rPr>
      </w:pPr>
      <w:r>
        <w:rPr>
          <w:rFonts w:ascii="Arial" w:eastAsiaTheme="minorHAnsi" w:hAnsi="Arial" w:cs="Arial"/>
          <w:b/>
          <w:bCs/>
          <w:lang w:val="es-ES"/>
        </w:rPr>
        <w:t>Comparación de Precios (“CP”).</w:t>
      </w:r>
      <w:r>
        <w:rPr>
          <w:rFonts w:ascii="Arial" w:eastAsiaTheme="minorHAnsi" w:hAnsi="Arial" w:cs="Arial"/>
          <w:bCs/>
          <w:lang w:val="es-ES"/>
        </w:rPr>
        <w:t xml:space="preserve">La </w:t>
      </w:r>
      <w:r>
        <w:rPr>
          <w:rFonts w:ascii="Arial" w:hAnsi="Arial" w:cs="Arial"/>
        </w:rPr>
        <w:t xml:space="preserve">comparación de precios es un método de contratación que se basa en la obtención de cotizaciones de precios de diversos proveedores (en el caso de bienes) o de varios contratistas (en el caso de obra pública), con un mínimo de tres, con el objeto de obtener precios competitivos. Es un método apropiado para adquirir bienes en existencia, fáciles de obtener, o productos a granel con especificaciones estándar y pequeño valor o trabajos sencillos de obra civil y pequeño valor. La solicitud de cotización de precios debe incluir una descripción y la cantidad de los bienes o las especificaciones de la obra, así como el plazo (o fecha de terminación) y lugar de entrega requerido. Las </w:t>
      </w:r>
      <w:r>
        <w:rPr>
          <w:rFonts w:ascii="Arial" w:hAnsi="Arial" w:cs="Arial"/>
        </w:rPr>
        <w:lastRenderedPageBreak/>
        <w:t>cotizaciones, al menos 3 ofertas válidas, pueden presentarse por carta, fax o medios electrónicos.</w:t>
      </w:r>
    </w:p>
    <w:p>
      <w:pPr>
        <w:pStyle w:val="Prrafodelista1"/>
        <w:numPr>
          <w:ilvl w:val="1"/>
          <w:numId w:val="24"/>
        </w:numPr>
        <w:spacing w:before="0"/>
        <w:ind w:left="450" w:hanging="450"/>
        <w:rPr>
          <w:rFonts w:ascii="Arial" w:eastAsiaTheme="minorHAnsi" w:hAnsi="Arial" w:cs="Arial"/>
          <w:bCs/>
          <w:lang w:val="es-ES"/>
        </w:rPr>
      </w:pPr>
      <w:r>
        <w:rPr>
          <w:rFonts w:ascii="Arial" w:eastAsiaTheme="minorHAnsi" w:hAnsi="Arial" w:cs="Arial"/>
          <w:b/>
          <w:bCs/>
          <w:lang w:val="es-ES"/>
        </w:rPr>
        <w:t xml:space="preserve">Contratación Directa. </w:t>
      </w:r>
      <w:r>
        <w:rPr>
          <w:rFonts w:ascii="Arial" w:eastAsiaTheme="minorHAnsi" w:hAnsi="Arial" w:cs="Arial"/>
          <w:bCs/>
        </w:rPr>
        <w:t>Se lleva a cabo sin competencia (una sola fuente) y puede ser un método adecuado en las siguientes circunstancias: i) ampliación de un contrato preexistente adjudicado conforme a la normativa del Banco, para incluir bienes u obras adicionales de carácter similar; ii) la estandarización de equipo o de repuestos, con fines de compatibilidad con el equipo existente; iii) el equipo requerido es patentado o de marca registrada y puede obtenerse de una sola fuente; iv) el contratista responsable del diseño de un proceso exige la compra de elementos críticos de un proveedor determinado como condición de mantener su garantía de cumplimiento y v) en casos excepcionales, tales como en respuesta a desastres naturales. En todos los casos, la revisión será ex-ante y deberá estar completamente justificada en el marco de la política de adquisiciones del Banco -GN-2349-9-.</w:t>
      </w:r>
    </w:p>
    <w:p>
      <w:pPr>
        <w:pStyle w:val="Prrafodelista1"/>
        <w:tabs>
          <w:tab w:val="clear" w:pos="720"/>
        </w:tabs>
        <w:spacing w:before="0"/>
        <w:ind w:left="0" w:firstLine="0"/>
        <w:rPr>
          <w:rFonts w:ascii="Arial" w:eastAsiaTheme="minorHAnsi" w:hAnsi="Arial" w:cs="Arial"/>
          <w:b/>
          <w:bCs/>
          <w:lang w:val="es-ES"/>
        </w:rPr>
      </w:pPr>
      <w:r>
        <w:rPr>
          <w:rFonts w:ascii="Arial" w:eastAsiaTheme="minorHAnsi" w:hAnsi="Arial" w:cs="Arial"/>
          <w:b/>
          <w:bCs/>
          <w:lang w:val="es-ES"/>
        </w:rPr>
        <w:t>A.2 Procesos de selección y contratación de Consultores.</w:t>
      </w:r>
    </w:p>
    <w:p>
      <w:pPr>
        <w:pStyle w:val="Prrafodelista1"/>
        <w:numPr>
          <w:ilvl w:val="1"/>
          <w:numId w:val="24"/>
        </w:numPr>
        <w:spacing w:before="0"/>
        <w:ind w:left="450" w:hanging="450"/>
        <w:rPr>
          <w:rFonts w:ascii="Arial" w:eastAsiaTheme="minorHAnsi" w:hAnsi="Arial" w:cs="Arial"/>
          <w:bCs/>
          <w:lang w:val="es-ES"/>
        </w:rPr>
      </w:pPr>
      <w:r>
        <w:rPr>
          <w:rFonts w:ascii="Arial" w:eastAsiaTheme="minorHAnsi" w:hAnsi="Arial" w:cs="Arial"/>
          <w:b/>
          <w:bCs/>
          <w:lang w:val="es-ES"/>
        </w:rPr>
        <w:t>Selección Basada en Calidad y Costo (“SBCC”)</w:t>
      </w:r>
      <w:r>
        <w:rPr>
          <w:rFonts w:ascii="Arial" w:eastAsiaTheme="minorHAnsi" w:hAnsi="Arial" w:cs="Arial"/>
          <w:bCs/>
          <w:lang w:val="es-ES"/>
        </w:rPr>
        <w:t xml:space="preserve">. </w:t>
      </w:r>
      <w:bookmarkStart w:id="175" w:name="_Toc456213492"/>
      <w:r>
        <w:rPr>
          <w:rFonts w:ascii="Arial" w:hAnsi="Arial" w:cs="Arial"/>
        </w:rPr>
        <w:t>La SBCC es un proceso competitivo entre las firmas incluidas en una lista corta en el que, para seleccionar la empresa a la que se adjudicará el contrato, se tienen en cuenta la calidad de la propuesta y el costo de los servicios. La ponderación que se asigne a la calidad y al costo se determinará en cada caso de acuerdo a la naturaleza del trabajo que se ha de realizar.</w:t>
      </w:r>
      <w:bookmarkStart w:id="176" w:name="_Toc456213493"/>
      <w:bookmarkEnd w:id="175"/>
      <w:r>
        <w:rPr>
          <w:rFonts w:ascii="Arial" w:hAnsi="Arial" w:cs="Arial"/>
        </w:rPr>
        <w:t xml:space="preserve"> El proceso de selección consta de las etapas siguientes:</w:t>
      </w:r>
      <w:bookmarkEnd w:id="176"/>
    </w:p>
    <w:p>
      <w:pPr>
        <w:pStyle w:val="Paragraph"/>
        <w:numPr>
          <w:ilvl w:val="2"/>
          <w:numId w:val="28"/>
        </w:numPr>
        <w:autoSpaceDE w:val="0"/>
        <w:autoSpaceDN w:val="0"/>
        <w:adjustRightInd w:val="0"/>
        <w:ind w:left="810" w:right="624" w:hanging="360"/>
        <w:rPr>
          <w:rFonts w:ascii="Arial" w:hAnsi="Arial" w:cs="Arial"/>
          <w:szCs w:val="24"/>
        </w:rPr>
      </w:pPr>
      <w:bookmarkStart w:id="177" w:name="_Toc456213494"/>
      <w:bookmarkStart w:id="178" w:name="_Toc459730782"/>
      <w:bookmarkStart w:id="179" w:name="_Toc463457907"/>
      <w:r>
        <w:rPr>
          <w:rFonts w:ascii="Arial" w:hAnsi="Arial" w:cs="Arial"/>
          <w:szCs w:val="24"/>
        </w:rPr>
        <w:t>preparación de los TDR;</w:t>
      </w:r>
      <w:bookmarkEnd w:id="177"/>
      <w:bookmarkEnd w:id="178"/>
      <w:bookmarkEnd w:id="179"/>
    </w:p>
    <w:p>
      <w:pPr>
        <w:pStyle w:val="Paragraph"/>
        <w:numPr>
          <w:ilvl w:val="2"/>
          <w:numId w:val="28"/>
        </w:numPr>
        <w:autoSpaceDE w:val="0"/>
        <w:autoSpaceDN w:val="0"/>
        <w:adjustRightInd w:val="0"/>
        <w:ind w:left="810" w:right="624" w:hanging="360"/>
        <w:rPr>
          <w:rFonts w:ascii="Arial" w:hAnsi="Arial" w:cs="Arial"/>
          <w:szCs w:val="24"/>
        </w:rPr>
      </w:pPr>
      <w:bookmarkStart w:id="180" w:name="_Toc456213495"/>
      <w:bookmarkStart w:id="181" w:name="_Toc459730783"/>
      <w:bookmarkStart w:id="182" w:name="_Toc463457908"/>
      <w:r>
        <w:rPr>
          <w:rFonts w:ascii="Arial" w:hAnsi="Arial" w:cs="Arial"/>
          <w:szCs w:val="24"/>
        </w:rPr>
        <w:t>preparación de la estimación de costos y presupuesto;</w:t>
      </w:r>
      <w:bookmarkEnd w:id="180"/>
      <w:bookmarkEnd w:id="181"/>
      <w:bookmarkEnd w:id="182"/>
    </w:p>
    <w:p>
      <w:pPr>
        <w:pStyle w:val="Paragraph"/>
        <w:numPr>
          <w:ilvl w:val="2"/>
          <w:numId w:val="28"/>
        </w:numPr>
        <w:autoSpaceDE w:val="0"/>
        <w:autoSpaceDN w:val="0"/>
        <w:adjustRightInd w:val="0"/>
        <w:ind w:left="810" w:right="624" w:hanging="360"/>
        <w:rPr>
          <w:rFonts w:ascii="Arial" w:hAnsi="Arial" w:cs="Arial"/>
          <w:szCs w:val="24"/>
        </w:rPr>
      </w:pPr>
      <w:bookmarkStart w:id="183" w:name="_Toc456213496"/>
      <w:bookmarkStart w:id="184" w:name="_Toc459730784"/>
      <w:bookmarkStart w:id="185" w:name="_Toc463457909"/>
      <w:r>
        <w:rPr>
          <w:rFonts w:ascii="Arial" w:hAnsi="Arial" w:cs="Arial"/>
          <w:szCs w:val="24"/>
        </w:rPr>
        <w:t>publicidad;</w:t>
      </w:r>
      <w:bookmarkEnd w:id="183"/>
      <w:bookmarkEnd w:id="184"/>
      <w:bookmarkEnd w:id="185"/>
    </w:p>
    <w:p>
      <w:pPr>
        <w:pStyle w:val="Paragraph"/>
        <w:numPr>
          <w:ilvl w:val="2"/>
          <w:numId w:val="28"/>
        </w:numPr>
        <w:autoSpaceDE w:val="0"/>
        <w:autoSpaceDN w:val="0"/>
        <w:adjustRightInd w:val="0"/>
        <w:ind w:left="810" w:right="624" w:hanging="360"/>
        <w:rPr>
          <w:rFonts w:ascii="Arial" w:hAnsi="Arial" w:cs="Arial"/>
          <w:szCs w:val="24"/>
        </w:rPr>
      </w:pPr>
      <w:bookmarkStart w:id="186" w:name="_Toc456213497"/>
      <w:bookmarkStart w:id="187" w:name="_Toc459730785"/>
      <w:bookmarkStart w:id="188" w:name="_Toc463457910"/>
      <w:r>
        <w:rPr>
          <w:rFonts w:ascii="Arial" w:hAnsi="Arial" w:cs="Arial"/>
          <w:szCs w:val="24"/>
        </w:rPr>
        <w:t>preparación de la lista corta de consultores;</w:t>
      </w:r>
      <w:bookmarkEnd w:id="186"/>
      <w:bookmarkEnd w:id="187"/>
      <w:bookmarkEnd w:id="188"/>
    </w:p>
    <w:p>
      <w:pPr>
        <w:pStyle w:val="Paragraph"/>
        <w:numPr>
          <w:ilvl w:val="2"/>
          <w:numId w:val="28"/>
        </w:numPr>
        <w:tabs>
          <w:tab w:val="left" w:pos="9270"/>
        </w:tabs>
        <w:autoSpaceDE w:val="0"/>
        <w:autoSpaceDN w:val="0"/>
        <w:adjustRightInd w:val="0"/>
        <w:ind w:left="810" w:right="29" w:hanging="360"/>
        <w:rPr>
          <w:rFonts w:ascii="Arial" w:hAnsi="Arial" w:cs="Arial"/>
          <w:szCs w:val="24"/>
        </w:rPr>
      </w:pPr>
      <w:bookmarkStart w:id="189" w:name="_Toc456213498"/>
      <w:bookmarkStart w:id="190" w:name="_Toc459730786"/>
      <w:bookmarkStart w:id="191" w:name="_Toc463457911"/>
      <w:r>
        <w:rPr>
          <w:rFonts w:ascii="Arial" w:hAnsi="Arial" w:cs="Arial"/>
          <w:szCs w:val="24"/>
        </w:rPr>
        <w:t>preparación y emisión de la Solicitud de Propuestas (“SP”) -que debe incluir: la Carta de Invitación (“CI”), las Instrucciones a los Consultores (“IC”), los TDR y el borrador de contrato propuesto-;</w:t>
      </w:r>
      <w:bookmarkEnd w:id="189"/>
      <w:bookmarkEnd w:id="190"/>
      <w:bookmarkEnd w:id="191"/>
    </w:p>
    <w:p>
      <w:pPr>
        <w:pStyle w:val="Paragraph"/>
        <w:numPr>
          <w:ilvl w:val="2"/>
          <w:numId w:val="28"/>
        </w:numPr>
        <w:autoSpaceDE w:val="0"/>
        <w:autoSpaceDN w:val="0"/>
        <w:adjustRightInd w:val="0"/>
        <w:ind w:left="810" w:right="624" w:hanging="360"/>
        <w:rPr>
          <w:rFonts w:ascii="Arial" w:hAnsi="Arial" w:cs="Arial"/>
          <w:szCs w:val="24"/>
        </w:rPr>
      </w:pPr>
      <w:bookmarkStart w:id="192" w:name="_Toc456213499"/>
      <w:bookmarkStart w:id="193" w:name="_Toc459730787"/>
      <w:bookmarkStart w:id="194" w:name="_Toc463457912"/>
      <w:r>
        <w:rPr>
          <w:rFonts w:ascii="Arial" w:hAnsi="Arial" w:cs="Arial"/>
          <w:szCs w:val="24"/>
        </w:rPr>
        <w:t>recepción de propuestas;</w:t>
      </w:r>
      <w:bookmarkEnd w:id="192"/>
      <w:bookmarkEnd w:id="193"/>
      <w:bookmarkEnd w:id="194"/>
    </w:p>
    <w:p>
      <w:pPr>
        <w:pStyle w:val="Paragraph"/>
        <w:numPr>
          <w:ilvl w:val="2"/>
          <w:numId w:val="28"/>
        </w:numPr>
        <w:autoSpaceDE w:val="0"/>
        <w:autoSpaceDN w:val="0"/>
        <w:adjustRightInd w:val="0"/>
        <w:ind w:left="810" w:right="624" w:hanging="360"/>
        <w:rPr>
          <w:rFonts w:ascii="Arial" w:hAnsi="Arial" w:cs="Arial"/>
          <w:szCs w:val="24"/>
        </w:rPr>
      </w:pPr>
      <w:bookmarkStart w:id="195" w:name="_Toc456213500"/>
      <w:bookmarkStart w:id="196" w:name="_Toc459730788"/>
      <w:bookmarkStart w:id="197" w:name="_Toc463457913"/>
      <w:r>
        <w:rPr>
          <w:rFonts w:ascii="Arial" w:hAnsi="Arial" w:cs="Arial"/>
          <w:szCs w:val="24"/>
        </w:rPr>
        <w:t>evaluación de las propuestas técnicas: consideración de la calidad;</w:t>
      </w:r>
      <w:bookmarkEnd w:id="195"/>
      <w:bookmarkEnd w:id="196"/>
      <w:bookmarkEnd w:id="197"/>
    </w:p>
    <w:p>
      <w:pPr>
        <w:pStyle w:val="Paragraph"/>
        <w:numPr>
          <w:ilvl w:val="2"/>
          <w:numId w:val="28"/>
        </w:numPr>
        <w:autoSpaceDE w:val="0"/>
        <w:autoSpaceDN w:val="0"/>
        <w:adjustRightInd w:val="0"/>
        <w:ind w:left="810" w:right="624" w:hanging="360"/>
        <w:rPr>
          <w:rFonts w:ascii="Arial" w:hAnsi="Arial" w:cs="Arial"/>
          <w:szCs w:val="24"/>
        </w:rPr>
      </w:pPr>
      <w:bookmarkStart w:id="198" w:name="_Toc456213501"/>
      <w:bookmarkStart w:id="199" w:name="_Toc459730789"/>
      <w:bookmarkStart w:id="200" w:name="_Toc463457914"/>
      <w:r>
        <w:rPr>
          <w:rFonts w:ascii="Arial" w:hAnsi="Arial" w:cs="Arial"/>
          <w:szCs w:val="24"/>
        </w:rPr>
        <w:t>apertura pública de las propuestas de precio;</w:t>
      </w:r>
      <w:bookmarkEnd w:id="198"/>
      <w:bookmarkEnd w:id="199"/>
      <w:bookmarkEnd w:id="200"/>
    </w:p>
    <w:p>
      <w:pPr>
        <w:pStyle w:val="Paragraph"/>
        <w:numPr>
          <w:ilvl w:val="2"/>
          <w:numId w:val="28"/>
        </w:numPr>
        <w:autoSpaceDE w:val="0"/>
        <w:autoSpaceDN w:val="0"/>
        <w:adjustRightInd w:val="0"/>
        <w:ind w:left="810" w:right="624" w:hanging="360"/>
        <w:rPr>
          <w:rFonts w:ascii="Arial" w:hAnsi="Arial" w:cs="Arial"/>
          <w:szCs w:val="24"/>
        </w:rPr>
      </w:pPr>
      <w:bookmarkStart w:id="201" w:name="_Toc456213502"/>
      <w:bookmarkStart w:id="202" w:name="_Toc459730790"/>
      <w:bookmarkStart w:id="203" w:name="_Toc463457915"/>
      <w:r>
        <w:rPr>
          <w:rFonts w:ascii="Arial" w:hAnsi="Arial" w:cs="Arial"/>
          <w:szCs w:val="24"/>
        </w:rPr>
        <w:t>evaluación de la propuesta de precio;</w:t>
      </w:r>
      <w:bookmarkEnd w:id="201"/>
      <w:bookmarkEnd w:id="202"/>
      <w:bookmarkEnd w:id="203"/>
    </w:p>
    <w:p>
      <w:pPr>
        <w:pStyle w:val="Paragraph"/>
        <w:numPr>
          <w:ilvl w:val="2"/>
          <w:numId w:val="28"/>
        </w:numPr>
        <w:autoSpaceDE w:val="0"/>
        <w:autoSpaceDN w:val="0"/>
        <w:adjustRightInd w:val="0"/>
        <w:ind w:left="810" w:right="624" w:hanging="360"/>
        <w:rPr>
          <w:rFonts w:ascii="Arial" w:hAnsi="Arial" w:cs="Arial"/>
          <w:szCs w:val="24"/>
        </w:rPr>
      </w:pPr>
      <w:bookmarkStart w:id="204" w:name="_Toc456213503"/>
      <w:bookmarkStart w:id="205" w:name="_Toc459730791"/>
      <w:bookmarkStart w:id="206" w:name="_Toc463457916"/>
      <w:r>
        <w:rPr>
          <w:rFonts w:ascii="Arial" w:hAnsi="Arial" w:cs="Arial"/>
          <w:szCs w:val="24"/>
        </w:rPr>
        <w:t>evaluación final de calidad y costo; y</w:t>
      </w:r>
      <w:bookmarkEnd w:id="204"/>
      <w:bookmarkEnd w:id="205"/>
      <w:bookmarkEnd w:id="206"/>
    </w:p>
    <w:p>
      <w:pPr>
        <w:pStyle w:val="Paragraph"/>
        <w:numPr>
          <w:ilvl w:val="2"/>
          <w:numId w:val="28"/>
        </w:numPr>
        <w:autoSpaceDE w:val="0"/>
        <w:autoSpaceDN w:val="0"/>
        <w:adjustRightInd w:val="0"/>
        <w:ind w:left="810" w:right="624" w:hanging="360"/>
        <w:rPr>
          <w:rFonts w:ascii="Arial" w:hAnsi="Arial" w:cs="Arial"/>
          <w:szCs w:val="24"/>
        </w:rPr>
      </w:pPr>
      <w:bookmarkStart w:id="207" w:name="_Toc456213504"/>
      <w:bookmarkStart w:id="208" w:name="_Toc459730792"/>
      <w:bookmarkStart w:id="209" w:name="_Toc463457917"/>
      <w:r>
        <w:rPr>
          <w:rFonts w:ascii="Arial" w:hAnsi="Arial" w:cs="Arial"/>
          <w:szCs w:val="24"/>
        </w:rPr>
        <w:t>negociación y adjudicación del contrato a la firma seleccionada.</w:t>
      </w:r>
      <w:bookmarkEnd w:id="207"/>
      <w:bookmarkEnd w:id="208"/>
      <w:bookmarkEnd w:id="209"/>
    </w:p>
    <w:p>
      <w:pPr>
        <w:pStyle w:val="Prrafodelista1"/>
        <w:numPr>
          <w:ilvl w:val="1"/>
          <w:numId w:val="24"/>
        </w:numPr>
        <w:spacing w:before="0"/>
        <w:ind w:left="450" w:hanging="450"/>
        <w:rPr>
          <w:rFonts w:ascii="Arial" w:eastAsiaTheme="minorHAnsi" w:hAnsi="Arial" w:cs="Arial"/>
          <w:bCs/>
          <w:lang w:val="es-ES"/>
        </w:rPr>
      </w:pPr>
      <w:r>
        <w:rPr>
          <w:rFonts w:ascii="Arial" w:eastAsiaTheme="minorHAnsi" w:hAnsi="Arial" w:cs="Arial"/>
          <w:b/>
          <w:bCs/>
          <w:lang w:val="es-ES"/>
        </w:rPr>
        <w:t>Selección Basada en Calidad (“SBC”)</w:t>
      </w:r>
      <w:r>
        <w:rPr>
          <w:rFonts w:ascii="Arial" w:eastAsiaTheme="minorHAnsi" w:hAnsi="Arial" w:cs="Arial"/>
          <w:bCs/>
          <w:lang w:val="es-ES"/>
        </w:rPr>
        <w:t xml:space="preserve">. </w:t>
      </w:r>
      <w:bookmarkStart w:id="210" w:name="_Toc456213506"/>
      <w:r>
        <w:rPr>
          <w:rFonts w:ascii="Arial" w:hAnsi="Arial" w:cs="Arial"/>
        </w:rPr>
        <w:t>La SBC es apropiada para los tipos de trabajo siguientes:</w:t>
      </w:r>
      <w:bookmarkEnd w:id="210"/>
    </w:p>
    <w:p>
      <w:pPr>
        <w:pStyle w:val="Paragraph"/>
        <w:numPr>
          <w:ilvl w:val="2"/>
          <w:numId w:val="29"/>
        </w:numPr>
        <w:tabs>
          <w:tab w:val="left" w:pos="9270"/>
        </w:tabs>
        <w:autoSpaceDE w:val="0"/>
        <w:autoSpaceDN w:val="0"/>
        <w:adjustRightInd w:val="0"/>
        <w:ind w:left="810" w:right="29" w:hanging="360"/>
        <w:rPr>
          <w:rFonts w:ascii="Arial" w:hAnsi="Arial" w:cs="Arial"/>
          <w:szCs w:val="24"/>
        </w:rPr>
      </w:pPr>
      <w:bookmarkStart w:id="211" w:name="_Toc456213507"/>
      <w:bookmarkStart w:id="212" w:name="_Toc459730793"/>
      <w:bookmarkStart w:id="213" w:name="_Toc463457918"/>
      <w:r>
        <w:rPr>
          <w:rFonts w:ascii="Arial" w:hAnsi="Arial" w:cs="Arial"/>
          <w:szCs w:val="24"/>
        </w:rPr>
        <w:t>servicios complejos o altamente especializados, en que los TDR y la aportación que se requiere de los consultores resultan difíciles de precisar, y en que el contratante espera que los consultores demuestren innovación en sus propuestas (por ejemplo, estudios económicos o sectoriales de países, estudios de factibilidad multisectoriales, diseño de una planta de descontaminación y reducción de desechos peligrosos o un plan maestro de urbanización, reformas del sector financiero);</w:t>
      </w:r>
      <w:bookmarkEnd w:id="211"/>
      <w:bookmarkEnd w:id="212"/>
      <w:bookmarkEnd w:id="213"/>
    </w:p>
    <w:p>
      <w:pPr>
        <w:pStyle w:val="Paragraph"/>
        <w:numPr>
          <w:ilvl w:val="2"/>
          <w:numId w:val="29"/>
        </w:numPr>
        <w:tabs>
          <w:tab w:val="left" w:pos="9270"/>
        </w:tabs>
        <w:autoSpaceDE w:val="0"/>
        <w:autoSpaceDN w:val="0"/>
        <w:adjustRightInd w:val="0"/>
        <w:ind w:left="810" w:right="29" w:hanging="360"/>
        <w:rPr>
          <w:rFonts w:ascii="Arial" w:hAnsi="Arial" w:cs="Arial"/>
          <w:szCs w:val="24"/>
        </w:rPr>
      </w:pPr>
      <w:bookmarkStart w:id="214" w:name="_Toc456213508"/>
      <w:bookmarkStart w:id="215" w:name="_Toc459730794"/>
      <w:bookmarkStart w:id="216" w:name="_Toc463457919"/>
      <w:r>
        <w:rPr>
          <w:rFonts w:ascii="Arial" w:hAnsi="Arial" w:cs="Arial"/>
          <w:szCs w:val="24"/>
        </w:rPr>
        <w:lastRenderedPageBreak/>
        <w:t>servicios que tienen importantes repercusiones futuras y en los que el objetivo es contar con los mejores expertos (por ejemplo, estudios de factibilidad y diseño técnico estructural de importantes obras de infraestructura como grandes presas, estudios de políticas de importancia nacional, estudios sobre administración de grandes organismos públicos); y</w:t>
      </w:r>
      <w:bookmarkEnd w:id="214"/>
      <w:bookmarkEnd w:id="215"/>
      <w:bookmarkEnd w:id="216"/>
    </w:p>
    <w:p>
      <w:pPr>
        <w:pStyle w:val="Paragraph"/>
        <w:numPr>
          <w:ilvl w:val="2"/>
          <w:numId w:val="29"/>
        </w:numPr>
        <w:tabs>
          <w:tab w:val="left" w:pos="9270"/>
        </w:tabs>
        <w:autoSpaceDE w:val="0"/>
        <w:autoSpaceDN w:val="0"/>
        <w:adjustRightInd w:val="0"/>
        <w:ind w:left="810" w:right="29" w:hanging="360"/>
        <w:rPr>
          <w:rFonts w:ascii="Arial" w:hAnsi="Arial" w:cs="Arial"/>
          <w:szCs w:val="24"/>
        </w:rPr>
      </w:pPr>
      <w:bookmarkStart w:id="217" w:name="_Toc456213509"/>
      <w:bookmarkStart w:id="218" w:name="_Toc459730795"/>
      <w:bookmarkStart w:id="219" w:name="_Toc463457920"/>
      <w:r>
        <w:rPr>
          <w:rFonts w:ascii="Arial" w:hAnsi="Arial" w:cs="Arial"/>
          <w:szCs w:val="24"/>
        </w:rPr>
        <w:t>servicios que se pueden ejecutar en formas sustancialmente distintas, de manera que las propuestas no serían comparables (por ejemplo, asesoramiento en materia gerencial, y estudios sectoriales y de políticas en que el valor de los servicios depende de la calidad del análisis).</w:t>
      </w:r>
      <w:bookmarkEnd w:id="217"/>
      <w:bookmarkEnd w:id="218"/>
      <w:bookmarkEnd w:id="219"/>
    </w:p>
    <w:p>
      <w:pPr>
        <w:pStyle w:val="Paragraph"/>
        <w:numPr>
          <w:ilvl w:val="1"/>
          <w:numId w:val="24"/>
        </w:numPr>
        <w:tabs>
          <w:tab w:val="left" w:pos="9270"/>
        </w:tabs>
        <w:autoSpaceDE w:val="0"/>
        <w:autoSpaceDN w:val="0"/>
        <w:adjustRightInd w:val="0"/>
        <w:ind w:left="450" w:right="29"/>
        <w:rPr>
          <w:rFonts w:ascii="Arial" w:hAnsi="Arial" w:cs="Arial"/>
          <w:szCs w:val="24"/>
        </w:rPr>
      </w:pPr>
      <w:bookmarkStart w:id="220" w:name="_Toc456213510"/>
      <w:bookmarkStart w:id="221" w:name="_Toc459730796"/>
      <w:bookmarkStart w:id="222" w:name="_Toc463457921"/>
      <w:r>
        <w:rPr>
          <w:rFonts w:ascii="Arial" w:hAnsi="Arial" w:cs="Arial"/>
          <w:szCs w:val="24"/>
        </w:rPr>
        <w:t>Cuando la selección se haga sobre la base de la calidad, en la SP se podrá pedir únicamente la presentación de una propuesta técnica (sin una propuesta de precio), o se podrá pedir la presentación simultánea de propuestas técnicas y de precio, pero en sobres separados (sistema de dos sobres). En la SP se dará información sobre el presupuesto estimado o una estimación del tiempo de trabajo del personal clave, especificando que esa información sólo se da a título indicativo y que los consultores deben tener libertad de proponer sus propias estimaciones.</w:t>
      </w:r>
      <w:bookmarkEnd w:id="220"/>
      <w:bookmarkEnd w:id="221"/>
      <w:bookmarkEnd w:id="222"/>
    </w:p>
    <w:p>
      <w:pPr>
        <w:pStyle w:val="Paragraph"/>
        <w:numPr>
          <w:ilvl w:val="1"/>
          <w:numId w:val="24"/>
        </w:numPr>
        <w:tabs>
          <w:tab w:val="left" w:pos="9270"/>
        </w:tabs>
        <w:autoSpaceDE w:val="0"/>
        <w:autoSpaceDN w:val="0"/>
        <w:adjustRightInd w:val="0"/>
        <w:ind w:left="450" w:right="29"/>
        <w:rPr>
          <w:rFonts w:ascii="Arial" w:hAnsi="Arial" w:cs="Arial"/>
          <w:szCs w:val="24"/>
        </w:rPr>
      </w:pPr>
      <w:bookmarkStart w:id="223" w:name="_Toc459730797"/>
      <w:bookmarkStart w:id="224" w:name="_Toc463457922"/>
      <w:r>
        <w:rPr>
          <w:rFonts w:ascii="Arial" w:eastAsiaTheme="minorHAnsi" w:hAnsi="Arial" w:cs="Arial"/>
          <w:b/>
          <w:bCs/>
        </w:rPr>
        <w:t xml:space="preserve">Selección Basada en Presupuesto Fijo (“SBPF”). </w:t>
      </w:r>
      <w:bookmarkStart w:id="225" w:name="_Toc456213512"/>
      <w:r>
        <w:rPr>
          <w:rFonts w:ascii="Arial" w:hAnsi="Arial" w:cs="Arial"/>
          <w:szCs w:val="24"/>
        </w:rPr>
        <w:t>Este método es apropiado sólo cuando el trabajo es sencillo y se puede definir con precisión, y cuando el presupuesto es fijo. En la SP se debe indicar el presupuesto disponible y pedir a los consultores que presenten, en sobres separados, sus mejores propuestas técnicas y de precio dentro de los límites del presupuesto. Los TDR se deben preparar con especial cuidado a fin de garantizar que el presupuesto sea suficiente para que los consultores realicen los servicios previstos. Primero se deben evaluar todas las propuestas técnicas, tal como se indica en el método de SBCC. Luego, se debe proceder a abrir en público los sobres con los precios, los que deben ser leídos en voz alta. Las propuestas que excedan al presupuesto indicado deben ser rechazadas. El consultor que haya presentado la propuesta técnica mejor clasificada de todas debe ser seleccionado e invitado a negociar un contrato.</w:t>
      </w:r>
      <w:bookmarkEnd w:id="223"/>
      <w:bookmarkEnd w:id="224"/>
      <w:bookmarkEnd w:id="225"/>
    </w:p>
    <w:p>
      <w:pPr>
        <w:pStyle w:val="Paragraph"/>
        <w:numPr>
          <w:ilvl w:val="1"/>
          <w:numId w:val="24"/>
        </w:numPr>
        <w:tabs>
          <w:tab w:val="left" w:pos="9270"/>
        </w:tabs>
        <w:autoSpaceDE w:val="0"/>
        <w:autoSpaceDN w:val="0"/>
        <w:adjustRightInd w:val="0"/>
        <w:ind w:left="450" w:right="29"/>
        <w:rPr>
          <w:rFonts w:ascii="Arial" w:hAnsi="Arial" w:cs="Arial"/>
          <w:szCs w:val="24"/>
        </w:rPr>
      </w:pPr>
      <w:bookmarkStart w:id="226" w:name="_Toc459730798"/>
      <w:bookmarkStart w:id="227" w:name="_Toc463457923"/>
      <w:r>
        <w:rPr>
          <w:rFonts w:ascii="Arial" w:eastAsiaTheme="minorHAnsi" w:hAnsi="Arial" w:cs="Arial"/>
          <w:b/>
          <w:bCs/>
        </w:rPr>
        <w:t>Selección Basada en el Menor Costo (“SBMC”)</w:t>
      </w:r>
      <w:r>
        <w:rPr>
          <w:rFonts w:ascii="Arial" w:eastAsiaTheme="minorHAnsi" w:hAnsi="Arial" w:cs="Arial"/>
          <w:bCs/>
        </w:rPr>
        <w:t xml:space="preserve">. </w:t>
      </w:r>
      <w:bookmarkStart w:id="228" w:name="_Toc456213514"/>
      <w:r>
        <w:rPr>
          <w:rFonts w:ascii="Arial" w:hAnsi="Arial" w:cs="Arial"/>
          <w:szCs w:val="24"/>
        </w:rPr>
        <w:t>Este método es solamente apropiado para seleccionar consultores que hayan de realizar servicios de tipo estándar o rutinario (por ejemplo, el diseño técnico de obras poco complejas y otros similares) para los que existen prácticas y normas bien establecidas. En este método se establece una calificación “mínima” para la “calidad”. Se invita a los consultores que integran una lista corta a presentar propuestas en dos sobres separados. Primero se abren los sobres con las propuestas técnicas, las que se evalúan. Aquellas que obtienen menos del puntaje mínimo se rechazan, y los sobres con las propuestas de precio de los consultores restantes se abren en público. A continuación se selecciona la firma que ofrece el precio más bajo y se publica la adjudicación del contrato</w:t>
      </w:r>
      <w:bookmarkEnd w:id="226"/>
      <w:bookmarkEnd w:id="227"/>
      <w:bookmarkEnd w:id="228"/>
    </w:p>
    <w:p>
      <w:pPr>
        <w:pStyle w:val="Prrafodelista1"/>
        <w:numPr>
          <w:ilvl w:val="1"/>
          <w:numId w:val="24"/>
        </w:numPr>
        <w:tabs>
          <w:tab w:val="left" w:pos="450"/>
        </w:tabs>
        <w:spacing w:before="0"/>
        <w:ind w:left="450" w:right="29" w:hanging="450"/>
        <w:rPr>
          <w:rFonts w:ascii="Arial" w:eastAsiaTheme="minorHAnsi" w:hAnsi="Arial" w:cs="Arial"/>
          <w:bCs/>
          <w:lang w:val="es-ES"/>
        </w:rPr>
      </w:pPr>
      <w:r>
        <w:rPr>
          <w:rFonts w:ascii="Arial" w:eastAsiaTheme="minorHAnsi" w:hAnsi="Arial" w:cs="Arial"/>
          <w:b/>
          <w:bCs/>
          <w:lang w:val="es-ES"/>
        </w:rPr>
        <w:t>Selección Basada en las Calificaciones de los Consultores (“SCC”)</w:t>
      </w:r>
      <w:r>
        <w:rPr>
          <w:rFonts w:ascii="Arial" w:eastAsiaTheme="minorHAnsi" w:hAnsi="Arial" w:cs="Arial"/>
          <w:bCs/>
          <w:lang w:val="es-ES"/>
        </w:rPr>
        <w:t xml:space="preserve">. </w:t>
      </w:r>
      <w:r>
        <w:rPr>
          <w:rFonts w:ascii="Arial" w:eastAsiaTheme="minorHAnsi" w:hAnsi="Arial" w:cs="Arial"/>
          <w:bCs/>
        </w:rPr>
        <w:t>Este método se puede utilizar para servicios menores</w:t>
      </w:r>
      <w:r>
        <w:rPr>
          <w:rStyle w:val="FootnoteReference"/>
          <w:rFonts w:ascii="Arial" w:eastAsiaTheme="minorHAnsi" w:hAnsi="Arial" w:cs="Arial"/>
          <w:bCs/>
        </w:rPr>
        <w:footnoteReference w:id="8"/>
      </w:r>
      <w:r>
        <w:rPr>
          <w:rFonts w:ascii="Arial" w:eastAsiaTheme="minorHAnsi" w:hAnsi="Arial" w:cs="Arial"/>
          <w:bCs/>
        </w:rPr>
        <w:t xml:space="preserve"> para los cuales no se justifica ni la preparación ni la evaluación de propuestas competitivas. En tales casos, el Prestatario preparará los TR, solicitará expresiones de interés e información sobre la experiencia y la competencia de los consultores en lo que respecta al trabajo, </w:t>
      </w:r>
      <w:r>
        <w:rPr>
          <w:rFonts w:ascii="Arial" w:eastAsiaTheme="minorHAnsi" w:hAnsi="Arial" w:cs="Arial"/>
          <w:bCs/>
        </w:rPr>
        <w:lastRenderedPageBreak/>
        <w:t xml:space="preserve">confeccionará una lista corta y seleccionará a la firma que tenga las calificaciones y las referencias más apropiadas. Se pedirá a la firma seleccionada que presente </w:t>
      </w:r>
      <w:r>
        <w:rPr>
          <w:rFonts w:ascii="Arial" w:eastAsiaTheme="minorHAnsi" w:hAnsi="Arial" w:cs="Arial"/>
          <w:bCs/>
          <w:i/>
        </w:rPr>
        <w:t>una</w:t>
      </w:r>
      <w:r>
        <w:rPr>
          <w:rFonts w:ascii="Arial" w:eastAsiaTheme="minorHAnsi" w:hAnsi="Arial" w:cs="Arial"/>
          <w:bCs/>
        </w:rPr>
        <w:t xml:space="preserve"> propuesta técnica conjuntamente con una propuesta de precio y se la invitará luego a negociar el contrato.</w:t>
      </w:r>
    </w:p>
    <w:p>
      <w:pPr>
        <w:pStyle w:val="Prrafodelista1"/>
        <w:numPr>
          <w:ilvl w:val="1"/>
          <w:numId w:val="24"/>
        </w:numPr>
        <w:tabs>
          <w:tab w:val="left" w:pos="450"/>
        </w:tabs>
        <w:spacing w:before="0"/>
        <w:ind w:left="450" w:right="29" w:hanging="450"/>
        <w:rPr>
          <w:rFonts w:ascii="Arial" w:eastAsiaTheme="minorHAnsi" w:hAnsi="Arial" w:cs="Arial"/>
          <w:bCs/>
          <w:lang w:val="es-ES"/>
        </w:rPr>
      </w:pPr>
      <w:r>
        <w:rPr>
          <w:rFonts w:ascii="Arial" w:eastAsiaTheme="minorHAnsi" w:hAnsi="Arial" w:cs="Arial"/>
          <w:b/>
          <w:bCs/>
          <w:lang w:val="es-ES"/>
        </w:rPr>
        <w:t>Selección Directa (“SD”)</w:t>
      </w:r>
      <w:r>
        <w:rPr>
          <w:rFonts w:ascii="Arial" w:eastAsiaTheme="minorHAnsi" w:hAnsi="Arial" w:cs="Arial"/>
          <w:bCs/>
          <w:lang w:val="es-ES"/>
        </w:rPr>
        <w:t>.</w:t>
      </w:r>
      <w:bookmarkStart w:id="229" w:name="_Toc456213518"/>
      <w:r>
        <w:rPr>
          <w:rFonts w:ascii="Arial" w:hAnsi="Arial" w:cs="Arial"/>
        </w:rPr>
        <w:t>La SD no ofrece los beneficios de la competencia en lo que respecta a la calidad y el costo y carece de transparencia, lo que podría promover prácticas inaceptables. Por consiguiente, sólo se utilizará en casos excepcionales, es decir, cuando se presenta una clara ventaja sobre el proceso competitivo: (a) en el caso de servicios que constituyen una continuación natural de servicios realizados anteriormente por la firma (véase el párrafo que sigue); (b) si se trata de operaciones de emergencia en respuesta a desastres y de servicios de consultoría necesarios por el plazo de tiempo inmediato después de la emergencia; (c) para servicios muy pequeños</w:t>
      </w:r>
      <w:r>
        <w:rPr>
          <w:rFonts w:ascii="Arial" w:hAnsi="Arial" w:cs="Arial"/>
          <w:vertAlign w:val="superscript"/>
        </w:rPr>
        <w:footnoteReference w:id="9"/>
      </w:r>
      <w:r>
        <w:rPr>
          <w:rFonts w:ascii="Arial" w:hAnsi="Arial" w:cs="Arial"/>
        </w:rPr>
        <w:t>; o (d) cuando solamente una firma está calificada o tiene experiencia de valor excepcional para los servicios. En todos los casos deberá estar completamente justificada en el marco de la política de adquisiciones (Documento GN-2350-9 de marzo 2011, Políticas para la Selección y Contratación de Consultores Financiados por el Banco Interamericano de Desarrollo).</w:t>
      </w:r>
      <w:bookmarkStart w:id="230" w:name="_Toc290397759"/>
      <w:bookmarkStart w:id="231" w:name="_Toc290397761"/>
      <w:bookmarkStart w:id="232" w:name="_Toc290395381"/>
      <w:bookmarkStart w:id="233" w:name="_Toc290397762"/>
      <w:bookmarkStart w:id="234" w:name="_Toc290397764"/>
      <w:bookmarkEnd w:id="229"/>
      <w:bookmarkEnd w:id="230"/>
      <w:bookmarkEnd w:id="231"/>
      <w:bookmarkEnd w:id="232"/>
      <w:bookmarkEnd w:id="233"/>
      <w:bookmarkEnd w:id="234"/>
    </w:p>
    <w:p>
      <w:pPr>
        <w:pStyle w:val="Prrafodelista1"/>
        <w:tabs>
          <w:tab w:val="clear" w:pos="720"/>
          <w:tab w:val="left" w:pos="450"/>
        </w:tabs>
        <w:spacing w:before="0"/>
        <w:ind w:left="0" w:right="29" w:firstLine="0"/>
        <w:rPr>
          <w:rFonts w:ascii="Arial" w:eastAsiaTheme="minorHAnsi" w:hAnsi="Arial" w:cs="Arial"/>
          <w:b/>
          <w:bCs/>
          <w:lang w:val="es-ES"/>
        </w:rPr>
      </w:pPr>
      <w:r>
        <w:rPr>
          <w:rFonts w:ascii="Arial" w:eastAsiaTheme="minorHAnsi" w:hAnsi="Arial" w:cs="Arial"/>
          <w:b/>
          <w:bCs/>
          <w:lang w:val="es-ES"/>
        </w:rPr>
        <w:t xml:space="preserve">A.3 Proceso de selección de consultores individuales. </w:t>
      </w:r>
    </w:p>
    <w:p>
      <w:pPr>
        <w:pStyle w:val="Prrafodelista1"/>
        <w:numPr>
          <w:ilvl w:val="1"/>
          <w:numId w:val="24"/>
        </w:numPr>
        <w:tabs>
          <w:tab w:val="left" w:pos="450"/>
        </w:tabs>
        <w:ind w:left="450" w:right="29"/>
        <w:rPr>
          <w:rFonts w:ascii="Arial" w:eastAsiaTheme="minorHAnsi" w:hAnsi="Arial" w:cs="Arial"/>
          <w:bCs/>
          <w:lang w:val="es-ES"/>
        </w:rPr>
      </w:pPr>
      <w:r>
        <w:rPr>
          <w:rFonts w:ascii="Arial" w:eastAsiaTheme="minorHAnsi" w:hAnsi="Arial" w:cs="Arial"/>
          <w:bCs/>
          <w:lang w:val="es-ES"/>
        </w:rPr>
        <w:t>Normalmente se emplea a consultores individuales para servicios para los que: (a) no se necesitan equipos de personal; (b) no se necesita apoyo profesional adicional externo (de la oficina central); y (c) la experiencia y las calificaciones de la persona son los requisitos primordiales. Si debido al alto número de consultores individuales la coordinación, la administración o la responsabilidad colectiva se hicieran difíciles, sería preferible contratar a una firma de consultores.</w:t>
      </w:r>
    </w:p>
    <w:p>
      <w:pPr>
        <w:pStyle w:val="Prrafodelista1"/>
        <w:numPr>
          <w:ilvl w:val="1"/>
          <w:numId w:val="24"/>
        </w:numPr>
        <w:tabs>
          <w:tab w:val="left" w:pos="450"/>
        </w:tabs>
        <w:spacing w:before="0"/>
        <w:ind w:left="450" w:right="29"/>
        <w:rPr>
          <w:rFonts w:ascii="Arial" w:eastAsiaTheme="minorHAnsi" w:hAnsi="Arial" w:cs="Arial"/>
          <w:bCs/>
          <w:lang w:val="es-ES"/>
        </w:rPr>
      </w:pPr>
      <w:r>
        <w:rPr>
          <w:rFonts w:ascii="Arial" w:eastAsiaTheme="minorHAnsi" w:hAnsi="Arial" w:cs="Arial"/>
          <w:bCs/>
          <w:lang w:val="es-ES"/>
        </w:rPr>
        <w:t>La selección de consultores individuales se hace teniendo en cuenta sus calificaciones para realizar el trabajo. No se requiere publicación</w:t>
      </w:r>
      <w:r>
        <w:rPr>
          <w:rStyle w:val="FootnoteReference"/>
          <w:rFonts w:ascii="Arial" w:eastAsiaTheme="minorHAnsi" w:hAnsi="Arial" w:cs="Arial"/>
          <w:bCs/>
          <w:lang w:val="es-ES"/>
        </w:rPr>
        <w:footnoteReference w:id="10"/>
      </w:r>
      <w:r>
        <w:rPr>
          <w:rFonts w:ascii="Arial" w:eastAsiaTheme="minorHAnsi" w:hAnsi="Arial" w:cs="Arial"/>
          <w:bCs/>
          <w:lang w:val="es-ES"/>
        </w:rPr>
        <w:t xml:space="preserve"> y los consultores no necesitan presentar propuestas. Se pueden seleccionar sobre la base de la comparación de las calificaciones de por lo menos 3 candidatos entre quienes hayan expresado interés en el trabajo, o bien hayan sido contactados directamente por el Prestatario. Las personas consideradas en la comparación de calificaciones deben cumplir con las calificaciones mínimas pertinentes y los que se seleccionen para ser contratados por el Prestatario deben ser los mejor calificados y deben ser plenamente capaces de realizar el trabajo. La capacidad de los consultores se juzgará sobre la base de sus antecedentes académicos, su experiencia y, si corresponde, su conocimiento de las condiciones locales, como el idioma, la cultura, el sistema administrativo y la organización del gobierno.</w:t>
      </w:r>
    </w:p>
    <w:p>
      <w:pPr>
        <w:pStyle w:val="Prrafodelista1"/>
        <w:tabs>
          <w:tab w:val="clear" w:pos="720"/>
          <w:tab w:val="left" w:pos="450"/>
        </w:tabs>
        <w:spacing w:before="0"/>
        <w:ind w:left="450" w:right="29" w:firstLine="0"/>
        <w:rPr>
          <w:rFonts w:ascii="Arial" w:eastAsiaTheme="minorHAnsi" w:hAnsi="Arial" w:cs="Arial"/>
          <w:bCs/>
          <w:lang w:val="es-ES"/>
        </w:rPr>
      </w:pPr>
    </w:p>
    <w:p>
      <w:pPr>
        <w:pStyle w:val="Prrafodelista1"/>
        <w:numPr>
          <w:ilvl w:val="1"/>
          <w:numId w:val="24"/>
        </w:numPr>
        <w:spacing w:before="0"/>
        <w:ind w:left="450" w:hanging="450"/>
        <w:rPr>
          <w:rFonts w:ascii="Arial" w:eastAsiaTheme="minorHAnsi" w:hAnsi="Arial" w:cs="Arial"/>
          <w:b/>
          <w:bCs/>
          <w:lang w:val="es-ES"/>
        </w:rPr>
      </w:pPr>
      <w:r>
        <w:rPr>
          <w:rFonts w:ascii="Arial" w:eastAsiaTheme="minorHAnsi" w:hAnsi="Arial" w:cs="Arial"/>
          <w:b/>
          <w:bCs/>
          <w:lang w:val="es-ES"/>
        </w:rPr>
        <w:t xml:space="preserve">Revisión y archivos. </w:t>
      </w:r>
      <w:r>
        <w:rPr>
          <w:rFonts w:ascii="Arial" w:eastAsiaTheme="minorHAnsi" w:hAnsi="Arial" w:cs="Arial"/>
          <w:lang w:val="es-ES"/>
        </w:rPr>
        <w:t>El OE mantendrá un sistema de archivo central estandarizado con sus respectivos procedimientos con documentación original. Para la preparación y archivo de los reportes del proyecto se deben utilizar los formatos o procedimientos que han sido acordados por la UCP. Los originales son archivados por la UCP, de acuerdo al tipo de documentación, técnica o financiera.</w:t>
      </w:r>
    </w:p>
    <w:p>
      <w:pPr>
        <w:pStyle w:val="Prrafodelista1"/>
        <w:numPr>
          <w:ilvl w:val="1"/>
          <w:numId w:val="24"/>
        </w:numPr>
        <w:spacing w:before="0"/>
        <w:ind w:left="450" w:hanging="450"/>
        <w:rPr>
          <w:rFonts w:ascii="Arial" w:eastAsiaTheme="minorHAnsi" w:hAnsi="Arial" w:cs="Arial"/>
          <w:bCs/>
          <w:lang w:val="es-ES"/>
        </w:rPr>
      </w:pPr>
      <w:r>
        <w:rPr>
          <w:rFonts w:ascii="Arial" w:eastAsiaTheme="minorHAnsi" w:hAnsi="Arial" w:cs="Arial"/>
          <w:bCs/>
          <w:lang w:val="es-ES"/>
        </w:rPr>
        <w:lastRenderedPageBreak/>
        <w:t xml:space="preserve">Los procesos de contratación de obras y bienes, así como los procesos de selección de servicios de consultoría, se efectuarán de modo de garantizar una amplia participación del mercado y prestar debida atención a los aspectos de economía, eficiencia y razonabilidad de precios. No se podrán introducir disposiciones o condiciones que restrinjan o impidan la participación de prestatarios, contratistas, firmas consultoras o consultores individuales originarios de los países miembros del Banco, a excepción de que se acuerde expresamente, y excepcionalmente, entre el Banco y el OE. </w:t>
      </w:r>
    </w:p>
    <w:p>
      <w:pPr>
        <w:pStyle w:val="Prrafodelista1"/>
        <w:tabs>
          <w:tab w:val="clear" w:pos="720"/>
        </w:tabs>
        <w:spacing w:before="0"/>
        <w:ind w:firstLine="0"/>
        <w:rPr>
          <w:rFonts w:ascii="Arial" w:hAnsi="Arial" w:cs="Arial"/>
          <w:lang w:val="es-ES" w:eastAsia="es-AR"/>
        </w:rPr>
      </w:pPr>
    </w:p>
    <w:p>
      <w:pPr>
        <w:pStyle w:val="Heading2"/>
        <w:keepLines w:val="0"/>
        <w:numPr>
          <w:ilvl w:val="0"/>
          <w:numId w:val="1"/>
        </w:numPr>
        <w:spacing w:before="180" w:after="120" w:line="240" w:lineRule="auto"/>
        <w:ind w:left="450" w:hanging="450"/>
        <w:rPr>
          <w:rFonts w:ascii="Arial" w:hAnsi="Arial" w:cs="Arial"/>
          <w:color w:val="auto"/>
          <w:sz w:val="24"/>
          <w:szCs w:val="24"/>
        </w:rPr>
      </w:pPr>
      <w:bookmarkStart w:id="235" w:name="_Toc455161600"/>
      <w:bookmarkStart w:id="236" w:name="_Toc455161604"/>
      <w:bookmarkStart w:id="237" w:name="_Toc298344905"/>
      <w:bookmarkStart w:id="238" w:name="_Toc309677460"/>
      <w:bookmarkStart w:id="239" w:name="_Toc456877272"/>
      <w:bookmarkStart w:id="240" w:name="_Toc463457924"/>
      <w:bookmarkStart w:id="241" w:name="_Toc48461730"/>
      <w:bookmarkStart w:id="242" w:name="_Toc106996775"/>
      <w:bookmarkStart w:id="243" w:name="_Toc108506439"/>
      <w:bookmarkStart w:id="244" w:name="_Toc110493066"/>
      <w:bookmarkStart w:id="245" w:name="_Toc134589635"/>
      <w:bookmarkStart w:id="246" w:name="_Ref143411521"/>
      <w:bookmarkStart w:id="247" w:name="_Toc146514760"/>
      <w:bookmarkStart w:id="248" w:name="_Toc298344898"/>
      <w:bookmarkStart w:id="249" w:name="_Ref144221119"/>
      <w:bookmarkStart w:id="250" w:name="_Ref145272720"/>
      <w:bookmarkStart w:id="251" w:name="_Toc146514759"/>
      <w:bookmarkStart w:id="252" w:name="_Toc298344907"/>
      <w:bookmarkStart w:id="253" w:name="_Toc309677389"/>
      <w:bookmarkStart w:id="254" w:name="_Toc309677475"/>
      <w:bookmarkStart w:id="255" w:name="_Toc44486412"/>
      <w:bookmarkStart w:id="256" w:name="_Toc48461743"/>
      <w:bookmarkStart w:id="257" w:name="_Toc106996782"/>
      <w:bookmarkStart w:id="258" w:name="_Toc106996918"/>
      <w:bookmarkStart w:id="259" w:name="_Toc108506445"/>
      <w:bookmarkStart w:id="260" w:name="_Toc110493073"/>
      <w:bookmarkStart w:id="261" w:name="_Toc134589642"/>
      <w:bookmarkEnd w:id="235"/>
      <w:bookmarkEnd w:id="236"/>
      <w:r>
        <w:rPr>
          <w:rFonts w:ascii="Arial" w:hAnsi="Arial" w:cs="Arial"/>
          <w:color w:val="auto"/>
          <w:sz w:val="24"/>
          <w:szCs w:val="24"/>
        </w:rPr>
        <w:t>ADMINISTRACIÓN FINANCIERA</w:t>
      </w:r>
      <w:bookmarkEnd w:id="237"/>
      <w:bookmarkEnd w:id="238"/>
      <w:bookmarkEnd w:id="239"/>
      <w:bookmarkEnd w:id="240"/>
    </w:p>
    <w:p>
      <w:pPr>
        <w:pStyle w:val="Prrafodelista1"/>
        <w:numPr>
          <w:ilvl w:val="1"/>
          <w:numId w:val="24"/>
        </w:numPr>
        <w:tabs>
          <w:tab w:val="left" w:pos="360"/>
          <w:tab w:val="left" w:pos="450"/>
        </w:tabs>
        <w:spacing w:before="0"/>
        <w:ind w:left="450" w:hanging="450"/>
        <w:rPr>
          <w:rFonts w:ascii="Arial" w:hAnsi="Arial" w:cs="Arial"/>
          <w:lang w:val="es-ES_tradnl" w:eastAsia="es-AR"/>
        </w:rPr>
      </w:pPr>
      <w:bookmarkStart w:id="262" w:name="_Ref450303135"/>
      <w:r>
        <w:rPr>
          <w:rFonts w:ascii="Arial" w:hAnsi="Arial" w:cs="Arial"/>
          <w:b/>
          <w:lang w:eastAsia="es-AR"/>
        </w:rPr>
        <w:t>Sistema de Administración Financiera</w:t>
      </w:r>
      <w:r>
        <w:rPr>
          <w:rFonts w:ascii="Arial" w:hAnsi="Arial" w:cs="Arial"/>
          <w:lang w:eastAsia="es-AR"/>
        </w:rPr>
        <w:t>. El ejecutor utilizará el sistema UEPEX como sistema de administración financiera. El registro de la contabilidad se hará en base de caja y se seguirán las Normas Internacionales de Información Financiera (“NIIF”) cuando aplique de acuerdo a los criterios nacionales establecidos. Los informes financieros requeridos serán: (i) Plan de Ejecución Financiera para hasta 180 días posteriores a la solicitud de anticipos, (ii) Estados Financieros anuales auditados, y (iii) otros informes a ser requeridos por los especialistas fiduciarios.</w:t>
      </w:r>
    </w:p>
    <w:p>
      <w:pPr>
        <w:pStyle w:val="Prrafodelista1"/>
        <w:numPr>
          <w:ilvl w:val="1"/>
          <w:numId w:val="24"/>
        </w:numPr>
        <w:tabs>
          <w:tab w:val="left" w:pos="360"/>
          <w:tab w:val="left" w:pos="450"/>
        </w:tabs>
        <w:spacing w:before="0"/>
        <w:ind w:left="450" w:hanging="450"/>
        <w:rPr>
          <w:rFonts w:ascii="Arial" w:hAnsi="Arial" w:cs="Arial"/>
          <w:lang w:eastAsia="es-AR"/>
        </w:rPr>
      </w:pPr>
      <w:r>
        <w:rPr>
          <w:rFonts w:ascii="Arial" w:hAnsi="Arial" w:cs="Arial"/>
          <w:b/>
          <w:lang w:eastAsia="es-AR"/>
        </w:rPr>
        <w:t>Anticipos</w:t>
      </w:r>
      <w:r>
        <w:rPr>
          <w:rFonts w:ascii="Arial" w:hAnsi="Arial" w:cs="Arial"/>
          <w:lang w:eastAsia="es-AR"/>
        </w:rPr>
        <w:t xml:space="preserve">. Los anticipos serán depositados en una cuenta especial del Banco Nación exclusiva del Programa administrada por el OE. El ejecutor deberá llevar un estricto y adecuado control sobre la utilización de los fondos del anticipo con mecanismos que permitan verificar y conciliar los saldos disponibles que surjan de sus registros con los que por iguales conceptos surgen de los registros del Banco (Reporte </w:t>
      </w:r>
      <w:smartTag w:uri="urn:schemas-microsoft-com:office:smarttags" w:element="stockticker">
        <w:r>
          <w:rPr>
            <w:rFonts w:ascii="Arial" w:hAnsi="Arial" w:cs="Arial"/>
            <w:lang w:eastAsia="es-AR"/>
          </w:rPr>
          <w:t>LMS</w:t>
        </w:r>
      </w:smartTag>
      <w:r>
        <w:rPr>
          <w:rFonts w:ascii="Arial" w:hAnsi="Arial" w:cs="Arial"/>
          <w:lang w:eastAsia="es-AR"/>
        </w:rPr>
        <w:t xml:space="preserve">1). </w:t>
      </w:r>
      <w:bookmarkEnd w:id="262"/>
    </w:p>
    <w:p>
      <w:pPr>
        <w:pStyle w:val="Prrafodelista1"/>
        <w:numPr>
          <w:ilvl w:val="1"/>
          <w:numId w:val="24"/>
        </w:numPr>
        <w:tabs>
          <w:tab w:val="left" w:pos="360"/>
          <w:tab w:val="left" w:pos="450"/>
        </w:tabs>
        <w:spacing w:before="0"/>
        <w:ind w:left="450" w:hanging="450"/>
        <w:rPr>
          <w:rFonts w:ascii="Arial" w:hAnsi="Arial" w:cs="Arial"/>
          <w:lang w:eastAsia="es-AR"/>
        </w:rPr>
      </w:pPr>
      <w:r>
        <w:rPr>
          <w:rFonts w:ascii="Arial" w:hAnsi="Arial" w:cs="Arial"/>
          <w:b/>
          <w:lang w:val="es-ES_tradnl" w:eastAsia="es-AR"/>
        </w:rPr>
        <w:t xml:space="preserve">Modalidad de recursos. </w:t>
      </w:r>
      <w:r>
        <w:rPr>
          <w:rFonts w:ascii="Arial" w:hAnsi="Arial" w:cs="Arial"/>
          <w:lang w:val="es-ES_tradnl" w:eastAsia="es-AR"/>
        </w:rPr>
        <w:t xml:space="preserve">Los recursos asignados a este Programa, provenientes del Contrato de Préstamo y los fondos de contrapartida local, serán utilizados por le OE, por si o a través de la UCP, para los propósitos indicados, constatando periódicamente el cumplimiento de </w:t>
      </w:r>
      <w:bookmarkStart w:id="263" w:name="_Toc309677387"/>
      <w:bookmarkStart w:id="264" w:name="_Toc309677461"/>
      <w:r>
        <w:rPr>
          <w:rFonts w:ascii="Arial" w:hAnsi="Arial" w:cs="Arial"/>
          <w:lang w:val="es-ES_tradnl" w:eastAsia="es-AR"/>
        </w:rPr>
        <w:t>las condiciones pactadas y estipuladas en los respectivos procesos de formalización (Convenios Marco de Adhesión o Protocolos Específicos).</w:t>
      </w:r>
    </w:p>
    <w:p>
      <w:pPr>
        <w:spacing w:after="120"/>
        <w:rPr>
          <w:rFonts w:ascii="Arial" w:eastAsia="Times New Roman" w:hAnsi="Arial" w:cs="Arial"/>
          <w:b/>
          <w:color w:val="auto"/>
          <w:sz w:val="24"/>
          <w:szCs w:val="24"/>
          <w:lang w:val="es-ES_tradnl" w:eastAsia="es-AR"/>
        </w:rPr>
      </w:pPr>
    </w:p>
    <w:p>
      <w:pPr>
        <w:pStyle w:val="Heading1"/>
        <w:numPr>
          <w:ilvl w:val="0"/>
          <w:numId w:val="2"/>
        </w:numPr>
        <w:pBdr>
          <w:bottom w:val="single" w:sz="4" w:space="1" w:color="365F91" w:themeColor="accent1" w:themeShade="BF"/>
        </w:pBdr>
        <w:tabs>
          <w:tab w:val="left" w:pos="567"/>
        </w:tabs>
        <w:spacing w:before="0"/>
        <w:ind w:left="450" w:hanging="450"/>
        <w:jc w:val="both"/>
        <w:rPr>
          <w:rFonts w:ascii="Arial" w:hAnsi="Arial" w:cs="Arial"/>
          <w:color w:val="365F91" w:themeColor="accent1" w:themeShade="BF"/>
          <w:sz w:val="24"/>
          <w:szCs w:val="24"/>
          <w:lang w:val="es-AR"/>
        </w:rPr>
      </w:pPr>
      <w:bookmarkStart w:id="265" w:name="_Toc463457926"/>
      <w:bookmarkEnd w:id="241"/>
      <w:bookmarkEnd w:id="242"/>
      <w:bookmarkEnd w:id="243"/>
      <w:bookmarkEnd w:id="244"/>
      <w:bookmarkEnd w:id="245"/>
      <w:bookmarkEnd w:id="246"/>
      <w:bookmarkEnd w:id="247"/>
      <w:bookmarkEnd w:id="248"/>
      <w:bookmarkEnd w:id="249"/>
      <w:bookmarkEnd w:id="250"/>
      <w:bookmarkEnd w:id="251"/>
      <w:bookmarkEnd w:id="263"/>
      <w:bookmarkEnd w:id="264"/>
      <w:r>
        <w:rPr>
          <w:rFonts w:ascii="Arial" w:hAnsi="Arial" w:cs="Arial"/>
          <w:color w:val="365F91" w:themeColor="accent1" w:themeShade="BF"/>
          <w:sz w:val="24"/>
          <w:szCs w:val="24"/>
          <w:lang w:val="es-AR"/>
        </w:rPr>
        <w:t>PLANIFICACIÓN, SEGUIMIENTO Y EVALUACIÓN</w:t>
      </w:r>
      <w:bookmarkEnd w:id="265"/>
    </w:p>
    <w:p>
      <w:pPr>
        <w:pStyle w:val="Heading2"/>
        <w:spacing w:before="0"/>
        <w:rPr>
          <w:rFonts w:ascii="Arial" w:hAnsi="Arial" w:cs="Arial"/>
        </w:rPr>
      </w:pPr>
    </w:p>
    <w:p>
      <w:pPr>
        <w:pStyle w:val="ListParagraph"/>
        <w:numPr>
          <w:ilvl w:val="0"/>
          <w:numId w:val="26"/>
        </w:numPr>
        <w:spacing w:after="120"/>
        <w:ind w:left="450" w:hanging="450"/>
        <w:outlineLvl w:val="1"/>
        <w:rPr>
          <w:rFonts w:ascii="Arial" w:hAnsi="Arial" w:cs="Arial"/>
          <w:b/>
          <w:sz w:val="24"/>
          <w:szCs w:val="24"/>
        </w:rPr>
      </w:pPr>
      <w:bookmarkStart w:id="266" w:name="_Toc463457927"/>
      <w:r>
        <w:rPr>
          <w:rFonts w:ascii="Arial" w:hAnsi="Arial" w:cs="Arial"/>
          <w:b/>
          <w:sz w:val="24"/>
          <w:szCs w:val="24"/>
        </w:rPr>
        <w:t>GENERAL</w:t>
      </w:r>
      <w:bookmarkEnd w:id="266"/>
    </w:p>
    <w:p>
      <w:pPr>
        <w:pStyle w:val="Paragraph"/>
        <w:numPr>
          <w:ilvl w:val="1"/>
          <w:numId w:val="24"/>
        </w:numPr>
        <w:spacing w:before="0"/>
        <w:ind w:left="450" w:hanging="450"/>
        <w:outlineLvl w:val="9"/>
        <w:rPr>
          <w:rFonts w:ascii="Arial" w:hAnsi="Arial" w:cs="Arial"/>
          <w:lang w:val="es-ES_tradnl" w:eastAsia="es-AR"/>
        </w:rPr>
      </w:pPr>
      <w:bookmarkStart w:id="267" w:name="_Toc458697240"/>
      <w:bookmarkStart w:id="268" w:name="_Toc459730803"/>
      <w:r>
        <w:rPr>
          <w:rFonts w:ascii="Arial" w:hAnsi="Arial" w:cs="Arial"/>
          <w:lang w:eastAsia="es-AR"/>
        </w:rPr>
        <w:t xml:space="preserve">Las actividades del </w:t>
      </w:r>
      <w:r>
        <w:rPr>
          <w:rFonts w:ascii="Arial" w:hAnsi="Arial" w:cs="Arial"/>
          <w:lang w:eastAsia="es-ES"/>
        </w:rPr>
        <w:t xml:space="preserve">Programa </w:t>
      </w:r>
      <w:r>
        <w:rPr>
          <w:rFonts w:ascii="Arial" w:hAnsi="Arial" w:cs="Arial"/>
          <w:lang w:eastAsia="es-AR"/>
        </w:rPr>
        <w:t>estarán contenida en los siguientes documentos:</w:t>
      </w:r>
      <w:bookmarkEnd w:id="267"/>
      <w:bookmarkEnd w:id="268"/>
    </w:p>
    <w:p>
      <w:pPr>
        <w:numPr>
          <w:ilvl w:val="0"/>
          <w:numId w:val="22"/>
        </w:numPr>
        <w:tabs>
          <w:tab w:val="left" w:pos="900"/>
        </w:tabs>
        <w:spacing w:after="60"/>
        <w:ind w:left="900" w:hanging="321"/>
        <w:rPr>
          <w:rFonts w:ascii="Arial" w:hAnsi="Arial" w:cs="Arial"/>
          <w:sz w:val="24"/>
          <w:szCs w:val="24"/>
          <w:lang w:val="es-ES_tradnl" w:eastAsia="es-AR"/>
        </w:rPr>
      </w:pPr>
      <w:r>
        <w:rPr>
          <w:rFonts w:ascii="Arial" w:hAnsi="Arial" w:cs="Arial"/>
          <w:sz w:val="24"/>
          <w:szCs w:val="24"/>
          <w:lang w:val="es-ES_tradnl" w:eastAsia="es-AR"/>
        </w:rPr>
        <w:t>Plan de Ejecución Plurianual (“PEP”) para todo el Programa.</w:t>
      </w:r>
    </w:p>
    <w:p>
      <w:pPr>
        <w:numPr>
          <w:ilvl w:val="0"/>
          <w:numId w:val="22"/>
        </w:numPr>
        <w:tabs>
          <w:tab w:val="left" w:pos="900"/>
        </w:tabs>
        <w:spacing w:after="60"/>
        <w:ind w:left="720" w:hanging="141"/>
        <w:rPr>
          <w:rFonts w:ascii="Arial" w:hAnsi="Arial" w:cs="Arial"/>
          <w:sz w:val="24"/>
          <w:szCs w:val="24"/>
          <w:lang w:val="es-ES_tradnl" w:eastAsia="es-AR"/>
        </w:rPr>
      </w:pPr>
      <w:r>
        <w:rPr>
          <w:rFonts w:ascii="Arial" w:hAnsi="Arial" w:cs="Arial"/>
          <w:sz w:val="24"/>
          <w:szCs w:val="24"/>
          <w:lang w:val="es-ES_tradnl" w:eastAsia="es-AR"/>
        </w:rPr>
        <w:t>POA del primer año, renovado anualmente.</w:t>
      </w:r>
    </w:p>
    <w:p>
      <w:pPr>
        <w:numPr>
          <w:ilvl w:val="0"/>
          <w:numId w:val="22"/>
        </w:numPr>
        <w:tabs>
          <w:tab w:val="left" w:pos="900"/>
        </w:tabs>
        <w:spacing w:after="60"/>
        <w:ind w:left="720" w:hanging="141"/>
        <w:rPr>
          <w:rFonts w:ascii="Arial" w:hAnsi="Arial" w:cs="Arial"/>
          <w:sz w:val="24"/>
          <w:szCs w:val="24"/>
          <w:lang w:val="es-ES_tradnl" w:eastAsia="es-AR"/>
        </w:rPr>
      </w:pPr>
      <w:r>
        <w:rPr>
          <w:rFonts w:ascii="Arial" w:hAnsi="Arial" w:cs="Arial"/>
          <w:sz w:val="24"/>
          <w:szCs w:val="24"/>
          <w:lang w:val="es-ES_tradnl" w:eastAsia="es-AR"/>
        </w:rPr>
        <w:t>Matriz de Resultados con Tabla de Costos.</w:t>
      </w:r>
    </w:p>
    <w:p>
      <w:pPr>
        <w:numPr>
          <w:ilvl w:val="0"/>
          <w:numId w:val="22"/>
        </w:numPr>
        <w:tabs>
          <w:tab w:val="left" w:pos="900"/>
        </w:tabs>
        <w:spacing w:after="60"/>
        <w:ind w:left="720" w:hanging="141"/>
        <w:rPr>
          <w:rFonts w:ascii="Arial" w:hAnsi="Arial" w:cs="Arial"/>
          <w:sz w:val="24"/>
          <w:szCs w:val="24"/>
          <w:lang w:val="es-ES_tradnl" w:eastAsia="es-AR"/>
        </w:rPr>
      </w:pPr>
      <w:r>
        <w:rPr>
          <w:rFonts w:ascii="Arial" w:hAnsi="Arial" w:cs="Arial"/>
          <w:sz w:val="24"/>
          <w:szCs w:val="24"/>
          <w:lang w:val="es-ES_tradnl" w:eastAsia="es-AR"/>
        </w:rPr>
        <w:t>Matriz de Mitigación de Riesgos (“MMR”), con actualización periódica.</w:t>
      </w:r>
    </w:p>
    <w:p>
      <w:pPr>
        <w:numPr>
          <w:ilvl w:val="0"/>
          <w:numId w:val="22"/>
        </w:numPr>
        <w:tabs>
          <w:tab w:val="left" w:pos="900"/>
        </w:tabs>
        <w:spacing w:after="120"/>
        <w:ind w:left="720" w:hanging="141"/>
        <w:rPr>
          <w:rFonts w:ascii="Arial" w:hAnsi="Arial" w:cs="Arial"/>
          <w:sz w:val="24"/>
          <w:szCs w:val="24"/>
          <w:lang w:val="es-ES_tradnl" w:eastAsia="es-AR"/>
        </w:rPr>
      </w:pPr>
      <w:r>
        <w:rPr>
          <w:rFonts w:ascii="Arial" w:hAnsi="Arial" w:cs="Arial"/>
          <w:sz w:val="24"/>
          <w:szCs w:val="24"/>
          <w:lang w:val="es-ES_tradnl" w:eastAsia="es-AR"/>
        </w:rPr>
        <w:t>Informes de semestrales, que incluyan el PMR y  Planes de Supervisión en Terreno.</w:t>
      </w:r>
    </w:p>
    <w:p>
      <w:pPr>
        <w:pStyle w:val="Paragraph"/>
        <w:numPr>
          <w:ilvl w:val="1"/>
          <w:numId w:val="24"/>
        </w:numPr>
        <w:spacing w:before="0"/>
        <w:ind w:left="450" w:hanging="450"/>
        <w:outlineLvl w:val="9"/>
        <w:rPr>
          <w:rFonts w:ascii="Arial" w:hAnsi="Arial" w:cs="Arial"/>
          <w:lang w:eastAsia="es-AR"/>
        </w:rPr>
      </w:pPr>
      <w:bookmarkStart w:id="269" w:name="_Toc458697241"/>
      <w:bookmarkStart w:id="270" w:name="_Toc459730804"/>
      <w:r>
        <w:rPr>
          <w:rFonts w:ascii="Arial" w:hAnsi="Arial" w:cs="Arial"/>
          <w:lang w:eastAsia="es-AR"/>
        </w:rPr>
        <w:t>La planificación, seguimiento y evaluación del Programa se realizará a partir de  un sistema que se basa en la aplicación del enfoque de gestión orientada a resultados.</w:t>
      </w:r>
      <w:bookmarkEnd w:id="269"/>
      <w:bookmarkEnd w:id="270"/>
    </w:p>
    <w:p>
      <w:pPr>
        <w:pStyle w:val="Paragraph"/>
        <w:tabs>
          <w:tab w:val="clear" w:pos="3273"/>
        </w:tabs>
        <w:spacing w:before="0"/>
        <w:ind w:left="450" w:firstLine="0"/>
        <w:outlineLvl w:val="9"/>
        <w:rPr>
          <w:rFonts w:ascii="Arial" w:hAnsi="Arial" w:cs="Arial"/>
          <w:lang w:eastAsia="es-AR"/>
        </w:rPr>
      </w:pPr>
    </w:p>
    <w:p>
      <w:pPr>
        <w:pStyle w:val="ListParagraph"/>
        <w:numPr>
          <w:ilvl w:val="0"/>
          <w:numId w:val="26"/>
        </w:numPr>
        <w:spacing w:after="120"/>
        <w:ind w:left="450" w:hanging="450"/>
        <w:outlineLvl w:val="1"/>
        <w:rPr>
          <w:rFonts w:ascii="Arial" w:hAnsi="Arial" w:cs="Arial"/>
        </w:rPr>
      </w:pPr>
      <w:bookmarkStart w:id="271" w:name="_Toc456877275"/>
      <w:bookmarkStart w:id="272" w:name="_Toc463457928"/>
      <w:r>
        <w:rPr>
          <w:rFonts w:ascii="Arial" w:hAnsi="Arial" w:cs="Arial"/>
          <w:b/>
          <w:sz w:val="24"/>
          <w:szCs w:val="24"/>
        </w:rPr>
        <w:t>SUPERVISION</w:t>
      </w:r>
      <w:bookmarkEnd w:id="271"/>
      <w:bookmarkEnd w:id="272"/>
    </w:p>
    <w:p>
      <w:pPr>
        <w:pStyle w:val="Prrafodelista1"/>
        <w:numPr>
          <w:ilvl w:val="1"/>
          <w:numId w:val="24"/>
        </w:numPr>
        <w:spacing w:before="0"/>
        <w:ind w:left="450" w:hanging="450"/>
        <w:rPr>
          <w:rFonts w:ascii="Arial" w:hAnsi="Arial" w:cs="Arial"/>
          <w:lang w:eastAsia="es-AR"/>
        </w:rPr>
      </w:pPr>
      <w:r>
        <w:rPr>
          <w:rFonts w:ascii="Arial" w:hAnsi="Arial" w:cs="Arial"/>
          <w:b/>
          <w:lang w:eastAsia="es-AR"/>
        </w:rPr>
        <w:t>Supervisión</w:t>
      </w:r>
      <w:r>
        <w:rPr>
          <w:rFonts w:ascii="Arial" w:hAnsi="Arial" w:cs="Arial"/>
          <w:lang w:eastAsia="es-AR"/>
        </w:rPr>
        <w:t xml:space="preserve">. El OE, por si o a través de la UCP, será responsable por la supervisión de las obras de los Fondos Inicial y Complementario de acuerdo con los criterios establecidos en cada contratación. El OE y el BID supervisarán el avance de los Planes de Acción de cada provincia elegible.  </w:t>
      </w:r>
    </w:p>
    <w:p>
      <w:pPr>
        <w:pStyle w:val="Prrafodelista1"/>
        <w:numPr>
          <w:ilvl w:val="1"/>
          <w:numId w:val="24"/>
        </w:numPr>
        <w:spacing w:before="0"/>
        <w:ind w:left="450" w:hanging="450"/>
        <w:rPr>
          <w:rFonts w:ascii="Arial" w:hAnsi="Arial" w:cs="Arial"/>
          <w:lang w:eastAsia="es-AR"/>
        </w:rPr>
      </w:pPr>
      <w:r>
        <w:rPr>
          <w:rFonts w:ascii="Arial" w:hAnsi="Arial" w:cs="Arial"/>
          <w:b/>
          <w:lang w:eastAsia="es-AR"/>
        </w:rPr>
        <w:t>Monitoreo</w:t>
      </w:r>
      <w:r>
        <w:rPr>
          <w:rFonts w:ascii="Arial" w:hAnsi="Arial" w:cs="Arial"/>
          <w:lang w:eastAsia="es-AR"/>
        </w:rPr>
        <w:t>. El monitoreo se realizará tomando como referencia los datos de la Matriz de Resultados por Componente y sus medios de verificación, observada anualmente. Esta información por productos, estará programada y medida por unidades de medida específicas para cada componente consignándose el costo anual, total y metas esperadas. Sobre esta base se realizará el monitoreo del Programa con el objetivo de asegurar el cumplimiento de aspectos técnicos y contractuales así como de los plazos previstos.</w:t>
      </w:r>
      <w:bookmarkStart w:id="273" w:name="_Toc298344900"/>
      <w:bookmarkStart w:id="274" w:name="_Toc309677463"/>
      <w:bookmarkStart w:id="275" w:name="_Toc48461735"/>
    </w:p>
    <w:p>
      <w:pPr>
        <w:pStyle w:val="Prrafodelista1"/>
        <w:tabs>
          <w:tab w:val="clear" w:pos="720"/>
        </w:tabs>
        <w:spacing w:before="0"/>
        <w:ind w:left="450" w:firstLine="0"/>
        <w:rPr>
          <w:rFonts w:ascii="Arial" w:hAnsi="Arial" w:cs="Arial"/>
          <w:lang w:eastAsia="es-AR"/>
        </w:rPr>
      </w:pPr>
    </w:p>
    <w:p>
      <w:pPr>
        <w:pStyle w:val="ListParagraph"/>
        <w:numPr>
          <w:ilvl w:val="0"/>
          <w:numId w:val="26"/>
        </w:numPr>
        <w:spacing w:after="120"/>
        <w:ind w:left="450" w:hanging="450"/>
        <w:outlineLvl w:val="1"/>
        <w:rPr>
          <w:rFonts w:ascii="Arial" w:hAnsi="Arial" w:cs="Arial"/>
          <w:b/>
          <w:sz w:val="24"/>
          <w:szCs w:val="24"/>
        </w:rPr>
      </w:pPr>
      <w:bookmarkStart w:id="276" w:name="_Toc454447572"/>
      <w:bookmarkStart w:id="277" w:name="_Toc454447677"/>
      <w:bookmarkStart w:id="278" w:name="_Toc455161609"/>
      <w:bookmarkStart w:id="279" w:name="_Toc456877276"/>
      <w:bookmarkStart w:id="280" w:name="_Toc463457929"/>
      <w:bookmarkStart w:id="281" w:name="_Toc298344904"/>
      <w:bookmarkStart w:id="282" w:name="_Toc309677467"/>
      <w:bookmarkEnd w:id="273"/>
      <w:bookmarkEnd w:id="274"/>
      <w:bookmarkEnd w:id="276"/>
      <w:bookmarkEnd w:id="277"/>
      <w:bookmarkEnd w:id="278"/>
      <w:r>
        <w:rPr>
          <w:rFonts w:ascii="Arial" w:hAnsi="Arial" w:cs="Arial"/>
          <w:b/>
          <w:sz w:val="24"/>
          <w:szCs w:val="24"/>
        </w:rPr>
        <w:t>INFORMACION CONTABLE</w:t>
      </w:r>
      <w:bookmarkEnd w:id="279"/>
      <w:bookmarkEnd w:id="280"/>
    </w:p>
    <w:bookmarkEnd w:id="281"/>
    <w:bookmarkEnd w:id="282"/>
    <w:p>
      <w:pPr>
        <w:pStyle w:val="Prrafodelista1"/>
        <w:numPr>
          <w:ilvl w:val="1"/>
          <w:numId w:val="24"/>
        </w:numPr>
        <w:spacing w:before="0"/>
        <w:ind w:left="450" w:hanging="450"/>
        <w:rPr>
          <w:rFonts w:ascii="Arial" w:hAnsi="Arial" w:cs="Arial"/>
          <w:lang w:eastAsia="es-AR"/>
        </w:rPr>
      </w:pPr>
      <w:r>
        <w:rPr>
          <w:rFonts w:ascii="Arial" w:hAnsi="Arial" w:cs="Arial"/>
          <w:lang w:eastAsia="es-AR"/>
        </w:rPr>
        <w:t xml:space="preserve">El OE presentará anualmente y al final del proyecto los Estados Financieros Auditados (“EFA”) referentes a las actividades financiadas por el Programa. Dichos informes deberán ser presentados dentro de los 120 días posteriores a la finalización del año fiscal, y, el final, a los 120 días después del último desembolso conforme lo establecido en las políticas del Banco, pudiendo, a requerimiento del Banco, remitir informes intermedios. </w:t>
      </w:r>
    </w:p>
    <w:p>
      <w:pPr>
        <w:pStyle w:val="Prrafodelista1"/>
        <w:tabs>
          <w:tab w:val="clear" w:pos="720"/>
        </w:tabs>
        <w:spacing w:before="0"/>
        <w:ind w:left="450" w:firstLine="0"/>
        <w:rPr>
          <w:rFonts w:ascii="Arial" w:hAnsi="Arial" w:cs="Arial"/>
          <w:lang w:eastAsia="es-AR"/>
        </w:rPr>
      </w:pPr>
    </w:p>
    <w:p>
      <w:pPr>
        <w:pStyle w:val="ListParagraph"/>
        <w:numPr>
          <w:ilvl w:val="0"/>
          <w:numId w:val="26"/>
        </w:numPr>
        <w:spacing w:after="120"/>
        <w:ind w:left="450" w:hanging="450"/>
        <w:outlineLvl w:val="1"/>
        <w:rPr>
          <w:rFonts w:ascii="Arial" w:hAnsi="Arial" w:cs="Arial"/>
          <w:b/>
          <w:sz w:val="24"/>
          <w:szCs w:val="24"/>
        </w:rPr>
      </w:pPr>
      <w:bookmarkStart w:id="283" w:name="_Toc454447574"/>
      <w:bookmarkStart w:id="284" w:name="_Toc454447679"/>
      <w:bookmarkStart w:id="285" w:name="_Toc455161611"/>
      <w:bookmarkStart w:id="286" w:name="_Toc456877277"/>
      <w:bookmarkStart w:id="287" w:name="_Toc463457930"/>
      <w:bookmarkEnd w:id="283"/>
      <w:bookmarkEnd w:id="284"/>
      <w:bookmarkEnd w:id="285"/>
      <w:r>
        <w:rPr>
          <w:rFonts w:ascii="Arial" w:hAnsi="Arial" w:cs="Arial"/>
          <w:b/>
          <w:sz w:val="24"/>
          <w:szCs w:val="24"/>
        </w:rPr>
        <w:t>EVALUACION</w:t>
      </w:r>
      <w:bookmarkEnd w:id="286"/>
      <w:bookmarkEnd w:id="287"/>
    </w:p>
    <w:p>
      <w:pPr>
        <w:pStyle w:val="Prrafodelista1"/>
        <w:numPr>
          <w:ilvl w:val="1"/>
          <w:numId w:val="24"/>
        </w:numPr>
        <w:spacing w:before="0"/>
        <w:ind w:left="450" w:hanging="450"/>
        <w:rPr>
          <w:rFonts w:ascii="Arial" w:hAnsi="Arial" w:cs="Arial"/>
        </w:rPr>
      </w:pPr>
      <w:r>
        <w:rPr>
          <w:rFonts w:ascii="Arial" w:hAnsi="Arial" w:cs="Arial"/>
          <w:b/>
          <w:lang w:val="es-ES"/>
        </w:rPr>
        <w:t xml:space="preserve">Evaluación intermedia. </w:t>
      </w:r>
      <w:r>
        <w:rPr>
          <w:rFonts w:ascii="Arial" w:hAnsi="Arial" w:cs="Arial"/>
          <w:lang w:val="es-ES"/>
        </w:rPr>
        <w:t>El OE, a través de la UCP, preparará y enviará al Banco el informe a los 90 días contados a partir de la fecha en que se haya desembolsado el 50% de los recursos del préstamo o cuando hayan transcurrido 30 meses de ejecución, lo que ocurra primero.</w:t>
      </w:r>
    </w:p>
    <w:p>
      <w:pPr>
        <w:pStyle w:val="Prrafodelista1"/>
        <w:numPr>
          <w:ilvl w:val="1"/>
          <w:numId w:val="24"/>
        </w:numPr>
        <w:spacing w:before="0"/>
        <w:ind w:left="450" w:hanging="450"/>
        <w:rPr>
          <w:rFonts w:ascii="Arial" w:hAnsi="Arial" w:cs="Arial"/>
        </w:rPr>
      </w:pPr>
      <w:r>
        <w:rPr>
          <w:rFonts w:ascii="Arial" w:hAnsi="Arial" w:cs="Arial"/>
          <w:b/>
        </w:rPr>
        <w:t xml:space="preserve">Evaluación final. </w:t>
      </w:r>
      <w:r>
        <w:rPr>
          <w:rFonts w:ascii="Arial" w:hAnsi="Arial" w:cs="Arial"/>
          <w:lang w:val="es-ES"/>
        </w:rPr>
        <w:t>El OE, a través de la UCP,</w:t>
      </w:r>
      <w:r>
        <w:rPr>
          <w:rFonts w:ascii="Arial" w:hAnsi="Arial" w:cs="Arial"/>
        </w:rPr>
        <w:t xml:space="preserve"> preparará y enviará al Banco la evaluación final que servirá de insumo para el Informe de Terminación del Proyecto (</w:t>
      </w:r>
      <w:r>
        <w:rPr>
          <w:rFonts w:ascii="Arial" w:hAnsi="Arial" w:cs="Arial"/>
          <w:i/>
        </w:rPr>
        <w:t>Project Completion Report</w:t>
      </w:r>
      <w:r>
        <w:rPr>
          <w:rFonts w:ascii="Arial" w:hAnsi="Arial" w:cs="Arial"/>
        </w:rPr>
        <w:t>“PCR”), a los 90 días contados a partir de la fecha en que se haya desembolsado el 90% de los recursos del préstamo.</w:t>
      </w:r>
    </w:p>
    <w:p>
      <w:pPr>
        <w:pStyle w:val="Prrafodelista1"/>
        <w:numPr>
          <w:ilvl w:val="1"/>
          <w:numId w:val="24"/>
        </w:numPr>
        <w:spacing w:before="0"/>
        <w:ind w:left="450" w:hanging="450"/>
        <w:rPr>
          <w:rFonts w:ascii="Arial" w:hAnsi="Arial" w:cs="Arial"/>
        </w:rPr>
      </w:pPr>
      <w:r>
        <w:rPr>
          <w:rFonts w:ascii="Arial" w:hAnsi="Arial" w:cs="Arial"/>
        </w:rPr>
        <w:t xml:space="preserve">Las evaluaciones detalladas en los dos párrafos precedentes constituyen los hitos claves del sistema de seguimiento. </w:t>
      </w:r>
      <w:r>
        <w:rPr>
          <w:rFonts w:ascii="Arial" w:hAnsi="Arial" w:cs="Arial"/>
          <w:lang w:eastAsia="es-ES"/>
        </w:rPr>
        <w:t xml:space="preserve">Se han previsto recursos específicos para la actividad de evaluación. </w:t>
      </w:r>
      <w:r>
        <w:rPr>
          <w:rFonts w:ascii="Arial" w:hAnsi="Arial" w:cs="Arial"/>
        </w:rPr>
        <w:t xml:space="preserve">Estos informes incluirán: </w:t>
      </w:r>
      <w:r>
        <w:rPr>
          <w:rFonts w:ascii="Arial" w:hAnsi="Arial" w:cs="Arial"/>
          <w:lang w:eastAsia="es-ES"/>
        </w:rPr>
        <w:t xml:space="preserve">i) el incremento en los ingresos por concepto de mejora en la gestión de la contribución inmobiliaria; ii) los ahorros productos de la focalización  en los gastos; y iii) el impacto en el empleo de los programas de inversión. Adicionalmente la evaluación también revisará los impactos ambientales y sociales. El trabajo de evaluación será contratado con una consultoría calificada con términos de referencia acordados con el Banco. </w:t>
      </w:r>
      <w:r>
        <w:rPr>
          <w:rFonts w:ascii="Arial" w:hAnsi="Arial" w:cs="Arial"/>
        </w:rPr>
        <w:t>Una vez hayan sido aceptados por el Banco, ambas evaluaciones serán puestas a disposición del público a través de las páginas Web del OE.</w:t>
      </w:r>
    </w:p>
    <w:p>
      <w:pPr>
        <w:pStyle w:val="Prrafodelista1"/>
        <w:numPr>
          <w:ilvl w:val="1"/>
          <w:numId w:val="24"/>
        </w:numPr>
        <w:spacing w:before="0"/>
        <w:ind w:left="540" w:hanging="540"/>
        <w:rPr>
          <w:rFonts w:ascii="Arial" w:hAnsi="Arial" w:cs="Arial"/>
        </w:rPr>
      </w:pPr>
      <w:r>
        <w:rPr>
          <w:rFonts w:ascii="Arial" w:hAnsi="Arial" w:cs="Arial"/>
          <w:b/>
        </w:rPr>
        <w:t>Evaluación externa de impacto</w:t>
      </w:r>
      <w:r>
        <w:rPr>
          <w:rFonts w:ascii="Arial" w:hAnsi="Arial" w:cs="Arial"/>
        </w:rPr>
        <w:t xml:space="preserve">. Se podrá realizar a través de un análisis cuantitativo de los indicadores del Programa, en particular el impacto que este ha tenido sobre el monto de la inversión pública a nivel provincial, como resultado de las actividades financiadas por el Programa. Los resultados e impactos esperados constan en la Matriz de Resultados, incluyendo los métodos y medios de </w:t>
      </w:r>
      <w:r>
        <w:rPr>
          <w:rFonts w:ascii="Arial" w:hAnsi="Arial" w:cs="Arial"/>
        </w:rPr>
        <w:lastRenderedPageBreak/>
        <w:t xml:space="preserve">verificación. La evaluación incluirá también una </w:t>
      </w:r>
      <w:r>
        <w:rPr>
          <w:rFonts w:ascii="Arial" w:hAnsi="Arial" w:cs="Arial"/>
          <w:b/>
        </w:rPr>
        <w:t>evaluación económica ex-post</w:t>
      </w:r>
      <w:r>
        <w:rPr>
          <w:rFonts w:ascii="Arial" w:hAnsi="Arial" w:cs="Arial"/>
        </w:rPr>
        <w:t xml:space="preserve"> del Programa y se realizará través de consultaría calificada en estudios de impacto de proyectos de desarrollo, con TDR acordados previamente con el Banco. Esta consultoría será contratada en el cuarto año de ejecución o cuando se hayan comprometido el setenta y cinco por ciento (75%) del préstamo. </w:t>
      </w:r>
    </w:p>
    <w:p>
      <w:pPr>
        <w:spacing w:after="120" w:line="240" w:lineRule="auto"/>
        <w:jc w:val="both"/>
        <w:rPr>
          <w:rFonts w:ascii="Arial" w:hAnsi="Arial" w:cs="Arial"/>
          <w:sz w:val="24"/>
          <w:szCs w:val="24"/>
          <w:lang w:val="es-AR"/>
        </w:rPr>
      </w:pPr>
    </w:p>
    <w:p>
      <w:pPr>
        <w:pStyle w:val="Prrafodelista1"/>
        <w:tabs>
          <w:tab w:val="clear" w:pos="720"/>
        </w:tabs>
        <w:spacing w:before="0"/>
        <w:rPr>
          <w:rFonts w:ascii="Arial" w:hAnsi="Arial" w:cs="Arial"/>
        </w:rPr>
      </w:pPr>
    </w:p>
    <w:p>
      <w:pPr>
        <w:pStyle w:val="Heading1"/>
        <w:numPr>
          <w:ilvl w:val="0"/>
          <w:numId w:val="2"/>
        </w:numPr>
        <w:pBdr>
          <w:bottom w:val="single" w:sz="4" w:space="1" w:color="365F91" w:themeColor="accent1" w:themeShade="BF"/>
        </w:pBdr>
        <w:tabs>
          <w:tab w:val="left" w:pos="567"/>
        </w:tabs>
        <w:spacing w:before="0"/>
        <w:ind w:left="450" w:hanging="450"/>
        <w:jc w:val="both"/>
        <w:rPr>
          <w:rFonts w:ascii="Arial" w:hAnsi="Arial" w:cs="Arial"/>
          <w:color w:val="365F91" w:themeColor="accent1" w:themeShade="BF"/>
          <w:sz w:val="24"/>
          <w:szCs w:val="24"/>
          <w:lang w:val="es-AR"/>
        </w:rPr>
      </w:pPr>
      <w:bookmarkStart w:id="288" w:name="_Toc44486411"/>
      <w:bookmarkStart w:id="289" w:name="_Toc48461739"/>
      <w:bookmarkStart w:id="290" w:name="_Toc106996780"/>
      <w:bookmarkStart w:id="291" w:name="_Toc106996917"/>
      <w:bookmarkStart w:id="292" w:name="_Toc108506444"/>
      <w:bookmarkStart w:id="293" w:name="_Toc110493072"/>
      <w:bookmarkStart w:id="294" w:name="_Toc134589641"/>
      <w:bookmarkStart w:id="295" w:name="_Toc298344906"/>
      <w:bookmarkStart w:id="296" w:name="_Toc309677388"/>
      <w:bookmarkStart w:id="297" w:name="_Toc309677468"/>
      <w:bookmarkEnd w:id="275"/>
      <w:r>
        <w:rPr>
          <w:rFonts w:ascii="Arial" w:hAnsi="Arial" w:cs="Arial"/>
          <w:lang w:eastAsia="es-AR"/>
        </w:rPr>
        <w:br w:type="page"/>
      </w:r>
      <w:bookmarkStart w:id="298" w:name="_Toc463457931"/>
      <w:bookmarkEnd w:id="288"/>
      <w:bookmarkEnd w:id="289"/>
      <w:bookmarkEnd w:id="290"/>
      <w:bookmarkEnd w:id="291"/>
      <w:bookmarkEnd w:id="292"/>
      <w:bookmarkEnd w:id="293"/>
      <w:bookmarkEnd w:id="294"/>
      <w:bookmarkEnd w:id="295"/>
      <w:bookmarkEnd w:id="296"/>
      <w:bookmarkEnd w:id="297"/>
      <w:r>
        <w:rPr>
          <w:rFonts w:ascii="Arial" w:hAnsi="Arial" w:cs="Arial"/>
          <w:color w:val="365F91" w:themeColor="accent1" w:themeShade="BF"/>
          <w:sz w:val="24"/>
          <w:szCs w:val="24"/>
          <w:lang w:val="es-AR"/>
        </w:rPr>
        <w:lastRenderedPageBreak/>
        <w:t>AUDITORÍA</w:t>
      </w:r>
      <w:bookmarkEnd w:id="298"/>
    </w:p>
    <w:p>
      <w:pPr>
        <w:pStyle w:val="Paragraph"/>
        <w:tabs>
          <w:tab w:val="clear" w:pos="3273"/>
        </w:tabs>
        <w:spacing w:before="0"/>
        <w:outlineLvl w:val="9"/>
        <w:rPr>
          <w:rFonts w:ascii="Arial" w:hAnsi="Arial" w:cs="Arial"/>
          <w:lang w:eastAsia="es-AR"/>
        </w:rPr>
      </w:pPr>
    </w:p>
    <w:p>
      <w:pPr>
        <w:pStyle w:val="Paragraph"/>
        <w:numPr>
          <w:ilvl w:val="1"/>
          <w:numId w:val="27"/>
        </w:numPr>
        <w:spacing w:before="0"/>
        <w:ind w:left="450" w:hanging="450"/>
        <w:outlineLvl w:val="9"/>
        <w:rPr>
          <w:rFonts w:ascii="Arial" w:hAnsi="Arial" w:cs="Arial"/>
          <w:lang w:eastAsia="es-AR"/>
        </w:rPr>
      </w:pPr>
      <w:bookmarkStart w:id="299" w:name="_Toc458697246"/>
      <w:bookmarkStart w:id="300" w:name="_Toc459730809"/>
      <w:r>
        <w:rPr>
          <w:rFonts w:ascii="Arial" w:hAnsi="Arial" w:cs="Arial"/>
          <w:lang w:eastAsia="es-AR"/>
        </w:rPr>
        <w:t xml:space="preserve">Durante la ejecución del programa el Prestatario, por si o a través del OE, de acuerdo a lo establecido en el Art 7.03 de la Normas Generales del BID, deberá presentar anualmente los Estados Financieros y otros informes del Programa debidamente dictaminados por una auditoría independiente aceptable para el Banco durante el período de ejecución. Serán presentados dentro de los 120 días de finalizado el año fiscal y los de cierre dentro de los 120 días del último desembolso. Los costos de auditoría, relacionados con una firma de auditoría independiente, formarán parte del costo del programa y serán financiados utilizando los recursos del Préstamo. Los EFs deberán estar debidamente dictaminados por la Auditoría General de la Nación (“AGN”) o firma auditora independiente aceptable al Banco, de acuerdo con la Cláusula 5.03 de las Estipulaciones Especiales del Contrato de Préstamo. </w:t>
      </w:r>
      <w:bookmarkEnd w:id="299"/>
      <w:bookmarkEnd w:id="300"/>
    </w:p>
    <w:p>
      <w:pPr>
        <w:pStyle w:val="Paragraph"/>
        <w:numPr>
          <w:ilvl w:val="1"/>
          <w:numId w:val="27"/>
        </w:numPr>
        <w:spacing w:before="0"/>
        <w:ind w:left="450" w:hanging="450"/>
        <w:outlineLvl w:val="9"/>
        <w:rPr>
          <w:rFonts w:ascii="Arial" w:hAnsi="Arial" w:cs="Arial"/>
          <w:lang w:eastAsia="es-AR"/>
        </w:rPr>
      </w:pPr>
      <w:bookmarkStart w:id="301" w:name="_Toc458697247"/>
      <w:bookmarkStart w:id="302" w:name="_Toc459730810"/>
      <w:r>
        <w:rPr>
          <w:rFonts w:ascii="Arial" w:hAnsi="Arial" w:cs="Arial"/>
          <w:lang w:eastAsia="es-AR"/>
        </w:rPr>
        <w:t>El ejecutor deberá conservar</w:t>
      </w:r>
      <w:r>
        <w:rPr>
          <w:rFonts w:ascii="Arial" w:hAnsi="Arial" w:cs="Arial"/>
          <w:szCs w:val="24"/>
          <w:lang w:val="es-AR"/>
        </w:rPr>
        <w:t>, por un plazo mínimo de 3 años después del último desembolso del Programa, la totalidad de la documentación que justifique y acredite los pagos, incluyendo POA y los resultados de las evaluaciones, para permitir realizar una evaluación ex post en el caso que el Prestatario o el Banco estimen conveniente</w:t>
      </w:r>
      <w:bookmarkEnd w:id="301"/>
      <w:bookmarkEnd w:id="302"/>
    </w:p>
    <w:p>
      <w:pPr>
        <w:pStyle w:val="Paragraph"/>
        <w:tabs>
          <w:tab w:val="clear" w:pos="3273"/>
        </w:tabs>
        <w:spacing w:before="0"/>
        <w:ind w:left="0" w:firstLine="0"/>
        <w:rPr>
          <w:rFonts w:ascii="Arial" w:hAnsi="Arial" w:cs="Arial"/>
          <w:lang w:eastAsia="es-AR"/>
        </w:rPr>
      </w:pPr>
    </w:p>
    <w:p>
      <w:pPr>
        <w:pStyle w:val="Heading1"/>
        <w:numPr>
          <w:ilvl w:val="0"/>
          <w:numId w:val="2"/>
        </w:numPr>
        <w:pBdr>
          <w:bottom w:val="single" w:sz="4" w:space="1" w:color="365F91" w:themeColor="accent1" w:themeShade="BF"/>
        </w:pBdr>
        <w:tabs>
          <w:tab w:val="left" w:pos="567"/>
        </w:tabs>
        <w:spacing w:before="0"/>
        <w:ind w:left="450" w:hanging="450"/>
        <w:jc w:val="both"/>
        <w:rPr>
          <w:rFonts w:ascii="Arial" w:hAnsi="Arial" w:cs="Arial"/>
          <w:color w:val="365F91" w:themeColor="accent1" w:themeShade="BF"/>
          <w:sz w:val="24"/>
          <w:szCs w:val="24"/>
          <w:lang w:val="es-AR"/>
        </w:rPr>
      </w:pPr>
      <w:bookmarkStart w:id="303" w:name="_Toc463457932"/>
      <w:r>
        <w:rPr>
          <w:rFonts w:ascii="Arial" w:hAnsi="Arial" w:cs="Arial"/>
          <w:color w:val="365F91" w:themeColor="accent1" w:themeShade="BF"/>
          <w:sz w:val="24"/>
          <w:szCs w:val="24"/>
          <w:lang w:val="es-AR"/>
        </w:rPr>
        <w:t>TRANSPARENCIA Y DIFUSIÓN</w:t>
      </w:r>
      <w:bookmarkEnd w:id="303"/>
    </w:p>
    <w:p>
      <w:pPr>
        <w:pStyle w:val="Paragraph"/>
        <w:tabs>
          <w:tab w:val="clear" w:pos="3273"/>
        </w:tabs>
        <w:spacing w:before="0"/>
        <w:ind w:left="540" w:firstLine="0"/>
        <w:outlineLvl w:val="9"/>
        <w:rPr>
          <w:rFonts w:ascii="Arial" w:hAnsi="Arial" w:cs="Arial"/>
          <w:szCs w:val="24"/>
        </w:rPr>
      </w:pPr>
      <w:bookmarkStart w:id="304" w:name="_Toc458697249"/>
      <w:bookmarkEnd w:id="252"/>
      <w:bookmarkEnd w:id="253"/>
      <w:bookmarkEnd w:id="254"/>
      <w:bookmarkEnd w:id="255"/>
      <w:bookmarkEnd w:id="256"/>
      <w:bookmarkEnd w:id="257"/>
      <w:bookmarkEnd w:id="258"/>
      <w:bookmarkEnd w:id="259"/>
      <w:bookmarkEnd w:id="260"/>
      <w:bookmarkEnd w:id="261"/>
    </w:p>
    <w:p>
      <w:pPr>
        <w:pStyle w:val="Paragraph"/>
        <w:numPr>
          <w:ilvl w:val="1"/>
          <w:numId w:val="27"/>
        </w:numPr>
        <w:spacing w:before="0"/>
        <w:ind w:left="540" w:hanging="540"/>
        <w:outlineLvl w:val="9"/>
        <w:rPr>
          <w:rFonts w:ascii="Arial" w:hAnsi="Arial" w:cs="Arial"/>
          <w:szCs w:val="24"/>
        </w:rPr>
      </w:pPr>
      <w:bookmarkStart w:id="305" w:name="_Toc459730812"/>
      <w:r>
        <w:rPr>
          <w:rFonts w:ascii="Arial" w:hAnsi="Arial" w:cs="Arial"/>
          <w:szCs w:val="24"/>
        </w:rPr>
        <w:t>A efectos de promover la transparencia de la gestión y el logro de los resultados esperados, el OE mantendrá un sistema para recibir los reclamos de los ciudadanos, sobre el cual el Banco será debidamente informado. Asimismo, administrará registro con las respuestas y soluciones implementadas.</w:t>
      </w:r>
      <w:bookmarkEnd w:id="304"/>
      <w:bookmarkEnd w:id="305"/>
    </w:p>
    <w:p>
      <w:pPr>
        <w:pStyle w:val="Prrafodelista1"/>
        <w:numPr>
          <w:ilvl w:val="1"/>
          <w:numId w:val="27"/>
        </w:numPr>
        <w:spacing w:before="0"/>
        <w:ind w:left="540" w:hanging="540"/>
        <w:rPr>
          <w:rFonts w:ascii="Arial" w:hAnsi="Arial" w:cs="Arial"/>
        </w:rPr>
      </w:pPr>
      <w:r>
        <w:rPr>
          <w:rFonts w:ascii="Arial" w:hAnsi="Arial" w:cs="Arial"/>
        </w:rPr>
        <w:t xml:space="preserve">Adicionalmente y con el fin de lograr una adecuada difusión de la información para la ciudadanía en general, el Programa mantendrá actualizada su página web incluyendo, entre otros: </w:t>
      </w:r>
    </w:p>
    <w:p>
      <w:pPr>
        <w:numPr>
          <w:ilvl w:val="0"/>
          <w:numId w:val="23"/>
        </w:numPr>
        <w:tabs>
          <w:tab w:val="left" w:pos="810"/>
        </w:tabs>
        <w:spacing w:after="120" w:line="240" w:lineRule="auto"/>
        <w:ind w:left="810" w:hanging="270"/>
        <w:jc w:val="both"/>
        <w:rPr>
          <w:rFonts w:ascii="Arial" w:hAnsi="Arial" w:cs="Arial"/>
          <w:sz w:val="24"/>
          <w:szCs w:val="24"/>
          <w:lang w:val="es-ES_tradnl"/>
        </w:rPr>
      </w:pPr>
      <w:bookmarkStart w:id="306" w:name="_Toc309677476"/>
      <w:r>
        <w:rPr>
          <w:rFonts w:ascii="Arial" w:hAnsi="Arial" w:cs="Arial"/>
          <w:sz w:val="24"/>
          <w:szCs w:val="24"/>
          <w:u w:val="single"/>
          <w:lang w:val="es-ES_tradnl"/>
        </w:rPr>
        <w:t>Documentación Básica del Programa</w:t>
      </w:r>
      <w:r>
        <w:rPr>
          <w:rFonts w:ascii="Arial" w:hAnsi="Arial" w:cs="Arial"/>
          <w:sz w:val="24"/>
          <w:szCs w:val="24"/>
          <w:lang w:val="es-ES_tradnl"/>
        </w:rPr>
        <w:t>: Contrato, Reglamento operativo, Políticas del Banco en materia de adquisiciones y desembolsos, y Modelos de Pliego de Licitaciones.</w:t>
      </w:r>
      <w:bookmarkEnd w:id="306"/>
    </w:p>
    <w:p>
      <w:pPr>
        <w:numPr>
          <w:ilvl w:val="0"/>
          <w:numId w:val="23"/>
        </w:numPr>
        <w:tabs>
          <w:tab w:val="left" w:pos="810"/>
        </w:tabs>
        <w:spacing w:after="120" w:line="240" w:lineRule="auto"/>
        <w:ind w:left="810" w:hanging="270"/>
        <w:jc w:val="both"/>
        <w:rPr>
          <w:rFonts w:ascii="Arial" w:hAnsi="Arial" w:cs="Arial"/>
          <w:sz w:val="24"/>
          <w:szCs w:val="24"/>
          <w:lang w:val="es-ES_tradnl"/>
        </w:rPr>
      </w:pPr>
      <w:bookmarkStart w:id="307" w:name="_Toc309677477"/>
      <w:r>
        <w:rPr>
          <w:rFonts w:ascii="Arial" w:hAnsi="Arial" w:cs="Arial"/>
          <w:sz w:val="24"/>
          <w:szCs w:val="24"/>
          <w:u w:val="single"/>
          <w:lang w:val="es-ES_tradnl"/>
        </w:rPr>
        <w:t>Informes</w:t>
      </w:r>
      <w:r>
        <w:rPr>
          <w:rFonts w:ascii="Arial" w:hAnsi="Arial" w:cs="Arial"/>
          <w:sz w:val="24"/>
          <w:szCs w:val="24"/>
          <w:lang w:val="es-ES_tradnl"/>
        </w:rPr>
        <w:t xml:space="preserve">: PMR, el PEP, POA, PAD (a través del SEPA), Informes de Ejecución Anual y Evaluaciones Anuales con el </w:t>
      </w:r>
      <w:smartTag w:uri="urn:schemas-microsoft-com:office:smarttags" w:element="stockticker">
        <w:r>
          <w:rPr>
            <w:rFonts w:ascii="Arial" w:hAnsi="Arial" w:cs="Arial"/>
            <w:sz w:val="24"/>
            <w:szCs w:val="24"/>
            <w:lang w:val="es-ES_tradnl"/>
          </w:rPr>
          <w:t>BID</w:t>
        </w:r>
      </w:smartTag>
      <w:r>
        <w:rPr>
          <w:rFonts w:ascii="Arial" w:hAnsi="Arial" w:cs="Arial"/>
          <w:sz w:val="24"/>
          <w:szCs w:val="24"/>
          <w:lang w:val="es-ES_tradnl"/>
        </w:rPr>
        <w:t>.</w:t>
      </w:r>
      <w:bookmarkEnd w:id="307"/>
    </w:p>
    <w:p>
      <w:pPr>
        <w:numPr>
          <w:ilvl w:val="0"/>
          <w:numId w:val="23"/>
        </w:numPr>
        <w:tabs>
          <w:tab w:val="left" w:pos="810"/>
        </w:tabs>
        <w:spacing w:after="120" w:line="240" w:lineRule="auto"/>
        <w:ind w:left="810" w:hanging="270"/>
        <w:jc w:val="both"/>
        <w:rPr>
          <w:rFonts w:ascii="Arial" w:hAnsi="Arial" w:cs="Arial"/>
          <w:sz w:val="24"/>
          <w:szCs w:val="24"/>
          <w:lang w:val="es-ES_tradnl"/>
        </w:rPr>
      </w:pPr>
      <w:bookmarkStart w:id="308" w:name="_Toc309677478"/>
      <w:r>
        <w:rPr>
          <w:rFonts w:ascii="Arial" w:hAnsi="Arial" w:cs="Arial"/>
          <w:sz w:val="24"/>
          <w:szCs w:val="24"/>
          <w:u w:val="single"/>
          <w:lang w:val="es-ES_tradnl"/>
        </w:rPr>
        <w:t>Documentos de la Ejecución</w:t>
      </w:r>
      <w:r>
        <w:rPr>
          <w:rFonts w:ascii="Arial" w:hAnsi="Arial" w:cs="Arial"/>
          <w:sz w:val="24"/>
          <w:szCs w:val="24"/>
          <w:lang w:val="es-ES_tradnl"/>
        </w:rPr>
        <w:t>: Ll</w:t>
      </w:r>
      <w:r>
        <w:rPr>
          <w:rFonts w:ascii="Arial" w:hAnsi="Arial" w:cs="Arial"/>
          <w:snapToGrid w:val="0"/>
          <w:sz w:val="24"/>
          <w:szCs w:val="24"/>
          <w:lang w:val="es-ES_tradnl"/>
        </w:rPr>
        <w:t xml:space="preserve">amados a </w:t>
      </w:r>
      <w:r>
        <w:rPr>
          <w:rFonts w:ascii="Arial" w:hAnsi="Arial" w:cs="Arial"/>
          <w:sz w:val="24"/>
          <w:szCs w:val="24"/>
          <w:lang w:val="es-ES_tradnl"/>
        </w:rPr>
        <w:t xml:space="preserve">Licitación y su estado de situación; </w:t>
      </w:r>
      <w:bookmarkEnd w:id="308"/>
    </w:p>
    <w:p>
      <w:pPr>
        <w:numPr>
          <w:ilvl w:val="0"/>
          <w:numId w:val="23"/>
        </w:numPr>
        <w:tabs>
          <w:tab w:val="left" w:pos="810"/>
        </w:tabs>
        <w:spacing w:after="120" w:line="240" w:lineRule="auto"/>
        <w:ind w:left="810" w:hanging="270"/>
        <w:jc w:val="both"/>
        <w:rPr>
          <w:rFonts w:ascii="Arial" w:hAnsi="Arial" w:cs="Arial"/>
          <w:sz w:val="24"/>
          <w:szCs w:val="24"/>
          <w:lang w:val="es-ES_tradnl"/>
        </w:rPr>
      </w:pPr>
      <w:bookmarkStart w:id="309" w:name="_Toc309677479"/>
      <w:r>
        <w:rPr>
          <w:rFonts w:ascii="Arial" w:hAnsi="Arial" w:cs="Arial"/>
          <w:sz w:val="24"/>
          <w:szCs w:val="24"/>
          <w:u w:val="single"/>
          <w:lang w:val="es-ES_tradnl"/>
        </w:rPr>
        <w:t>Transparencia</w:t>
      </w:r>
      <w:r>
        <w:rPr>
          <w:rFonts w:ascii="Arial" w:hAnsi="Arial" w:cs="Arial"/>
          <w:sz w:val="24"/>
          <w:szCs w:val="24"/>
          <w:lang w:val="es-ES_tradnl"/>
        </w:rPr>
        <w:t>: mecanismos para la presentación de reclamos por parte de ciudadanos; información del personal, correos, etc..</w:t>
      </w:r>
      <w:bookmarkEnd w:id="309"/>
    </w:p>
    <w:p>
      <w:pPr>
        <w:pStyle w:val="Heading1"/>
        <w:autoSpaceDE w:val="0"/>
        <w:autoSpaceDN w:val="0"/>
        <w:adjustRightInd w:val="0"/>
        <w:spacing w:before="0" w:after="0"/>
        <w:ind w:left="1985" w:hanging="1985"/>
        <w:jc w:val="both"/>
        <w:rPr>
          <w:rFonts w:ascii="Arial" w:hAnsi="Arial" w:cs="Arial"/>
          <w:color w:val="365F91" w:themeColor="accent1" w:themeShade="BF"/>
          <w:sz w:val="24"/>
          <w:szCs w:val="24"/>
          <w:lang w:val="es-AR"/>
        </w:rPr>
      </w:pPr>
      <w:bookmarkStart w:id="310" w:name="_Toc298344908"/>
      <w:bookmarkStart w:id="311" w:name="_Toc309677390"/>
      <w:bookmarkStart w:id="312" w:name="_Toc309677480"/>
      <w:r>
        <w:rPr>
          <w:rFonts w:ascii="Arial" w:hAnsi="Arial" w:cs="Arial"/>
        </w:rPr>
        <w:br w:type="page"/>
      </w:r>
      <w:bookmarkEnd w:id="310"/>
      <w:bookmarkEnd w:id="311"/>
      <w:bookmarkEnd w:id="312"/>
    </w:p>
    <w:sectPr>
      <w:headerReference w:type="default" r:id="rId12"/>
      <w:footerReference w:type="default" r:id="rId13"/>
      <w:pgSz w:w="11907" w:h="16839" w:code="9"/>
      <w:pgMar w:top="1304" w:right="1304" w:bottom="1247" w:left="130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5657637"/>
      <w:docPartObj>
        <w:docPartGallery w:val="Page Numbers (Bottom of Page)"/>
        <w:docPartUnique/>
      </w:docPartObj>
    </w:sdtPr>
    <w:sdtEndPr>
      <w:rPr>
        <w:color w:val="808080" w:themeColor="background1" w:themeShade="80"/>
        <w:spacing w:val="60"/>
        <w:sz w:val="20"/>
        <w:szCs w:val="20"/>
        <w:lang w:val="es-ES"/>
      </w:rPr>
    </w:sdtEndPr>
    <w:sdtContent>
      <w:p>
        <w:pPr>
          <w:pStyle w:val="Footer"/>
          <w:pBdr>
            <w:top w:val="single" w:sz="4" w:space="1" w:color="D9D9D9" w:themeColor="background1" w:themeShade="D9"/>
          </w:pBdr>
          <w:jc w:val="right"/>
          <w:rPr>
            <w:sz w:val="20"/>
            <w:szCs w:val="20"/>
          </w:rPr>
        </w:pPr>
        <w:r>
          <w:rPr>
            <w:sz w:val="20"/>
            <w:szCs w:val="20"/>
          </w:rPr>
          <w:fldChar w:fldCharType="begin"/>
        </w:r>
        <w:r>
          <w:rPr>
            <w:sz w:val="20"/>
            <w:szCs w:val="20"/>
          </w:rPr>
          <w:instrText>PAGE   \* MERGEFORMAT</w:instrText>
        </w:r>
        <w:r>
          <w:rPr>
            <w:sz w:val="20"/>
            <w:szCs w:val="20"/>
          </w:rPr>
          <w:fldChar w:fldCharType="separate"/>
        </w:r>
        <w:r>
          <w:rPr>
            <w:noProof/>
            <w:sz w:val="20"/>
            <w:szCs w:val="20"/>
            <w:lang w:val="es-ES"/>
          </w:rPr>
          <w:t>21</w:t>
        </w:r>
        <w:r>
          <w:rPr>
            <w:sz w:val="20"/>
            <w:szCs w:val="20"/>
          </w:rPr>
          <w:fldChar w:fldCharType="end"/>
        </w:r>
        <w:r>
          <w:rPr>
            <w:sz w:val="20"/>
            <w:szCs w:val="20"/>
            <w:lang w:val="es-ES"/>
          </w:rPr>
          <w:t xml:space="preserve"> | </w:t>
        </w:r>
        <w:r>
          <w:rPr>
            <w:color w:val="808080" w:themeColor="background1" w:themeShade="80"/>
            <w:spacing w:val="60"/>
            <w:sz w:val="20"/>
            <w:szCs w:val="20"/>
            <w:lang w:val="es-ES"/>
          </w:rPr>
          <w:t>Página</w:t>
        </w:r>
      </w:p>
    </w:sdtContent>
  </w:sdt>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spacing w:after="0"/>
        <w:ind w:left="270" w:hanging="36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Se refiere a la correcta computación de potenciales créditos fiscales.</w:t>
      </w:r>
    </w:p>
  </w:footnote>
  <w:footnote w:id="2">
    <w:p>
      <w:pPr>
        <w:pStyle w:val="FootnoteText"/>
        <w:spacing w:after="0"/>
        <w:ind w:left="270" w:hanging="36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 xml:space="preserve">Dentro de estos sistemas se incluyen aplicativos </w:t>
      </w:r>
      <w:r>
        <w:rPr>
          <w:rFonts w:ascii="Arial" w:hAnsi="Arial" w:cs="Arial"/>
          <w:i/>
          <w:sz w:val="18"/>
          <w:szCs w:val="18"/>
        </w:rPr>
        <w:t>webs</w:t>
      </w:r>
      <w:r>
        <w:rPr>
          <w:rFonts w:ascii="Arial" w:hAnsi="Arial" w:cs="Arial"/>
          <w:sz w:val="18"/>
          <w:szCs w:val="18"/>
        </w:rPr>
        <w:t xml:space="preserve">: Reingeniería MAW; Reingeniería de aplicaciones de sistemas tributarios; Registro Único Tributario; Sistema de Ingresos Directos; Reingeniería de </w:t>
      </w:r>
      <w:r>
        <w:rPr>
          <w:rFonts w:ascii="Arial" w:hAnsi="Arial" w:cs="Arial"/>
          <w:i/>
          <w:sz w:val="18"/>
          <w:szCs w:val="18"/>
        </w:rPr>
        <w:t>Datamart</w:t>
      </w:r>
      <w:r>
        <w:rPr>
          <w:rFonts w:ascii="Arial" w:hAnsi="Arial" w:cs="Arial"/>
          <w:sz w:val="18"/>
          <w:szCs w:val="18"/>
        </w:rPr>
        <w:t xml:space="preserve"> MATT; Reingeniería SIAP; OSIRIS; AcreTa (Acreditaciones Tardías); MulAT (Múltiples Administraciones Tributarias).</w:t>
      </w:r>
    </w:p>
  </w:footnote>
  <w:footnote w:id="3">
    <w:p>
      <w:pPr>
        <w:pStyle w:val="FootnoteText"/>
        <w:spacing w:before="0" w:after="0"/>
        <w:ind w:left="274" w:hanging="360"/>
        <w:rPr>
          <w:rFonts w:ascii="Times New Roman" w:hAnsi="Times New Roman"/>
          <w:b w:val="0"/>
          <w:sz w:val="18"/>
          <w:szCs w:val="18"/>
        </w:rPr>
      </w:pPr>
      <w:r>
        <w:rPr>
          <w:rStyle w:val="FootnoteReference"/>
          <w:rFonts w:ascii="Times New Roman" w:hAnsi="Times New Roman"/>
          <w:b w:val="0"/>
          <w:sz w:val="18"/>
          <w:szCs w:val="18"/>
        </w:rPr>
        <w:footnoteRef/>
      </w:r>
      <w:r>
        <w:rPr>
          <w:rFonts w:ascii="Times New Roman" w:hAnsi="Times New Roman"/>
          <w:b w:val="0"/>
          <w:sz w:val="18"/>
          <w:szCs w:val="18"/>
        </w:rPr>
        <w:t xml:space="preserve"> </w:t>
      </w:r>
      <w:r>
        <w:rPr>
          <w:rFonts w:ascii="Times New Roman" w:hAnsi="Times New Roman"/>
          <w:b w:val="0"/>
          <w:sz w:val="18"/>
          <w:szCs w:val="18"/>
        </w:rPr>
        <w:tab/>
        <w:t>El modelo integral de riesgo deberá definir: (i) principios; (ii) clasificación por área de riesgo; (iii) clasificación de riesgo aduanero por origen; (iv) acciones frente al riesgo; (v) categoría de riesgo aduanero; (vi) metodología para evaluación de riesgo; (vii) indicadores para estimar la eficiencia de los procedimientos de control aduanero; (viii) modelo de gestión de cumplimiento; (ix) generación de la matriz de riesgo; y (x) autoevaluación del proceso de gestión de riesgo.</w:t>
      </w:r>
    </w:p>
  </w:footnote>
  <w:footnote w:id="4">
    <w:p>
      <w:pPr>
        <w:pStyle w:val="FootnoteText"/>
        <w:spacing w:before="0" w:after="0"/>
        <w:ind w:left="274" w:hanging="360"/>
        <w:rPr>
          <w:rFonts w:ascii="Times New Roman" w:hAnsi="Times New Roman"/>
          <w:b w:val="0"/>
          <w:sz w:val="18"/>
          <w:szCs w:val="18"/>
        </w:rPr>
      </w:pPr>
      <w:r>
        <w:rPr>
          <w:rStyle w:val="FootnoteReference"/>
          <w:rFonts w:ascii="Times New Roman" w:hAnsi="Times New Roman"/>
          <w:b w:val="0"/>
          <w:sz w:val="18"/>
          <w:szCs w:val="18"/>
        </w:rPr>
        <w:footnoteRef/>
      </w:r>
      <w:r>
        <w:rPr>
          <w:rFonts w:ascii="Times New Roman" w:hAnsi="Times New Roman"/>
          <w:b w:val="0"/>
          <w:sz w:val="18"/>
          <w:szCs w:val="18"/>
        </w:rPr>
        <w:t xml:space="preserve"> </w:t>
      </w:r>
      <w:r>
        <w:rPr>
          <w:rFonts w:ascii="Times New Roman" w:hAnsi="Times New Roman"/>
          <w:b w:val="0"/>
          <w:sz w:val="18"/>
          <w:szCs w:val="18"/>
        </w:rPr>
        <w:tab/>
        <w:t xml:space="preserve">Se refiere fundamentalmente a la actualización de la red </w:t>
      </w:r>
      <w:r>
        <w:rPr>
          <w:rFonts w:ascii="Times New Roman" w:hAnsi="Times New Roman"/>
          <w:b w:val="0"/>
          <w:i/>
          <w:sz w:val="18"/>
          <w:szCs w:val="18"/>
        </w:rPr>
        <w:t>Wide Area Network</w:t>
      </w:r>
      <w:r>
        <w:rPr>
          <w:rFonts w:ascii="Times New Roman" w:hAnsi="Times New Roman"/>
          <w:b w:val="0"/>
          <w:sz w:val="18"/>
          <w:szCs w:val="18"/>
        </w:rPr>
        <w:t xml:space="preserve">. En la actualidad muchos de los puestos de aduanas cuentan con una velocidad de conexión de solo 8 </w:t>
      </w:r>
      <w:r>
        <w:rPr>
          <w:rFonts w:ascii="Times New Roman" w:hAnsi="Times New Roman"/>
          <w:b w:val="0"/>
          <w:i/>
          <w:sz w:val="18"/>
          <w:szCs w:val="18"/>
        </w:rPr>
        <w:t>kilobyte</w:t>
      </w:r>
      <w:r>
        <w:rPr>
          <w:rFonts w:ascii="Times New Roman" w:hAnsi="Times New Roman"/>
          <w:b w:val="0"/>
          <w:sz w:val="18"/>
          <w:szCs w:val="18"/>
        </w:rPr>
        <w:t>. Adicionalmente se incluye actualización de equipos de computación, control biométrico y adecuación de infraestructura edilicia.</w:t>
      </w:r>
    </w:p>
  </w:footnote>
  <w:footnote w:id="5">
    <w:p>
      <w:pPr>
        <w:pStyle w:val="FootnoteText"/>
        <w:spacing w:before="0" w:after="0"/>
        <w:ind w:left="274" w:hanging="360"/>
        <w:rPr>
          <w:rFonts w:ascii="Times New Roman" w:hAnsi="Times New Roman"/>
          <w:b w:val="0"/>
          <w:sz w:val="18"/>
          <w:szCs w:val="18"/>
        </w:rPr>
      </w:pPr>
      <w:r>
        <w:rPr>
          <w:rStyle w:val="FootnoteReference"/>
          <w:rFonts w:ascii="Times New Roman" w:hAnsi="Times New Roman"/>
          <w:b w:val="0"/>
          <w:sz w:val="18"/>
          <w:szCs w:val="18"/>
        </w:rPr>
        <w:footnoteRef/>
      </w:r>
      <w:r>
        <w:rPr>
          <w:rFonts w:ascii="Times New Roman" w:hAnsi="Times New Roman"/>
          <w:b w:val="0"/>
          <w:sz w:val="18"/>
          <w:szCs w:val="18"/>
        </w:rPr>
        <w:t xml:space="preserve"> </w:t>
      </w:r>
      <w:r>
        <w:rPr>
          <w:rFonts w:ascii="Times New Roman" w:hAnsi="Times New Roman"/>
          <w:b w:val="0"/>
          <w:sz w:val="18"/>
          <w:szCs w:val="18"/>
        </w:rPr>
        <w:tab/>
        <w:t xml:space="preserve">Incluyen: (i) adquisición de una unidad de almacenamiento con capacidad estimada 1 PT con soporte por 5 años; (ii) adquisición de estaciones de trabajo para reemplazar equipamiento obsoleto; (iii) nueva solución de </w:t>
      </w:r>
      <w:r>
        <w:rPr>
          <w:rFonts w:ascii="Times New Roman" w:hAnsi="Times New Roman"/>
          <w:b w:val="0"/>
          <w:i/>
          <w:sz w:val="18"/>
          <w:szCs w:val="18"/>
        </w:rPr>
        <w:t>backup</w:t>
      </w:r>
      <w:r>
        <w:rPr>
          <w:rFonts w:ascii="Times New Roman" w:hAnsi="Times New Roman"/>
          <w:b w:val="0"/>
          <w:sz w:val="18"/>
          <w:szCs w:val="18"/>
        </w:rPr>
        <w:t xml:space="preserve"> a discos para las bases de datos; (iv) adquisición de una solución VDI (</w:t>
      </w:r>
      <w:r>
        <w:rPr>
          <w:rFonts w:ascii="Times New Roman" w:hAnsi="Times New Roman"/>
          <w:b w:val="0"/>
          <w:i/>
          <w:sz w:val="18"/>
          <w:szCs w:val="18"/>
        </w:rPr>
        <w:t>Virtual Desktop Infrastructure</w:t>
      </w:r>
      <w:r>
        <w:rPr>
          <w:rFonts w:ascii="Times New Roman" w:hAnsi="Times New Roman"/>
          <w:b w:val="0"/>
          <w:sz w:val="18"/>
          <w:szCs w:val="18"/>
        </w:rPr>
        <w:t xml:space="preserve">) para casos específicos con servicio de soporte del hardware y actualización tecnológica del </w:t>
      </w:r>
      <w:r>
        <w:rPr>
          <w:rFonts w:ascii="Times New Roman" w:hAnsi="Times New Roman"/>
          <w:b w:val="0"/>
          <w:i/>
          <w:sz w:val="18"/>
          <w:szCs w:val="18"/>
        </w:rPr>
        <w:t>software</w:t>
      </w:r>
      <w:r>
        <w:rPr>
          <w:rFonts w:ascii="Times New Roman" w:hAnsi="Times New Roman"/>
          <w:b w:val="0"/>
          <w:sz w:val="18"/>
          <w:szCs w:val="18"/>
        </w:rPr>
        <w:t xml:space="preserve"> por 5 años. La mayor parte de los desarrollos de</w:t>
      </w:r>
      <w:r>
        <w:rPr>
          <w:rFonts w:ascii="Times New Roman" w:hAnsi="Times New Roman"/>
          <w:b w:val="0"/>
          <w:i/>
          <w:sz w:val="18"/>
          <w:szCs w:val="18"/>
        </w:rPr>
        <w:t xml:space="preserve"> software </w:t>
      </w:r>
      <w:r>
        <w:rPr>
          <w:rFonts w:ascii="Times New Roman" w:hAnsi="Times New Roman"/>
          <w:b w:val="0"/>
          <w:sz w:val="18"/>
          <w:szCs w:val="18"/>
        </w:rPr>
        <w:t>serán desarrollos a la medida.</w:t>
      </w:r>
    </w:p>
  </w:footnote>
  <w:footnote w:id="6">
    <w:p>
      <w:pPr>
        <w:pStyle w:val="FootnoteText"/>
        <w:spacing w:before="0" w:after="0"/>
        <w:ind w:left="274" w:hanging="360"/>
        <w:rPr>
          <w:rFonts w:ascii="Times New Roman" w:hAnsi="Times New Roman"/>
          <w:b w:val="0"/>
          <w:sz w:val="18"/>
          <w:szCs w:val="18"/>
        </w:rPr>
      </w:pPr>
      <w:r>
        <w:rPr>
          <w:rStyle w:val="FootnoteReference"/>
          <w:rFonts w:ascii="Times New Roman" w:hAnsi="Times New Roman"/>
          <w:b w:val="0"/>
          <w:sz w:val="18"/>
          <w:szCs w:val="18"/>
        </w:rPr>
        <w:footnoteRef/>
      </w:r>
      <w:r>
        <w:rPr>
          <w:rFonts w:ascii="Times New Roman" w:hAnsi="Times New Roman"/>
          <w:b w:val="0"/>
          <w:sz w:val="18"/>
          <w:szCs w:val="18"/>
        </w:rPr>
        <w:t xml:space="preserve"> </w:t>
      </w:r>
      <w:r>
        <w:rPr>
          <w:rFonts w:ascii="Times New Roman" w:hAnsi="Times New Roman"/>
          <w:b w:val="0"/>
          <w:sz w:val="18"/>
          <w:szCs w:val="18"/>
        </w:rPr>
        <w:tab/>
        <w:t>Incluye: (i) actualización de activos de red (</w:t>
      </w:r>
      <w:r>
        <w:rPr>
          <w:rFonts w:ascii="Times New Roman" w:hAnsi="Times New Roman"/>
          <w:b w:val="0"/>
          <w:i/>
          <w:sz w:val="18"/>
          <w:szCs w:val="18"/>
        </w:rPr>
        <w:t>Router/Switches</w:t>
      </w:r>
      <w:r>
        <w:rPr>
          <w:rFonts w:ascii="Times New Roman" w:hAnsi="Times New Roman"/>
          <w:b w:val="0"/>
          <w:sz w:val="18"/>
          <w:szCs w:val="18"/>
        </w:rPr>
        <w:t xml:space="preserve"> en dependencias); (ii) actualización de activos de red inalámbricos e implementación de nuevas zonas WIFI; (iii) actualización y centralización de acceso a la red pública de telefonía; (iv) implementación de nuevos esquemas de conectividad; (v) aprovechamiento de energías renovables; y (vi) adquisición de equipos/servicios de telefonía móvil.</w:t>
      </w:r>
    </w:p>
  </w:footnote>
  <w:footnote w:id="7">
    <w:p>
      <w:pPr>
        <w:pStyle w:val="FootnoteText"/>
        <w:spacing w:before="0" w:after="0"/>
        <w:ind w:left="274" w:hanging="360"/>
        <w:rPr>
          <w:rFonts w:ascii="Arial" w:hAnsi="Arial" w:cs="Arial"/>
          <w:sz w:val="18"/>
          <w:szCs w:val="18"/>
        </w:rPr>
      </w:pPr>
      <w:r>
        <w:rPr>
          <w:rStyle w:val="FootnoteReference"/>
          <w:rFonts w:ascii="Times New Roman" w:hAnsi="Times New Roman"/>
          <w:b w:val="0"/>
          <w:sz w:val="18"/>
          <w:szCs w:val="18"/>
        </w:rPr>
        <w:footnoteRef/>
      </w:r>
      <w:r>
        <w:rPr>
          <w:rFonts w:ascii="Times New Roman" w:hAnsi="Times New Roman"/>
          <w:b w:val="0"/>
          <w:sz w:val="18"/>
          <w:szCs w:val="18"/>
        </w:rPr>
        <w:t xml:space="preserve"> </w:t>
      </w:r>
      <w:r>
        <w:rPr>
          <w:rFonts w:ascii="Times New Roman" w:hAnsi="Times New Roman"/>
          <w:b w:val="0"/>
          <w:sz w:val="18"/>
          <w:szCs w:val="18"/>
        </w:rPr>
        <w:tab/>
        <w:t xml:space="preserve">Incluye: (i) adquisición de sistema para detección y análisis de amenazas avanzadas; (ii) actualización de </w:t>
      </w:r>
      <w:r>
        <w:rPr>
          <w:rFonts w:ascii="Times New Roman" w:hAnsi="Times New Roman"/>
          <w:b w:val="0"/>
          <w:i/>
          <w:sz w:val="18"/>
          <w:szCs w:val="18"/>
        </w:rPr>
        <w:t>firewalls</w:t>
      </w:r>
      <w:r>
        <w:rPr>
          <w:rFonts w:ascii="Times New Roman" w:hAnsi="Times New Roman"/>
          <w:b w:val="0"/>
          <w:sz w:val="18"/>
          <w:szCs w:val="18"/>
        </w:rPr>
        <w:t xml:space="preserve"> para dependencias; (iii) adquisición de plataforma de mitigación de DDOS en la nube para CABASE; (iv) adquisición de plataforma de </w:t>
      </w:r>
      <w:r>
        <w:rPr>
          <w:rFonts w:ascii="Times New Roman" w:hAnsi="Times New Roman"/>
          <w:b w:val="0"/>
          <w:i/>
          <w:sz w:val="18"/>
          <w:szCs w:val="18"/>
        </w:rPr>
        <w:t>firewall</w:t>
      </w:r>
      <w:r>
        <w:rPr>
          <w:rFonts w:ascii="Times New Roman" w:hAnsi="Times New Roman"/>
          <w:b w:val="0"/>
          <w:sz w:val="18"/>
          <w:szCs w:val="18"/>
        </w:rPr>
        <w:t xml:space="preserve"> de aplicaciones </w:t>
      </w:r>
      <w:r>
        <w:rPr>
          <w:rFonts w:ascii="Times New Roman" w:hAnsi="Times New Roman"/>
          <w:b w:val="0"/>
          <w:i/>
          <w:sz w:val="18"/>
          <w:szCs w:val="18"/>
        </w:rPr>
        <w:t>web</w:t>
      </w:r>
      <w:r>
        <w:rPr>
          <w:rFonts w:ascii="Times New Roman" w:hAnsi="Times New Roman"/>
          <w:b w:val="0"/>
          <w:sz w:val="18"/>
          <w:szCs w:val="18"/>
        </w:rPr>
        <w:t xml:space="preserve">; (v) adquisición de </w:t>
      </w:r>
      <w:r>
        <w:rPr>
          <w:rFonts w:ascii="Times New Roman" w:hAnsi="Times New Roman"/>
          <w:b w:val="0"/>
          <w:i/>
          <w:sz w:val="18"/>
          <w:szCs w:val="18"/>
        </w:rPr>
        <w:t>software</w:t>
      </w:r>
      <w:r>
        <w:rPr>
          <w:rFonts w:ascii="Times New Roman" w:hAnsi="Times New Roman"/>
          <w:b w:val="0"/>
          <w:sz w:val="18"/>
          <w:szCs w:val="18"/>
        </w:rPr>
        <w:t xml:space="preserve"> Token; (vi) actualización de </w:t>
      </w:r>
      <w:r>
        <w:rPr>
          <w:rFonts w:ascii="Times New Roman" w:hAnsi="Times New Roman"/>
          <w:b w:val="0"/>
          <w:bCs/>
          <w:i/>
          <w:sz w:val="18"/>
          <w:szCs w:val="18"/>
        </w:rPr>
        <w:t>Hardware Security Module</w:t>
      </w:r>
      <w:r>
        <w:rPr>
          <w:rFonts w:ascii="Times New Roman" w:hAnsi="Times New Roman"/>
          <w:b w:val="0"/>
          <w:i/>
          <w:sz w:val="18"/>
          <w:szCs w:val="18"/>
        </w:rPr>
        <w:t xml:space="preserve">; </w:t>
      </w:r>
      <w:r>
        <w:rPr>
          <w:rFonts w:ascii="Times New Roman" w:hAnsi="Times New Roman"/>
          <w:b w:val="0"/>
          <w:sz w:val="18"/>
          <w:szCs w:val="18"/>
        </w:rPr>
        <w:t xml:space="preserve">(v) adquisición y consultoría para la implementación de IBM QRadar (SIEM) y (vii) adquisición de </w:t>
      </w:r>
      <w:r>
        <w:rPr>
          <w:rFonts w:ascii="Times New Roman" w:hAnsi="Times New Roman"/>
          <w:b w:val="0"/>
          <w:i/>
          <w:sz w:val="18"/>
          <w:szCs w:val="18"/>
        </w:rPr>
        <w:t>Micro Focus Fortify</w:t>
      </w:r>
      <w:r>
        <w:rPr>
          <w:rFonts w:ascii="Times New Roman" w:hAnsi="Times New Roman"/>
          <w:b w:val="0"/>
          <w:sz w:val="18"/>
          <w:szCs w:val="18"/>
        </w:rPr>
        <w:t>.</w:t>
      </w:r>
    </w:p>
  </w:footnote>
  <w:footnote w:id="8">
    <w:p>
      <w:pPr>
        <w:pStyle w:val="FootnoteText"/>
        <w:spacing w:before="0" w:after="0"/>
        <w:ind w:left="180" w:hanging="180"/>
        <w:rPr>
          <w:b w:val="0"/>
          <w:sz w:val="20"/>
          <w:szCs w:val="20"/>
        </w:rPr>
      </w:pPr>
      <w:r>
        <w:rPr>
          <w:rStyle w:val="FootnoteReference"/>
          <w:b w:val="0"/>
          <w:sz w:val="20"/>
          <w:szCs w:val="20"/>
        </w:rPr>
        <w:footnoteRef/>
      </w:r>
      <w:r>
        <w:rPr>
          <w:b w:val="0"/>
          <w:sz w:val="20"/>
          <w:szCs w:val="20"/>
        </w:rPr>
        <w:tab/>
        <w:t>Los valores máximos en dólares que definen a los Contratos como “menores”, se determinarán en cada caso, tomando en cuenta la naturaleza y complejidad del trabajo, pero en ningún caso deben exceder el equivalente de US$200.000.</w:t>
      </w:r>
    </w:p>
  </w:footnote>
  <w:footnote w:id="9">
    <w:p>
      <w:pPr>
        <w:pStyle w:val="FootnoteText"/>
        <w:spacing w:before="0" w:after="0"/>
        <w:ind w:left="180" w:hanging="180"/>
        <w:rPr>
          <w:b w:val="0"/>
          <w:sz w:val="20"/>
          <w:szCs w:val="20"/>
        </w:rPr>
      </w:pPr>
      <w:r>
        <w:rPr>
          <w:rStyle w:val="FootnoteReference"/>
          <w:b w:val="0"/>
          <w:sz w:val="20"/>
          <w:szCs w:val="20"/>
        </w:rPr>
        <w:footnoteRef/>
      </w:r>
      <w:r>
        <w:rPr>
          <w:b w:val="0"/>
          <w:sz w:val="20"/>
          <w:szCs w:val="20"/>
        </w:rPr>
        <w:tab/>
        <w:t>Los umbrales en dólares que definen el concepto de “muy pequeño” se determinarán en cada caso, tomando en consideración el tipo y complejidad de los servicios, pero no deben exceder de US$ 100.000.</w:t>
      </w:r>
    </w:p>
  </w:footnote>
  <w:footnote w:id="10">
    <w:p>
      <w:pPr>
        <w:pStyle w:val="FootnoteText"/>
        <w:spacing w:before="0" w:after="0"/>
        <w:ind w:left="180" w:hanging="180"/>
        <w:rPr>
          <w:b w:val="0"/>
          <w:sz w:val="20"/>
          <w:szCs w:val="20"/>
        </w:rPr>
      </w:pPr>
      <w:r>
        <w:rPr>
          <w:rStyle w:val="FootnoteReference"/>
          <w:b w:val="0"/>
          <w:sz w:val="20"/>
          <w:szCs w:val="20"/>
        </w:rPr>
        <w:footnoteRef/>
      </w:r>
      <w:r>
        <w:rPr>
          <w:b w:val="0"/>
          <w:sz w:val="20"/>
          <w:szCs w:val="20"/>
        </w:rPr>
        <w:tab/>
        <w:t xml:space="preserve">En algunos casos los Prestatarios podrán considerar, a su propio criterio, las ventajas de efectuar una invitación pública a participar.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right"/>
      <w:rPr>
        <w:color w:val="404040" w:themeColor="text1" w:themeTint="BF"/>
        <w:sz w:val="20"/>
        <w:szCs w:val="20"/>
        <w:lang w:val="es-AR"/>
      </w:rPr>
    </w:pPr>
    <w:r>
      <w:rPr>
        <w:rFonts w:ascii="Times New Roman" w:hAnsi="Times New Roman" w:cs="Times New Roman"/>
        <w:color w:val="404040" w:themeColor="text1" w:themeTint="BF"/>
        <w:sz w:val="20"/>
        <w:szCs w:val="20"/>
        <w:lang w:val="es-AR"/>
      </w:rPr>
      <w:t>Programa de Fortalecimiento de la Capacidad de Gestión de AFIP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74E64"/>
    <w:multiLevelType w:val="hybridMultilevel"/>
    <w:tmpl w:val="A21ED896"/>
    <w:lvl w:ilvl="0" w:tplc="8ACAF416">
      <w:start w:val="1"/>
      <w:numFmt w:val="upp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03904"/>
    <w:multiLevelType w:val="hybridMultilevel"/>
    <w:tmpl w:val="6B843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B3F7A"/>
    <w:multiLevelType w:val="multilevel"/>
    <w:tmpl w:val="9E1E8294"/>
    <w:lvl w:ilvl="0">
      <w:start w:val="1"/>
      <w:numFmt w:val="lowerLetter"/>
      <w:lvlText w:val="%1)"/>
      <w:lvlJc w:val="left"/>
      <w:pPr>
        <w:ind w:left="1080" w:hanging="72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6C52BE"/>
    <w:multiLevelType w:val="multilevel"/>
    <w:tmpl w:val="B9F44ABA"/>
    <w:lvl w:ilvl="0">
      <w:start w:val="1"/>
      <w:numFmt w:val="upperLetter"/>
      <w:lvlText w:val="%1."/>
      <w:lvlJc w:val="left"/>
      <w:pPr>
        <w:ind w:left="720" w:hanging="360"/>
      </w:pPr>
      <w:rPr>
        <w:rFonts w:ascii="Times New Roman" w:eastAsia="Calibri" w:hAnsi="Times New Roman" w:cs="Times New Roman"/>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342C55"/>
    <w:multiLevelType w:val="multilevel"/>
    <w:tmpl w:val="3A0E81D2"/>
    <w:lvl w:ilvl="0">
      <w:start w:val="5"/>
      <w:numFmt w:val="decimal"/>
      <w:lvlText w:val="%1"/>
      <w:lvlJc w:val="left"/>
      <w:pPr>
        <w:ind w:left="420" w:hanging="420"/>
      </w:pPr>
      <w:rPr>
        <w:rFonts w:hint="default"/>
        <w:b/>
      </w:rPr>
    </w:lvl>
    <w:lvl w:ilvl="1">
      <w:start w:val="1"/>
      <w:numFmt w:val="decimalZero"/>
      <w:lvlText w:val="%1.%2"/>
      <w:lvlJc w:val="left"/>
      <w:pPr>
        <w:ind w:left="1140" w:hanging="420"/>
      </w:pPr>
      <w:rPr>
        <w:rFonts w:ascii="Times New Roman" w:hAnsi="Times New Roman" w:cs="Times New Roman" w:hint="default"/>
        <w:b w:val="0"/>
      </w:rPr>
    </w:lvl>
    <w:lvl w:ilvl="2">
      <w:start w:val="1"/>
      <w:numFmt w:val="lowerLetter"/>
      <w:lvlText w:val="%3)"/>
      <w:lvlJc w:val="left"/>
      <w:pPr>
        <w:ind w:left="2160" w:hanging="720"/>
      </w:pPr>
      <w:rPr>
        <w:rFonts w:hint="default"/>
        <w:b w:val="0"/>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7653353"/>
    <w:multiLevelType w:val="hybridMultilevel"/>
    <w:tmpl w:val="A67428E8"/>
    <w:lvl w:ilvl="0" w:tplc="E82CA14E">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6" w15:restartNumberingAfterBreak="0">
    <w:nsid w:val="1F302A20"/>
    <w:multiLevelType w:val="multilevel"/>
    <w:tmpl w:val="469ADCF0"/>
    <w:lvl w:ilvl="0">
      <w:start w:val="1"/>
      <w:numFmt w:val="upperRoman"/>
      <w:lvlText w:val="%1."/>
      <w:lvlJc w:val="left"/>
      <w:pPr>
        <w:ind w:left="1080" w:hanging="72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12C5FAC"/>
    <w:multiLevelType w:val="multilevel"/>
    <w:tmpl w:val="06B2511A"/>
    <w:lvl w:ilvl="0">
      <w:start w:val="7"/>
      <w:numFmt w:val="decimal"/>
      <w:lvlText w:val="%1"/>
      <w:lvlJc w:val="left"/>
      <w:pPr>
        <w:ind w:left="420" w:hanging="420"/>
      </w:pPr>
      <w:rPr>
        <w:rFonts w:hint="default"/>
      </w:rPr>
    </w:lvl>
    <w:lvl w:ilvl="1">
      <w:start w:val="1"/>
      <w:numFmt w:val="decimalZero"/>
      <w:lvlText w:val="%1.%2"/>
      <w:lvlJc w:val="left"/>
      <w:pPr>
        <w:ind w:left="2973" w:hanging="420"/>
      </w:pPr>
      <w:rPr>
        <w:rFonts w:hint="default"/>
      </w:rPr>
    </w:lvl>
    <w:lvl w:ilvl="2">
      <w:start w:val="1"/>
      <w:numFmt w:val="decimal"/>
      <w:lvlText w:val="%1.%2.%3"/>
      <w:lvlJc w:val="left"/>
      <w:pPr>
        <w:ind w:left="5826" w:hanging="720"/>
      </w:pPr>
      <w:rPr>
        <w:rFonts w:hint="default"/>
      </w:rPr>
    </w:lvl>
    <w:lvl w:ilvl="3">
      <w:start w:val="1"/>
      <w:numFmt w:val="decimal"/>
      <w:lvlText w:val="%1.%2.%3.%4"/>
      <w:lvlJc w:val="left"/>
      <w:pPr>
        <w:ind w:left="8379" w:hanging="720"/>
      </w:pPr>
      <w:rPr>
        <w:rFonts w:hint="default"/>
      </w:rPr>
    </w:lvl>
    <w:lvl w:ilvl="4">
      <w:start w:val="1"/>
      <w:numFmt w:val="decimal"/>
      <w:lvlText w:val="%1.%2.%3.%4.%5"/>
      <w:lvlJc w:val="left"/>
      <w:pPr>
        <w:ind w:left="11292" w:hanging="1080"/>
      </w:pPr>
      <w:rPr>
        <w:rFonts w:hint="default"/>
      </w:rPr>
    </w:lvl>
    <w:lvl w:ilvl="5">
      <w:start w:val="1"/>
      <w:numFmt w:val="decimal"/>
      <w:lvlText w:val="%1.%2.%3.%4.%5.%6"/>
      <w:lvlJc w:val="left"/>
      <w:pPr>
        <w:ind w:left="13845" w:hanging="1080"/>
      </w:pPr>
      <w:rPr>
        <w:rFonts w:hint="default"/>
      </w:rPr>
    </w:lvl>
    <w:lvl w:ilvl="6">
      <w:start w:val="1"/>
      <w:numFmt w:val="decimal"/>
      <w:lvlText w:val="%1.%2.%3.%4.%5.%6.%7"/>
      <w:lvlJc w:val="left"/>
      <w:pPr>
        <w:ind w:left="16758" w:hanging="1440"/>
      </w:pPr>
      <w:rPr>
        <w:rFonts w:hint="default"/>
      </w:rPr>
    </w:lvl>
    <w:lvl w:ilvl="7">
      <w:start w:val="1"/>
      <w:numFmt w:val="decimal"/>
      <w:lvlText w:val="%1.%2.%3.%4.%5.%6.%7.%8"/>
      <w:lvlJc w:val="left"/>
      <w:pPr>
        <w:ind w:left="19311" w:hanging="1440"/>
      </w:pPr>
      <w:rPr>
        <w:rFonts w:hint="default"/>
      </w:rPr>
    </w:lvl>
    <w:lvl w:ilvl="8">
      <w:start w:val="1"/>
      <w:numFmt w:val="decimal"/>
      <w:lvlText w:val="%1.%2.%3.%4.%5.%6.%7.%8.%9"/>
      <w:lvlJc w:val="left"/>
      <w:pPr>
        <w:ind w:left="22224" w:hanging="1800"/>
      </w:pPr>
      <w:rPr>
        <w:rFonts w:hint="default"/>
      </w:rPr>
    </w:lvl>
  </w:abstractNum>
  <w:abstractNum w:abstractNumId="8" w15:restartNumberingAfterBreak="0">
    <w:nsid w:val="2447732C"/>
    <w:multiLevelType w:val="hybridMultilevel"/>
    <w:tmpl w:val="FC6A0040"/>
    <w:lvl w:ilvl="0" w:tplc="905C89F8">
      <w:start w:val="1"/>
      <w:numFmt w:val="decimal"/>
      <w:pStyle w:val="Heading1"/>
      <w:lvlText w:val="%1."/>
      <w:lvlJc w:val="left"/>
      <w:pPr>
        <w:ind w:left="644" w:hanging="360"/>
      </w:pPr>
      <w:rPr>
        <w:rFonts w:hint="default"/>
      </w:rPr>
    </w:lvl>
    <w:lvl w:ilvl="1" w:tplc="927AB71A">
      <w:start w:val="1"/>
      <w:numFmt w:val="lowerLetter"/>
      <w:lvlText w:val="%2."/>
      <w:lvlJc w:val="left"/>
      <w:pPr>
        <w:tabs>
          <w:tab w:val="num" w:pos="1436"/>
        </w:tabs>
        <w:ind w:left="1436" w:hanging="360"/>
      </w:pPr>
      <w:rPr>
        <w:rFonts w:ascii="Calibri" w:eastAsia="Times New Roman" w:hAnsi="Calibri" w:cs="Times New Roman"/>
      </w:rPr>
    </w:lvl>
    <w:lvl w:ilvl="2" w:tplc="EA2E7F58" w:tentative="1">
      <w:start w:val="1"/>
      <w:numFmt w:val="lowerRoman"/>
      <w:lvlText w:val="%3."/>
      <w:lvlJc w:val="right"/>
      <w:pPr>
        <w:tabs>
          <w:tab w:val="num" w:pos="2156"/>
        </w:tabs>
        <w:ind w:left="2156" w:hanging="180"/>
      </w:pPr>
    </w:lvl>
    <w:lvl w:ilvl="3" w:tplc="DEB699CE" w:tentative="1">
      <w:start w:val="1"/>
      <w:numFmt w:val="decimal"/>
      <w:lvlText w:val="%4."/>
      <w:lvlJc w:val="left"/>
      <w:pPr>
        <w:tabs>
          <w:tab w:val="num" w:pos="2876"/>
        </w:tabs>
        <w:ind w:left="2876" w:hanging="360"/>
      </w:pPr>
    </w:lvl>
    <w:lvl w:ilvl="4" w:tplc="21C4CA7E" w:tentative="1">
      <w:start w:val="1"/>
      <w:numFmt w:val="lowerLetter"/>
      <w:lvlText w:val="%5."/>
      <w:lvlJc w:val="left"/>
      <w:pPr>
        <w:tabs>
          <w:tab w:val="num" w:pos="3596"/>
        </w:tabs>
        <w:ind w:left="3596" w:hanging="360"/>
      </w:pPr>
    </w:lvl>
    <w:lvl w:ilvl="5" w:tplc="EF72A396" w:tentative="1">
      <w:start w:val="1"/>
      <w:numFmt w:val="lowerRoman"/>
      <w:lvlText w:val="%6."/>
      <w:lvlJc w:val="right"/>
      <w:pPr>
        <w:tabs>
          <w:tab w:val="num" w:pos="4316"/>
        </w:tabs>
        <w:ind w:left="4316" w:hanging="180"/>
      </w:pPr>
    </w:lvl>
    <w:lvl w:ilvl="6" w:tplc="505EBC58" w:tentative="1">
      <w:start w:val="1"/>
      <w:numFmt w:val="decimal"/>
      <w:lvlText w:val="%7."/>
      <w:lvlJc w:val="left"/>
      <w:pPr>
        <w:tabs>
          <w:tab w:val="num" w:pos="5036"/>
        </w:tabs>
        <w:ind w:left="5036" w:hanging="360"/>
      </w:pPr>
    </w:lvl>
    <w:lvl w:ilvl="7" w:tplc="089A5C26" w:tentative="1">
      <w:start w:val="1"/>
      <w:numFmt w:val="lowerLetter"/>
      <w:lvlText w:val="%8."/>
      <w:lvlJc w:val="left"/>
      <w:pPr>
        <w:tabs>
          <w:tab w:val="num" w:pos="5756"/>
        </w:tabs>
        <w:ind w:left="5756" w:hanging="360"/>
      </w:pPr>
    </w:lvl>
    <w:lvl w:ilvl="8" w:tplc="B6FC80C4" w:tentative="1">
      <w:start w:val="1"/>
      <w:numFmt w:val="lowerRoman"/>
      <w:lvlText w:val="%9."/>
      <w:lvlJc w:val="right"/>
      <w:pPr>
        <w:tabs>
          <w:tab w:val="num" w:pos="6476"/>
        </w:tabs>
        <w:ind w:left="6476" w:hanging="180"/>
      </w:pPr>
    </w:lvl>
  </w:abstractNum>
  <w:abstractNum w:abstractNumId="9" w15:restartNumberingAfterBreak="0">
    <w:nsid w:val="26DB5FFB"/>
    <w:multiLevelType w:val="hybridMultilevel"/>
    <w:tmpl w:val="D4D6B9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DD0C31"/>
    <w:multiLevelType w:val="hybridMultilevel"/>
    <w:tmpl w:val="3D765A64"/>
    <w:lvl w:ilvl="0" w:tplc="2C0A0019">
      <w:start w:val="1"/>
      <w:numFmt w:val="lowerLetter"/>
      <w:lvlText w:val="%1."/>
      <w:lvlJc w:val="left"/>
      <w:pPr>
        <w:ind w:left="1429" w:hanging="360"/>
      </w:pPr>
    </w:lvl>
    <w:lvl w:ilvl="1" w:tplc="0FDCC384">
      <w:start w:val="1"/>
      <w:numFmt w:val="decimal"/>
      <w:lvlText w:val="%2."/>
      <w:lvlJc w:val="left"/>
      <w:pPr>
        <w:ind w:left="2494" w:hanging="705"/>
      </w:pPr>
      <w:rPr>
        <w:rFonts w:hint="default"/>
      </w:rPr>
    </w:lvl>
    <w:lvl w:ilvl="2" w:tplc="2C0A001B">
      <w:start w:val="1"/>
      <w:numFmt w:val="lowerRoman"/>
      <w:lvlText w:val="%3."/>
      <w:lvlJc w:val="right"/>
      <w:pPr>
        <w:ind w:left="2869" w:hanging="180"/>
      </w:pPr>
    </w:lvl>
    <w:lvl w:ilvl="3" w:tplc="2C0A000F" w:tentative="1">
      <w:start w:val="1"/>
      <w:numFmt w:val="decimal"/>
      <w:lvlText w:val="%4."/>
      <w:lvlJc w:val="left"/>
      <w:pPr>
        <w:ind w:left="3589" w:hanging="360"/>
      </w:pPr>
    </w:lvl>
    <w:lvl w:ilvl="4" w:tplc="2C0A0019" w:tentative="1">
      <w:start w:val="1"/>
      <w:numFmt w:val="lowerLetter"/>
      <w:lvlText w:val="%5."/>
      <w:lvlJc w:val="left"/>
      <w:pPr>
        <w:ind w:left="4309" w:hanging="360"/>
      </w:pPr>
    </w:lvl>
    <w:lvl w:ilvl="5" w:tplc="2C0A001B" w:tentative="1">
      <w:start w:val="1"/>
      <w:numFmt w:val="lowerRoman"/>
      <w:lvlText w:val="%6."/>
      <w:lvlJc w:val="right"/>
      <w:pPr>
        <w:ind w:left="5029" w:hanging="180"/>
      </w:pPr>
    </w:lvl>
    <w:lvl w:ilvl="6" w:tplc="2C0A000F" w:tentative="1">
      <w:start w:val="1"/>
      <w:numFmt w:val="decimal"/>
      <w:lvlText w:val="%7."/>
      <w:lvlJc w:val="left"/>
      <w:pPr>
        <w:ind w:left="5749" w:hanging="360"/>
      </w:pPr>
    </w:lvl>
    <w:lvl w:ilvl="7" w:tplc="2C0A0019" w:tentative="1">
      <w:start w:val="1"/>
      <w:numFmt w:val="lowerLetter"/>
      <w:lvlText w:val="%8."/>
      <w:lvlJc w:val="left"/>
      <w:pPr>
        <w:ind w:left="6469" w:hanging="360"/>
      </w:pPr>
    </w:lvl>
    <w:lvl w:ilvl="8" w:tplc="2C0A001B" w:tentative="1">
      <w:start w:val="1"/>
      <w:numFmt w:val="lowerRoman"/>
      <w:lvlText w:val="%9."/>
      <w:lvlJc w:val="right"/>
      <w:pPr>
        <w:ind w:left="7189" w:hanging="180"/>
      </w:pPr>
    </w:lvl>
  </w:abstractNum>
  <w:abstractNum w:abstractNumId="11" w15:restartNumberingAfterBreak="0">
    <w:nsid w:val="28946ACB"/>
    <w:multiLevelType w:val="hybridMultilevel"/>
    <w:tmpl w:val="185CC00A"/>
    <w:lvl w:ilvl="0" w:tplc="25548122">
      <w:start w:val="1"/>
      <w:numFmt w:val="lowerLetter"/>
      <w:lvlText w:val="%1)"/>
      <w:lvlJc w:val="left"/>
      <w:pPr>
        <w:ind w:left="806" w:hanging="360"/>
      </w:pPr>
      <w:rPr>
        <w:rFonts w:hint="default"/>
      </w:rPr>
    </w:lvl>
    <w:lvl w:ilvl="1" w:tplc="75D6F9C8" w:tentative="1">
      <w:start w:val="1"/>
      <w:numFmt w:val="lowerLetter"/>
      <w:lvlText w:val="%2."/>
      <w:lvlJc w:val="left"/>
      <w:pPr>
        <w:ind w:left="1526" w:hanging="360"/>
      </w:pPr>
    </w:lvl>
    <w:lvl w:ilvl="2" w:tplc="25103898" w:tentative="1">
      <w:start w:val="1"/>
      <w:numFmt w:val="lowerRoman"/>
      <w:lvlText w:val="%3."/>
      <w:lvlJc w:val="right"/>
      <w:pPr>
        <w:ind w:left="2246" w:hanging="180"/>
      </w:pPr>
    </w:lvl>
    <w:lvl w:ilvl="3" w:tplc="93408EDC" w:tentative="1">
      <w:start w:val="1"/>
      <w:numFmt w:val="decimal"/>
      <w:lvlText w:val="%4."/>
      <w:lvlJc w:val="left"/>
      <w:pPr>
        <w:ind w:left="2966" w:hanging="360"/>
      </w:pPr>
    </w:lvl>
    <w:lvl w:ilvl="4" w:tplc="22EACD06" w:tentative="1">
      <w:start w:val="1"/>
      <w:numFmt w:val="lowerLetter"/>
      <w:lvlText w:val="%5."/>
      <w:lvlJc w:val="left"/>
      <w:pPr>
        <w:ind w:left="3686" w:hanging="360"/>
      </w:pPr>
    </w:lvl>
    <w:lvl w:ilvl="5" w:tplc="E6A86154" w:tentative="1">
      <w:start w:val="1"/>
      <w:numFmt w:val="lowerRoman"/>
      <w:lvlText w:val="%6."/>
      <w:lvlJc w:val="right"/>
      <w:pPr>
        <w:ind w:left="4406" w:hanging="180"/>
      </w:pPr>
    </w:lvl>
    <w:lvl w:ilvl="6" w:tplc="6942743C" w:tentative="1">
      <w:start w:val="1"/>
      <w:numFmt w:val="decimal"/>
      <w:lvlText w:val="%7."/>
      <w:lvlJc w:val="left"/>
      <w:pPr>
        <w:ind w:left="5126" w:hanging="360"/>
      </w:pPr>
    </w:lvl>
    <w:lvl w:ilvl="7" w:tplc="80BC4D92" w:tentative="1">
      <w:start w:val="1"/>
      <w:numFmt w:val="lowerLetter"/>
      <w:lvlText w:val="%8."/>
      <w:lvlJc w:val="left"/>
      <w:pPr>
        <w:ind w:left="5846" w:hanging="360"/>
      </w:pPr>
    </w:lvl>
    <w:lvl w:ilvl="8" w:tplc="570E3236" w:tentative="1">
      <w:start w:val="1"/>
      <w:numFmt w:val="lowerRoman"/>
      <w:lvlText w:val="%9."/>
      <w:lvlJc w:val="right"/>
      <w:pPr>
        <w:ind w:left="6566" w:hanging="180"/>
      </w:pPr>
    </w:lvl>
  </w:abstractNum>
  <w:abstractNum w:abstractNumId="12" w15:restartNumberingAfterBreak="0">
    <w:nsid w:val="2C8A75A9"/>
    <w:multiLevelType w:val="multilevel"/>
    <w:tmpl w:val="BD76E856"/>
    <w:lvl w:ilvl="0">
      <w:start w:val="5"/>
      <w:numFmt w:val="decimal"/>
      <w:lvlText w:val="%1"/>
      <w:lvlJc w:val="left"/>
      <w:pPr>
        <w:ind w:left="420" w:hanging="420"/>
      </w:pPr>
      <w:rPr>
        <w:rFonts w:hint="default"/>
        <w:b/>
      </w:rPr>
    </w:lvl>
    <w:lvl w:ilvl="1">
      <w:start w:val="1"/>
      <w:numFmt w:val="decimalZero"/>
      <w:lvlText w:val="%1.%2"/>
      <w:lvlJc w:val="left"/>
      <w:pPr>
        <w:ind w:left="1140" w:hanging="420"/>
      </w:pPr>
      <w:rPr>
        <w:rFonts w:ascii="Times New Roman" w:hAnsi="Times New Roman" w:cs="Times New Roman"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CA62147"/>
    <w:multiLevelType w:val="hybridMultilevel"/>
    <w:tmpl w:val="54CC79A8"/>
    <w:lvl w:ilvl="0" w:tplc="2C0A0019">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4" w15:restartNumberingAfterBreak="0">
    <w:nsid w:val="2CED4099"/>
    <w:multiLevelType w:val="hybridMultilevel"/>
    <w:tmpl w:val="9A10FD92"/>
    <w:lvl w:ilvl="0" w:tplc="7A268CCC">
      <w:start w:val="1"/>
      <w:numFmt w:val="lowerLetter"/>
      <w:lvlText w:val="%1)"/>
      <w:lvlJc w:val="left"/>
      <w:pPr>
        <w:ind w:left="810" w:hanging="360"/>
      </w:pPr>
      <w:rPr>
        <w:rFonts w:hint="default"/>
      </w:rPr>
    </w:lvl>
    <w:lvl w:ilvl="1" w:tplc="F0E4F6C4">
      <w:start w:val="1"/>
      <w:numFmt w:val="lowerLetter"/>
      <w:lvlText w:val="%2."/>
      <w:lvlJc w:val="left"/>
      <w:pPr>
        <w:ind w:left="1530" w:hanging="360"/>
      </w:pPr>
    </w:lvl>
    <w:lvl w:ilvl="2" w:tplc="6A70AD9A" w:tentative="1">
      <w:start w:val="1"/>
      <w:numFmt w:val="lowerRoman"/>
      <w:lvlText w:val="%3."/>
      <w:lvlJc w:val="right"/>
      <w:pPr>
        <w:ind w:left="2250" w:hanging="180"/>
      </w:pPr>
    </w:lvl>
    <w:lvl w:ilvl="3" w:tplc="8EA256BA" w:tentative="1">
      <w:start w:val="1"/>
      <w:numFmt w:val="decimal"/>
      <w:lvlText w:val="%4."/>
      <w:lvlJc w:val="left"/>
      <w:pPr>
        <w:ind w:left="2970" w:hanging="360"/>
      </w:pPr>
    </w:lvl>
    <w:lvl w:ilvl="4" w:tplc="A2D0B458" w:tentative="1">
      <w:start w:val="1"/>
      <w:numFmt w:val="lowerLetter"/>
      <w:lvlText w:val="%5."/>
      <w:lvlJc w:val="left"/>
      <w:pPr>
        <w:ind w:left="3690" w:hanging="360"/>
      </w:pPr>
    </w:lvl>
    <w:lvl w:ilvl="5" w:tplc="1238743C" w:tentative="1">
      <w:start w:val="1"/>
      <w:numFmt w:val="lowerRoman"/>
      <w:lvlText w:val="%6."/>
      <w:lvlJc w:val="right"/>
      <w:pPr>
        <w:ind w:left="4410" w:hanging="180"/>
      </w:pPr>
    </w:lvl>
    <w:lvl w:ilvl="6" w:tplc="C1789390" w:tentative="1">
      <w:start w:val="1"/>
      <w:numFmt w:val="decimal"/>
      <w:lvlText w:val="%7."/>
      <w:lvlJc w:val="left"/>
      <w:pPr>
        <w:ind w:left="5130" w:hanging="360"/>
      </w:pPr>
    </w:lvl>
    <w:lvl w:ilvl="7" w:tplc="A962ABC4" w:tentative="1">
      <w:start w:val="1"/>
      <w:numFmt w:val="lowerLetter"/>
      <w:lvlText w:val="%8."/>
      <w:lvlJc w:val="left"/>
      <w:pPr>
        <w:ind w:left="5850" w:hanging="360"/>
      </w:pPr>
    </w:lvl>
    <w:lvl w:ilvl="8" w:tplc="3470199C" w:tentative="1">
      <w:start w:val="1"/>
      <w:numFmt w:val="lowerRoman"/>
      <w:lvlText w:val="%9."/>
      <w:lvlJc w:val="right"/>
      <w:pPr>
        <w:ind w:left="6570" w:hanging="180"/>
      </w:pPr>
    </w:lvl>
  </w:abstractNum>
  <w:abstractNum w:abstractNumId="15" w15:restartNumberingAfterBreak="0">
    <w:nsid w:val="2E48440D"/>
    <w:multiLevelType w:val="hybridMultilevel"/>
    <w:tmpl w:val="FCB2C60A"/>
    <w:lvl w:ilvl="0" w:tplc="166A6386">
      <w:start w:val="1"/>
      <w:numFmt w:val="lowerLetter"/>
      <w:lvlText w:val="%1)"/>
      <w:lvlJc w:val="left"/>
      <w:pPr>
        <w:ind w:left="720" w:hanging="360"/>
      </w:pPr>
      <w:rPr>
        <w:rFonts w:hint="default"/>
      </w:rPr>
    </w:lvl>
    <w:lvl w:ilvl="1" w:tplc="89D8A1E6" w:tentative="1">
      <w:start w:val="1"/>
      <w:numFmt w:val="lowerLetter"/>
      <w:lvlText w:val="%2."/>
      <w:lvlJc w:val="left"/>
      <w:pPr>
        <w:ind w:left="1440" w:hanging="360"/>
      </w:pPr>
    </w:lvl>
    <w:lvl w:ilvl="2" w:tplc="70142B4A" w:tentative="1">
      <w:start w:val="1"/>
      <w:numFmt w:val="lowerRoman"/>
      <w:lvlText w:val="%3."/>
      <w:lvlJc w:val="right"/>
      <w:pPr>
        <w:ind w:left="2160" w:hanging="180"/>
      </w:pPr>
    </w:lvl>
    <w:lvl w:ilvl="3" w:tplc="4006A454" w:tentative="1">
      <w:start w:val="1"/>
      <w:numFmt w:val="decimal"/>
      <w:lvlText w:val="%4."/>
      <w:lvlJc w:val="left"/>
      <w:pPr>
        <w:ind w:left="2880" w:hanging="360"/>
      </w:pPr>
    </w:lvl>
    <w:lvl w:ilvl="4" w:tplc="D0A6204A" w:tentative="1">
      <w:start w:val="1"/>
      <w:numFmt w:val="lowerLetter"/>
      <w:lvlText w:val="%5."/>
      <w:lvlJc w:val="left"/>
      <w:pPr>
        <w:ind w:left="3600" w:hanging="360"/>
      </w:pPr>
    </w:lvl>
    <w:lvl w:ilvl="5" w:tplc="2E0E19FC" w:tentative="1">
      <w:start w:val="1"/>
      <w:numFmt w:val="lowerRoman"/>
      <w:lvlText w:val="%6."/>
      <w:lvlJc w:val="right"/>
      <w:pPr>
        <w:ind w:left="4320" w:hanging="180"/>
      </w:pPr>
    </w:lvl>
    <w:lvl w:ilvl="6" w:tplc="4E520C0C" w:tentative="1">
      <w:start w:val="1"/>
      <w:numFmt w:val="decimal"/>
      <w:lvlText w:val="%7."/>
      <w:lvlJc w:val="left"/>
      <w:pPr>
        <w:ind w:left="5040" w:hanging="360"/>
      </w:pPr>
    </w:lvl>
    <w:lvl w:ilvl="7" w:tplc="9A80CC8E" w:tentative="1">
      <w:start w:val="1"/>
      <w:numFmt w:val="lowerLetter"/>
      <w:lvlText w:val="%8."/>
      <w:lvlJc w:val="left"/>
      <w:pPr>
        <w:ind w:left="5760" w:hanging="360"/>
      </w:pPr>
    </w:lvl>
    <w:lvl w:ilvl="8" w:tplc="1AFC7EFA" w:tentative="1">
      <w:start w:val="1"/>
      <w:numFmt w:val="lowerRoman"/>
      <w:lvlText w:val="%9."/>
      <w:lvlJc w:val="right"/>
      <w:pPr>
        <w:ind w:left="6480" w:hanging="180"/>
      </w:pPr>
    </w:lvl>
  </w:abstractNum>
  <w:abstractNum w:abstractNumId="16" w15:restartNumberingAfterBreak="0">
    <w:nsid w:val="34E60F58"/>
    <w:multiLevelType w:val="hybridMultilevel"/>
    <w:tmpl w:val="18FA972C"/>
    <w:lvl w:ilvl="0" w:tplc="04090017">
      <w:start w:val="1"/>
      <w:numFmt w:val="upperLetter"/>
      <w:lvlText w:val="%1)"/>
      <w:lvlJc w:val="left"/>
      <w:pPr>
        <w:ind w:left="1170" w:hanging="720"/>
      </w:pPr>
      <w:rPr>
        <w:rFonts w:ascii="Times New Roman" w:eastAsia="Calibri" w:hAnsi="Times New Roman" w:cs="Times New Roman"/>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D7E3E28"/>
    <w:multiLevelType w:val="hybridMultilevel"/>
    <w:tmpl w:val="2AAA3E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484CA8"/>
    <w:multiLevelType w:val="multilevel"/>
    <w:tmpl w:val="C4185274"/>
    <w:lvl w:ilvl="0">
      <w:start w:val="2"/>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4430785"/>
    <w:multiLevelType w:val="hybridMultilevel"/>
    <w:tmpl w:val="867A750A"/>
    <w:lvl w:ilvl="0" w:tplc="2C0A0001">
      <w:start w:val="1"/>
      <w:numFmt w:val="lowerLetter"/>
      <w:lvlText w:val="%1)"/>
      <w:lvlJc w:val="left"/>
      <w:pPr>
        <w:ind w:left="720" w:hanging="360"/>
      </w:pPr>
      <w:rPr>
        <w:rFonts w:hint="default"/>
      </w:rPr>
    </w:lvl>
    <w:lvl w:ilvl="1" w:tplc="2C0A0003" w:tentative="1">
      <w:start w:val="1"/>
      <w:numFmt w:val="lowerLetter"/>
      <w:lvlText w:val="%2."/>
      <w:lvlJc w:val="left"/>
      <w:pPr>
        <w:ind w:left="1440" w:hanging="360"/>
      </w:pPr>
    </w:lvl>
    <w:lvl w:ilvl="2" w:tplc="2C0A0005" w:tentative="1">
      <w:start w:val="1"/>
      <w:numFmt w:val="lowerRoman"/>
      <w:lvlText w:val="%3."/>
      <w:lvlJc w:val="right"/>
      <w:pPr>
        <w:ind w:left="2160" w:hanging="180"/>
      </w:pPr>
    </w:lvl>
    <w:lvl w:ilvl="3" w:tplc="2C0A0001" w:tentative="1">
      <w:start w:val="1"/>
      <w:numFmt w:val="decimal"/>
      <w:lvlText w:val="%4."/>
      <w:lvlJc w:val="left"/>
      <w:pPr>
        <w:ind w:left="2880" w:hanging="360"/>
      </w:pPr>
    </w:lvl>
    <w:lvl w:ilvl="4" w:tplc="2C0A0003" w:tentative="1">
      <w:start w:val="1"/>
      <w:numFmt w:val="lowerLetter"/>
      <w:lvlText w:val="%5."/>
      <w:lvlJc w:val="left"/>
      <w:pPr>
        <w:ind w:left="3600" w:hanging="360"/>
      </w:pPr>
    </w:lvl>
    <w:lvl w:ilvl="5" w:tplc="2C0A0005" w:tentative="1">
      <w:start w:val="1"/>
      <w:numFmt w:val="lowerRoman"/>
      <w:lvlText w:val="%6."/>
      <w:lvlJc w:val="right"/>
      <w:pPr>
        <w:ind w:left="4320" w:hanging="180"/>
      </w:pPr>
    </w:lvl>
    <w:lvl w:ilvl="6" w:tplc="2C0A0001" w:tentative="1">
      <w:start w:val="1"/>
      <w:numFmt w:val="decimal"/>
      <w:lvlText w:val="%7."/>
      <w:lvlJc w:val="left"/>
      <w:pPr>
        <w:ind w:left="5040" w:hanging="360"/>
      </w:pPr>
    </w:lvl>
    <w:lvl w:ilvl="7" w:tplc="2C0A0003" w:tentative="1">
      <w:start w:val="1"/>
      <w:numFmt w:val="lowerLetter"/>
      <w:lvlText w:val="%8."/>
      <w:lvlJc w:val="left"/>
      <w:pPr>
        <w:ind w:left="5760" w:hanging="360"/>
      </w:pPr>
    </w:lvl>
    <w:lvl w:ilvl="8" w:tplc="2C0A0005" w:tentative="1">
      <w:start w:val="1"/>
      <w:numFmt w:val="lowerRoman"/>
      <w:lvlText w:val="%9."/>
      <w:lvlJc w:val="right"/>
      <w:pPr>
        <w:ind w:left="6480" w:hanging="180"/>
      </w:pPr>
    </w:lvl>
  </w:abstractNum>
  <w:abstractNum w:abstractNumId="20" w15:restartNumberingAfterBreak="0">
    <w:nsid w:val="45FC0742"/>
    <w:multiLevelType w:val="hybridMultilevel"/>
    <w:tmpl w:val="887A2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142061"/>
    <w:multiLevelType w:val="hybridMultilevel"/>
    <w:tmpl w:val="185CC00A"/>
    <w:lvl w:ilvl="0" w:tplc="25548122">
      <w:start w:val="1"/>
      <w:numFmt w:val="lowerLetter"/>
      <w:lvlText w:val="%1)"/>
      <w:lvlJc w:val="left"/>
      <w:pPr>
        <w:ind w:left="806" w:hanging="360"/>
      </w:pPr>
      <w:rPr>
        <w:rFonts w:hint="default"/>
      </w:rPr>
    </w:lvl>
    <w:lvl w:ilvl="1" w:tplc="75D6F9C8" w:tentative="1">
      <w:start w:val="1"/>
      <w:numFmt w:val="lowerLetter"/>
      <w:lvlText w:val="%2."/>
      <w:lvlJc w:val="left"/>
      <w:pPr>
        <w:ind w:left="1526" w:hanging="360"/>
      </w:pPr>
    </w:lvl>
    <w:lvl w:ilvl="2" w:tplc="25103898" w:tentative="1">
      <w:start w:val="1"/>
      <w:numFmt w:val="lowerRoman"/>
      <w:lvlText w:val="%3."/>
      <w:lvlJc w:val="right"/>
      <w:pPr>
        <w:ind w:left="2246" w:hanging="180"/>
      </w:pPr>
    </w:lvl>
    <w:lvl w:ilvl="3" w:tplc="93408EDC" w:tentative="1">
      <w:start w:val="1"/>
      <w:numFmt w:val="decimal"/>
      <w:lvlText w:val="%4."/>
      <w:lvlJc w:val="left"/>
      <w:pPr>
        <w:ind w:left="2966" w:hanging="360"/>
      </w:pPr>
    </w:lvl>
    <w:lvl w:ilvl="4" w:tplc="22EACD06" w:tentative="1">
      <w:start w:val="1"/>
      <w:numFmt w:val="lowerLetter"/>
      <w:lvlText w:val="%5."/>
      <w:lvlJc w:val="left"/>
      <w:pPr>
        <w:ind w:left="3686" w:hanging="360"/>
      </w:pPr>
    </w:lvl>
    <w:lvl w:ilvl="5" w:tplc="E6A86154" w:tentative="1">
      <w:start w:val="1"/>
      <w:numFmt w:val="lowerRoman"/>
      <w:lvlText w:val="%6."/>
      <w:lvlJc w:val="right"/>
      <w:pPr>
        <w:ind w:left="4406" w:hanging="180"/>
      </w:pPr>
    </w:lvl>
    <w:lvl w:ilvl="6" w:tplc="6942743C" w:tentative="1">
      <w:start w:val="1"/>
      <w:numFmt w:val="decimal"/>
      <w:lvlText w:val="%7."/>
      <w:lvlJc w:val="left"/>
      <w:pPr>
        <w:ind w:left="5126" w:hanging="360"/>
      </w:pPr>
    </w:lvl>
    <w:lvl w:ilvl="7" w:tplc="80BC4D92" w:tentative="1">
      <w:start w:val="1"/>
      <w:numFmt w:val="lowerLetter"/>
      <w:lvlText w:val="%8."/>
      <w:lvlJc w:val="left"/>
      <w:pPr>
        <w:ind w:left="5846" w:hanging="360"/>
      </w:pPr>
    </w:lvl>
    <w:lvl w:ilvl="8" w:tplc="570E3236" w:tentative="1">
      <w:start w:val="1"/>
      <w:numFmt w:val="lowerRoman"/>
      <w:lvlText w:val="%9."/>
      <w:lvlJc w:val="right"/>
      <w:pPr>
        <w:ind w:left="6566" w:hanging="180"/>
      </w:pPr>
    </w:lvl>
  </w:abstractNum>
  <w:abstractNum w:abstractNumId="22" w15:restartNumberingAfterBreak="0">
    <w:nsid w:val="4BA00897"/>
    <w:multiLevelType w:val="hybridMultilevel"/>
    <w:tmpl w:val="D04C8D90"/>
    <w:lvl w:ilvl="0" w:tplc="61BCE1D2">
      <w:start w:val="1"/>
      <w:numFmt w:val="decimal"/>
      <w:lvlText w:val="%1."/>
      <w:lvlJc w:val="left"/>
      <w:pPr>
        <w:ind w:left="810" w:hanging="360"/>
      </w:pPr>
      <w:rPr>
        <w:rFonts w:hint="default"/>
      </w:rPr>
    </w:lvl>
    <w:lvl w:ilvl="1" w:tplc="2C0A0019" w:tentative="1">
      <w:start w:val="1"/>
      <w:numFmt w:val="lowerLetter"/>
      <w:lvlText w:val="%2."/>
      <w:lvlJc w:val="left"/>
      <w:pPr>
        <w:ind w:left="1530" w:hanging="360"/>
      </w:pPr>
    </w:lvl>
    <w:lvl w:ilvl="2" w:tplc="2C0A001B" w:tentative="1">
      <w:start w:val="1"/>
      <w:numFmt w:val="lowerRoman"/>
      <w:lvlText w:val="%3."/>
      <w:lvlJc w:val="right"/>
      <w:pPr>
        <w:ind w:left="2250" w:hanging="180"/>
      </w:pPr>
    </w:lvl>
    <w:lvl w:ilvl="3" w:tplc="2C0A000F" w:tentative="1">
      <w:start w:val="1"/>
      <w:numFmt w:val="decimal"/>
      <w:lvlText w:val="%4."/>
      <w:lvlJc w:val="left"/>
      <w:pPr>
        <w:ind w:left="2970" w:hanging="360"/>
      </w:pPr>
    </w:lvl>
    <w:lvl w:ilvl="4" w:tplc="2C0A0019" w:tentative="1">
      <w:start w:val="1"/>
      <w:numFmt w:val="lowerLetter"/>
      <w:lvlText w:val="%5."/>
      <w:lvlJc w:val="left"/>
      <w:pPr>
        <w:ind w:left="3690" w:hanging="360"/>
      </w:pPr>
    </w:lvl>
    <w:lvl w:ilvl="5" w:tplc="2C0A001B" w:tentative="1">
      <w:start w:val="1"/>
      <w:numFmt w:val="lowerRoman"/>
      <w:lvlText w:val="%6."/>
      <w:lvlJc w:val="right"/>
      <w:pPr>
        <w:ind w:left="4410" w:hanging="180"/>
      </w:pPr>
    </w:lvl>
    <w:lvl w:ilvl="6" w:tplc="2C0A000F" w:tentative="1">
      <w:start w:val="1"/>
      <w:numFmt w:val="decimal"/>
      <w:lvlText w:val="%7."/>
      <w:lvlJc w:val="left"/>
      <w:pPr>
        <w:ind w:left="5130" w:hanging="360"/>
      </w:pPr>
    </w:lvl>
    <w:lvl w:ilvl="7" w:tplc="2C0A0019" w:tentative="1">
      <w:start w:val="1"/>
      <w:numFmt w:val="lowerLetter"/>
      <w:lvlText w:val="%8."/>
      <w:lvlJc w:val="left"/>
      <w:pPr>
        <w:ind w:left="5850" w:hanging="360"/>
      </w:pPr>
    </w:lvl>
    <w:lvl w:ilvl="8" w:tplc="2C0A001B" w:tentative="1">
      <w:start w:val="1"/>
      <w:numFmt w:val="lowerRoman"/>
      <w:lvlText w:val="%9."/>
      <w:lvlJc w:val="right"/>
      <w:pPr>
        <w:ind w:left="6570" w:hanging="180"/>
      </w:pPr>
    </w:lvl>
  </w:abstractNum>
  <w:abstractNum w:abstractNumId="23" w15:restartNumberingAfterBreak="0">
    <w:nsid w:val="4F566303"/>
    <w:multiLevelType w:val="multilevel"/>
    <w:tmpl w:val="5C12AF20"/>
    <w:lvl w:ilvl="0">
      <w:start w:val="1"/>
      <w:numFmt w:val="upperLetter"/>
      <w:lvlText w:val="%1."/>
      <w:lvlJc w:val="left"/>
      <w:pPr>
        <w:ind w:left="720" w:hanging="360"/>
      </w:pPr>
      <w:rPr>
        <w:rFonts w:ascii="Times New Roman" w:eastAsia="Calibri" w:hAnsi="Times New Roman" w:cs="Times New Roman"/>
      </w:rPr>
    </w:lvl>
    <w:lvl w:ilvl="1">
      <w:start w:val="1"/>
      <w:numFmt w:val="lowerLetter"/>
      <w:lvlText w:val="%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31813B5"/>
    <w:multiLevelType w:val="hybridMultilevel"/>
    <w:tmpl w:val="689A35B0"/>
    <w:lvl w:ilvl="0" w:tplc="5C28FEF0">
      <w:start w:val="1"/>
      <w:numFmt w:val="lowerLetter"/>
      <w:lvlText w:val="%1)"/>
      <w:lvlJc w:val="left"/>
      <w:pPr>
        <w:ind w:left="806" w:hanging="360"/>
      </w:pPr>
      <w:rPr>
        <w:rFonts w:hint="default"/>
      </w:rPr>
    </w:lvl>
    <w:lvl w:ilvl="1" w:tplc="CF3CE7C6">
      <w:start w:val="1"/>
      <w:numFmt w:val="lowerLetter"/>
      <w:lvlText w:val="%2."/>
      <w:lvlJc w:val="left"/>
      <w:pPr>
        <w:ind w:left="1526" w:hanging="360"/>
      </w:pPr>
    </w:lvl>
    <w:lvl w:ilvl="2" w:tplc="2B04A68A" w:tentative="1">
      <w:start w:val="1"/>
      <w:numFmt w:val="lowerRoman"/>
      <w:lvlText w:val="%3."/>
      <w:lvlJc w:val="right"/>
      <w:pPr>
        <w:ind w:left="2246" w:hanging="180"/>
      </w:pPr>
    </w:lvl>
    <w:lvl w:ilvl="3" w:tplc="A5AA1684" w:tentative="1">
      <w:start w:val="1"/>
      <w:numFmt w:val="decimal"/>
      <w:lvlText w:val="%4."/>
      <w:lvlJc w:val="left"/>
      <w:pPr>
        <w:ind w:left="2966" w:hanging="360"/>
      </w:pPr>
    </w:lvl>
    <w:lvl w:ilvl="4" w:tplc="498E595E" w:tentative="1">
      <w:start w:val="1"/>
      <w:numFmt w:val="lowerLetter"/>
      <w:lvlText w:val="%5."/>
      <w:lvlJc w:val="left"/>
      <w:pPr>
        <w:ind w:left="3686" w:hanging="360"/>
      </w:pPr>
    </w:lvl>
    <w:lvl w:ilvl="5" w:tplc="FA924416" w:tentative="1">
      <w:start w:val="1"/>
      <w:numFmt w:val="lowerRoman"/>
      <w:lvlText w:val="%6."/>
      <w:lvlJc w:val="right"/>
      <w:pPr>
        <w:ind w:left="4406" w:hanging="180"/>
      </w:pPr>
    </w:lvl>
    <w:lvl w:ilvl="6" w:tplc="53D21920" w:tentative="1">
      <w:start w:val="1"/>
      <w:numFmt w:val="decimal"/>
      <w:lvlText w:val="%7."/>
      <w:lvlJc w:val="left"/>
      <w:pPr>
        <w:ind w:left="5126" w:hanging="360"/>
      </w:pPr>
    </w:lvl>
    <w:lvl w:ilvl="7" w:tplc="377ABC4A" w:tentative="1">
      <w:start w:val="1"/>
      <w:numFmt w:val="lowerLetter"/>
      <w:lvlText w:val="%8."/>
      <w:lvlJc w:val="left"/>
      <w:pPr>
        <w:ind w:left="5846" w:hanging="360"/>
      </w:pPr>
    </w:lvl>
    <w:lvl w:ilvl="8" w:tplc="F7D0A790" w:tentative="1">
      <w:start w:val="1"/>
      <w:numFmt w:val="lowerRoman"/>
      <w:lvlText w:val="%9."/>
      <w:lvlJc w:val="right"/>
      <w:pPr>
        <w:ind w:left="6566" w:hanging="180"/>
      </w:pPr>
    </w:lvl>
  </w:abstractNum>
  <w:abstractNum w:abstractNumId="25" w15:restartNumberingAfterBreak="0">
    <w:nsid w:val="540A4D6F"/>
    <w:multiLevelType w:val="multilevel"/>
    <w:tmpl w:val="50148F18"/>
    <w:lvl w:ilvl="0">
      <w:start w:val="1"/>
      <w:numFmt w:val="upperRoman"/>
      <w:lvlRestart w:val="0"/>
      <w:lvlText w:val="%1."/>
      <w:lvlJc w:val="center"/>
      <w:pPr>
        <w:tabs>
          <w:tab w:val="num" w:pos="2088"/>
        </w:tabs>
        <w:ind w:left="1440" w:firstLine="288"/>
      </w:pPr>
      <w:rPr>
        <w:rFonts w:ascii="Arial" w:hAnsi="Arial" w:cs="Arial" w:hint="default"/>
        <w:b/>
        <w:i w:val="0"/>
        <w:sz w:val="22"/>
        <w:szCs w:val="22"/>
      </w:rPr>
    </w:lvl>
    <w:lvl w:ilvl="1">
      <w:start w:val="1"/>
      <w:numFmt w:val="decimal"/>
      <w:isLgl/>
      <w:lvlText w:val="%1.%2"/>
      <w:lvlJc w:val="left"/>
      <w:pPr>
        <w:tabs>
          <w:tab w:val="num" w:pos="1746"/>
        </w:tabs>
        <w:ind w:left="1746" w:hanging="1296"/>
      </w:pPr>
      <w:rPr>
        <w:rFonts w:ascii="Arial" w:hAnsi="Arial" w:cs="Arial" w:hint="default"/>
        <w:b w:val="0"/>
        <w:sz w:val="22"/>
        <w:szCs w:val="22"/>
      </w:rPr>
    </w:lvl>
    <w:lvl w:ilvl="2">
      <w:start w:val="1"/>
      <w:numFmt w:val="lowerLetter"/>
      <w:lvlText w:val="%3."/>
      <w:lvlJc w:val="left"/>
      <w:pPr>
        <w:tabs>
          <w:tab w:val="num" w:pos="2592"/>
        </w:tabs>
        <w:ind w:left="2592" w:hanging="432"/>
      </w:pPr>
      <w:rPr>
        <w:b w:val="0"/>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6" w15:restartNumberingAfterBreak="0">
    <w:nsid w:val="54E06717"/>
    <w:multiLevelType w:val="hybridMultilevel"/>
    <w:tmpl w:val="60227D7A"/>
    <w:lvl w:ilvl="0" w:tplc="631EE4D2">
      <w:start w:val="1"/>
      <w:numFmt w:val="lowerRoman"/>
      <w:lvlText w:val="%1)"/>
      <w:lvlJc w:val="left"/>
      <w:pPr>
        <w:tabs>
          <w:tab w:val="num" w:pos="1080"/>
        </w:tabs>
        <w:ind w:left="1080" w:hanging="72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7" w15:restartNumberingAfterBreak="0">
    <w:nsid w:val="588C42F2"/>
    <w:multiLevelType w:val="hybridMultilevel"/>
    <w:tmpl w:val="80E8A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3E4904"/>
    <w:multiLevelType w:val="multilevel"/>
    <w:tmpl w:val="9D020606"/>
    <w:lvl w:ilvl="0">
      <w:start w:val="4"/>
      <w:numFmt w:val="decimal"/>
      <w:lvlText w:val="%1"/>
      <w:lvlJc w:val="left"/>
      <w:pPr>
        <w:ind w:left="360" w:hanging="360"/>
      </w:pPr>
      <w:rPr>
        <w:rFonts w:hint="default"/>
      </w:rPr>
    </w:lvl>
    <w:lvl w:ilvl="1">
      <w:start w:val="1"/>
      <w:numFmt w:val="upperLetter"/>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004F0C"/>
    <w:multiLevelType w:val="hybridMultilevel"/>
    <w:tmpl w:val="0742DADE"/>
    <w:lvl w:ilvl="0" w:tplc="04090019">
      <w:start w:val="1"/>
      <w:numFmt w:val="lowerLetter"/>
      <w:lvlText w:val="%1."/>
      <w:lvlJc w:val="left"/>
      <w:pPr>
        <w:ind w:left="1069" w:hanging="360"/>
      </w:pPr>
      <w:rPr>
        <w:rFonts w:hint="default"/>
      </w:rPr>
    </w:lvl>
    <w:lvl w:ilvl="1" w:tplc="04090019" w:tentative="1">
      <w:start w:val="1"/>
      <w:numFmt w:val="bullet"/>
      <w:lvlText w:val="o"/>
      <w:lvlJc w:val="left"/>
      <w:pPr>
        <w:ind w:left="1789" w:hanging="360"/>
      </w:pPr>
      <w:rPr>
        <w:rFonts w:ascii="Courier New" w:hAnsi="Courier New" w:cs="Courier New" w:hint="default"/>
      </w:rPr>
    </w:lvl>
    <w:lvl w:ilvl="2" w:tplc="0409001B" w:tentative="1">
      <w:start w:val="1"/>
      <w:numFmt w:val="bullet"/>
      <w:lvlText w:val=""/>
      <w:lvlJc w:val="left"/>
      <w:pPr>
        <w:ind w:left="2509" w:hanging="360"/>
      </w:pPr>
      <w:rPr>
        <w:rFonts w:ascii="Wingdings" w:hAnsi="Wingdings" w:hint="default"/>
      </w:rPr>
    </w:lvl>
    <w:lvl w:ilvl="3" w:tplc="0409000F" w:tentative="1">
      <w:start w:val="1"/>
      <w:numFmt w:val="bullet"/>
      <w:lvlText w:val=""/>
      <w:lvlJc w:val="left"/>
      <w:pPr>
        <w:ind w:left="3229" w:hanging="360"/>
      </w:pPr>
      <w:rPr>
        <w:rFonts w:ascii="Symbol" w:hAnsi="Symbol" w:hint="default"/>
      </w:rPr>
    </w:lvl>
    <w:lvl w:ilvl="4" w:tplc="04090019" w:tentative="1">
      <w:start w:val="1"/>
      <w:numFmt w:val="bullet"/>
      <w:lvlText w:val="o"/>
      <w:lvlJc w:val="left"/>
      <w:pPr>
        <w:ind w:left="3949" w:hanging="360"/>
      </w:pPr>
      <w:rPr>
        <w:rFonts w:ascii="Courier New" w:hAnsi="Courier New" w:cs="Courier New" w:hint="default"/>
      </w:rPr>
    </w:lvl>
    <w:lvl w:ilvl="5" w:tplc="0409001B" w:tentative="1">
      <w:start w:val="1"/>
      <w:numFmt w:val="bullet"/>
      <w:lvlText w:val=""/>
      <w:lvlJc w:val="left"/>
      <w:pPr>
        <w:ind w:left="4669" w:hanging="360"/>
      </w:pPr>
      <w:rPr>
        <w:rFonts w:ascii="Wingdings" w:hAnsi="Wingdings" w:hint="default"/>
      </w:rPr>
    </w:lvl>
    <w:lvl w:ilvl="6" w:tplc="0409000F" w:tentative="1">
      <w:start w:val="1"/>
      <w:numFmt w:val="bullet"/>
      <w:lvlText w:val=""/>
      <w:lvlJc w:val="left"/>
      <w:pPr>
        <w:ind w:left="5389" w:hanging="360"/>
      </w:pPr>
      <w:rPr>
        <w:rFonts w:ascii="Symbol" w:hAnsi="Symbol" w:hint="default"/>
      </w:rPr>
    </w:lvl>
    <w:lvl w:ilvl="7" w:tplc="04090019" w:tentative="1">
      <w:start w:val="1"/>
      <w:numFmt w:val="bullet"/>
      <w:lvlText w:val="o"/>
      <w:lvlJc w:val="left"/>
      <w:pPr>
        <w:ind w:left="6109" w:hanging="360"/>
      </w:pPr>
      <w:rPr>
        <w:rFonts w:ascii="Courier New" w:hAnsi="Courier New" w:cs="Courier New" w:hint="default"/>
      </w:rPr>
    </w:lvl>
    <w:lvl w:ilvl="8" w:tplc="0409001B" w:tentative="1">
      <w:start w:val="1"/>
      <w:numFmt w:val="bullet"/>
      <w:lvlText w:val=""/>
      <w:lvlJc w:val="left"/>
      <w:pPr>
        <w:ind w:left="6829" w:hanging="360"/>
      </w:pPr>
      <w:rPr>
        <w:rFonts w:ascii="Wingdings" w:hAnsi="Wingdings" w:hint="default"/>
      </w:rPr>
    </w:lvl>
  </w:abstractNum>
  <w:abstractNum w:abstractNumId="30" w15:restartNumberingAfterBreak="0">
    <w:nsid w:val="5F673C2B"/>
    <w:multiLevelType w:val="hybridMultilevel"/>
    <w:tmpl w:val="8A94D010"/>
    <w:lvl w:ilvl="0" w:tplc="C75A4ECA">
      <w:start w:val="1"/>
      <w:numFmt w:val="lowerLetter"/>
      <w:lvlText w:val="%1)"/>
      <w:lvlJc w:val="left"/>
      <w:pPr>
        <w:ind w:left="1080" w:hanging="360"/>
      </w:pPr>
      <w:rPr>
        <w:rFonts w:hint="default"/>
      </w:rPr>
    </w:lvl>
    <w:lvl w:ilvl="1" w:tplc="FCD6334A" w:tentative="1">
      <w:start w:val="1"/>
      <w:numFmt w:val="lowerLetter"/>
      <w:lvlText w:val="%2."/>
      <w:lvlJc w:val="left"/>
      <w:pPr>
        <w:ind w:left="1800" w:hanging="360"/>
      </w:pPr>
    </w:lvl>
    <w:lvl w:ilvl="2" w:tplc="FD9C14C0" w:tentative="1">
      <w:start w:val="1"/>
      <w:numFmt w:val="lowerRoman"/>
      <w:lvlText w:val="%3."/>
      <w:lvlJc w:val="right"/>
      <w:pPr>
        <w:ind w:left="2520" w:hanging="180"/>
      </w:pPr>
    </w:lvl>
    <w:lvl w:ilvl="3" w:tplc="5F30263E" w:tentative="1">
      <w:start w:val="1"/>
      <w:numFmt w:val="decimal"/>
      <w:lvlText w:val="%4."/>
      <w:lvlJc w:val="left"/>
      <w:pPr>
        <w:ind w:left="3240" w:hanging="360"/>
      </w:pPr>
    </w:lvl>
    <w:lvl w:ilvl="4" w:tplc="65D62B70" w:tentative="1">
      <w:start w:val="1"/>
      <w:numFmt w:val="lowerLetter"/>
      <w:lvlText w:val="%5."/>
      <w:lvlJc w:val="left"/>
      <w:pPr>
        <w:ind w:left="3960" w:hanging="360"/>
      </w:pPr>
    </w:lvl>
    <w:lvl w:ilvl="5" w:tplc="B43CDFCA" w:tentative="1">
      <w:start w:val="1"/>
      <w:numFmt w:val="lowerRoman"/>
      <w:lvlText w:val="%6."/>
      <w:lvlJc w:val="right"/>
      <w:pPr>
        <w:ind w:left="4680" w:hanging="180"/>
      </w:pPr>
    </w:lvl>
    <w:lvl w:ilvl="6" w:tplc="01C0665A" w:tentative="1">
      <w:start w:val="1"/>
      <w:numFmt w:val="decimal"/>
      <w:lvlText w:val="%7."/>
      <w:lvlJc w:val="left"/>
      <w:pPr>
        <w:ind w:left="5400" w:hanging="360"/>
      </w:pPr>
    </w:lvl>
    <w:lvl w:ilvl="7" w:tplc="2B22100A" w:tentative="1">
      <w:start w:val="1"/>
      <w:numFmt w:val="lowerLetter"/>
      <w:lvlText w:val="%8."/>
      <w:lvlJc w:val="left"/>
      <w:pPr>
        <w:ind w:left="6120" w:hanging="360"/>
      </w:pPr>
    </w:lvl>
    <w:lvl w:ilvl="8" w:tplc="BDEC975C" w:tentative="1">
      <w:start w:val="1"/>
      <w:numFmt w:val="lowerRoman"/>
      <w:lvlText w:val="%9."/>
      <w:lvlJc w:val="right"/>
      <w:pPr>
        <w:ind w:left="6840" w:hanging="180"/>
      </w:pPr>
    </w:lvl>
  </w:abstractNum>
  <w:abstractNum w:abstractNumId="31" w15:restartNumberingAfterBreak="0">
    <w:nsid w:val="620352E3"/>
    <w:multiLevelType w:val="hybridMultilevel"/>
    <w:tmpl w:val="318295A0"/>
    <w:lvl w:ilvl="0" w:tplc="E578A9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3807380"/>
    <w:multiLevelType w:val="hybridMultilevel"/>
    <w:tmpl w:val="8A78B442"/>
    <w:lvl w:ilvl="0" w:tplc="27BE2A56">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63E25F5"/>
    <w:multiLevelType w:val="hybridMultilevel"/>
    <w:tmpl w:val="A8184D7C"/>
    <w:lvl w:ilvl="0" w:tplc="77EE6480">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4" w15:restartNumberingAfterBreak="0">
    <w:nsid w:val="6FE039E1"/>
    <w:multiLevelType w:val="multilevel"/>
    <w:tmpl w:val="903270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3746D26"/>
    <w:multiLevelType w:val="hybridMultilevel"/>
    <w:tmpl w:val="76F03232"/>
    <w:lvl w:ilvl="0" w:tplc="69987CC2">
      <w:start w:val="1"/>
      <w:numFmt w:val="upperLetter"/>
      <w:lvlText w:val="%1."/>
      <w:lvlJc w:val="left"/>
      <w:pPr>
        <w:ind w:left="720" w:hanging="360"/>
      </w:pPr>
      <w:rPr>
        <w:rFonts w:hint="default"/>
      </w:rPr>
    </w:lvl>
    <w:lvl w:ilvl="1" w:tplc="B4D26E86" w:tentative="1">
      <w:start w:val="1"/>
      <w:numFmt w:val="lowerLetter"/>
      <w:lvlText w:val="%2."/>
      <w:lvlJc w:val="left"/>
      <w:pPr>
        <w:ind w:left="1440" w:hanging="360"/>
      </w:pPr>
    </w:lvl>
    <w:lvl w:ilvl="2" w:tplc="8DCC41D8" w:tentative="1">
      <w:start w:val="1"/>
      <w:numFmt w:val="lowerRoman"/>
      <w:lvlText w:val="%3."/>
      <w:lvlJc w:val="right"/>
      <w:pPr>
        <w:ind w:left="2160" w:hanging="180"/>
      </w:pPr>
    </w:lvl>
    <w:lvl w:ilvl="3" w:tplc="81E48C4E" w:tentative="1">
      <w:start w:val="1"/>
      <w:numFmt w:val="decimal"/>
      <w:lvlText w:val="%4."/>
      <w:lvlJc w:val="left"/>
      <w:pPr>
        <w:ind w:left="2880" w:hanging="360"/>
      </w:pPr>
    </w:lvl>
    <w:lvl w:ilvl="4" w:tplc="2D36FF00" w:tentative="1">
      <w:start w:val="1"/>
      <w:numFmt w:val="lowerLetter"/>
      <w:lvlText w:val="%5."/>
      <w:lvlJc w:val="left"/>
      <w:pPr>
        <w:ind w:left="3600" w:hanging="360"/>
      </w:pPr>
    </w:lvl>
    <w:lvl w:ilvl="5" w:tplc="5B6EFF1E" w:tentative="1">
      <w:start w:val="1"/>
      <w:numFmt w:val="lowerRoman"/>
      <w:lvlText w:val="%6."/>
      <w:lvlJc w:val="right"/>
      <w:pPr>
        <w:ind w:left="4320" w:hanging="180"/>
      </w:pPr>
    </w:lvl>
    <w:lvl w:ilvl="6" w:tplc="B13CF5DA" w:tentative="1">
      <w:start w:val="1"/>
      <w:numFmt w:val="decimal"/>
      <w:lvlText w:val="%7."/>
      <w:lvlJc w:val="left"/>
      <w:pPr>
        <w:ind w:left="5040" w:hanging="360"/>
      </w:pPr>
    </w:lvl>
    <w:lvl w:ilvl="7" w:tplc="6B88E00C" w:tentative="1">
      <w:start w:val="1"/>
      <w:numFmt w:val="lowerLetter"/>
      <w:lvlText w:val="%8."/>
      <w:lvlJc w:val="left"/>
      <w:pPr>
        <w:ind w:left="5760" w:hanging="360"/>
      </w:pPr>
    </w:lvl>
    <w:lvl w:ilvl="8" w:tplc="B1848D50" w:tentative="1">
      <w:start w:val="1"/>
      <w:numFmt w:val="lowerRoman"/>
      <w:lvlText w:val="%9."/>
      <w:lvlJc w:val="right"/>
      <w:pPr>
        <w:ind w:left="6480" w:hanging="180"/>
      </w:pPr>
    </w:lvl>
  </w:abstractNum>
  <w:abstractNum w:abstractNumId="36" w15:restartNumberingAfterBreak="0">
    <w:nsid w:val="755D355E"/>
    <w:multiLevelType w:val="hybridMultilevel"/>
    <w:tmpl w:val="8D2A0926"/>
    <w:lvl w:ilvl="0" w:tplc="04090015">
      <w:start w:val="1"/>
      <w:numFmt w:val="lowerLetter"/>
      <w:lvlText w:val="%1)"/>
      <w:lvlJc w:val="left"/>
      <w:pPr>
        <w:ind w:left="810" w:hanging="360"/>
      </w:pPr>
      <w:rPr>
        <w:rFonts w:hint="default"/>
        <w:u w:val="none"/>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6340AA9"/>
    <w:multiLevelType w:val="multilevel"/>
    <w:tmpl w:val="607E2750"/>
    <w:lvl w:ilvl="0">
      <w:start w:val="1"/>
      <w:numFmt w:val="lowerLetter"/>
      <w:lvlText w:val="%1)"/>
      <w:lvlJc w:val="left"/>
      <w:pPr>
        <w:ind w:left="1080" w:hanging="72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6A73336"/>
    <w:multiLevelType w:val="hybridMultilevel"/>
    <w:tmpl w:val="6D525C92"/>
    <w:lvl w:ilvl="0" w:tplc="7D20B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7EB38F9"/>
    <w:multiLevelType w:val="hybridMultilevel"/>
    <w:tmpl w:val="1C1A87D4"/>
    <w:lvl w:ilvl="0" w:tplc="BF4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80F3C34"/>
    <w:multiLevelType w:val="multilevel"/>
    <w:tmpl w:val="A73A06AA"/>
    <w:lvl w:ilvl="0">
      <w:start w:val="5"/>
      <w:numFmt w:val="decimal"/>
      <w:lvlText w:val="%1"/>
      <w:lvlJc w:val="left"/>
      <w:pPr>
        <w:ind w:left="420" w:hanging="420"/>
      </w:pPr>
      <w:rPr>
        <w:rFonts w:hint="default"/>
        <w:b/>
      </w:rPr>
    </w:lvl>
    <w:lvl w:ilvl="1">
      <w:start w:val="1"/>
      <w:numFmt w:val="decimalZero"/>
      <w:lvlText w:val="%1.%2"/>
      <w:lvlJc w:val="left"/>
      <w:pPr>
        <w:ind w:left="1140" w:hanging="420"/>
      </w:pPr>
      <w:rPr>
        <w:rFonts w:ascii="Times New Roman" w:hAnsi="Times New Roman" w:cs="Times New Roman" w:hint="default"/>
        <w:b w:val="0"/>
      </w:rPr>
    </w:lvl>
    <w:lvl w:ilvl="2">
      <w:start w:val="1"/>
      <w:numFmt w:val="lowerLetter"/>
      <w:lvlText w:val="%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1" w15:restartNumberingAfterBreak="0">
    <w:nsid w:val="7A7E05D0"/>
    <w:multiLevelType w:val="multilevel"/>
    <w:tmpl w:val="E88288FE"/>
    <w:lvl w:ilvl="0">
      <w:start w:val="1"/>
      <w:numFmt w:val="upperRoman"/>
      <w:lvlText w:val="%1."/>
      <w:lvlJc w:val="center"/>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BDF7C67"/>
    <w:multiLevelType w:val="hybridMultilevel"/>
    <w:tmpl w:val="4AE48F8C"/>
    <w:lvl w:ilvl="0" w:tplc="65DE8DA8">
      <w:start w:val="1"/>
      <w:numFmt w:val="upperLetter"/>
      <w:lvlText w:val="%1."/>
      <w:lvlJc w:val="left"/>
      <w:pPr>
        <w:ind w:left="720" w:hanging="360"/>
      </w:pPr>
      <w:rPr>
        <w:rFonts w:hint="default"/>
      </w:rPr>
    </w:lvl>
    <w:lvl w:ilvl="1" w:tplc="00C86C28">
      <w:start w:val="1"/>
      <w:numFmt w:val="lowerLetter"/>
      <w:lvlText w:val="%2."/>
      <w:lvlJc w:val="left"/>
      <w:pPr>
        <w:ind w:left="1440" w:hanging="360"/>
      </w:pPr>
    </w:lvl>
    <w:lvl w:ilvl="2" w:tplc="BC1C3622" w:tentative="1">
      <w:start w:val="1"/>
      <w:numFmt w:val="lowerRoman"/>
      <w:lvlText w:val="%3."/>
      <w:lvlJc w:val="right"/>
      <w:pPr>
        <w:ind w:left="2160" w:hanging="180"/>
      </w:pPr>
    </w:lvl>
    <w:lvl w:ilvl="3" w:tplc="0BAE71D4" w:tentative="1">
      <w:start w:val="1"/>
      <w:numFmt w:val="decimal"/>
      <w:lvlText w:val="%4."/>
      <w:lvlJc w:val="left"/>
      <w:pPr>
        <w:ind w:left="2880" w:hanging="360"/>
      </w:pPr>
    </w:lvl>
    <w:lvl w:ilvl="4" w:tplc="5E788632" w:tentative="1">
      <w:start w:val="1"/>
      <w:numFmt w:val="lowerLetter"/>
      <w:lvlText w:val="%5."/>
      <w:lvlJc w:val="left"/>
      <w:pPr>
        <w:ind w:left="3600" w:hanging="360"/>
      </w:pPr>
    </w:lvl>
    <w:lvl w:ilvl="5" w:tplc="B9C2D574" w:tentative="1">
      <w:start w:val="1"/>
      <w:numFmt w:val="lowerRoman"/>
      <w:lvlText w:val="%6."/>
      <w:lvlJc w:val="right"/>
      <w:pPr>
        <w:ind w:left="4320" w:hanging="180"/>
      </w:pPr>
    </w:lvl>
    <w:lvl w:ilvl="6" w:tplc="433CA410" w:tentative="1">
      <w:start w:val="1"/>
      <w:numFmt w:val="decimal"/>
      <w:lvlText w:val="%7."/>
      <w:lvlJc w:val="left"/>
      <w:pPr>
        <w:ind w:left="5040" w:hanging="360"/>
      </w:pPr>
    </w:lvl>
    <w:lvl w:ilvl="7" w:tplc="616617BC" w:tentative="1">
      <w:start w:val="1"/>
      <w:numFmt w:val="lowerLetter"/>
      <w:lvlText w:val="%8."/>
      <w:lvlJc w:val="left"/>
      <w:pPr>
        <w:ind w:left="5760" w:hanging="360"/>
      </w:pPr>
    </w:lvl>
    <w:lvl w:ilvl="8" w:tplc="D81EB4C0" w:tentative="1">
      <w:start w:val="1"/>
      <w:numFmt w:val="lowerRoman"/>
      <w:lvlText w:val="%9."/>
      <w:lvlJc w:val="right"/>
      <w:pPr>
        <w:ind w:left="6480" w:hanging="180"/>
      </w:pPr>
    </w:lvl>
  </w:abstractNum>
  <w:abstractNum w:abstractNumId="43" w15:restartNumberingAfterBreak="0">
    <w:nsid w:val="7CA35FC6"/>
    <w:multiLevelType w:val="hybridMultilevel"/>
    <w:tmpl w:val="1A72E822"/>
    <w:lvl w:ilvl="0" w:tplc="52F4BBE0">
      <w:start w:val="1"/>
      <w:numFmt w:val="decimal"/>
      <w:lvlText w:val="%1."/>
      <w:lvlJc w:val="left"/>
      <w:pPr>
        <w:ind w:left="720" w:hanging="360"/>
      </w:pPr>
      <w:rPr>
        <w:rFonts w:hint="default"/>
      </w:rPr>
    </w:lvl>
    <w:lvl w:ilvl="1" w:tplc="15165B0A" w:tentative="1">
      <w:start w:val="1"/>
      <w:numFmt w:val="lowerLetter"/>
      <w:lvlText w:val="%2."/>
      <w:lvlJc w:val="left"/>
      <w:pPr>
        <w:ind w:left="1440" w:hanging="360"/>
      </w:pPr>
    </w:lvl>
    <w:lvl w:ilvl="2" w:tplc="F896560C" w:tentative="1">
      <w:start w:val="1"/>
      <w:numFmt w:val="lowerRoman"/>
      <w:lvlText w:val="%3."/>
      <w:lvlJc w:val="right"/>
      <w:pPr>
        <w:ind w:left="2160" w:hanging="180"/>
      </w:pPr>
    </w:lvl>
    <w:lvl w:ilvl="3" w:tplc="83920CAC" w:tentative="1">
      <w:start w:val="1"/>
      <w:numFmt w:val="decimal"/>
      <w:lvlText w:val="%4."/>
      <w:lvlJc w:val="left"/>
      <w:pPr>
        <w:ind w:left="2880" w:hanging="360"/>
      </w:pPr>
    </w:lvl>
    <w:lvl w:ilvl="4" w:tplc="8D4053D0" w:tentative="1">
      <w:start w:val="1"/>
      <w:numFmt w:val="lowerLetter"/>
      <w:lvlText w:val="%5."/>
      <w:lvlJc w:val="left"/>
      <w:pPr>
        <w:ind w:left="3600" w:hanging="360"/>
      </w:pPr>
    </w:lvl>
    <w:lvl w:ilvl="5" w:tplc="E3A24FD8" w:tentative="1">
      <w:start w:val="1"/>
      <w:numFmt w:val="lowerRoman"/>
      <w:lvlText w:val="%6."/>
      <w:lvlJc w:val="right"/>
      <w:pPr>
        <w:ind w:left="4320" w:hanging="180"/>
      </w:pPr>
    </w:lvl>
    <w:lvl w:ilvl="6" w:tplc="989895E4" w:tentative="1">
      <w:start w:val="1"/>
      <w:numFmt w:val="decimal"/>
      <w:lvlText w:val="%7."/>
      <w:lvlJc w:val="left"/>
      <w:pPr>
        <w:ind w:left="5040" w:hanging="360"/>
      </w:pPr>
    </w:lvl>
    <w:lvl w:ilvl="7" w:tplc="B3404F1C" w:tentative="1">
      <w:start w:val="1"/>
      <w:numFmt w:val="lowerLetter"/>
      <w:lvlText w:val="%8."/>
      <w:lvlJc w:val="left"/>
      <w:pPr>
        <w:ind w:left="5760" w:hanging="360"/>
      </w:pPr>
    </w:lvl>
    <w:lvl w:ilvl="8" w:tplc="5FC6825E" w:tentative="1">
      <w:start w:val="1"/>
      <w:numFmt w:val="lowerRoman"/>
      <w:lvlText w:val="%9."/>
      <w:lvlJc w:val="right"/>
      <w:pPr>
        <w:ind w:left="6480" w:hanging="180"/>
      </w:pPr>
    </w:lvl>
  </w:abstractNum>
  <w:num w:numId="1">
    <w:abstractNumId w:val="28"/>
  </w:num>
  <w:num w:numId="2">
    <w:abstractNumId w:val="18"/>
  </w:num>
  <w:num w:numId="3">
    <w:abstractNumId w:val="6"/>
  </w:num>
  <w:num w:numId="4">
    <w:abstractNumId w:val="3"/>
  </w:num>
  <w:num w:numId="5">
    <w:abstractNumId w:val="42"/>
  </w:num>
  <w:num w:numId="6">
    <w:abstractNumId w:val="23"/>
  </w:num>
  <w:num w:numId="7">
    <w:abstractNumId w:val="34"/>
  </w:num>
  <w:num w:numId="8">
    <w:abstractNumId w:val="8"/>
  </w:num>
  <w:num w:numId="9">
    <w:abstractNumId w:val="33"/>
  </w:num>
  <w:num w:numId="10">
    <w:abstractNumId w:val="17"/>
  </w:num>
  <w:num w:numId="11">
    <w:abstractNumId w:val="14"/>
  </w:num>
  <w:num w:numId="12">
    <w:abstractNumId w:val="36"/>
  </w:num>
  <w:num w:numId="13">
    <w:abstractNumId w:val="5"/>
  </w:num>
  <w:num w:numId="14">
    <w:abstractNumId w:val="16"/>
  </w:num>
  <w:num w:numId="15">
    <w:abstractNumId w:val="24"/>
  </w:num>
  <w:num w:numId="16">
    <w:abstractNumId w:val="22"/>
  </w:num>
  <w:num w:numId="17">
    <w:abstractNumId w:val="21"/>
  </w:num>
  <w:num w:numId="18">
    <w:abstractNumId w:val="19"/>
  </w:num>
  <w:num w:numId="19">
    <w:abstractNumId w:val="43"/>
  </w:num>
  <w:num w:numId="20">
    <w:abstractNumId w:val="30"/>
  </w:num>
  <w:num w:numId="21">
    <w:abstractNumId w:val="15"/>
  </w:num>
  <w:num w:numId="22">
    <w:abstractNumId w:val="29"/>
  </w:num>
  <w:num w:numId="23">
    <w:abstractNumId w:val="10"/>
  </w:num>
  <w:num w:numId="24">
    <w:abstractNumId w:val="12"/>
  </w:num>
  <w:num w:numId="25">
    <w:abstractNumId w:val="35"/>
  </w:num>
  <w:num w:numId="26">
    <w:abstractNumId w:val="0"/>
  </w:num>
  <w:num w:numId="27">
    <w:abstractNumId w:val="7"/>
  </w:num>
  <w:num w:numId="28">
    <w:abstractNumId w:val="40"/>
  </w:num>
  <w:num w:numId="29">
    <w:abstractNumId w:val="4"/>
  </w:num>
  <w:num w:numId="30">
    <w:abstractNumId w:val="2"/>
  </w:num>
  <w:num w:numId="31">
    <w:abstractNumId w:val="37"/>
  </w:num>
  <w:num w:numId="32">
    <w:abstractNumId w:val="38"/>
  </w:num>
  <w:num w:numId="33">
    <w:abstractNumId w:val="31"/>
  </w:num>
  <w:num w:numId="34">
    <w:abstractNumId w:val="26"/>
  </w:num>
  <w:num w:numId="35">
    <w:abstractNumId w:val="27"/>
  </w:num>
  <w:num w:numId="36">
    <w:abstractNumId w:val="1"/>
  </w:num>
  <w:num w:numId="37">
    <w:abstractNumId w:val="20"/>
  </w:num>
  <w:num w:numId="38">
    <w:abstractNumId w:val="39"/>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2"/>
  </w:num>
  <w:num w:numId="42">
    <w:abstractNumId w:val="9"/>
  </w:num>
  <w:num w:numId="43">
    <w:abstractNumId w:val="25"/>
  </w:num>
  <w:num w:numId="44">
    <w:abstractNumId w:val="4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5:docId w15:val="{1C0BD2B3-344E-4161-A3E8-473B1CC1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lang w:val="en-US"/>
    </w:rPr>
  </w:style>
  <w:style w:type="paragraph" w:styleId="Heading1">
    <w:name w:val="heading 1"/>
    <w:basedOn w:val="Normal"/>
    <w:next w:val="Normal"/>
    <w:link w:val="Heading1Char"/>
    <w:qFormat/>
    <w:pPr>
      <w:keepNext/>
      <w:numPr>
        <w:numId w:val="8"/>
      </w:numPr>
      <w:spacing w:before="240" w:after="120" w:line="240" w:lineRule="auto"/>
      <w:jc w:val="center"/>
      <w:outlineLvl w:val="0"/>
    </w:pPr>
    <w:rPr>
      <w:rFonts w:eastAsia="Times" w:cs="Times New Roman"/>
      <w:b/>
      <w:bCs/>
      <w:color w:val="auto"/>
      <w:sz w:val="28"/>
      <w:szCs w:val="20"/>
      <w:lang w:val="es-ES"/>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Calibri" w:eastAsia="Times" w:hAnsi="Calibri" w:cs="Times New Roman"/>
      <w:b/>
      <w:bCs/>
      <w:sz w:val="28"/>
      <w:szCs w:val="20"/>
      <w:lang w:val="es-ES"/>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lang w:val="en-US"/>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1">
    <w:name w:val="Sombreado claro - Énfasis 11"/>
    <w:basedOn w:val="TableNormal"/>
    <w:uiPriority w:val="60"/>
    <w:pPr>
      <w:spacing w:after="0" w:line="240" w:lineRule="auto"/>
    </w:pPr>
    <w:rPr>
      <w:rFonts w:ascii="Times New Roman" w:eastAsia="Times New Roman"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aragraph">
    <w:name w:val="Paragraph"/>
    <w:aliases w:val="paragraph,p,PARAGRAPH,PG,pa,at"/>
    <w:basedOn w:val="BodyTextIndent"/>
    <w:link w:val="ParagraphCar"/>
    <w:qFormat/>
    <w:pPr>
      <w:tabs>
        <w:tab w:val="num" w:pos="3273"/>
      </w:tabs>
      <w:spacing w:before="120" w:line="240" w:lineRule="auto"/>
      <w:ind w:left="3273" w:hanging="720"/>
      <w:jc w:val="both"/>
      <w:outlineLvl w:val="1"/>
    </w:pPr>
    <w:rPr>
      <w:rFonts w:ascii="Times New Roman" w:eastAsia="Times New Roman" w:hAnsi="Times New Roman" w:cs="Times New Roman"/>
      <w:color w:val="auto"/>
      <w:sz w:val="24"/>
      <w:szCs w:val="20"/>
      <w:lang w:val="es-ES"/>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ascii="Calibri" w:eastAsia="Calibri" w:hAnsi="Calibri" w:cs="Calibri"/>
      <w:color w:val="000000"/>
      <w:lang w:val="en-US"/>
    </w:rPr>
  </w:style>
  <w:style w:type="character" w:customStyle="1" w:styleId="ParagraphCar">
    <w:name w:val="Paragraph Car"/>
    <w:link w:val="Paragraph"/>
    <w:uiPriority w:val="99"/>
    <w:locked/>
    <w:rPr>
      <w:rFonts w:ascii="Times New Roman" w:eastAsia="Times New Roman" w:hAnsi="Times New Roman" w:cs="Times New Roman"/>
      <w:sz w:val="24"/>
      <w:szCs w:val="20"/>
      <w:lang w:val="es-ES"/>
    </w:rPr>
  </w:style>
  <w:style w:type="table" w:customStyle="1" w:styleId="Sombreadoclaro-nfasis12">
    <w:name w:val="Sombreado claro - Énfasis 12"/>
    <w:basedOn w:val="TableNormal"/>
    <w:uiPriority w:val="60"/>
    <w:pPr>
      <w:spacing w:after="0" w:line="240" w:lineRule="auto"/>
    </w:pPr>
    <w:rPr>
      <w:rFonts w:ascii="Times New Roman" w:eastAsia="Times New Roman"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pPr>
      <w:tabs>
        <w:tab w:val="center" w:pos="4419"/>
        <w:tab w:val="right" w:pos="8838"/>
      </w:tabs>
      <w:spacing w:after="0" w:line="240" w:lineRule="auto"/>
    </w:pPr>
  </w:style>
  <w:style w:type="character" w:customStyle="1" w:styleId="HeaderChar">
    <w:name w:val="Header Char"/>
    <w:basedOn w:val="DefaultParagraphFont"/>
    <w:link w:val="Header"/>
    <w:uiPriority w:val="99"/>
    <w:rPr>
      <w:rFonts w:ascii="Calibri" w:eastAsia="Calibri" w:hAnsi="Calibri" w:cs="Calibri"/>
      <w:color w:val="000000"/>
      <w:lang w:val="en-US"/>
    </w:rPr>
  </w:style>
  <w:style w:type="paragraph" w:styleId="Footer">
    <w:name w:val="footer"/>
    <w:basedOn w:val="Normal"/>
    <w:link w:val="FooterChar"/>
    <w:uiPriority w:val="99"/>
    <w:unhideWhenUsed/>
    <w:pPr>
      <w:tabs>
        <w:tab w:val="center" w:pos="4419"/>
        <w:tab w:val="right" w:pos="8838"/>
      </w:tabs>
      <w:spacing w:after="0" w:line="240" w:lineRule="auto"/>
    </w:pPr>
  </w:style>
  <w:style w:type="character" w:customStyle="1" w:styleId="FooterChar">
    <w:name w:val="Footer Char"/>
    <w:basedOn w:val="DefaultParagraphFont"/>
    <w:link w:val="Footer"/>
    <w:uiPriority w:val="99"/>
    <w:rPr>
      <w:rFonts w:ascii="Calibri" w:eastAsia="Calibri" w:hAnsi="Calibri" w:cs="Calibri"/>
      <w:color w:val="000000"/>
      <w:lang w:val="en-US"/>
    </w:rPr>
  </w:style>
  <w:style w:type="character" w:styleId="FootnoteReference">
    <w:name w:val="footnote reference"/>
    <w:aliases w:val="ftref,Fußnotenzeichen DISS,16 Point,Superscript 6 Point,BVI fnr, BVI fnr,Знак сноски 1,referencia nota al pie,titulo 2,FC,Footnote Referencefra,Ref. de nota al pie.,Footnote Reference.SES,Ref. de nota al pie EDEP,pie pddes,fr,SUPERS"/>
    <w:basedOn w:val="DefaultParagraphFont"/>
    <w:uiPriority w:val="99"/>
    <w:unhideWhenUsed/>
    <w:qFormat/>
    <w:rPr>
      <w:vertAlign w:val="superscript"/>
    </w:rPr>
  </w:style>
  <w:style w:type="paragraph" w:customStyle="1" w:styleId="Listavistosa-nfasis11">
    <w:name w:val="Lista vistosa - Énfasis 11"/>
    <w:basedOn w:val="Normal"/>
    <w:uiPriority w:val="34"/>
    <w:qFormat/>
    <w:pPr>
      <w:spacing w:before="120" w:after="120" w:line="240" w:lineRule="auto"/>
      <w:ind w:left="720"/>
      <w:contextualSpacing/>
      <w:jc w:val="both"/>
    </w:pPr>
    <w:rPr>
      <w:rFonts w:eastAsia="MS Mincho" w:cs="Times New Roman"/>
      <w:b/>
      <w:color w:val="auto"/>
      <w:lang w:val="es-ES_tradnl" w:eastAsia="es-ES"/>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color w:val="000000"/>
      <w:sz w:val="16"/>
      <w:szCs w:val="16"/>
      <w:lang w:val="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color w:val="000000"/>
      <w:sz w:val="20"/>
      <w:szCs w:val="20"/>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Calibri"/>
      <w:b/>
      <w:bCs/>
      <w:color w:val="000000"/>
      <w:sz w:val="20"/>
      <w:szCs w:val="20"/>
      <w:lang w:val="en-US"/>
    </w:rPr>
  </w:style>
  <w:style w:type="paragraph" w:customStyle="1" w:styleId="Default">
    <w:name w:val="Default"/>
    <w:uiPriority w:val="99"/>
    <w:pPr>
      <w:autoSpaceDE w:val="0"/>
      <w:autoSpaceDN w:val="0"/>
      <w:adjustRightInd w:val="0"/>
      <w:spacing w:after="0" w:line="240" w:lineRule="auto"/>
    </w:pPr>
    <w:rPr>
      <w:rFonts w:ascii="Calibri" w:hAnsi="Calibri" w:cs="Calibri"/>
      <w:color w:val="000000"/>
      <w:sz w:val="24"/>
      <w:szCs w:val="24"/>
      <w:lang w:val="en-US"/>
    </w:rPr>
  </w:style>
  <w:style w:type="paragraph" w:styleId="FootnoteText">
    <w:name w:val="footnote text"/>
    <w:aliases w:val="fn,foottextfra,footnote,F,Texto nota pie Car Car,Texto de rodapé,nota_rodapé,nota de rodapé,FOOTNOTES,single space,footnote text,Footnote Text Char Char,ADB,texto de nota al pie,Nota a pie/Bibliog,Footnote Text1 Char,f,ft"/>
    <w:basedOn w:val="Normal"/>
    <w:link w:val="FootnoteTextChar"/>
    <w:unhideWhenUsed/>
    <w:qFormat/>
    <w:pPr>
      <w:spacing w:before="120" w:after="120" w:line="240" w:lineRule="auto"/>
      <w:ind w:left="1418"/>
      <w:jc w:val="both"/>
    </w:pPr>
    <w:rPr>
      <w:rFonts w:eastAsia="MS Mincho" w:cs="Times New Roman"/>
      <w:b/>
      <w:color w:val="auto"/>
      <w:lang w:val="es-ES_tradnl" w:eastAsia="es-ES"/>
    </w:rPr>
  </w:style>
  <w:style w:type="character" w:customStyle="1" w:styleId="FootnoteTextChar">
    <w:name w:val="Footnote Text Char"/>
    <w:aliases w:val="fn Char,foottextfra Char,footnote Char,F Char,Texto nota pie Car Car Char,Texto de rodapé Char,nota_rodapé Char,nota de rodapé Char,FOOTNOTES Char,single space Char,footnote text Char,Footnote Text Char Char Char,ADB Char,f Char"/>
    <w:basedOn w:val="DefaultParagraphFont"/>
    <w:link w:val="FootnoteText"/>
    <w:rPr>
      <w:rFonts w:ascii="Calibri" w:eastAsia="MS Mincho" w:hAnsi="Calibri" w:cs="Times New Roman"/>
      <w:b/>
      <w:lang w:val="es-ES_tradnl" w:eastAsia="es-ES"/>
    </w:rPr>
  </w:style>
  <w:style w:type="paragraph" w:customStyle="1" w:styleId="Chapter">
    <w:name w:val="Chapter"/>
    <w:basedOn w:val="Normal"/>
    <w:next w:val="Normal"/>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color w:val="auto"/>
      <w:sz w:val="24"/>
      <w:szCs w:val="20"/>
      <w:lang w:val="es-ES"/>
    </w:rPr>
  </w:style>
  <w:style w:type="paragraph" w:customStyle="1" w:styleId="subpar">
    <w:name w:val="subpar"/>
    <w:basedOn w:val="BodyTextIndent3"/>
    <w:pPr>
      <w:spacing w:before="120" w:line="240" w:lineRule="auto"/>
      <w:ind w:left="1080" w:hanging="720"/>
      <w:jc w:val="both"/>
      <w:outlineLvl w:val="2"/>
    </w:pPr>
    <w:rPr>
      <w:rFonts w:ascii="Times New Roman" w:eastAsia="Times New Roman" w:hAnsi="Times New Roman" w:cs="Times New Roman"/>
      <w:color w:val="auto"/>
      <w:sz w:val="24"/>
      <w:szCs w:val="20"/>
      <w:lang w:val="es-ES_tradnl"/>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rFonts w:ascii="Calibri" w:eastAsia="Calibri" w:hAnsi="Calibri" w:cs="Calibri"/>
      <w:color w:val="000000"/>
      <w:sz w:val="16"/>
      <w:szCs w:val="16"/>
      <w:lang w:val="en-US"/>
    </w:rPr>
  </w:style>
  <w:style w:type="paragraph" w:customStyle="1" w:styleId="SubSubPar">
    <w:name w:val="SubSubPar"/>
    <w:basedOn w:val="subpar"/>
    <w:pPr>
      <w:tabs>
        <w:tab w:val="left" w:pos="0"/>
        <w:tab w:val="num" w:pos="1296"/>
      </w:tabs>
      <w:ind w:left="1296"/>
    </w:pPr>
  </w:style>
  <w:style w:type="character" w:customStyle="1" w:styleId="ParagraphChar">
    <w:name w:val="Paragraph Char"/>
    <w:rPr>
      <w:rFonts w:ascii="Times New Roman" w:eastAsia="Times New Roman" w:hAnsi="Times New Roman"/>
      <w:sz w:val="24"/>
      <w:lang w:val="es-ES" w:eastAsia="en-US"/>
    </w:rPr>
  </w:style>
  <w:style w:type="paragraph" w:customStyle="1" w:styleId="Prrafodelista1">
    <w:name w:val="Párrafo de lista1"/>
    <w:basedOn w:val="Paragraph"/>
    <w:uiPriority w:val="99"/>
    <w:qFormat/>
    <w:pPr>
      <w:tabs>
        <w:tab w:val="clear" w:pos="3273"/>
        <w:tab w:val="num" w:pos="720"/>
      </w:tabs>
      <w:ind w:left="720"/>
      <w:outlineLvl w:val="9"/>
    </w:pPr>
    <w:rPr>
      <w:rFonts w:ascii="Calibri" w:hAnsi="Calibri"/>
      <w:szCs w:val="24"/>
      <w:lang w:val="es-AR"/>
    </w:rPr>
  </w:style>
  <w:style w:type="table" w:customStyle="1" w:styleId="Cuadrculaclara-nfasis11">
    <w:name w:val="Cuadrícula clara - Énfasis 1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Revision">
    <w:name w:val="Revision"/>
    <w:hidden/>
    <w:uiPriority w:val="99"/>
    <w:semiHidden/>
    <w:pPr>
      <w:spacing w:after="0" w:line="240" w:lineRule="auto"/>
    </w:pPr>
    <w:rPr>
      <w:rFonts w:ascii="Calibri" w:eastAsia="Calibri" w:hAnsi="Calibri" w:cs="Calibri"/>
      <w:color w:val="000000"/>
      <w:lang w:val="en-US"/>
    </w:rPr>
  </w:style>
  <w:style w:type="paragraph" w:styleId="TOCHeading">
    <w:name w:val="TOC Heading"/>
    <w:basedOn w:val="Heading1"/>
    <w:next w:val="Normal"/>
    <w:uiPriority w:val="39"/>
    <w:unhideWhenUsed/>
    <w:qFormat/>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zCs w:val="28"/>
      <w:lang w:val="en-US" w:eastAsia="ja-JP"/>
    </w:rPr>
  </w:style>
  <w:style w:type="paragraph" w:styleId="TOC1">
    <w:name w:val="toc 1"/>
    <w:basedOn w:val="Normal"/>
    <w:next w:val="Normal"/>
    <w:autoRedefine/>
    <w:uiPriority w:val="39"/>
    <w:unhideWhenUsed/>
    <w:pPr>
      <w:tabs>
        <w:tab w:val="left" w:pos="450"/>
        <w:tab w:val="left" w:pos="567"/>
        <w:tab w:val="right" w:leader="dot" w:pos="9289"/>
      </w:tabs>
      <w:spacing w:after="100"/>
    </w:pPr>
    <w:rPr>
      <w:rFonts w:ascii="Times New Roman" w:hAnsi="Times New Roman"/>
      <w:b/>
      <w:noProof/>
      <w:lang w:val="es-AR"/>
    </w:rPr>
  </w:style>
  <w:style w:type="paragraph" w:styleId="TOC2">
    <w:name w:val="toc 2"/>
    <w:basedOn w:val="Normal"/>
    <w:next w:val="Normal"/>
    <w:autoRedefine/>
    <w:uiPriority w:val="39"/>
    <w:unhideWhenUsed/>
    <w:pPr>
      <w:tabs>
        <w:tab w:val="left" w:pos="851"/>
        <w:tab w:val="left" w:pos="1100"/>
        <w:tab w:val="right" w:leader="dot" w:pos="9289"/>
      </w:tabs>
      <w:spacing w:after="100"/>
      <w:ind w:left="220" w:firstLine="230"/>
    </w:pPr>
    <w:rPr>
      <w:rFonts w:ascii="Times New Roman" w:hAnsi="Times New Roman" w:cs="Times New Roman"/>
      <w:noProof/>
      <w:lang w:val="es-AR"/>
    </w:rPr>
  </w:style>
  <w:style w:type="paragraph" w:styleId="TOC3">
    <w:name w:val="toc 3"/>
    <w:basedOn w:val="Normal"/>
    <w:next w:val="Normal"/>
    <w:autoRedefine/>
    <w:uiPriority w:val="39"/>
    <w:unhideWhenUsed/>
    <w:pPr>
      <w:spacing w:after="100"/>
      <w:ind w:left="440"/>
    </w:pPr>
  </w:style>
  <w:style w:type="character" w:styleId="Hyperlink">
    <w:name w:val="Hyperlink"/>
    <w:basedOn w:val="DefaultParagraphFont"/>
    <w:uiPriority w:val="99"/>
    <w:unhideWhenUsed/>
    <w:rPr>
      <w:color w:val="0000FF" w:themeColor="hyperlink"/>
      <w:u w:val="single"/>
    </w:rPr>
  </w:style>
  <w:style w:type="paragraph" w:styleId="TOC4">
    <w:name w:val="toc 4"/>
    <w:basedOn w:val="Normal"/>
    <w:next w:val="Normal"/>
    <w:autoRedefine/>
    <w:uiPriority w:val="39"/>
    <w:unhideWhenUsed/>
    <w:pPr>
      <w:spacing w:after="100"/>
      <w:ind w:left="660"/>
    </w:pPr>
    <w:rPr>
      <w:rFonts w:asciiTheme="minorHAnsi" w:eastAsiaTheme="minorEastAsia" w:hAnsiTheme="minorHAnsi" w:cstheme="minorBidi"/>
      <w:color w:val="auto"/>
    </w:rPr>
  </w:style>
  <w:style w:type="paragraph" w:styleId="TOC5">
    <w:name w:val="toc 5"/>
    <w:basedOn w:val="Normal"/>
    <w:next w:val="Normal"/>
    <w:autoRedefine/>
    <w:uiPriority w:val="39"/>
    <w:unhideWhenUsed/>
    <w:pPr>
      <w:spacing w:after="100"/>
      <w:ind w:left="880"/>
    </w:pPr>
    <w:rPr>
      <w:rFonts w:asciiTheme="minorHAnsi" w:eastAsiaTheme="minorEastAsia" w:hAnsiTheme="minorHAnsi" w:cstheme="minorBidi"/>
      <w:color w:val="auto"/>
    </w:rPr>
  </w:style>
  <w:style w:type="paragraph" w:styleId="TOC6">
    <w:name w:val="toc 6"/>
    <w:basedOn w:val="Normal"/>
    <w:next w:val="Normal"/>
    <w:autoRedefine/>
    <w:uiPriority w:val="39"/>
    <w:unhideWhenUsed/>
    <w:pPr>
      <w:spacing w:after="100"/>
      <w:ind w:left="1100"/>
    </w:pPr>
    <w:rPr>
      <w:rFonts w:asciiTheme="minorHAnsi" w:eastAsiaTheme="minorEastAsia" w:hAnsiTheme="minorHAnsi" w:cstheme="minorBidi"/>
      <w:color w:val="auto"/>
    </w:rPr>
  </w:style>
  <w:style w:type="paragraph" w:styleId="TOC7">
    <w:name w:val="toc 7"/>
    <w:basedOn w:val="Normal"/>
    <w:next w:val="Normal"/>
    <w:autoRedefine/>
    <w:uiPriority w:val="39"/>
    <w:unhideWhenUsed/>
    <w:pPr>
      <w:spacing w:after="100"/>
      <w:ind w:left="1320"/>
    </w:pPr>
    <w:rPr>
      <w:rFonts w:asciiTheme="minorHAnsi" w:eastAsiaTheme="minorEastAsia" w:hAnsiTheme="minorHAnsi" w:cstheme="minorBidi"/>
      <w:color w:val="auto"/>
    </w:rPr>
  </w:style>
  <w:style w:type="paragraph" w:styleId="TOC8">
    <w:name w:val="toc 8"/>
    <w:basedOn w:val="Normal"/>
    <w:next w:val="Normal"/>
    <w:autoRedefine/>
    <w:uiPriority w:val="39"/>
    <w:unhideWhenUsed/>
    <w:pPr>
      <w:spacing w:after="100"/>
      <w:ind w:left="1540"/>
    </w:pPr>
    <w:rPr>
      <w:rFonts w:asciiTheme="minorHAnsi" w:eastAsiaTheme="minorEastAsia" w:hAnsiTheme="minorHAnsi" w:cstheme="minorBidi"/>
      <w:color w:val="auto"/>
    </w:rPr>
  </w:style>
  <w:style w:type="paragraph" w:styleId="TOC9">
    <w:name w:val="toc 9"/>
    <w:basedOn w:val="Normal"/>
    <w:next w:val="Normal"/>
    <w:autoRedefine/>
    <w:uiPriority w:val="39"/>
    <w:unhideWhenUsed/>
    <w:pPr>
      <w:spacing w:after="100"/>
      <w:ind w:left="1760"/>
    </w:pPr>
    <w:rPr>
      <w:rFonts w:asciiTheme="minorHAnsi" w:eastAsiaTheme="minorEastAsia" w:hAnsiTheme="minorHAnsi" w:cstheme="minorBidi"/>
      <w:color w:val="auto"/>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rFonts w:ascii="Calibri" w:eastAsia="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503040">
      <w:bodyDiv w:val="1"/>
      <w:marLeft w:val="0"/>
      <w:marRight w:val="0"/>
      <w:marTop w:val="0"/>
      <w:marBottom w:val="0"/>
      <w:divBdr>
        <w:top w:val="none" w:sz="0" w:space="0" w:color="auto"/>
        <w:left w:val="none" w:sz="0" w:space="0" w:color="auto"/>
        <w:bottom w:val="none" w:sz="0" w:space="0" w:color="auto"/>
        <w:right w:val="none" w:sz="0" w:space="0" w:color="auto"/>
      </w:divBdr>
    </w:div>
    <w:div w:id="1453285266">
      <w:bodyDiv w:val="1"/>
      <w:marLeft w:val="0"/>
      <w:marRight w:val="0"/>
      <w:marTop w:val="0"/>
      <w:marBottom w:val="0"/>
      <w:divBdr>
        <w:top w:val="none" w:sz="0" w:space="0" w:color="auto"/>
        <w:left w:val="none" w:sz="0" w:space="0" w:color="auto"/>
        <w:bottom w:val="none" w:sz="0" w:space="0" w:color="auto"/>
        <w:right w:val="none" w:sz="0" w:space="0" w:color="auto"/>
      </w:divBdr>
    </w:div>
    <w:div w:id="145417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customXml" Target="../customXml/item6.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BFD4CE-52D6-43C6-A5D1-04BC80DCC513}" type="doc">
      <dgm:prSet loTypeId="urn:microsoft.com/office/officeart/2005/8/layout/process1" loCatId="process" qsTypeId="urn:microsoft.com/office/officeart/2005/8/quickstyle/simple3" qsCatId="simple" csTypeId="urn:microsoft.com/office/officeart/2005/8/colors/accent1_2" csCatId="accent1" phldr="1"/>
      <dgm:spPr/>
    </dgm:pt>
    <dgm:pt modelId="{519C1AD7-F084-4E9D-8751-83A6E3747DC7}">
      <dgm:prSet phldrT="[Text]"/>
      <dgm:spPr/>
      <dgm:t>
        <a:bodyPr/>
        <a:lstStyle/>
        <a:p>
          <a:r>
            <a:rPr lang="en-US"/>
            <a:t>Selección de actividades y obras elegibles</a:t>
          </a:r>
        </a:p>
      </dgm:t>
    </dgm:pt>
    <dgm:pt modelId="{BE2E6B6E-86D6-4359-BAC5-452CD03FADA8}" type="parTrans" cxnId="{FEBE0CBE-D3DB-4128-B054-529D959CA2D1}">
      <dgm:prSet/>
      <dgm:spPr/>
      <dgm:t>
        <a:bodyPr/>
        <a:lstStyle/>
        <a:p>
          <a:endParaRPr lang="en-US"/>
        </a:p>
      </dgm:t>
    </dgm:pt>
    <dgm:pt modelId="{BA049F1F-743A-4F8F-900C-0A15593D68CC}" type="sibTrans" cxnId="{FEBE0CBE-D3DB-4128-B054-529D959CA2D1}">
      <dgm:prSet/>
      <dgm:spPr/>
      <dgm:t>
        <a:bodyPr/>
        <a:lstStyle/>
        <a:p>
          <a:endParaRPr lang="en-US"/>
        </a:p>
      </dgm:t>
    </dgm:pt>
    <dgm:pt modelId="{F8184C37-0A7F-4589-86D0-449BE2368A1F}">
      <dgm:prSet phldrT="[Text]"/>
      <dgm:spPr/>
      <dgm:t>
        <a:bodyPr/>
        <a:lstStyle/>
        <a:p>
          <a:r>
            <a:rPr lang="en-US"/>
            <a:t>Aprobación UCP</a:t>
          </a:r>
        </a:p>
      </dgm:t>
    </dgm:pt>
    <dgm:pt modelId="{F6D477D4-AA50-4E59-80FA-56022B9B2BE9}" type="parTrans" cxnId="{C5EBF84E-CC06-479C-804A-9D723B1FC922}">
      <dgm:prSet/>
      <dgm:spPr/>
      <dgm:t>
        <a:bodyPr/>
        <a:lstStyle/>
        <a:p>
          <a:endParaRPr lang="en-US"/>
        </a:p>
      </dgm:t>
    </dgm:pt>
    <dgm:pt modelId="{1FDBECEB-9902-4699-8CAE-002DDE9BF607}" type="sibTrans" cxnId="{C5EBF84E-CC06-479C-804A-9D723B1FC922}">
      <dgm:prSet/>
      <dgm:spPr/>
      <dgm:t>
        <a:bodyPr/>
        <a:lstStyle/>
        <a:p>
          <a:endParaRPr lang="en-US"/>
        </a:p>
      </dgm:t>
    </dgm:pt>
    <dgm:pt modelId="{1C107707-63E9-4C21-A16F-0B9DB0040EB7}">
      <dgm:prSet/>
      <dgm:spPr/>
      <dgm:t>
        <a:bodyPr/>
        <a:lstStyle/>
        <a:p>
          <a:r>
            <a:rPr lang="en-US"/>
            <a:t>No Objeción BID</a:t>
          </a:r>
        </a:p>
      </dgm:t>
    </dgm:pt>
    <dgm:pt modelId="{3E1FC085-5BEF-413A-A777-36AFD2448C3D}" type="parTrans" cxnId="{5A42BC00-3D82-46AB-A552-DC7F99737B9E}">
      <dgm:prSet/>
      <dgm:spPr/>
      <dgm:t>
        <a:bodyPr/>
        <a:lstStyle/>
        <a:p>
          <a:endParaRPr lang="en-US"/>
        </a:p>
      </dgm:t>
    </dgm:pt>
    <dgm:pt modelId="{A7FDEB63-782C-40E3-AB79-6DFAA12F2B39}" type="sibTrans" cxnId="{5A42BC00-3D82-46AB-A552-DC7F99737B9E}">
      <dgm:prSet/>
      <dgm:spPr/>
      <dgm:t>
        <a:bodyPr/>
        <a:lstStyle/>
        <a:p>
          <a:endParaRPr lang="en-US"/>
        </a:p>
      </dgm:t>
    </dgm:pt>
    <dgm:pt modelId="{5CD95670-6970-4A1B-A6E5-CCCB3EEBAC17}">
      <dgm:prSet/>
      <dgm:spPr/>
      <dgm:t>
        <a:bodyPr/>
        <a:lstStyle/>
        <a:p>
          <a:r>
            <a:rPr lang="en-US"/>
            <a:t>Ejecución</a:t>
          </a:r>
        </a:p>
      </dgm:t>
    </dgm:pt>
    <dgm:pt modelId="{7438C178-F9FE-46E1-A93F-A787D087BDE4}" type="sibTrans" cxnId="{E5115306-018B-4095-91BE-AC072C506A9E}">
      <dgm:prSet/>
      <dgm:spPr/>
      <dgm:t>
        <a:bodyPr/>
        <a:lstStyle/>
        <a:p>
          <a:endParaRPr lang="en-US"/>
        </a:p>
      </dgm:t>
    </dgm:pt>
    <dgm:pt modelId="{454947D9-C14E-4412-8D60-0D1B888DC8AF}" type="parTrans" cxnId="{E5115306-018B-4095-91BE-AC072C506A9E}">
      <dgm:prSet/>
      <dgm:spPr/>
      <dgm:t>
        <a:bodyPr/>
        <a:lstStyle/>
        <a:p>
          <a:endParaRPr lang="en-US"/>
        </a:p>
      </dgm:t>
    </dgm:pt>
    <dgm:pt modelId="{322C2344-EBF9-4D16-8827-D006F12ECD21}" type="pres">
      <dgm:prSet presAssocID="{C0BFD4CE-52D6-43C6-A5D1-04BC80DCC513}" presName="Name0" presStyleCnt="0">
        <dgm:presLayoutVars>
          <dgm:dir/>
          <dgm:resizeHandles val="exact"/>
        </dgm:presLayoutVars>
      </dgm:prSet>
      <dgm:spPr/>
    </dgm:pt>
    <dgm:pt modelId="{35DA89DF-7065-4094-ADBE-B0E69E40CBD0}" type="pres">
      <dgm:prSet presAssocID="{519C1AD7-F084-4E9D-8751-83A6E3747DC7}" presName="node" presStyleLbl="node1" presStyleIdx="0" presStyleCnt="4">
        <dgm:presLayoutVars>
          <dgm:bulletEnabled val="1"/>
        </dgm:presLayoutVars>
      </dgm:prSet>
      <dgm:spPr/>
    </dgm:pt>
    <dgm:pt modelId="{D5362695-354A-4B4F-B503-6677FB65260E}" type="pres">
      <dgm:prSet presAssocID="{BA049F1F-743A-4F8F-900C-0A15593D68CC}" presName="sibTrans" presStyleLbl="sibTrans2D1" presStyleIdx="0" presStyleCnt="3"/>
      <dgm:spPr/>
    </dgm:pt>
    <dgm:pt modelId="{008428F6-051E-4FA3-BC1F-8AE212DBAD32}" type="pres">
      <dgm:prSet presAssocID="{BA049F1F-743A-4F8F-900C-0A15593D68CC}" presName="connectorText" presStyleLbl="sibTrans2D1" presStyleIdx="0" presStyleCnt="3"/>
      <dgm:spPr/>
    </dgm:pt>
    <dgm:pt modelId="{A377AE18-3484-4746-9191-5DBACAC0F708}" type="pres">
      <dgm:prSet presAssocID="{F8184C37-0A7F-4589-86D0-449BE2368A1F}" presName="node" presStyleLbl="node1" presStyleIdx="1" presStyleCnt="4">
        <dgm:presLayoutVars>
          <dgm:bulletEnabled val="1"/>
        </dgm:presLayoutVars>
      </dgm:prSet>
      <dgm:spPr/>
    </dgm:pt>
    <dgm:pt modelId="{9DF7A542-8627-4DA9-BA55-8A65B1A67DFB}" type="pres">
      <dgm:prSet presAssocID="{1FDBECEB-9902-4699-8CAE-002DDE9BF607}" presName="sibTrans" presStyleLbl="sibTrans2D1" presStyleIdx="1" presStyleCnt="3"/>
      <dgm:spPr/>
    </dgm:pt>
    <dgm:pt modelId="{06A45B86-111D-46CE-9D12-26E6FF59E486}" type="pres">
      <dgm:prSet presAssocID="{1FDBECEB-9902-4699-8CAE-002DDE9BF607}" presName="connectorText" presStyleLbl="sibTrans2D1" presStyleIdx="1" presStyleCnt="3"/>
      <dgm:spPr/>
    </dgm:pt>
    <dgm:pt modelId="{A375F0B2-A02A-4083-922D-0BEB67A3080F}" type="pres">
      <dgm:prSet presAssocID="{1C107707-63E9-4C21-A16F-0B9DB0040EB7}" presName="node" presStyleLbl="node1" presStyleIdx="2" presStyleCnt="4">
        <dgm:presLayoutVars>
          <dgm:bulletEnabled val="1"/>
        </dgm:presLayoutVars>
      </dgm:prSet>
      <dgm:spPr/>
    </dgm:pt>
    <dgm:pt modelId="{4CAD62DC-41DD-4695-AFB4-85DEFC02B426}" type="pres">
      <dgm:prSet presAssocID="{A7FDEB63-782C-40E3-AB79-6DFAA12F2B39}" presName="sibTrans" presStyleLbl="sibTrans2D1" presStyleIdx="2" presStyleCnt="3"/>
      <dgm:spPr/>
    </dgm:pt>
    <dgm:pt modelId="{DE1561AE-2CF3-4BC7-B43E-4BF930D873B8}" type="pres">
      <dgm:prSet presAssocID="{A7FDEB63-782C-40E3-AB79-6DFAA12F2B39}" presName="connectorText" presStyleLbl="sibTrans2D1" presStyleIdx="2" presStyleCnt="3"/>
      <dgm:spPr/>
    </dgm:pt>
    <dgm:pt modelId="{3DA9B5AE-C30A-48BA-9E31-42F9A80FAD9B}" type="pres">
      <dgm:prSet presAssocID="{5CD95670-6970-4A1B-A6E5-CCCB3EEBAC17}" presName="node" presStyleLbl="node1" presStyleIdx="3" presStyleCnt="4">
        <dgm:presLayoutVars>
          <dgm:bulletEnabled val="1"/>
        </dgm:presLayoutVars>
      </dgm:prSet>
      <dgm:spPr/>
    </dgm:pt>
  </dgm:ptLst>
  <dgm:cxnLst>
    <dgm:cxn modelId="{5A42BC00-3D82-46AB-A552-DC7F99737B9E}" srcId="{C0BFD4CE-52D6-43C6-A5D1-04BC80DCC513}" destId="{1C107707-63E9-4C21-A16F-0B9DB0040EB7}" srcOrd="2" destOrd="0" parTransId="{3E1FC085-5BEF-413A-A777-36AFD2448C3D}" sibTransId="{A7FDEB63-782C-40E3-AB79-6DFAA12F2B39}"/>
    <dgm:cxn modelId="{E5115306-018B-4095-91BE-AC072C506A9E}" srcId="{C0BFD4CE-52D6-43C6-A5D1-04BC80DCC513}" destId="{5CD95670-6970-4A1B-A6E5-CCCB3EEBAC17}" srcOrd="3" destOrd="0" parTransId="{454947D9-C14E-4412-8D60-0D1B888DC8AF}" sibTransId="{7438C178-F9FE-46E1-A93F-A787D087BDE4}"/>
    <dgm:cxn modelId="{B97F111A-A76A-433B-8F8A-637F0CF26C24}" type="presOf" srcId="{1FDBECEB-9902-4699-8CAE-002DDE9BF607}" destId="{9DF7A542-8627-4DA9-BA55-8A65B1A67DFB}" srcOrd="0" destOrd="0" presId="urn:microsoft.com/office/officeart/2005/8/layout/process1"/>
    <dgm:cxn modelId="{EFAB3463-EA1B-4669-9124-CF82DAA567E9}" type="presOf" srcId="{1FDBECEB-9902-4699-8CAE-002DDE9BF607}" destId="{06A45B86-111D-46CE-9D12-26E6FF59E486}" srcOrd="1" destOrd="0" presId="urn:microsoft.com/office/officeart/2005/8/layout/process1"/>
    <dgm:cxn modelId="{C5EBF84E-CC06-479C-804A-9D723B1FC922}" srcId="{C0BFD4CE-52D6-43C6-A5D1-04BC80DCC513}" destId="{F8184C37-0A7F-4589-86D0-449BE2368A1F}" srcOrd="1" destOrd="0" parTransId="{F6D477D4-AA50-4E59-80FA-56022B9B2BE9}" sibTransId="{1FDBECEB-9902-4699-8CAE-002DDE9BF607}"/>
    <dgm:cxn modelId="{4204E371-AF50-4489-B273-F20F227CDA6B}" type="presOf" srcId="{5CD95670-6970-4A1B-A6E5-CCCB3EEBAC17}" destId="{3DA9B5AE-C30A-48BA-9E31-42F9A80FAD9B}" srcOrd="0" destOrd="0" presId="urn:microsoft.com/office/officeart/2005/8/layout/process1"/>
    <dgm:cxn modelId="{0D7D357C-9FAA-482C-A9EC-7E0BA4E81807}" type="presOf" srcId="{F8184C37-0A7F-4589-86D0-449BE2368A1F}" destId="{A377AE18-3484-4746-9191-5DBACAC0F708}" srcOrd="0" destOrd="0" presId="urn:microsoft.com/office/officeart/2005/8/layout/process1"/>
    <dgm:cxn modelId="{696A3382-A137-4B93-A56F-435C17800CF7}" type="presOf" srcId="{C0BFD4CE-52D6-43C6-A5D1-04BC80DCC513}" destId="{322C2344-EBF9-4D16-8827-D006F12ECD21}" srcOrd="0" destOrd="0" presId="urn:microsoft.com/office/officeart/2005/8/layout/process1"/>
    <dgm:cxn modelId="{0BF30B92-EC3E-4ACC-889A-5B37B5CB3655}" type="presOf" srcId="{1C107707-63E9-4C21-A16F-0B9DB0040EB7}" destId="{A375F0B2-A02A-4083-922D-0BEB67A3080F}" srcOrd="0" destOrd="0" presId="urn:microsoft.com/office/officeart/2005/8/layout/process1"/>
    <dgm:cxn modelId="{21BFD0A9-F64A-4B4F-9B13-B893B64F8148}" type="presOf" srcId="{A7FDEB63-782C-40E3-AB79-6DFAA12F2B39}" destId="{4CAD62DC-41DD-4695-AFB4-85DEFC02B426}" srcOrd="0" destOrd="0" presId="urn:microsoft.com/office/officeart/2005/8/layout/process1"/>
    <dgm:cxn modelId="{FEBE0CBE-D3DB-4128-B054-529D959CA2D1}" srcId="{C0BFD4CE-52D6-43C6-A5D1-04BC80DCC513}" destId="{519C1AD7-F084-4E9D-8751-83A6E3747DC7}" srcOrd="0" destOrd="0" parTransId="{BE2E6B6E-86D6-4359-BAC5-452CD03FADA8}" sibTransId="{BA049F1F-743A-4F8F-900C-0A15593D68CC}"/>
    <dgm:cxn modelId="{96934FC7-A748-4156-BA6A-D7D4315E30D9}" type="presOf" srcId="{519C1AD7-F084-4E9D-8751-83A6E3747DC7}" destId="{35DA89DF-7065-4094-ADBE-B0E69E40CBD0}" srcOrd="0" destOrd="0" presId="urn:microsoft.com/office/officeart/2005/8/layout/process1"/>
    <dgm:cxn modelId="{8CA731CA-C0A3-42FA-A8B7-4D6EEF6A1726}" type="presOf" srcId="{A7FDEB63-782C-40E3-AB79-6DFAA12F2B39}" destId="{DE1561AE-2CF3-4BC7-B43E-4BF930D873B8}" srcOrd="1" destOrd="0" presId="urn:microsoft.com/office/officeart/2005/8/layout/process1"/>
    <dgm:cxn modelId="{28D45DE0-0A53-4C4E-BEB5-60B8CE94F562}" type="presOf" srcId="{BA049F1F-743A-4F8F-900C-0A15593D68CC}" destId="{D5362695-354A-4B4F-B503-6677FB65260E}" srcOrd="0" destOrd="0" presId="urn:microsoft.com/office/officeart/2005/8/layout/process1"/>
    <dgm:cxn modelId="{0EB912F8-517D-42AB-A257-379707672C36}" type="presOf" srcId="{BA049F1F-743A-4F8F-900C-0A15593D68CC}" destId="{008428F6-051E-4FA3-BC1F-8AE212DBAD32}" srcOrd="1" destOrd="0" presId="urn:microsoft.com/office/officeart/2005/8/layout/process1"/>
    <dgm:cxn modelId="{67C4337E-10F8-4D4A-868C-CE28E2D22314}" type="presParOf" srcId="{322C2344-EBF9-4D16-8827-D006F12ECD21}" destId="{35DA89DF-7065-4094-ADBE-B0E69E40CBD0}" srcOrd="0" destOrd="0" presId="urn:microsoft.com/office/officeart/2005/8/layout/process1"/>
    <dgm:cxn modelId="{83B1FB34-C391-4B1E-AE4A-AF41B91E08EB}" type="presParOf" srcId="{322C2344-EBF9-4D16-8827-D006F12ECD21}" destId="{D5362695-354A-4B4F-B503-6677FB65260E}" srcOrd="1" destOrd="0" presId="urn:microsoft.com/office/officeart/2005/8/layout/process1"/>
    <dgm:cxn modelId="{404B5FEE-7250-4595-B4F0-ACAB7509F8A9}" type="presParOf" srcId="{D5362695-354A-4B4F-B503-6677FB65260E}" destId="{008428F6-051E-4FA3-BC1F-8AE212DBAD32}" srcOrd="0" destOrd="0" presId="urn:microsoft.com/office/officeart/2005/8/layout/process1"/>
    <dgm:cxn modelId="{3C490E23-C129-4A7F-AC8B-8FD9AA342818}" type="presParOf" srcId="{322C2344-EBF9-4D16-8827-D006F12ECD21}" destId="{A377AE18-3484-4746-9191-5DBACAC0F708}" srcOrd="2" destOrd="0" presId="urn:microsoft.com/office/officeart/2005/8/layout/process1"/>
    <dgm:cxn modelId="{9319575F-331D-438D-BB84-74927A8617DC}" type="presParOf" srcId="{322C2344-EBF9-4D16-8827-D006F12ECD21}" destId="{9DF7A542-8627-4DA9-BA55-8A65B1A67DFB}" srcOrd="3" destOrd="0" presId="urn:microsoft.com/office/officeart/2005/8/layout/process1"/>
    <dgm:cxn modelId="{083ED9CB-0D18-44FC-AC86-ABDFCF8A2C3E}" type="presParOf" srcId="{9DF7A542-8627-4DA9-BA55-8A65B1A67DFB}" destId="{06A45B86-111D-46CE-9D12-26E6FF59E486}" srcOrd="0" destOrd="0" presId="urn:microsoft.com/office/officeart/2005/8/layout/process1"/>
    <dgm:cxn modelId="{640FEE69-EC3C-4DF5-82CD-E82271EC3DAF}" type="presParOf" srcId="{322C2344-EBF9-4D16-8827-D006F12ECD21}" destId="{A375F0B2-A02A-4083-922D-0BEB67A3080F}" srcOrd="4" destOrd="0" presId="urn:microsoft.com/office/officeart/2005/8/layout/process1"/>
    <dgm:cxn modelId="{BF9AB2E9-C0C5-4F56-AF63-ED1E55647D1D}" type="presParOf" srcId="{322C2344-EBF9-4D16-8827-D006F12ECD21}" destId="{4CAD62DC-41DD-4695-AFB4-85DEFC02B426}" srcOrd="5" destOrd="0" presId="urn:microsoft.com/office/officeart/2005/8/layout/process1"/>
    <dgm:cxn modelId="{83C12ECE-AD72-4235-802C-F6EA41B6E935}" type="presParOf" srcId="{4CAD62DC-41DD-4695-AFB4-85DEFC02B426}" destId="{DE1561AE-2CF3-4BC7-B43E-4BF930D873B8}" srcOrd="0" destOrd="0" presId="urn:microsoft.com/office/officeart/2005/8/layout/process1"/>
    <dgm:cxn modelId="{2B3D0367-DABD-4CC7-B447-7BDC4C79BE07}" type="presParOf" srcId="{322C2344-EBF9-4D16-8827-D006F12ECD21}" destId="{3DA9B5AE-C30A-48BA-9E31-42F9A80FAD9B}" srcOrd="6" destOrd="0" presId="urn:microsoft.com/office/officeart/2005/8/layout/process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A89DF-7065-4094-ADBE-B0E69E40CBD0}">
      <dsp:nvSpPr>
        <dsp:cNvPr id="0" name=""/>
        <dsp:cNvSpPr/>
      </dsp:nvSpPr>
      <dsp:spPr>
        <a:xfrm>
          <a:off x="2411" y="103232"/>
          <a:ext cx="1054149" cy="89932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Selección de actividades y obras elegibles</a:t>
          </a:r>
        </a:p>
      </dsp:txBody>
      <dsp:txXfrm>
        <a:off x="28751" y="129572"/>
        <a:ext cx="1001469" cy="846641"/>
      </dsp:txXfrm>
    </dsp:sp>
    <dsp:sp modelId="{D5362695-354A-4B4F-B503-6677FB65260E}">
      <dsp:nvSpPr>
        <dsp:cNvPr id="0" name=""/>
        <dsp:cNvSpPr/>
      </dsp:nvSpPr>
      <dsp:spPr>
        <a:xfrm>
          <a:off x="1161975" y="422178"/>
          <a:ext cx="223479" cy="261429"/>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1161975" y="474464"/>
        <a:ext cx="156435" cy="156857"/>
      </dsp:txXfrm>
    </dsp:sp>
    <dsp:sp modelId="{A377AE18-3484-4746-9191-5DBACAC0F708}">
      <dsp:nvSpPr>
        <dsp:cNvPr id="0" name=""/>
        <dsp:cNvSpPr/>
      </dsp:nvSpPr>
      <dsp:spPr>
        <a:xfrm>
          <a:off x="1478220" y="103232"/>
          <a:ext cx="1054149" cy="89932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Aprobación UCP</a:t>
          </a:r>
        </a:p>
      </dsp:txBody>
      <dsp:txXfrm>
        <a:off x="1504560" y="129572"/>
        <a:ext cx="1001469" cy="846641"/>
      </dsp:txXfrm>
    </dsp:sp>
    <dsp:sp modelId="{9DF7A542-8627-4DA9-BA55-8A65B1A67DFB}">
      <dsp:nvSpPr>
        <dsp:cNvPr id="0" name=""/>
        <dsp:cNvSpPr/>
      </dsp:nvSpPr>
      <dsp:spPr>
        <a:xfrm>
          <a:off x="2637785" y="422178"/>
          <a:ext cx="223479" cy="261429"/>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637785" y="474464"/>
        <a:ext cx="156435" cy="156857"/>
      </dsp:txXfrm>
    </dsp:sp>
    <dsp:sp modelId="{A375F0B2-A02A-4083-922D-0BEB67A3080F}">
      <dsp:nvSpPr>
        <dsp:cNvPr id="0" name=""/>
        <dsp:cNvSpPr/>
      </dsp:nvSpPr>
      <dsp:spPr>
        <a:xfrm>
          <a:off x="2954029" y="103232"/>
          <a:ext cx="1054149" cy="89932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No Objeción BID</a:t>
          </a:r>
        </a:p>
      </dsp:txBody>
      <dsp:txXfrm>
        <a:off x="2980369" y="129572"/>
        <a:ext cx="1001469" cy="846641"/>
      </dsp:txXfrm>
    </dsp:sp>
    <dsp:sp modelId="{4CAD62DC-41DD-4695-AFB4-85DEFC02B426}">
      <dsp:nvSpPr>
        <dsp:cNvPr id="0" name=""/>
        <dsp:cNvSpPr/>
      </dsp:nvSpPr>
      <dsp:spPr>
        <a:xfrm>
          <a:off x="4113594" y="422178"/>
          <a:ext cx="223479" cy="261429"/>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113594" y="474464"/>
        <a:ext cx="156435" cy="156857"/>
      </dsp:txXfrm>
    </dsp:sp>
    <dsp:sp modelId="{3DA9B5AE-C30A-48BA-9E31-42F9A80FAD9B}">
      <dsp:nvSpPr>
        <dsp:cNvPr id="0" name=""/>
        <dsp:cNvSpPr/>
      </dsp:nvSpPr>
      <dsp:spPr>
        <a:xfrm>
          <a:off x="4429839" y="103232"/>
          <a:ext cx="1054149" cy="89932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Ejecución</a:t>
          </a:r>
        </a:p>
      </dsp:txBody>
      <dsp:txXfrm>
        <a:off x="4456179" y="129572"/>
        <a:ext cx="1001469" cy="84664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2A717B9A16FA4EA4772A231C19F95E" ma:contentTypeVersion="31" ma:contentTypeDescription="A content type to manage public (operations) IDB documents" ma:contentTypeScope="" ma:versionID="0a4d4bf0bc638ca9cc26f83f83ad4dae">
  <xsd:schema xmlns:xsd="http://www.w3.org/2001/XMLSchema" xmlns:xs="http://www.w3.org/2001/XMLSchema" xmlns:p="http://schemas.microsoft.com/office/2006/metadata/properties" xmlns:ns2="cdc7663a-08f0-4737-9e8c-148ce897a09c" targetNamespace="http://schemas.microsoft.com/office/2006/metadata/properties" ma:root="true" ma:fieldsID="faa64673523dd73fea515b2aea494c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Emilio Pineda</Other_x0020_Author>
    <Migration_x0020_Info xmlns="cdc7663a-08f0-4737-9e8c-148ce897a09c" xsi:nil="true"/>
    <Approval_x0020_Number xmlns="cdc7663a-08f0-4737-9e8c-148ce897a09c" xsi:nil="true"/>
    <Phase xmlns="cdc7663a-08f0-4737-9e8c-148ce897a09c">ACTIVE</Phase>
    <Document_x0020_Author xmlns="cdc7663a-08f0-4737-9e8c-148ce897a09c">Canillas Gomez, Mariana Belen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2a848641-6d37-4d5e-b2b0-f391eeec3133</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228</Value>
      <Value>4</Value>
      <Value>36</Value>
      <Value>8</Value>
      <Value>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AR-L1282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R0002076434</Record_x0020_Number>
    <_dlc_DocId xmlns="cdc7663a-08f0-4737-9e8c-148ce897a09c">EZSHARE-352664517-56</_dlc_DocId>
    <_dlc_DocIdUrl xmlns="cdc7663a-08f0-4737-9e8c-148ce897a09c">
      <Url>https://idbg.sharepoint.com/teams/EZ-AR-LON/AR-L1282/_layouts/15/DocIdRedir.aspx?ID=EZSHARE-352664517-56</Url>
      <Description>EZSHARE-352664517-56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FEDB013-07F1-46E4-974C-9C1A063EF18B}"/>
</file>

<file path=customXml/itemProps2.xml><?xml version="1.0" encoding="utf-8"?>
<ds:datastoreItem xmlns:ds="http://schemas.openxmlformats.org/officeDocument/2006/customXml" ds:itemID="{DBB835A6-306E-4755-AC7D-A8B4EDE644C4}"/>
</file>

<file path=customXml/itemProps3.xml><?xml version="1.0" encoding="utf-8"?>
<ds:datastoreItem xmlns:ds="http://schemas.openxmlformats.org/officeDocument/2006/customXml" ds:itemID="{37B7D2AC-7932-4F69-B589-DE8909A506C8}"/>
</file>

<file path=customXml/itemProps4.xml><?xml version="1.0" encoding="utf-8"?>
<ds:datastoreItem xmlns:ds="http://schemas.openxmlformats.org/officeDocument/2006/customXml" ds:itemID="{06AE6C59-7C3F-47BD-B504-7F188A7C2A17}"/>
</file>

<file path=customXml/itemProps5.xml><?xml version="1.0" encoding="utf-8"?>
<ds:datastoreItem xmlns:ds="http://schemas.openxmlformats.org/officeDocument/2006/customXml" ds:itemID="{3D8CEB60-0D5B-44DF-8591-BBE986620EA8}"/>
</file>

<file path=customXml/itemProps6.xml><?xml version="1.0" encoding="utf-8"?>
<ds:datastoreItem xmlns:ds="http://schemas.openxmlformats.org/officeDocument/2006/customXml" ds:itemID="{13CCA334-E8F6-4659-B514-FDC1D40C20D1}"/>
</file>

<file path=docProps/app.xml><?xml version="1.0" encoding="utf-8"?>
<Properties xmlns="http://schemas.openxmlformats.org/officeDocument/2006/extended-properties" xmlns:vt="http://schemas.openxmlformats.org/officeDocument/2006/docPropsVTypes">
  <Template>Normal.dotm</Template>
  <TotalTime>1</TotalTime>
  <Pages>25</Pages>
  <Words>8400</Words>
  <Characters>46205</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Canillas Gomez, Mariana Belen</cp:lastModifiedBy>
  <cp:revision>2</cp:revision>
  <dcterms:created xsi:type="dcterms:W3CDTF">2018-02-28T19:25:00Z</dcterms:created>
  <dcterms:modified xsi:type="dcterms:W3CDTF">2018-02-28T19:34:00Z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8;#Monitoring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228;#REFORM / MODERNIZATION OF THE STATE|2a848641-6d37-4d5e-b2b0-f391eeec3133</vt:lpwstr>
  </property>
  <property fmtid="{D5CDD505-2E9C-101B-9397-08002B2CF9AE}" pid="8" name="Fund IDB">
    <vt:lpwstr>4;#ORC|c028a4b2-ad8b-4cf4-9cac-a2ae6a778e23</vt:lpwstr>
  </property>
  <property fmtid="{D5CDD505-2E9C-101B-9397-08002B2CF9AE}" pid="9" name="Country">
    <vt:lpwstr>5;#Argentina|eb1b705c-195f-4c3b-9661-b201f2fee3c5</vt:lpwstr>
  </property>
  <property fmtid="{D5CDD505-2E9C-101B-9397-08002B2CF9AE}" pid="10" name="Sector IDB">
    <vt:lpwstr>36;#REFORM / MODERNIZATION OF THE STATE|c8fda4a7-691a-4c65-b227-9825197b5cd2</vt:lpwstr>
  </property>
  <property fmtid="{D5CDD505-2E9C-101B-9397-08002B2CF9AE}" pid="11" name="_dlc_DocIdItemGuid">
    <vt:lpwstr>0db77643-a622-4c10-9e2f-e692ca980d59</vt:lpwstr>
  </property>
  <property fmtid="{D5CDD505-2E9C-101B-9397-08002B2CF9AE}" pid="12" name="Disclosure Activity">
    <vt:lpwstr>Loan Proposal</vt:lpwstr>
  </property>
  <property fmtid="{D5CDD505-2E9C-101B-9397-08002B2CF9AE}" pid="13" name="ContentTypeId">
    <vt:lpwstr>0x0101001A458A224826124E8B45B1D613300CFC006A2A717B9A16FA4EA4772A231C19F95E</vt:lpwstr>
  </property>
</Properties>
</file>