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013DB0" w14:textId="7BE97B9B" w:rsidR="006F42C9" w:rsidRPr="00B94100" w:rsidRDefault="00B94100" w:rsidP="006F42C9">
      <w:pPr>
        <w:jc w:val="center"/>
        <w:rPr>
          <w:rFonts w:ascii="Arial" w:hAnsi="Arial" w:cs="Arial"/>
          <w:smallCaps/>
          <w:lang w:val="es-ES_tradnl"/>
        </w:rPr>
      </w:pPr>
      <w:r w:rsidRPr="00B94100">
        <w:rPr>
          <w:rFonts w:ascii="Arial" w:hAnsi="Arial" w:cs="Arial"/>
          <w:smallCaps/>
          <w:lang w:val="es-ES_tradnl"/>
        </w:rPr>
        <w:t>Documento del Banco Interamericano de Desarrollo</w:t>
      </w:r>
    </w:p>
    <w:p w14:paraId="5FA842DB" w14:textId="77777777" w:rsidR="006F42C9" w:rsidRPr="00B94100" w:rsidRDefault="006F42C9" w:rsidP="006F42C9">
      <w:pPr>
        <w:jc w:val="center"/>
        <w:rPr>
          <w:rFonts w:ascii="Arial" w:hAnsi="Arial" w:cs="Arial"/>
          <w:lang w:val="es-ES_tradnl"/>
        </w:rPr>
      </w:pPr>
    </w:p>
    <w:p w14:paraId="5519B50F" w14:textId="77777777" w:rsidR="006F42C9" w:rsidRPr="00B94100" w:rsidRDefault="006F42C9" w:rsidP="006F42C9">
      <w:pPr>
        <w:jc w:val="center"/>
        <w:rPr>
          <w:rFonts w:ascii="Arial" w:hAnsi="Arial" w:cs="Arial"/>
          <w:lang w:val="es-ES_tradnl"/>
        </w:rPr>
      </w:pPr>
    </w:p>
    <w:p w14:paraId="5643D0B2" w14:textId="77777777" w:rsidR="006F42C9" w:rsidRPr="00B94100" w:rsidRDefault="006F42C9" w:rsidP="006F42C9">
      <w:pPr>
        <w:jc w:val="center"/>
        <w:rPr>
          <w:rFonts w:ascii="Arial" w:hAnsi="Arial" w:cs="Arial"/>
          <w:b/>
          <w:smallCaps/>
          <w:szCs w:val="24"/>
          <w:lang w:val="es-ES_tradnl"/>
        </w:rPr>
      </w:pPr>
    </w:p>
    <w:p w14:paraId="02AA2B1D" w14:textId="4049A1C5" w:rsidR="006F42C9" w:rsidRPr="00E83B32" w:rsidRDefault="00EC36F0" w:rsidP="006F42C9">
      <w:pPr>
        <w:jc w:val="center"/>
        <w:rPr>
          <w:rFonts w:ascii="Arial" w:hAnsi="Arial" w:cs="Arial"/>
          <w:b/>
          <w:smallCaps/>
          <w:szCs w:val="24"/>
          <w:lang w:val="es-ES_tradnl"/>
        </w:rPr>
      </w:pPr>
      <w:r w:rsidRPr="00E83B32">
        <w:rPr>
          <w:rFonts w:ascii="Arial" w:hAnsi="Arial" w:cs="Arial"/>
          <w:b/>
          <w:smallCaps/>
          <w:sz w:val="28"/>
          <w:szCs w:val="24"/>
          <w:lang w:val="es-ES_tradnl"/>
        </w:rPr>
        <w:t>Paraguay</w:t>
      </w:r>
    </w:p>
    <w:p w14:paraId="5544A0F8" w14:textId="77777777" w:rsidR="006F42C9" w:rsidRPr="00E83B32" w:rsidRDefault="006F42C9" w:rsidP="006F42C9">
      <w:pPr>
        <w:jc w:val="center"/>
        <w:rPr>
          <w:rFonts w:ascii="Arial" w:hAnsi="Arial" w:cs="Arial"/>
          <w:b/>
          <w:smallCaps/>
          <w:szCs w:val="24"/>
          <w:lang w:val="es-ES_tradnl"/>
        </w:rPr>
      </w:pPr>
    </w:p>
    <w:p w14:paraId="44E03518" w14:textId="77777777" w:rsidR="006F42C9" w:rsidRPr="00E83B32" w:rsidRDefault="006F42C9" w:rsidP="006F42C9">
      <w:pPr>
        <w:jc w:val="center"/>
        <w:rPr>
          <w:rFonts w:ascii="Arial" w:hAnsi="Arial" w:cs="Arial"/>
          <w:b/>
          <w:smallCaps/>
          <w:szCs w:val="24"/>
          <w:lang w:val="es-ES_tradnl"/>
        </w:rPr>
      </w:pPr>
    </w:p>
    <w:p w14:paraId="6861B2E2" w14:textId="77777777" w:rsidR="006F42C9" w:rsidRPr="00E83B32" w:rsidRDefault="006F42C9" w:rsidP="006F42C9">
      <w:pPr>
        <w:jc w:val="center"/>
        <w:rPr>
          <w:rFonts w:ascii="Arial" w:hAnsi="Arial" w:cs="Arial"/>
          <w:b/>
          <w:smallCaps/>
          <w:szCs w:val="24"/>
          <w:lang w:val="es-ES_tradnl"/>
        </w:rPr>
      </w:pPr>
    </w:p>
    <w:p w14:paraId="071867CA" w14:textId="071FF57D" w:rsidR="004633EB" w:rsidRPr="00B94100" w:rsidRDefault="00B94100" w:rsidP="004E1243">
      <w:pPr>
        <w:jc w:val="center"/>
        <w:rPr>
          <w:rFonts w:ascii="Arial" w:hAnsi="Arial" w:cs="Arial"/>
          <w:b/>
          <w:smallCaps/>
          <w:sz w:val="28"/>
          <w:szCs w:val="24"/>
          <w:lang w:val="es-ES_tradnl"/>
        </w:rPr>
      </w:pPr>
      <w:r w:rsidRPr="00B94100">
        <w:rPr>
          <w:rFonts w:ascii="Arial" w:hAnsi="Arial" w:cs="Arial"/>
          <w:b/>
          <w:smallCaps/>
          <w:sz w:val="28"/>
          <w:szCs w:val="24"/>
          <w:lang w:val="es-ES_tradnl"/>
        </w:rPr>
        <w:t>PROGRAMA DE REHABILITACIÓN Y MODERNIZACIÓN DE LA</w:t>
      </w:r>
    </w:p>
    <w:p w14:paraId="7019767A" w14:textId="43BC48C9" w:rsidR="00B94100" w:rsidRPr="00E83B32" w:rsidRDefault="00B94100" w:rsidP="004E1243">
      <w:pPr>
        <w:jc w:val="center"/>
        <w:rPr>
          <w:rFonts w:ascii="Arial" w:hAnsi="Arial" w:cs="Arial"/>
          <w:b/>
          <w:smallCaps/>
          <w:sz w:val="28"/>
          <w:szCs w:val="24"/>
          <w:lang w:val="pt-BR"/>
        </w:rPr>
      </w:pPr>
      <w:r w:rsidRPr="00E83B32">
        <w:rPr>
          <w:rFonts w:ascii="Arial" w:hAnsi="Arial" w:cs="Arial"/>
          <w:b/>
          <w:smallCaps/>
          <w:sz w:val="28"/>
          <w:szCs w:val="24"/>
          <w:lang w:val="pt-BR"/>
        </w:rPr>
        <w:t>CENTRAL HIDROELÉCTRICA ACARAY (RM-CHA)</w:t>
      </w:r>
    </w:p>
    <w:p w14:paraId="4E526222" w14:textId="77777777" w:rsidR="006F42C9" w:rsidRPr="00E83B32" w:rsidRDefault="006F42C9" w:rsidP="006F42C9">
      <w:pPr>
        <w:jc w:val="center"/>
        <w:rPr>
          <w:rFonts w:ascii="Arial" w:hAnsi="Arial" w:cs="Arial"/>
          <w:b/>
          <w:smallCaps/>
          <w:szCs w:val="24"/>
          <w:lang w:val="pt-BR"/>
        </w:rPr>
      </w:pPr>
    </w:p>
    <w:p w14:paraId="498BA391" w14:textId="77777777" w:rsidR="006F42C9" w:rsidRPr="00E83B32" w:rsidRDefault="006F42C9" w:rsidP="006F42C9">
      <w:pPr>
        <w:jc w:val="center"/>
        <w:rPr>
          <w:rFonts w:ascii="Arial" w:hAnsi="Arial" w:cs="Arial"/>
          <w:b/>
          <w:smallCaps/>
          <w:szCs w:val="24"/>
          <w:lang w:val="pt-BR"/>
        </w:rPr>
      </w:pPr>
    </w:p>
    <w:p w14:paraId="0D0EDD20" w14:textId="386098E5" w:rsidR="006F42C9" w:rsidRPr="00E83B32" w:rsidRDefault="006F42C9" w:rsidP="006F42C9">
      <w:pPr>
        <w:jc w:val="center"/>
        <w:rPr>
          <w:rFonts w:ascii="Arial" w:hAnsi="Arial" w:cs="Arial"/>
          <w:b/>
          <w:smallCaps/>
          <w:sz w:val="28"/>
          <w:szCs w:val="24"/>
          <w:lang w:val="pt-BR"/>
        </w:rPr>
      </w:pPr>
      <w:bookmarkStart w:id="0" w:name="Text7"/>
      <w:r w:rsidRPr="00E83B32">
        <w:rPr>
          <w:rFonts w:ascii="Arial" w:hAnsi="Arial" w:cs="Arial"/>
          <w:b/>
          <w:smallCaps/>
          <w:sz w:val="28"/>
          <w:szCs w:val="24"/>
          <w:lang w:val="pt-BR"/>
        </w:rPr>
        <w:t>(</w:t>
      </w:r>
      <w:bookmarkEnd w:id="0"/>
      <w:r w:rsidR="00EC36F0" w:rsidRPr="00E83B32">
        <w:rPr>
          <w:rFonts w:ascii="Arial" w:hAnsi="Arial" w:cs="Arial"/>
          <w:b/>
          <w:smallCaps/>
          <w:sz w:val="28"/>
          <w:szCs w:val="24"/>
          <w:lang w:val="pt-BR"/>
        </w:rPr>
        <w:t>PR-L1156</w:t>
      </w:r>
      <w:r w:rsidRPr="00E83B32">
        <w:rPr>
          <w:rFonts w:ascii="Arial" w:hAnsi="Arial" w:cs="Arial"/>
          <w:b/>
          <w:smallCaps/>
          <w:sz w:val="28"/>
          <w:szCs w:val="24"/>
          <w:lang w:val="pt-BR"/>
        </w:rPr>
        <w:t>)</w:t>
      </w:r>
    </w:p>
    <w:p w14:paraId="0E45DA3D" w14:textId="77777777" w:rsidR="006F42C9" w:rsidRPr="00E83B32" w:rsidRDefault="006F42C9" w:rsidP="006F42C9">
      <w:pPr>
        <w:jc w:val="center"/>
        <w:rPr>
          <w:rFonts w:ascii="Arial" w:hAnsi="Arial" w:cs="Arial"/>
          <w:lang w:val="pt-BR"/>
        </w:rPr>
      </w:pPr>
    </w:p>
    <w:p w14:paraId="28D1FFD2" w14:textId="77777777" w:rsidR="006F42C9" w:rsidRPr="00E83B32" w:rsidRDefault="006F42C9" w:rsidP="006F42C9">
      <w:pPr>
        <w:jc w:val="center"/>
        <w:rPr>
          <w:rFonts w:ascii="Arial" w:hAnsi="Arial" w:cs="Arial"/>
          <w:lang w:val="pt-BR"/>
        </w:rPr>
      </w:pPr>
    </w:p>
    <w:p w14:paraId="1B4FF4D5" w14:textId="77777777" w:rsidR="006F42C9" w:rsidRPr="00E83B32" w:rsidRDefault="006F42C9" w:rsidP="006F42C9">
      <w:pPr>
        <w:jc w:val="center"/>
        <w:rPr>
          <w:rFonts w:ascii="Arial" w:hAnsi="Arial" w:cs="Arial"/>
          <w:lang w:val="pt-BR"/>
        </w:rPr>
      </w:pPr>
    </w:p>
    <w:p w14:paraId="6570452D" w14:textId="77777777" w:rsidR="006F42C9" w:rsidRPr="00E83B32" w:rsidRDefault="006F42C9" w:rsidP="006F42C9">
      <w:pPr>
        <w:jc w:val="center"/>
        <w:rPr>
          <w:rFonts w:ascii="Arial" w:hAnsi="Arial" w:cs="Arial"/>
          <w:lang w:val="pt-BR"/>
        </w:rPr>
      </w:pPr>
    </w:p>
    <w:p w14:paraId="1F1AB939" w14:textId="267D4D31" w:rsidR="004633EB" w:rsidRPr="00E83B32" w:rsidRDefault="00B94100" w:rsidP="004633EB">
      <w:pPr>
        <w:tabs>
          <w:tab w:val="left" w:pos="3060"/>
        </w:tabs>
        <w:spacing w:after="0" w:line="240" w:lineRule="auto"/>
        <w:jc w:val="center"/>
        <w:rPr>
          <w:rFonts w:ascii="Arial" w:eastAsia="Times New Roman" w:hAnsi="Arial" w:cs="Arial"/>
          <w:b/>
          <w:smallCaps/>
          <w:color w:val="auto"/>
          <w:szCs w:val="24"/>
          <w:lang w:val="es-ES_tradnl"/>
        </w:rPr>
      </w:pPr>
      <w:r w:rsidRPr="00E83B32">
        <w:rPr>
          <w:rFonts w:ascii="Arial" w:eastAsia="Times New Roman" w:hAnsi="Arial" w:cs="Arial"/>
          <w:b/>
          <w:smallCaps/>
          <w:color w:val="auto"/>
          <w:szCs w:val="24"/>
          <w:lang w:val="es-ES_tradnl"/>
        </w:rPr>
        <w:t>Política de Servicios Públicos Domiciliarios</w:t>
      </w:r>
    </w:p>
    <w:p w14:paraId="5F408C6F" w14:textId="77777777" w:rsidR="00941F61" w:rsidRPr="00E83B32" w:rsidRDefault="003235C2" w:rsidP="004633EB">
      <w:pPr>
        <w:pStyle w:val="Newpage"/>
        <w:rPr>
          <w:rFonts w:ascii="Arial" w:hAnsi="Arial"/>
          <w:b w:val="0"/>
          <w:caps/>
          <w:smallCaps w:val="0"/>
          <w:sz w:val="22"/>
          <w:szCs w:val="22"/>
          <w:lang w:val="es-ES_tradnl"/>
        </w:rPr>
      </w:pPr>
      <w:r w:rsidRPr="00E83B32">
        <w:rPr>
          <w:rFonts w:ascii="Arial" w:eastAsiaTheme="minorHAnsi" w:hAnsi="Arial"/>
          <w:szCs w:val="24"/>
          <w:lang w:val="es-ES_tradnl"/>
        </w:rPr>
        <w:t>(PUP)</w:t>
      </w:r>
    </w:p>
    <w:p w14:paraId="4A58582A" w14:textId="77777777" w:rsidR="00941F61" w:rsidRPr="00E83B32" w:rsidRDefault="00941F61" w:rsidP="00941F61">
      <w:pPr>
        <w:tabs>
          <w:tab w:val="left" w:pos="1440"/>
          <w:tab w:val="left" w:pos="3060"/>
        </w:tabs>
        <w:jc w:val="center"/>
        <w:rPr>
          <w:rFonts w:ascii="Arial" w:hAnsi="Arial" w:cs="Arial"/>
          <w:lang w:val="es-ES_tradnl"/>
        </w:rPr>
      </w:pPr>
    </w:p>
    <w:p w14:paraId="3A3B14EE" w14:textId="77777777" w:rsidR="004E1243" w:rsidRPr="00E83B32" w:rsidRDefault="004E1243" w:rsidP="00941F61">
      <w:pPr>
        <w:tabs>
          <w:tab w:val="left" w:pos="1440"/>
          <w:tab w:val="left" w:pos="3060"/>
        </w:tabs>
        <w:jc w:val="center"/>
        <w:rPr>
          <w:rFonts w:ascii="Arial" w:hAnsi="Arial" w:cs="Arial"/>
          <w:lang w:val="es-ES_tradnl"/>
        </w:rPr>
      </w:pPr>
    </w:p>
    <w:p w14:paraId="079EC7DB" w14:textId="77777777" w:rsidR="004E1243" w:rsidRPr="00E83B32" w:rsidRDefault="004E1243" w:rsidP="00941F61">
      <w:pPr>
        <w:tabs>
          <w:tab w:val="left" w:pos="1440"/>
          <w:tab w:val="left" w:pos="3060"/>
        </w:tabs>
        <w:jc w:val="center"/>
        <w:rPr>
          <w:rFonts w:ascii="Arial" w:hAnsi="Arial" w:cs="Arial"/>
          <w:lang w:val="es-ES_tradnl"/>
        </w:rPr>
      </w:pPr>
    </w:p>
    <w:p w14:paraId="7165C46B" w14:textId="77777777" w:rsidR="003235C2" w:rsidRPr="00E83B32" w:rsidRDefault="003235C2" w:rsidP="00941F61">
      <w:pPr>
        <w:tabs>
          <w:tab w:val="left" w:pos="1440"/>
          <w:tab w:val="left" w:pos="3060"/>
        </w:tabs>
        <w:jc w:val="center"/>
        <w:rPr>
          <w:rFonts w:ascii="Arial" w:hAnsi="Arial" w:cs="Arial"/>
          <w:lang w:val="es-ES_tradnl"/>
        </w:rPr>
      </w:pPr>
    </w:p>
    <w:p w14:paraId="682D2EFC" w14:textId="77777777" w:rsidR="004E1243" w:rsidRPr="00E83B32" w:rsidRDefault="004E1243" w:rsidP="00941F61">
      <w:pPr>
        <w:tabs>
          <w:tab w:val="left" w:pos="1440"/>
          <w:tab w:val="left" w:pos="3060"/>
        </w:tabs>
        <w:jc w:val="center"/>
        <w:rPr>
          <w:rFonts w:ascii="Arial" w:hAnsi="Arial" w:cs="Arial"/>
          <w:lang w:val="es-ES_tradnl"/>
        </w:rPr>
      </w:pPr>
    </w:p>
    <w:p w14:paraId="7BEAA437" w14:textId="4221ABED" w:rsidR="00941F61" w:rsidRPr="00B94100" w:rsidRDefault="00B94100" w:rsidP="006F42C9">
      <w:pPr>
        <w:pBdr>
          <w:top w:val="single" w:sz="4" w:space="1" w:color="auto"/>
          <w:left w:val="single" w:sz="4" w:space="4" w:color="auto"/>
          <w:bottom w:val="single" w:sz="4" w:space="1" w:color="auto"/>
          <w:right w:val="single" w:sz="4" w:space="4" w:color="auto"/>
        </w:pBdr>
        <w:rPr>
          <w:rFonts w:ascii="Arial" w:hAnsi="Arial" w:cs="Arial"/>
          <w:b/>
          <w:lang w:val="es-ES_tradnl"/>
        </w:rPr>
      </w:pPr>
      <w:r w:rsidRPr="00B94100">
        <w:rPr>
          <w:rFonts w:ascii="Arial" w:hAnsi="Arial" w:cs="Arial"/>
          <w:sz w:val="20"/>
          <w:lang w:val="es-ES_tradnl"/>
        </w:rPr>
        <w:t>Este documento fue elaborado por:</w:t>
      </w:r>
      <w:r w:rsidR="006F42C9" w:rsidRPr="00B94100">
        <w:rPr>
          <w:rFonts w:ascii="Arial" w:hAnsi="Arial" w:cs="Arial"/>
          <w:sz w:val="20"/>
          <w:lang w:val="es-ES_tradnl"/>
        </w:rPr>
        <w:t xml:space="preserve"> </w:t>
      </w:r>
      <w:r w:rsidRPr="00B94100">
        <w:rPr>
          <w:rFonts w:ascii="Arial" w:hAnsi="Arial" w:cs="Arial"/>
          <w:sz w:val="20"/>
          <w:lang w:val="es-ES_tradnl"/>
        </w:rPr>
        <w:t>Equipo de proyecto del BID.</w:t>
      </w:r>
    </w:p>
    <w:p w14:paraId="73AAC8BD" w14:textId="77777777" w:rsidR="00DE6A03" w:rsidRPr="00B94100" w:rsidRDefault="00941F61" w:rsidP="00F94887">
      <w:pPr>
        <w:spacing w:line="240" w:lineRule="auto"/>
        <w:jc w:val="both"/>
        <w:rPr>
          <w:rFonts w:ascii="Arial" w:hAnsi="Arial" w:cs="Arial"/>
          <w:b/>
          <w:lang w:val="es-ES_tradnl"/>
        </w:rPr>
      </w:pPr>
      <w:r w:rsidRPr="00B94100">
        <w:rPr>
          <w:rFonts w:ascii="Arial" w:hAnsi="Arial" w:cs="Arial"/>
          <w:b/>
          <w:lang w:val="es-ES_tradnl"/>
        </w:rPr>
        <w:br w:type="page"/>
      </w:r>
    </w:p>
    <w:p w14:paraId="5FE021A2" w14:textId="77777777" w:rsidR="008B548C" w:rsidRDefault="008B548C" w:rsidP="004633EB">
      <w:pPr>
        <w:tabs>
          <w:tab w:val="left" w:pos="3060"/>
        </w:tabs>
        <w:spacing w:after="0" w:line="240" w:lineRule="auto"/>
        <w:jc w:val="center"/>
        <w:rPr>
          <w:rFonts w:ascii="Arial" w:eastAsia="Times New Roman" w:hAnsi="Arial" w:cs="Arial"/>
          <w:b/>
          <w:bCs/>
          <w:smallCaps/>
          <w:color w:val="auto"/>
          <w:szCs w:val="24"/>
          <w:lang w:val="es-ES_tradnl"/>
        </w:rPr>
      </w:pPr>
      <w:r w:rsidRPr="008B548C">
        <w:rPr>
          <w:rFonts w:ascii="Arial" w:eastAsia="Times New Roman" w:hAnsi="Arial" w:cs="Arial"/>
          <w:b/>
          <w:bCs/>
          <w:smallCaps/>
          <w:color w:val="auto"/>
          <w:szCs w:val="24"/>
          <w:lang w:val="es-ES_tradnl"/>
        </w:rPr>
        <w:lastRenderedPageBreak/>
        <w:t>Programa de Rehabilitación y Modernización de la</w:t>
      </w:r>
    </w:p>
    <w:p w14:paraId="79E3F71D" w14:textId="627A1B38" w:rsidR="004633EB" w:rsidRPr="00E83B32" w:rsidRDefault="008B548C" w:rsidP="004633EB">
      <w:pPr>
        <w:tabs>
          <w:tab w:val="left" w:pos="3060"/>
        </w:tabs>
        <w:spacing w:after="0" w:line="240" w:lineRule="auto"/>
        <w:jc w:val="center"/>
        <w:rPr>
          <w:rFonts w:ascii="Arial" w:eastAsia="Times New Roman" w:hAnsi="Arial" w:cs="Arial"/>
          <w:b/>
          <w:bCs/>
          <w:smallCaps/>
          <w:color w:val="auto"/>
          <w:szCs w:val="24"/>
          <w:lang w:val="pt-BR"/>
        </w:rPr>
      </w:pPr>
      <w:r w:rsidRPr="00E83B32">
        <w:rPr>
          <w:rFonts w:ascii="Arial" w:eastAsia="Times New Roman" w:hAnsi="Arial" w:cs="Arial"/>
          <w:b/>
          <w:bCs/>
          <w:smallCaps/>
          <w:color w:val="auto"/>
          <w:szCs w:val="24"/>
          <w:lang w:val="pt-BR"/>
        </w:rPr>
        <w:t>Central Hidroeléctrica Acaray (RM-CHA)</w:t>
      </w:r>
    </w:p>
    <w:p w14:paraId="398C0880" w14:textId="1E7EA1ED" w:rsidR="004633EB" w:rsidRPr="00E83B32" w:rsidRDefault="00EC36F0" w:rsidP="004633EB">
      <w:pPr>
        <w:tabs>
          <w:tab w:val="left" w:pos="3060"/>
        </w:tabs>
        <w:spacing w:after="0" w:line="240" w:lineRule="auto"/>
        <w:jc w:val="center"/>
        <w:rPr>
          <w:rFonts w:ascii="Arial" w:eastAsia="Times New Roman" w:hAnsi="Arial" w:cs="Arial"/>
          <w:b/>
          <w:bCs/>
          <w:smallCaps/>
          <w:color w:val="auto"/>
          <w:szCs w:val="24"/>
          <w:lang w:val="pt-BR"/>
        </w:rPr>
      </w:pPr>
      <w:r w:rsidRPr="00E83B32">
        <w:rPr>
          <w:rFonts w:ascii="Arial" w:eastAsia="Times New Roman" w:hAnsi="Arial" w:cs="Arial"/>
          <w:b/>
          <w:bCs/>
          <w:smallCaps/>
          <w:color w:val="auto"/>
          <w:szCs w:val="24"/>
          <w:lang w:val="pt-BR"/>
        </w:rPr>
        <w:t>(PR-L1156)</w:t>
      </w:r>
    </w:p>
    <w:p w14:paraId="2AF36222" w14:textId="77777777" w:rsidR="00EC36F0" w:rsidRPr="00E83B32" w:rsidRDefault="00EC36F0" w:rsidP="004633EB">
      <w:pPr>
        <w:tabs>
          <w:tab w:val="left" w:pos="3060"/>
        </w:tabs>
        <w:spacing w:after="0" w:line="240" w:lineRule="auto"/>
        <w:jc w:val="center"/>
        <w:rPr>
          <w:rFonts w:ascii="Arial" w:eastAsia="Times New Roman" w:hAnsi="Arial" w:cs="Arial"/>
          <w:b/>
          <w:bCs/>
          <w:smallCaps/>
          <w:color w:val="auto"/>
          <w:szCs w:val="24"/>
          <w:lang w:val="pt-BR"/>
        </w:rPr>
      </w:pPr>
    </w:p>
    <w:p w14:paraId="74183846" w14:textId="77777777" w:rsidR="008B548C" w:rsidRDefault="008B548C" w:rsidP="004633EB">
      <w:pPr>
        <w:tabs>
          <w:tab w:val="left" w:pos="3060"/>
        </w:tabs>
        <w:spacing w:after="0" w:line="240" w:lineRule="auto"/>
        <w:jc w:val="center"/>
        <w:rPr>
          <w:rFonts w:ascii="Arial" w:eastAsia="Times New Roman" w:hAnsi="Arial" w:cs="Arial"/>
          <w:b/>
          <w:smallCaps/>
          <w:color w:val="auto"/>
          <w:szCs w:val="24"/>
        </w:rPr>
      </w:pPr>
      <w:r w:rsidRPr="008B548C">
        <w:rPr>
          <w:rFonts w:ascii="Arial" w:eastAsia="Times New Roman" w:hAnsi="Arial" w:cs="Arial"/>
          <w:b/>
          <w:bCs/>
          <w:smallCaps/>
          <w:color w:val="auto"/>
          <w:szCs w:val="24"/>
        </w:rPr>
        <w:t xml:space="preserve">POLÍTICA DE SERVICIOS PÚBLICOS DOMICILIARIOS </w:t>
      </w:r>
    </w:p>
    <w:p w14:paraId="3D26698A" w14:textId="02B999E4" w:rsidR="004633EB" w:rsidRPr="004633EB" w:rsidRDefault="000C5D37" w:rsidP="004633EB">
      <w:pPr>
        <w:tabs>
          <w:tab w:val="left" w:pos="3060"/>
        </w:tabs>
        <w:spacing w:after="0" w:line="240" w:lineRule="auto"/>
        <w:jc w:val="center"/>
        <w:rPr>
          <w:rFonts w:ascii="Arial" w:eastAsia="Times New Roman" w:hAnsi="Arial" w:cs="Arial"/>
          <w:b/>
          <w:smallCaps/>
          <w:color w:val="auto"/>
          <w:szCs w:val="24"/>
        </w:rPr>
      </w:pPr>
      <w:r>
        <w:rPr>
          <w:rFonts w:ascii="Arial" w:eastAsia="Times New Roman" w:hAnsi="Arial" w:cs="Arial"/>
          <w:b/>
          <w:smallCaps/>
          <w:color w:val="auto"/>
          <w:szCs w:val="24"/>
        </w:rPr>
        <w:t>(</w:t>
      </w:r>
      <w:r w:rsidR="000E2130">
        <w:rPr>
          <w:rFonts w:ascii="Arial" w:eastAsia="Times New Roman" w:hAnsi="Arial" w:cs="Arial"/>
          <w:b/>
          <w:smallCaps/>
          <w:color w:val="auto"/>
          <w:szCs w:val="24"/>
        </w:rPr>
        <w:t>GN-2716-6</w:t>
      </w:r>
      <w:r w:rsidR="004633EB" w:rsidRPr="004633EB">
        <w:rPr>
          <w:rFonts w:ascii="Arial" w:eastAsia="Times New Roman" w:hAnsi="Arial" w:cs="Arial"/>
          <w:b/>
          <w:smallCaps/>
          <w:color w:val="auto"/>
          <w:szCs w:val="24"/>
        </w:rPr>
        <w:t xml:space="preserve">) </w:t>
      </w:r>
    </w:p>
    <w:p w14:paraId="05ABB1C5" w14:textId="77777777" w:rsidR="004E1243" w:rsidRDefault="004E1243" w:rsidP="004E1243">
      <w:pPr>
        <w:rPr>
          <w:lang w:eastAsia="ja-JP"/>
        </w:rPr>
      </w:pPr>
    </w:p>
    <w:p w14:paraId="26CF95DB" w14:textId="36AC18B2" w:rsidR="008045CA" w:rsidRPr="008045CA" w:rsidRDefault="008B548C" w:rsidP="008045CA">
      <w:pPr>
        <w:numPr>
          <w:ilvl w:val="0"/>
          <w:numId w:val="41"/>
        </w:numPr>
        <w:rPr>
          <w:rFonts w:ascii="Arial" w:hAnsi="Arial" w:cs="Arial"/>
          <w:b/>
          <w:sz w:val="20"/>
          <w:szCs w:val="20"/>
          <w:lang w:eastAsia="ja-JP"/>
        </w:rPr>
      </w:pPr>
      <w:r>
        <w:rPr>
          <w:rFonts w:ascii="Arial" w:hAnsi="Arial" w:cs="Arial"/>
          <w:b/>
          <w:bCs/>
          <w:sz w:val="20"/>
          <w:szCs w:val="20"/>
          <w:lang w:eastAsia="ja-JP"/>
        </w:rPr>
        <w:t>OBJECTIVO</w:t>
      </w:r>
      <w:r w:rsidR="008045CA">
        <w:rPr>
          <w:rFonts w:ascii="Arial" w:hAnsi="Arial" w:cs="Arial"/>
          <w:b/>
          <w:bCs/>
          <w:sz w:val="20"/>
          <w:szCs w:val="20"/>
          <w:lang w:eastAsia="ja-JP"/>
        </w:rPr>
        <w:t>S</w:t>
      </w:r>
    </w:p>
    <w:p w14:paraId="04B4AA62" w14:textId="3BE226F0" w:rsidR="004633EB" w:rsidRPr="00E83B32" w:rsidRDefault="008B548C" w:rsidP="004633EB">
      <w:pPr>
        <w:jc w:val="both"/>
        <w:rPr>
          <w:rFonts w:ascii="Arial" w:hAnsi="Arial" w:cs="Arial"/>
          <w:bCs/>
          <w:sz w:val="20"/>
          <w:szCs w:val="20"/>
          <w:lang w:val="es-ES_tradnl"/>
        </w:rPr>
      </w:pPr>
      <w:r w:rsidRPr="008B548C">
        <w:rPr>
          <w:rFonts w:ascii="Arial" w:hAnsi="Arial" w:cs="Arial"/>
          <w:sz w:val="20"/>
          <w:szCs w:val="20"/>
          <w:lang w:val="es-ES_tradnl"/>
        </w:rPr>
        <w:t xml:space="preserve">Este documento presenta un análisis del Programa de Rehabilitación y Modernización de la Central Hidroeléctrica </w:t>
      </w:r>
      <w:proofErr w:type="spellStart"/>
      <w:r w:rsidRPr="008B548C">
        <w:rPr>
          <w:rFonts w:ascii="Arial" w:hAnsi="Arial" w:cs="Arial"/>
          <w:sz w:val="20"/>
          <w:szCs w:val="20"/>
          <w:lang w:val="es-ES_tradnl"/>
        </w:rPr>
        <w:t>Acaray</w:t>
      </w:r>
      <w:proofErr w:type="spellEnd"/>
      <w:r w:rsidRPr="008B548C">
        <w:rPr>
          <w:rFonts w:ascii="Arial" w:hAnsi="Arial" w:cs="Arial"/>
          <w:sz w:val="20"/>
          <w:szCs w:val="20"/>
          <w:lang w:val="es-ES_tradnl"/>
        </w:rPr>
        <w:t xml:space="preserve"> (RM-CHA) (PR-L1156) considerando los objetivos, principios y condiciones de la Política de Servicios Públicos Domiciliarios (PUP) (GN-2716-6).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9"/>
        <w:gridCol w:w="3943"/>
        <w:gridCol w:w="3798"/>
      </w:tblGrid>
      <w:tr w:rsidR="005973CA" w:rsidRPr="00DB1998" w14:paraId="6CD72FA6" w14:textId="77777777" w:rsidTr="00EC36F0">
        <w:trPr>
          <w:trHeight w:val="890"/>
          <w:jc w:val="center"/>
        </w:trPr>
        <w:tc>
          <w:tcPr>
            <w:tcW w:w="1619" w:type="dxa"/>
            <w:tcBorders>
              <w:bottom w:val="single" w:sz="4" w:space="0" w:color="auto"/>
            </w:tcBorders>
            <w:shd w:val="clear" w:color="auto" w:fill="00B050"/>
            <w:vAlign w:val="center"/>
          </w:tcPr>
          <w:p w14:paraId="21F93171" w14:textId="70EE351B" w:rsidR="00234A41" w:rsidRPr="003E1AD8" w:rsidRDefault="003C788E" w:rsidP="000E2130">
            <w:pPr>
              <w:spacing w:after="0"/>
              <w:jc w:val="center"/>
              <w:rPr>
                <w:rFonts w:ascii="Arial" w:hAnsi="Arial" w:cs="Arial"/>
                <w:b/>
                <w:color w:val="FFFFFF"/>
                <w:sz w:val="18"/>
                <w:szCs w:val="20"/>
                <w:lang w:val="es-ES_tradnl"/>
              </w:rPr>
            </w:pPr>
            <w:r w:rsidRPr="003E1AD8">
              <w:rPr>
                <w:rFonts w:ascii="Arial" w:hAnsi="Arial" w:cs="Arial"/>
                <w:b/>
                <w:color w:val="FFFFFF"/>
                <w:sz w:val="18"/>
                <w:szCs w:val="20"/>
                <w:lang w:val="es-ES_tradnl"/>
              </w:rPr>
              <w:t>Objetivos de la política</w:t>
            </w:r>
          </w:p>
          <w:p w14:paraId="6FEA8C99" w14:textId="77777777" w:rsidR="00234A41" w:rsidRPr="003E1AD8" w:rsidRDefault="00234A41" w:rsidP="000E2130">
            <w:pPr>
              <w:spacing w:after="0"/>
              <w:jc w:val="center"/>
              <w:rPr>
                <w:rFonts w:ascii="Arial" w:hAnsi="Arial" w:cs="Arial"/>
                <w:color w:val="FFFFFF"/>
                <w:sz w:val="18"/>
                <w:szCs w:val="20"/>
                <w:lang w:val="es-ES_tradnl"/>
              </w:rPr>
            </w:pPr>
            <w:r w:rsidRPr="003E1AD8">
              <w:rPr>
                <w:rFonts w:ascii="Arial" w:hAnsi="Arial" w:cs="Arial"/>
                <w:b/>
                <w:color w:val="FFFFFF"/>
                <w:sz w:val="18"/>
                <w:szCs w:val="20"/>
                <w:lang w:val="es-ES_tradnl"/>
              </w:rPr>
              <w:t>(GN-2716-6)</w:t>
            </w:r>
          </w:p>
        </w:tc>
        <w:tc>
          <w:tcPr>
            <w:tcW w:w="4121" w:type="dxa"/>
            <w:tcBorders>
              <w:bottom w:val="single" w:sz="4" w:space="0" w:color="auto"/>
            </w:tcBorders>
            <w:shd w:val="clear" w:color="auto" w:fill="00B050"/>
            <w:vAlign w:val="center"/>
          </w:tcPr>
          <w:p w14:paraId="1420AD8A" w14:textId="43D6D7B3" w:rsidR="00234A41" w:rsidRPr="003E1AD8" w:rsidRDefault="00234A41" w:rsidP="003C788E">
            <w:pPr>
              <w:spacing w:after="0"/>
              <w:jc w:val="center"/>
              <w:rPr>
                <w:rFonts w:ascii="Arial" w:hAnsi="Arial" w:cs="Arial"/>
                <w:b/>
                <w:color w:val="FFFFFF"/>
                <w:sz w:val="18"/>
                <w:szCs w:val="20"/>
              </w:rPr>
            </w:pPr>
            <w:proofErr w:type="spellStart"/>
            <w:r w:rsidRPr="003E1AD8">
              <w:rPr>
                <w:rFonts w:ascii="Arial" w:hAnsi="Arial" w:cs="Arial"/>
                <w:b/>
                <w:color w:val="FFFFFF"/>
                <w:sz w:val="18"/>
                <w:szCs w:val="20"/>
              </w:rPr>
              <w:t>Descrip</w:t>
            </w:r>
            <w:r w:rsidR="003C788E" w:rsidRPr="003E1AD8">
              <w:rPr>
                <w:rFonts w:ascii="Arial" w:hAnsi="Arial" w:cs="Arial"/>
                <w:b/>
                <w:color w:val="FFFFFF"/>
                <w:sz w:val="18"/>
                <w:szCs w:val="20"/>
              </w:rPr>
              <w:t>ción</w:t>
            </w:r>
            <w:proofErr w:type="spellEnd"/>
          </w:p>
        </w:tc>
        <w:tc>
          <w:tcPr>
            <w:tcW w:w="3940" w:type="dxa"/>
            <w:tcBorders>
              <w:bottom w:val="single" w:sz="4" w:space="0" w:color="auto"/>
            </w:tcBorders>
            <w:shd w:val="clear" w:color="auto" w:fill="00B050"/>
            <w:vAlign w:val="center"/>
          </w:tcPr>
          <w:p w14:paraId="44AE4699" w14:textId="21C6344E" w:rsidR="00234A41" w:rsidRPr="003E1AD8" w:rsidRDefault="003C788E" w:rsidP="000E2130">
            <w:pPr>
              <w:spacing w:after="0"/>
              <w:jc w:val="center"/>
              <w:rPr>
                <w:rFonts w:ascii="Arial" w:hAnsi="Arial" w:cs="Arial"/>
                <w:b/>
                <w:color w:val="FFFFFF"/>
                <w:sz w:val="18"/>
                <w:szCs w:val="20"/>
              </w:rPr>
            </w:pPr>
            <w:proofErr w:type="spellStart"/>
            <w:r w:rsidRPr="003E1AD8">
              <w:rPr>
                <w:rFonts w:ascii="Arial" w:hAnsi="Arial" w:cs="Arial"/>
                <w:b/>
                <w:color w:val="FFFFFF"/>
                <w:sz w:val="18"/>
                <w:szCs w:val="20"/>
              </w:rPr>
              <w:t>Comentarios</w:t>
            </w:r>
            <w:proofErr w:type="spellEnd"/>
          </w:p>
        </w:tc>
      </w:tr>
      <w:tr w:rsidR="00234A41" w:rsidRPr="00D818E2" w14:paraId="79A46129" w14:textId="77777777" w:rsidTr="00EC36F0">
        <w:trPr>
          <w:trHeight w:val="602"/>
          <w:jc w:val="center"/>
        </w:trPr>
        <w:tc>
          <w:tcPr>
            <w:tcW w:w="9680" w:type="dxa"/>
            <w:gridSpan w:val="3"/>
            <w:shd w:val="clear" w:color="auto" w:fill="D9D9D9"/>
            <w:vAlign w:val="center"/>
          </w:tcPr>
          <w:p w14:paraId="164BEBDE" w14:textId="3BCB79EA" w:rsidR="00234A41" w:rsidRPr="003E1AD8" w:rsidRDefault="003C788E" w:rsidP="00EC36F0">
            <w:pPr>
              <w:spacing w:after="0"/>
              <w:rPr>
                <w:rFonts w:ascii="Arial" w:hAnsi="Arial" w:cs="Arial"/>
                <w:sz w:val="18"/>
                <w:szCs w:val="20"/>
                <w:lang w:val="es-ES_tradnl"/>
              </w:rPr>
            </w:pPr>
            <w:proofErr w:type="spellStart"/>
            <w:r w:rsidRPr="003E1AD8">
              <w:rPr>
                <w:rFonts w:ascii="Arial" w:hAnsi="Arial" w:cs="Arial"/>
                <w:b/>
                <w:sz w:val="18"/>
                <w:szCs w:val="20"/>
                <w:lang w:val="es-ES_tradnl"/>
              </w:rPr>
              <w:t>Objectivo</w:t>
            </w:r>
            <w:proofErr w:type="spellEnd"/>
            <w:r w:rsidR="00234A41" w:rsidRPr="003E1AD8">
              <w:rPr>
                <w:rFonts w:ascii="Arial" w:hAnsi="Arial" w:cs="Arial"/>
                <w:b/>
                <w:sz w:val="18"/>
                <w:szCs w:val="20"/>
                <w:lang w:val="es-ES_tradnl"/>
              </w:rPr>
              <w:t>:</w:t>
            </w:r>
            <w:r w:rsidR="00EC36F0" w:rsidRPr="003E1AD8">
              <w:rPr>
                <w:rFonts w:ascii="Arial" w:hAnsi="Arial" w:cs="Arial"/>
                <w:sz w:val="18"/>
                <w:szCs w:val="20"/>
                <w:lang w:val="es-ES_tradnl"/>
              </w:rPr>
              <w:t xml:space="preserve"> </w:t>
            </w:r>
            <w:r w:rsidRPr="003E1AD8">
              <w:rPr>
                <w:rFonts w:ascii="Arial" w:hAnsi="Arial" w:cs="Arial"/>
                <w:sz w:val="18"/>
                <w:szCs w:val="20"/>
                <w:lang w:val="es-ES_tradnl"/>
              </w:rPr>
              <w:t>La promoción del acceso y el incremento de la eficiencia y calidad de los servicios públicos requerirá que las acciones del Banco estén orientadas a:</w:t>
            </w:r>
          </w:p>
        </w:tc>
      </w:tr>
      <w:tr w:rsidR="005973CA" w:rsidRPr="00D818E2" w14:paraId="0582B6BB" w14:textId="77777777" w:rsidTr="00DB1998">
        <w:trPr>
          <w:jc w:val="center"/>
        </w:trPr>
        <w:tc>
          <w:tcPr>
            <w:tcW w:w="1619" w:type="dxa"/>
            <w:shd w:val="clear" w:color="auto" w:fill="auto"/>
          </w:tcPr>
          <w:p w14:paraId="323066F8" w14:textId="5838C5DF" w:rsidR="00234A41" w:rsidRPr="003E1AD8" w:rsidRDefault="003C788E" w:rsidP="000E2130">
            <w:pPr>
              <w:spacing w:after="0"/>
              <w:rPr>
                <w:rFonts w:ascii="Arial" w:hAnsi="Arial" w:cs="Arial"/>
                <w:b/>
                <w:sz w:val="18"/>
                <w:szCs w:val="20"/>
                <w:lang w:val="es-ES_tradnl"/>
              </w:rPr>
            </w:pPr>
            <w:r w:rsidRPr="003E1AD8">
              <w:rPr>
                <w:rFonts w:ascii="Arial" w:hAnsi="Arial" w:cs="Arial"/>
                <w:b/>
                <w:sz w:val="18"/>
                <w:szCs w:val="20"/>
                <w:lang w:val="es-ES_tradnl"/>
              </w:rPr>
              <w:t>Fomentar el acceso al servicio a toda la población.</w:t>
            </w:r>
          </w:p>
        </w:tc>
        <w:tc>
          <w:tcPr>
            <w:tcW w:w="4121" w:type="dxa"/>
            <w:shd w:val="clear" w:color="auto" w:fill="auto"/>
          </w:tcPr>
          <w:p w14:paraId="05EB025A" w14:textId="6932A10B" w:rsidR="00234A41" w:rsidRPr="003E1AD8" w:rsidRDefault="003C788E" w:rsidP="00DC20DD">
            <w:pPr>
              <w:pStyle w:val="Default"/>
              <w:jc w:val="both"/>
              <w:rPr>
                <w:rFonts w:ascii="Arial" w:hAnsi="Arial" w:cs="Arial"/>
                <w:sz w:val="18"/>
                <w:szCs w:val="20"/>
                <w:lang w:val="es-ES_tradnl"/>
              </w:rPr>
            </w:pPr>
            <w:r w:rsidRPr="003E1AD8">
              <w:rPr>
                <w:rFonts w:ascii="Arial" w:hAnsi="Arial" w:cs="Arial"/>
                <w:sz w:val="18"/>
                <w:szCs w:val="20"/>
                <w:lang w:val="es-ES_tradnl"/>
              </w:rPr>
              <w:t>Fomentar el acceso al servicio a toda la población, incluyendo las comunidades y los grupos más desfavorecidos, en los ámbitos tanto urbano como rural.</w:t>
            </w:r>
          </w:p>
        </w:tc>
        <w:tc>
          <w:tcPr>
            <w:tcW w:w="3940" w:type="dxa"/>
            <w:shd w:val="clear" w:color="auto" w:fill="auto"/>
          </w:tcPr>
          <w:p w14:paraId="73418B36" w14:textId="2CDD17F6" w:rsidR="00234A41" w:rsidRDefault="003E1AD8" w:rsidP="00EC36F0">
            <w:pPr>
              <w:spacing w:after="0" w:line="240" w:lineRule="auto"/>
              <w:jc w:val="both"/>
              <w:rPr>
                <w:rFonts w:ascii="Arial" w:hAnsi="Arial" w:cs="Arial"/>
                <w:sz w:val="18"/>
                <w:szCs w:val="20"/>
                <w:lang w:val="es-ES_tradnl"/>
              </w:rPr>
            </w:pPr>
            <w:r>
              <w:rPr>
                <w:rFonts w:ascii="Arial" w:hAnsi="Arial" w:cs="Arial"/>
                <w:sz w:val="18"/>
                <w:szCs w:val="20"/>
                <w:lang w:val="es-ES_tradnl"/>
              </w:rPr>
              <w:t>El país tiene una cobertura eléctrica del 99.06%</w:t>
            </w:r>
            <w:r w:rsidR="00AA63C5">
              <w:rPr>
                <w:rFonts w:ascii="Arial" w:hAnsi="Arial" w:cs="Arial"/>
                <w:sz w:val="18"/>
                <w:szCs w:val="20"/>
                <w:lang w:val="es-ES_tradnl"/>
              </w:rPr>
              <w:t>.</w:t>
            </w:r>
            <w:r w:rsidR="0061348F">
              <w:rPr>
                <w:rFonts w:ascii="Arial" w:hAnsi="Arial" w:cs="Arial"/>
                <w:sz w:val="18"/>
                <w:szCs w:val="20"/>
                <w:lang w:val="es-ES_tradnl"/>
              </w:rPr>
              <w:t xml:space="preserve"> </w:t>
            </w:r>
            <w:r w:rsidR="00712938">
              <w:rPr>
                <w:rFonts w:ascii="Arial" w:hAnsi="Arial" w:cs="Arial"/>
                <w:sz w:val="18"/>
                <w:szCs w:val="20"/>
                <w:lang w:val="es-ES_tradnl"/>
              </w:rPr>
              <w:t>La</w:t>
            </w:r>
            <w:r w:rsidR="0061348F">
              <w:rPr>
                <w:rFonts w:ascii="Arial" w:hAnsi="Arial" w:cs="Arial"/>
                <w:sz w:val="18"/>
                <w:szCs w:val="20"/>
                <w:lang w:val="es-ES_tradnl"/>
              </w:rPr>
              <w:t xml:space="preserve"> Ley 966/1964 que crea la Administración Nacional de Electricidad (ANDE), tiene dentro sus objetivos elaborar el Plan Nacional de Electrificación con el fin de orientar y fomentar el desarrollo eléctrico del país. </w:t>
            </w:r>
            <w:r w:rsidR="00DA2568">
              <w:rPr>
                <w:rFonts w:ascii="Arial" w:hAnsi="Arial" w:cs="Arial"/>
                <w:sz w:val="18"/>
                <w:szCs w:val="20"/>
                <w:lang w:val="es-ES_tradnl"/>
              </w:rPr>
              <w:t xml:space="preserve">ANDE </w:t>
            </w:r>
            <w:r w:rsidR="00712938">
              <w:rPr>
                <w:rFonts w:ascii="Arial" w:hAnsi="Arial" w:cs="Arial"/>
                <w:sz w:val="18"/>
                <w:szCs w:val="20"/>
                <w:lang w:val="es-ES_tradnl"/>
              </w:rPr>
              <w:t xml:space="preserve">elabora y </w:t>
            </w:r>
            <w:r w:rsidR="00DA2568">
              <w:rPr>
                <w:rFonts w:ascii="Arial" w:hAnsi="Arial" w:cs="Arial"/>
                <w:sz w:val="18"/>
                <w:szCs w:val="20"/>
                <w:lang w:val="es-ES_tradnl"/>
              </w:rPr>
              <w:t>publica los Planes Maestros de Generación y Transmisión para cumplir con dichos objetivos.</w:t>
            </w:r>
            <w:bookmarkStart w:id="1" w:name="_GoBack"/>
            <w:bookmarkEnd w:id="1"/>
          </w:p>
          <w:p w14:paraId="3A033996" w14:textId="28C50F07" w:rsidR="005E6797" w:rsidRDefault="005E6797" w:rsidP="00EC36F0">
            <w:pPr>
              <w:spacing w:after="0" w:line="240" w:lineRule="auto"/>
              <w:jc w:val="both"/>
              <w:rPr>
                <w:rFonts w:ascii="Arial" w:hAnsi="Arial" w:cs="Arial"/>
                <w:sz w:val="18"/>
                <w:szCs w:val="20"/>
                <w:lang w:val="es-ES_tradnl"/>
              </w:rPr>
            </w:pPr>
          </w:p>
          <w:p w14:paraId="44261F11" w14:textId="2A4F0EB6" w:rsidR="00DA2568" w:rsidRPr="003E1AD8" w:rsidRDefault="005E6797" w:rsidP="00EC36F0">
            <w:pPr>
              <w:spacing w:after="0" w:line="240" w:lineRule="auto"/>
              <w:jc w:val="both"/>
              <w:rPr>
                <w:rFonts w:ascii="Arial" w:hAnsi="Arial" w:cs="Arial"/>
                <w:sz w:val="18"/>
                <w:szCs w:val="20"/>
                <w:lang w:val="es-ES_tradnl"/>
              </w:rPr>
            </w:pPr>
            <w:r w:rsidRPr="005E6797">
              <w:rPr>
                <w:rFonts w:ascii="Arial" w:hAnsi="Arial" w:cs="Arial"/>
                <w:sz w:val="18"/>
                <w:szCs w:val="20"/>
                <w:lang w:val="es-ES_tradnl"/>
              </w:rPr>
              <w:t>ANDE provee servicio a com</w:t>
            </w:r>
            <w:r w:rsidRPr="00D818E2">
              <w:rPr>
                <w:rFonts w:ascii="Arial" w:hAnsi="Arial" w:cs="Arial"/>
                <w:sz w:val="18"/>
                <w:szCs w:val="20"/>
                <w:lang w:val="es-ES_tradnl"/>
              </w:rPr>
              <w:t xml:space="preserve">unidades </w:t>
            </w:r>
            <w:r>
              <w:rPr>
                <w:rFonts w:ascii="Arial" w:hAnsi="Arial" w:cs="Arial"/>
                <w:sz w:val="18"/>
                <w:szCs w:val="20"/>
                <w:lang w:val="es-ES_tradnl"/>
              </w:rPr>
              <w:t>alejadas</w:t>
            </w:r>
            <w:r w:rsidRPr="00D818E2">
              <w:rPr>
                <w:rFonts w:ascii="Arial" w:hAnsi="Arial" w:cs="Arial"/>
                <w:sz w:val="18"/>
                <w:szCs w:val="20"/>
                <w:lang w:val="es-ES_tradnl"/>
              </w:rPr>
              <w:t>, tales como Bahía Negra (Norte del país, fron</w:t>
            </w:r>
            <w:r>
              <w:rPr>
                <w:rFonts w:ascii="Arial" w:hAnsi="Arial" w:cs="Arial"/>
                <w:sz w:val="18"/>
                <w:szCs w:val="20"/>
                <w:lang w:val="es-ES_tradnl"/>
              </w:rPr>
              <w:t xml:space="preserve">tera con Brasil) a través de un sistema no conectado a la red, con generación diésel. Con el apoyo del Banco, ANDE está desarrollando estudios y elaborando un plan piloto en este sistema cuyos resultados se esperan poder replicar en otras regiones del país para poblaciones que en el corto y mediano plazo se van a conectar al sistema nacional por su densidad y distancias de la red. </w:t>
            </w:r>
          </w:p>
        </w:tc>
      </w:tr>
      <w:tr w:rsidR="005973CA" w:rsidRPr="00D818E2" w14:paraId="0E6DA3DE" w14:textId="77777777" w:rsidTr="00DB1998">
        <w:trPr>
          <w:jc w:val="center"/>
        </w:trPr>
        <w:tc>
          <w:tcPr>
            <w:tcW w:w="1619" w:type="dxa"/>
            <w:shd w:val="clear" w:color="auto" w:fill="auto"/>
          </w:tcPr>
          <w:p w14:paraId="02A8D876" w14:textId="3726ACAA" w:rsidR="00234A41" w:rsidRPr="003E1AD8" w:rsidRDefault="003C788E" w:rsidP="000E2130">
            <w:pPr>
              <w:spacing w:after="0"/>
              <w:rPr>
                <w:rFonts w:ascii="Arial" w:hAnsi="Arial" w:cs="Arial"/>
                <w:sz w:val="18"/>
                <w:szCs w:val="20"/>
                <w:lang w:val="es-ES_tradnl"/>
              </w:rPr>
            </w:pPr>
            <w:r w:rsidRPr="003E1AD8">
              <w:rPr>
                <w:rFonts w:ascii="Arial" w:hAnsi="Arial" w:cs="Arial"/>
                <w:b/>
                <w:bCs/>
                <w:sz w:val="18"/>
                <w:szCs w:val="20"/>
                <w:lang w:val="es-ES_tradnl"/>
              </w:rPr>
              <w:t>Suministrar un servicio en condiciones de confiabilidad y calidad adecuadas.</w:t>
            </w:r>
          </w:p>
        </w:tc>
        <w:tc>
          <w:tcPr>
            <w:tcW w:w="4121" w:type="dxa"/>
            <w:shd w:val="clear" w:color="auto" w:fill="auto"/>
          </w:tcPr>
          <w:p w14:paraId="5F9EFDC9" w14:textId="52C34785" w:rsidR="00234A41" w:rsidRPr="003E1AD8" w:rsidRDefault="003C788E" w:rsidP="00DC20DD">
            <w:pPr>
              <w:spacing w:after="0" w:line="240" w:lineRule="auto"/>
              <w:jc w:val="both"/>
              <w:rPr>
                <w:rFonts w:ascii="Arial" w:hAnsi="Arial" w:cs="Arial"/>
                <w:sz w:val="18"/>
                <w:szCs w:val="20"/>
                <w:lang w:val="es-ES_tradnl"/>
              </w:rPr>
            </w:pPr>
            <w:r w:rsidRPr="003E1AD8">
              <w:rPr>
                <w:rFonts w:ascii="Arial" w:eastAsia="Times New Roman" w:hAnsi="Arial" w:cs="Arial"/>
                <w:bCs/>
                <w:color w:val="000000"/>
                <w:sz w:val="18"/>
                <w:szCs w:val="20"/>
                <w:lang w:val="es-ES_tradnl"/>
              </w:rPr>
              <w:t>Suministrar un servicio en condiciones de confiabilidad y calidad adecuadas</w:t>
            </w:r>
            <w:r w:rsidRPr="003E1AD8">
              <w:rPr>
                <w:rFonts w:ascii="Arial" w:eastAsia="Times New Roman" w:hAnsi="Arial" w:cs="Arial"/>
                <w:color w:val="000000"/>
                <w:sz w:val="18"/>
                <w:szCs w:val="20"/>
                <w:lang w:val="es-ES_tradnl"/>
              </w:rPr>
              <w:t>, procurando que el servicio que se provea al usuario cumpla con normas de calidad y confiabilidad mínimas que sean viables y consistentes con un análisis de costo-beneficio o costo-eficiencia, acorde a la naturaleza del servicio y las condiciones de suministro.</w:t>
            </w:r>
          </w:p>
        </w:tc>
        <w:tc>
          <w:tcPr>
            <w:tcW w:w="3940" w:type="dxa"/>
            <w:shd w:val="clear" w:color="auto" w:fill="auto"/>
          </w:tcPr>
          <w:p w14:paraId="51982C1F" w14:textId="55ED0CE8" w:rsidR="00F36157" w:rsidRDefault="00F36157" w:rsidP="00A55061">
            <w:pPr>
              <w:spacing w:after="0" w:line="240" w:lineRule="auto"/>
              <w:jc w:val="both"/>
              <w:rPr>
                <w:rFonts w:ascii="Arial" w:hAnsi="Arial" w:cs="Arial"/>
                <w:sz w:val="18"/>
                <w:szCs w:val="20"/>
                <w:lang w:val="es-ES_tradnl"/>
              </w:rPr>
            </w:pPr>
            <w:r>
              <w:rPr>
                <w:rFonts w:ascii="Arial" w:hAnsi="Arial" w:cs="Arial"/>
                <w:sz w:val="18"/>
                <w:szCs w:val="20"/>
                <w:lang w:val="es-ES_tradnl"/>
              </w:rPr>
              <w:t xml:space="preserve">La </w:t>
            </w:r>
            <w:r w:rsidR="006F7524">
              <w:rPr>
                <w:rFonts w:ascii="Arial" w:hAnsi="Arial" w:cs="Arial"/>
                <w:sz w:val="18"/>
                <w:szCs w:val="20"/>
                <w:lang w:val="es-ES_tradnl"/>
              </w:rPr>
              <w:t xml:space="preserve">Ley </w:t>
            </w:r>
            <w:proofErr w:type="spellStart"/>
            <w:r w:rsidR="00A55061">
              <w:rPr>
                <w:rFonts w:ascii="Arial" w:hAnsi="Arial" w:cs="Arial"/>
                <w:sz w:val="18"/>
                <w:szCs w:val="20"/>
                <w:lang w:val="es-ES_tradnl"/>
              </w:rPr>
              <w:t>Nº</w:t>
            </w:r>
            <w:proofErr w:type="spellEnd"/>
            <w:r w:rsidR="00A55061">
              <w:rPr>
                <w:rFonts w:ascii="Arial" w:hAnsi="Arial" w:cs="Arial"/>
                <w:sz w:val="18"/>
                <w:szCs w:val="20"/>
                <w:lang w:val="es-ES_tradnl"/>
              </w:rPr>
              <w:t xml:space="preserve"> 966/1964 establece que </w:t>
            </w:r>
            <w:r>
              <w:rPr>
                <w:rFonts w:ascii="Arial" w:hAnsi="Arial" w:cs="Arial"/>
                <w:sz w:val="18"/>
                <w:szCs w:val="20"/>
                <w:lang w:val="es-ES_tradnl"/>
              </w:rPr>
              <w:t xml:space="preserve">ANDE </w:t>
            </w:r>
            <w:r w:rsidR="00A55061">
              <w:rPr>
                <w:rFonts w:ascii="Arial" w:hAnsi="Arial" w:cs="Arial"/>
                <w:sz w:val="18"/>
                <w:szCs w:val="20"/>
                <w:lang w:val="es-ES_tradnl"/>
              </w:rPr>
              <w:t>“…..</w:t>
            </w:r>
            <w:r w:rsidR="00A55061" w:rsidRPr="00A55061">
              <w:rPr>
                <w:rFonts w:ascii="Arial" w:hAnsi="Arial" w:cs="Arial"/>
                <w:i/>
                <w:sz w:val="18"/>
                <w:szCs w:val="20"/>
                <w:lang w:val="es-ES_tradnl"/>
              </w:rPr>
              <w:t>tiene como objeto primordial, satisfacer en forma adecuada las necesidades de energía eléctrica del país, con el fin de promover su desarrollo económico y fomentar el bienestar de la población, mediante el aprovechamiento preferente de los recursos naturales de la Nación</w:t>
            </w:r>
            <w:r w:rsidR="00A55061">
              <w:rPr>
                <w:rFonts w:ascii="Arial" w:hAnsi="Arial" w:cs="Arial"/>
                <w:sz w:val="18"/>
                <w:szCs w:val="20"/>
                <w:lang w:val="es-ES_tradnl"/>
              </w:rPr>
              <w:t xml:space="preserve">”. </w:t>
            </w:r>
          </w:p>
          <w:p w14:paraId="496141E8" w14:textId="77777777" w:rsidR="00F36157" w:rsidRDefault="00F36157" w:rsidP="00A55061">
            <w:pPr>
              <w:spacing w:after="0" w:line="240" w:lineRule="auto"/>
              <w:jc w:val="both"/>
              <w:rPr>
                <w:rFonts w:ascii="Arial" w:hAnsi="Arial" w:cs="Arial"/>
                <w:sz w:val="18"/>
                <w:szCs w:val="20"/>
                <w:lang w:val="es-ES_tradnl"/>
              </w:rPr>
            </w:pPr>
          </w:p>
          <w:p w14:paraId="5CD8E982" w14:textId="1A0EB5BC" w:rsidR="00F36157" w:rsidRDefault="00B22473" w:rsidP="00A55061">
            <w:pPr>
              <w:spacing w:after="0" w:line="240" w:lineRule="auto"/>
              <w:jc w:val="both"/>
              <w:rPr>
                <w:rFonts w:ascii="Arial" w:hAnsi="Arial" w:cs="Arial"/>
                <w:sz w:val="18"/>
                <w:szCs w:val="20"/>
                <w:lang w:val="es-ES_tradnl"/>
              </w:rPr>
            </w:pPr>
            <w:r>
              <w:rPr>
                <w:rFonts w:ascii="Arial" w:hAnsi="Arial" w:cs="Arial"/>
                <w:sz w:val="18"/>
                <w:szCs w:val="20"/>
                <w:lang w:val="es-ES_tradnl"/>
              </w:rPr>
              <w:t xml:space="preserve">En los últimos años </w:t>
            </w:r>
            <w:r w:rsidR="00F36157">
              <w:rPr>
                <w:rFonts w:ascii="Arial" w:hAnsi="Arial" w:cs="Arial"/>
                <w:sz w:val="18"/>
                <w:szCs w:val="20"/>
                <w:lang w:val="es-ES_tradnl"/>
              </w:rPr>
              <w:t xml:space="preserve">ANDE ha venido enfrentando </w:t>
            </w:r>
            <w:r>
              <w:rPr>
                <w:rFonts w:ascii="Arial" w:hAnsi="Arial" w:cs="Arial"/>
                <w:sz w:val="18"/>
                <w:szCs w:val="20"/>
                <w:lang w:val="es-ES_tradnl"/>
              </w:rPr>
              <w:t xml:space="preserve">problemas </w:t>
            </w:r>
            <w:r w:rsidR="00F36157">
              <w:rPr>
                <w:rFonts w:ascii="Arial" w:hAnsi="Arial" w:cs="Arial"/>
                <w:sz w:val="18"/>
                <w:szCs w:val="20"/>
                <w:lang w:val="es-ES_tradnl"/>
              </w:rPr>
              <w:t xml:space="preserve">por frecuentes y prolongados cortes del servicio eléctrico especialmente ante eventos meteorológicos de fuertes lluvias y en los días de elevada demanda en verano. </w:t>
            </w:r>
          </w:p>
          <w:p w14:paraId="4D6B4166" w14:textId="77777777" w:rsidR="00A55061" w:rsidRDefault="00A55061" w:rsidP="00A55061">
            <w:pPr>
              <w:spacing w:after="0" w:line="240" w:lineRule="auto"/>
              <w:jc w:val="both"/>
              <w:rPr>
                <w:rFonts w:ascii="Arial" w:hAnsi="Arial" w:cs="Arial"/>
                <w:sz w:val="18"/>
                <w:szCs w:val="20"/>
                <w:lang w:val="es-ES_tradnl"/>
              </w:rPr>
            </w:pPr>
          </w:p>
          <w:p w14:paraId="1C60DB57" w14:textId="43334006" w:rsidR="00B22473" w:rsidRDefault="00B22473" w:rsidP="00A55061">
            <w:pPr>
              <w:spacing w:after="0" w:line="240" w:lineRule="auto"/>
              <w:jc w:val="both"/>
              <w:rPr>
                <w:rFonts w:ascii="Arial" w:hAnsi="Arial" w:cs="Arial"/>
                <w:sz w:val="18"/>
                <w:szCs w:val="20"/>
                <w:lang w:val="es-ES_tradnl"/>
              </w:rPr>
            </w:pPr>
            <w:r>
              <w:rPr>
                <w:rFonts w:ascii="Arial" w:hAnsi="Arial" w:cs="Arial"/>
                <w:sz w:val="18"/>
                <w:szCs w:val="20"/>
                <w:lang w:val="es-ES_tradnl"/>
              </w:rPr>
              <w:t xml:space="preserve">Las principales causas fueron el retraso en las inversiones en distribución y transmisión vis a vis el fuerte crecimiento de la demanda que en algunos años ha alcanzado al 8% o 9% anual. El ritmo de las obras no fue suficiente para cubrir adecuadamente esta creciente demanda. Se requiere, entre otros, avanzar con las inversiones en sustituciones de transformadores de distribución e instalación de conductores protegidos. </w:t>
            </w:r>
          </w:p>
          <w:p w14:paraId="42A66F23" w14:textId="63ACDF9C" w:rsidR="00FC3D38" w:rsidRDefault="00B22473" w:rsidP="00A55061">
            <w:pPr>
              <w:spacing w:after="0" w:line="240" w:lineRule="auto"/>
              <w:jc w:val="both"/>
              <w:rPr>
                <w:rFonts w:ascii="Arial" w:hAnsi="Arial" w:cs="Arial"/>
                <w:sz w:val="18"/>
                <w:szCs w:val="20"/>
                <w:lang w:val="es-ES_tradnl"/>
              </w:rPr>
            </w:pPr>
            <w:r>
              <w:rPr>
                <w:rFonts w:ascii="Arial" w:hAnsi="Arial" w:cs="Arial"/>
                <w:sz w:val="18"/>
                <w:szCs w:val="20"/>
                <w:lang w:val="es-ES_tradnl"/>
              </w:rPr>
              <w:t xml:space="preserve"> </w:t>
            </w:r>
          </w:p>
          <w:p w14:paraId="1897B0FD" w14:textId="085FBB76" w:rsidR="00D26B98" w:rsidRPr="003E1AD8" w:rsidRDefault="00B22473" w:rsidP="00A55061">
            <w:pPr>
              <w:spacing w:after="0" w:line="240" w:lineRule="auto"/>
              <w:jc w:val="both"/>
              <w:rPr>
                <w:rFonts w:ascii="Arial" w:hAnsi="Arial" w:cs="Arial"/>
                <w:sz w:val="18"/>
                <w:szCs w:val="20"/>
                <w:lang w:val="es-ES_tradnl"/>
              </w:rPr>
            </w:pPr>
            <w:r>
              <w:rPr>
                <w:rFonts w:ascii="Arial" w:hAnsi="Arial" w:cs="Arial"/>
                <w:sz w:val="18"/>
                <w:szCs w:val="20"/>
                <w:lang w:val="es-ES_tradnl"/>
              </w:rPr>
              <w:t xml:space="preserve">Bajo la nueva administración de ANDE que asumió en Agosto 2018 se está elaborando un agresivo plan de inversiones que permita ir reduciendo los cortes no programados del servicio en los próximos años. </w:t>
            </w:r>
            <w:r w:rsidR="00035D37">
              <w:rPr>
                <w:rFonts w:ascii="Arial" w:hAnsi="Arial" w:cs="Arial"/>
                <w:sz w:val="18"/>
                <w:szCs w:val="20"/>
                <w:lang w:val="es-ES_tradnl"/>
              </w:rPr>
              <w:t xml:space="preserve"> </w:t>
            </w:r>
          </w:p>
        </w:tc>
      </w:tr>
      <w:tr w:rsidR="005973CA" w:rsidRPr="00D818E2" w14:paraId="73A3C4A3" w14:textId="77777777" w:rsidTr="00DB1998">
        <w:trPr>
          <w:jc w:val="center"/>
        </w:trPr>
        <w:tc>
          <w:tcPr>
            <w:tcW w:w="1619" w:type="dxa"/>
            <w:shd w:val="clear" w:color="auto" w:fill="auto"/>
          </w:tcPr>
          <w:p w14:paraId="1F3439D7" w14:textId="1A563826" w:rsidR="00234A41" w:rsidRPr="003E1AD8" w:rsidRDefault="003C788E" w:rsidP="000E2130">
            <w:pPr>
              <w:spacing w:after="0"/>
              <w:rPr>
                <w:rFonts w:ascii="Arial" w:hAnsi="Arial" w:cs="Arial"/>
                <w:b/>
                <w:bCs/>
                <w:sz w:val="18"/>
                <w:szCs w:val="20"/>
                <w:lang w:val="es-ES_tradnl"/>
              </w:rPr>
            </w:pPr>
            <w:r w:rsidRPr="003E1AD8">
              <w:rPr>
                <w:rFonts w:ascii="Arial" w:hAnsi="Arial" w:cs="Arial"/>
                <w:b/>
                <w:bCs/>
                <w:sz w:val="18"/>
                <w:szCs w:val="20"/>
                <w:lang w:val="es-ES_tradnl"/>
              </w:rPr>
              <w:lastRenderedPageBreak/>
              <w:t>Suministrar un servicio en condiciones de eficiencia.</w:t>
            </w:r>
          </w:p>
        </w:tc>
        <w:tc>
          <w:tcPr>
            <w:tcW w:w="4121" w:type="dxa"/>
            <w:shd w:val="clear" w:color="auto" w:fill="auto"/>
          </w:tcPr>
          <w:p w14:paraId="319BBDCE" w14:textId="319FDE44" w:rsidR="00234A41" w:rsidRPr="003E1AD8" w:rsidRDefault="003C788E" w:rsidP="00DC20DD">
            <w:pPr>
              <w:spacing w:after="0" w:line="240" w:lineRule="auto"/>
              <w:jc w:val="both"/>
              <w:rPr>
                <w:rFonts w:ascii="Arial" w:hAnsi="Arial" w:cs="Arial"/>
                <w:sz w:val="18"/>
                <w:szCs w:val="20"/>
                <w:lang w:val="es-ES_tradnl"/>
              </w:rPr>
            </w:pPr>
            <w:r w:rsidRPr="003E1AD8">
              <w:rPr>
                <w:rFonts w:ascii="Arial" w:hAnsi="Arial" w:cs="Arial"/>
                <w:bCs/>
                <w:sz w:val="18"/>
                <w:szCs w:val="20"/>
                <w:lang w:val="es-ES_tradnl"/>
              </w:rPr>
              <w:t>Suministrar un servicio en condiciones de eficiencia</w:t>
            </w:r>
            <w:r w:rsidRPr="003E1AD8">
              <w:rPr>
                <w:rFonts w:ascii="Arial" w:hAnsi="Arial" w:cs="Arial"/>
                <w:sz w:val="18"/>
                <w:szCs w:val="20"/>
                <w:lang w:val="es-ES_tradnl"/>
              </w:rPr>
              <w:t>, desde el punto de vista de la oferta, buscando proveer los servicios con los menores costos posibles.</w:t>
            </w:r>
          </w:p>
        </w:tc>
        <w:tc>
          <w:tcPr>
            <w:tcW w:w="3940" w:type="dxa"/>
            <w:shd w:val="clear" w:color="auto" w:fill="auto"/>
          </w:tcPr>
          <w:p w14:paraId="37EDD840" w14:textId="116D0D15" w:rsidR="00B22473" w:rsidRDefault="00B22473" w:rsidP="00EC36F0">
            <w:pPr>
              <w:pStyle w:val="HTMLPreformatted"/>
              <w:shd w:val="clear" w:color="auto" w:fill="FFFFFF"/>
              <w:jc w:val="both"/>
              <w:rPr>
                <w:rFonts w:ascii="Arial" w:hAnsi="Arial" w:cs="Arial"/>
                <w:sz w:val="18"/>
                <w:lang w:val="es-ES_tradnl"/>
              </w:rPr>
            </w:pPr>
            <w:r>
              <w:rPr>
                <w:rFonts w:ascii="Arial" w:hAnsi="Arial" w:cs="Arial"/>
                <w:sz w:val="18"/>
                <w:lang w:val="es-ES_tradnl"/>
              </w:rPr>
              <w:t xml:space="preserve">Los costos del suministro eléctrico del Paraguay son relativamente bajos comparados con los parámetros de la región debido a que cuenta con abundante energía hidroeléctrica de bajo costo (tarifa residencial </w:t>
            </w:r>
            <w:r w:rsidR="00A0011C">
              <w:rPr>
                <w:rFonts w:ascii="Arial" w:hAnsi="Arial" w:cs="Arial"/>
                <w:sz w:val="18"/>
                <w:lang w:val="es-ES_tradnl"/>
              </w:rPr>
              <w:t>media de US$0.71/kWh).</w:t>
            </w:r>
            <w:r>
              <w:rPr>
                <w:rFonts w:ascii="Arial" w:hAnsi="Arial" w:cs="Arial"/>
                <w:sz w:val="18"/>
                <w:lang w:val="es-ES_tradnl"/>
              </w:rPr>
              <w:t xml:space="preserve"> </w:t>
            </w:r>
          </w:p>
          <w:p w14:paraId="11C8F590" w14:textId="77777777" w:rsidR="00B22473" w:rsidRDefault="00B22473" w:rsidP="00EC36F0">
            <w:pPr>
              <w:pStyle w:val="HTMLPreformatted"/>
              <w:shd w:val="clear" w:color="auto" w:fill="FFFFFF"/>
              <w:jc w:val="both"/>
              <w:rPr>
                <w:rFonts w:ascii="Arial" w:hAnsi="Arial" w:cs="Arial"/>
                <w:sz w:val="18"/>
                <w:lang w:val="es-ES_tradnl"/>
              </w:rPr>
            </w:pPr>
          </w:p>
          <w:p w14:paraId="64C9FFAE" w14:textId="5BA75038" w:rsidR="001732DC" w:rsidRDefault="00A0011C" w:rsidP="00EC36F0">
            <w:pPr>
              <w:pStyle w:val="HTMLPreformatted"/>
              <w:shd w:val="clear" w:color="auto" w:fill="FFFFFF"/>
              <w:jc w:val="both"/>
              <w:rPr>
                <w:rFonts w:ascii="Arial" w:hAnsi="Arial" w:cs="Arial"/>
                <w:sz w:val="18"/>
                <w:lang w:val="es-ES_tradnl"/>
              </w:rPr>
            </w:pPr>
            <w:proofErr w:type="gramStart"/>
            <w:r>
              <w:rPr>
                <w:rFonts w:ascii="Arial" w:hAnsi="Arial" w:cs="Arial"/>
                <w:sz w:val="18"/>
                <w:lang w:val="es-ES_tradnl"/>
              </w:rPr>
              <w:t>De acuerdo al</w:t>
            </w:r>
            <w:proofErr w:type="gramEnd"/>
            <w:r>
              <w:rPr>
                <w:rFonts w:ascii="Arial" w:hAnsi="Arial" w:cs="Arial"/>
                <w:sz w:val="18"/>
                <w:lang w:val="es-ES_tradnl"/>
              </w:rPr>
              <w:t xml:space="preserve"> </w:t>
            </w:r>
            <w:r w:rsidR="00D37372">
              <w:rPr>
                <w:rFonts w:ascii="Arial" w:hAnsi="Arial" w:cs="Arial"/>
                <w:sz w:val="18"/>
                <w:lang w:val="es-ES_tradnl"/>
              </w:rPr>
              <w:t xml:space="preserve">Decreto </w:t>
            </w:r>
            <w:r w:rsidR="001732DC">
              <w:rPr>
                <w:rFonts w:ascii="Arial" w:hAnsi="Arial" w:cs="Arial"/>
                <w:sz w:val="18"/>
                <w:lang w:val="es-ES_tradnl"/>
              </w:rPr>
              <w:t xml:space="preserve">Nº6092-2016 “Política Energética de la República de Paraguay”, la visión estratégica </w:t>
            </w:r>
            <w:r>
              <w:rPr>
                <w:rFonts w:ascii="Arial" w:hAnsi="Arial" w:cs="Arial"/>
                <w:sz w:val="18"/>
                <w:lang w:val="es-ES_tradnl"/>
              </w:rPr>
              <w:t xml:space="preserve">del sector </w:t>
            </w:r>
            <w:r w:rsidR="001732DC">
              <w:rPr>
                <w:rFonts w:ascii="Arial" w:hAnsi="Arial" w:cs="Arial"/>
                <w:sz w:val="18"/>
                <w:lang w:val="es-ES_tradnl"/>
              </w:rPr>
              <w:t xml:space="preserve">es atender las necesidades de energía de la población y de todos los sectores productivos, con criterios de calidad, responsabilidad socioambiental y eficiencia.  En virtud de la visión de esta política, resaltan objetivos superiores tales como: garantizar la seguridad energética con criterios de autoabastecimiento, </w:t>
            </w:r>
            <w:r w:rsidR="001732DC" w:rsidRPr="001732DC">
              <w:rPr>
                <w:rFonts w:ascii="Arial" w:hAnsi="Arial" w:cs="Arial"/>
                <w:sz w:val="18"/>
                <w:u w:val="single"/>
                <w:lang w:val="es-ES_tradnl"/>
              </w:rPr>
              <w:t>eficiencia, mínimo costo</w:t>
            </w:r>
            <w:r w:rsidR="001732DC">
              <w:rPr>
                <w:rFonts w:ascii="Arial" w:hAnsi="Arial" w:cs="Arial"/>
                <w:sz w:val="18"/>
                <w:lang w:val="es-ES_tradnl"/>
              </w:rPr>
              <w:t xml:space="preserve">, con responsabilidad socioambiental, que acompañe el desarrollo del país; y asegurar el acceso a la energía de calidad a toda la población con atención a los derechos del consumidor. </w:t>
            </w:r>
          </w:p>
          <w:p w14:paraId="49253BE1" w14:textId="77777777" w:rsidR="001732DC" w:rsidRDefault="001732DC" w:rsidP="00EC36F0">
            <w:pPr>
              <w:pStyle w:val="HTMLPreformatted"/>
              <w:shd w:val="clear" w:color="auto" w:fill="FFFFFF"/>
              <w:jc w:val="both"/>
              <w:rPr>
                <w:rFonts w:ascii="Arial" w:hAnsi="Arial" w:cs="Arial"/>
                <w:sz w:val="18"/>
                <w:lang w:val="es-ES_tradnl"/>
              </w:rPr>
            </w:pPr>
          </w:p>
          <w:p w14:paraId="550778E2" w14:textId="520DDF47" w:rsidR="003F4646" w:rsidRDefault="00A0011C" w:rsidP="00EC36F0">
            <w:pPr>
              <w:pStyle w:val="HTMLPreformatted"/>
              <w:shd w:val="clear" w:color="auto" w:fill="FFFFFF"/>
              <w:jc w:val="both"/>
              <w:rPr>
                <w:rFonts w:ascii="Arial" w:hAnsi="Arial" w:cs="Arial"/>
                <w:sz w:val="18"/>
                <w:lang w:val="es-ES_tradnl"/>
              </w:rPr>
            </w:pPr>
            <w:r>
              <w:rPr>
                <w:rFonts w:ascii="Arial" w:hAnsi="Arial" w:cs="Arial"/>
                <w:sz w:val="18"/>
                <w:lang w:val="es-ES_tradnl"/>
              </w:rPr>
              <w:t xml:space="preserve">El </w:t>
            </w:r>
            <w:r w:rsidR="003F4646">
              <w:rPr>
                <w:rFonts w:ascii="Arial" w:hAnsi="Arial" w:cs="Arial"/>
                <w:sz w:val="18"/>
                <w:lang w:val="es-ES_tradnl"/>
              </w:rPr>
              <w:t xml:space="preserve">programa </w:t>
            </w:r>
            <w:r w:rsidR="00827B1A">
              <w:rPr>
                <w:rFonts w:ascii="Arial" w:hAnsi="Arial" w:cs="Arial"/>
                <w:sz w:val="18"/>
                <w:lang w:val="es-ES_tradnl"/>
              </w:rPr>
              <w:t>apoyará a la ANDE en la rehabilitación y modernización de sus activos de generación eléctrica de tal manera que pueda brindar un servicio eficiente de</w:t>
            </w:r>
            <w:r w:rsidR="001732DC">
              <w:rPr>
                <w:rFonts w:ascii="Arial" w:hAnsi="Arial" w:cs="Arial"/>
                <w:sz w:val="18"/>
                <w:lang w:val="es-ES_tradnl"/>
              </w:rPr>
              <w:t xml:space="preserve"> la</w:t>
            </w:r>
            <w:r w:rsidR="00827B1A">
              <w:rPr>
                <w:rFonts w:ascii="Arial" w:hAnsi="Arial" w:cs="Arial"/>
                <w:sz w:val="18"/>
                <w:lang w:val="es-ES_tradnl"/>
              </w:rPr>
              <w:t xml:space="preserve"> oferta eléctrica de manera segura y costo-eficiente</w:t>
            </w:r>
            <w:r w:rsidR="003F4646">
              <w:rPr>
                <w:rFonts w:ascii="Arial" w:hAnsi="Arial" w:cs="Arial"/>
                <w:sz w:val="18"/>
                <w:lang w:val="es-ES_tradnl"/>
              </w:rPr>
              <w:t>.</w:t>
            </w:r>
          </w:p>
          <w:p w14:paraId="21848309" w14:textId="5BD9FE8E" w:rsidR="005973CA" w:rsidRPr="003E1AD8" w:rsidRDefault="005973CA" w:rsidP="00EC36F0">
            <w:pPr>
              <w:pStyle w:val="HTMLPreformatted"/>
              <w:shd w:val="clear" w:color="auto" w:fill="FFFFFF"/>
              <w:jc w:val="both"/>
              <w:rPr>
                <w:rFonts w:ascii="Arial" w:hAnsi="Arial" w:cs="Arial"/>
                <w:sz w:val="18"/>
                <w:lang w:val="es-ES_tradnl"/>
              </w:rPr>
            </w:pPr>
          </w:p>
        </w:tc>
      </w:tr>
      <w:tr w:rsidR="005973CA" w:rsidRPr="00D818E2" w14:paraId="7BDF26B8" w14:textId="77777777" w:rsidTr="00DB1998">
        <w:trPr>
          <w:jc w:val="center"/>
        </w:trPr>
        <w:tc>
          <w:tcPr>
            <w:tcW w:w="1619" w:type="dxa"/>
            <w:tcBorders>
              <w:bottom w:val="single" w:sz="4" w:space="0" w:color="auto"/>
            </w:tcBorders>
            <w:shd w:val="clear" w:color="auto" w:fill="auto"/>
          </w:tcPr>
          <w:p w14:paraId="6CBB8F48" w14:textId="5FB9895C" w:rsidR="00234A41" w:rsidRPr="003E1AD8" w:rsidRDefault="003C788E" w:rsidP="000E2130">
            <w:pPr>
              <w:spacing w:after="0"/>
              <w:rPr>
                <w:rFonts w:ascii="Arial" w:hAnsi="Arial" w:cs="Arial"/>
                <w:b/>
                <w:bCs/>
                <w:sz w:val="18"/>
                <w:szCs w:val="20"/>
                <w:lang w:val="es-ES_tradnl"/>
              </w:rPr>
            </w:pPr>
            <w:r w:rsidRPr="003E1AD8">
              <w:rPr>
                <w:rFonts w:ascii="Arial" w:hAnsi="Arial" w:cs="Arial"/>
                <w:b/>
                <w:bCs/>
                <w:sz w:val="18"/>
                <w:szCs w:val="20"/>
                <w:lang w:val="es-ES_tradnl"/>
              </w:rPr>
              <w:t>Generar incentivos adecuados a la demanda de los servicios.</w:t>
            </w:r>
          </w:p>
        </w:tc>
        <w:tc>
          <w:tcPr>
            <w:tcW w:w="4121" w:type="dxa"/>
            <w:tcBorders>
              <w:bottom w:val="single" w:sz="4" w:space="0" w:color="auto"/>
            </w:tcBorders>
            <w:shd w:val="clear" w:color="auto" w:fill="auto"/>
          </w:tcPr>
          <w:p w14:paraId="7274B6E9" w14:textId="27403815" w:rsidR="00234A41" w:rsidRPr="003E1AD8" w:rsidRDefault="003C788E" w:rsidP="00DC20DD">
            <w:pPr>
              <w:spacing w:after="0" w:line="240" w:lineRule="auto"/>
              <w:jc w:val="both"/>
              <w:rPr>
                <w:rFonts w:ascii="Arial" w:hAnsi="Arial" w:cs="Arial"/>
                <w:sz w:val="18"/>
                <w:szCs w:val="20"/>
                <w:lang w:val="es-ES_tradnl"/>
              </w:rPr>
            </w:pPr>
            <w:r w:rsidRPr="003E1AD8">
              <w:rPr>
                <w:rFonts w:ascii="Arial" w:hAnsi="Arial" w:cs="Arial"/>
                <w:sz w:val="18"/>
                <w:szCs w:val="20"/>
                <w:lang w:val="es-ES_tradnl"/>
              </w:rPr>
              <w:t>Generar incentivos adecuados a la demanda de los servicios, para que los usuarios hagan un uso de éstos compatible con su sostenibilidad económica, financiera y ambiental.</w:t>
            </w:r>
          </w:p>
        </w:tc>
        <w:tc>
          <w:tcPr>
            <w:tcW w:w="3940" w:type="dxa"/>
            <w:tcBorders>
              <w:bottom w:val="single" w:sz="4" w:space="0" w:color="auto"/>
            </w:tcBorders>
            <w:shd w:val="clear" w:color="auto" w:fill="auto"/>
          </w:tcPr>
          <w:p w14:paraId="289AF53A" w14:textId="791119BE" w:rsidR="005973CA" w:rsidRDefault="005973CA" w:rsidP="00DC20DD">
            <w:pPr>
              <w:spacing w:after="0" w:line="240" w:lineRule="auto"/>
              <w:jc w:val="both"/>
              <w:rPr>
                <w:rFonts w:ascii="Arial" w:hAnsi="Arial" w:cs="Arial"/>
                <w:sz w:val="18"/>
                <w:szCs w:val="20"/>
                <w:lang w:val="es-ES_tradnl"/>
              </w:rPr>
            </w:pPr>
            <w:r>
              <w:rPr>
                <w:rFonts w:ascii="Arial" w:hAnsi="Arial" w:cs="Arial"/>
                <w:sz w:val="18"/>
                <w:szCs w:val="20"/>
                <w:lang w:val="es-ES_tradnl"/>
              </w:rPr>
              <w:t xml:space="preserve">El cuadro tarifario vigente establece precios diferenciados según el horario para los grandes consumidores generando incentivos para el consumo en horas fuera de punta. La tarifa industrial media es sustancialmente inferior a la tarifa residencial (US$0.51/kWh vs US$0.71/kWh) lo cual incentiva el aprovechamiento de la abundante energía limpia disponible. Asimismo, hay normativas específicas para incentivas la instalación de industrias electro-intensivas. </w:t>
            </w:r>
          </w:p>
          <w:p w14:paraId="0D83E434" w14:textId="77777777" w:rsidR="005973CA" w:rsidRDefault="005973CA" w:rsidP="00DC20DD">
            <w:pPr>
              <w:spacing w:after="0" w:line="240" w:lineRule="auto"/>
              <w:jc w:val="both"/>
              <w:rPr>
                <w:rFonts w:ascii="Arial" w:hAnsi="Arial" w:cs="Arial"/>
                <w:sz w:val="18"/>
                <w:szCs w:val="20"/>
                <w:lang w:val="es-ES_tradnl"/>
              </w:rPr>
            </w:pPr>
          </w:p>
          <w:p w14:paraId="74DF3C76" w14:textId="4DAE08F8" w:rsidR="00234A41" w:rsidRDefault="005C1754" w:rsidP="00DC20DD">
            <w:pPr>
              <w:spacing w:after="0" w:line="240" w:lineRule="auto"/>
              <w:jc w:val="both"/>
              <w:rPr>
                <w:rFonts w:ascii="Arial" w:hAnsi="Arial" w:cs="Arial"/>
                <w:sz w:val="18"/>
                <w:szCs w:val="20"/>
                <w:lang w:val="es-ES_tradnl"/>
              </w:rPr>
            </w:pPr>
            <w:r>
              <w:rPr>
                <w:rFonts w:ascii="Arial" w:hAnsi="Arial" w:cs="Arial"/>
                <w:sz w:val="18"/>
                <w:szCs w:val="20"/>
                <w:lang w:val="es-ES_tradnl"/>
              </w:rPr>
              <w:t xml:space="preserve">La Ley </w:t>
            </w:r>
            <w:proofErr w:type="spellStart"/>
            <w:r>
              <w:rPr>
                <w:rFonts w:ascii="Arial" w:hAnsi="Arial" w:cs="Arial"/>
                <w:sz w:val="18"/>
                <w:szCs w:val="20"/>
                <w:lang w:val="es-ES_tradnl"/>
              </w:rPr>
              <w:t>Nº</w:t>
            </w:r>
            <w:proofErr w:type="spellEnd"/>
            <w:r>
              <w:rPr>
                <w:rFonts w:ascii="Arial" w:hAnsi="Arial" w:cs="Arial"/>
                <w:sz w:val="18"/>
                <w:szCs w:val="20"/>
                <w:lang w:val="es-ES_tradnl"/>
              </w:rPr>
              <w:t xml:space="preserve"> 60/90 que establece el régimen de incentivos fiscales para la inversión de capital de origen nacional o extranjero, </w:t>
            </w:r>
            <w:r w:rsidR="001D0436">
              <w:rPr>
                <w:rFonts w:ascii="Arial" w:hAnsi="Arial" w:cs="Arial"/>
                <w:sz w:val="18"/>
                <w:szCs w:val="20"/>
                <w:lang w:val="es-ES_tradnl"/>
              </w:rPr>
              <w:t xml:space="preserve">tiene entre </w:t>
            </w:r>
            <w:r w:rsidR="001D0436">
              <w:rPr>
                <w:rFonts w:ascii="Arial" w:hAnsi="Arial" w:cs="Arial"/>
                <w:sz w:val="18"/>
                <w:szCs w:val="20"/>
                <w:lang w:val="es-ES_tradnl"/>
              </w:rPr>
              <w:lastRenderedPageBreak/>
              <w:t>sus objetivos la incorporación de tecnologías que permitan aumentar la eficiencia productiva y posibiliten la mayor y mejor utilización de materias primas, mano de obra y recursos energéticos nacionales.</w:t>
            </w:r>
          </w:p>
          <w:p w14:paraId="6B497374" w14:textId="331F72E7" w:rsidR="001D0436" w:rsidRPr="003E1AD8" w:rsidRDefault="001D0436">
            <w:pPr>
              <w:spacing w:after="0" w:line="240" w:lineRule="auto"/>
              <w:jc w:val="both"/>
              <w:rPr>
                <w:rFonts w:ascii="Arial" w:hAnsi="Arial" w:cs="Arial"/>
                <w:sz w:val="18"/>
                <w:szCs w:val="20"/>
                <w:lang w:val="es-ES_tradnl"/>
              </w:rPr>
            </w:pPr>
          </w:p>
        </w:tc>
      </w:tr>
      <w:tr w:rsidR="00234A41" w:rsidRPr="00D818E2" w14:paraId="5A0ED909" w14:textId="77777777" w:rsidTr="00EC36F0">
        <w:trPr>
          <w:trHeight w:val="287"/>
          <w:jc w:val="center"/>
        </w:trPr>
        <w:tc>
          <w:tcPr>
            <w:tcW w:w="9680" w:type="dxa"/>
            <w:gridSpan w:val="3"/>
            <w:tcBorders>
              <w:bottom w:val="single" w:sz="4" w:space="0" w:color="auto"/>
            </w:tcBorders>
            <w:shd w:val="clear" w:color="auto" w:fill="C0C0C0"/>
            <w:vAlign w:val="center"/>
          </w:tcPr>
          <w:p w14:paraId="3ADD623F" w14:textId="749CDA5B" w:rsidR="00234A41" w:rsidRPr="003E1AD8" w:rsidRDefault="003C788E" w:rsidP="00EC36F0">
            <w:pPr>
              <w:spacing w:after="0"/>
              <w:rPr>
                <w:rFonts w:ascii="Arial" w:hAnsi="Arial" w:cs="Arial"/>
                <w:b/>
                <w:sz w:val="18"/>
                <w:szCs w:val="20"/>
                <w:lang w:val="es-ES_tradnl"/>
              </w:rPr>
            </w:pPr>
            <w:r w:rsidRPr="003E1AD8">
              <w:rPr>
                <w:rFonts w:ascii="Arial" w:hAnsi="Arial" w:cs="Arial"/>
                <w:b/>
                <w:sz w:val="18"/>
                <w:szCs w:val="20"/>
                <w:lang w:val="es-ES_tradnl"/>
              </w:rPr>
              <w:lastRenderedPageBreak/>
              <w:t>Objetivo</w:t>
            </w:r>
            <w:r w:rsidR="00234A41" w:rsidRPr="003E1AD8">
              <w:rPr>
                <w:rFonts w:ascii="Arial" w:hAnsi="Arial" w:cs="Arial"/>
                <w:b/>
                <w:sz w:val="18"/>
                <w:szCs w:val="20"/>
                <w:lang w:val="es-ES_tradnl"/>
              </w:rPr>
              <w:t>:</w:t>
            </w:r>
            <w:r w:rsidR="00234A41" w:rsidRPr="003E1AD8">
              <w:rPr>
                <w:rFonts w:ascii="Arial" w:hAnsi="Arial" w:cs="Arial"/>
                <w:sz w:val="18"/>
                <w:szCs w:val="20"/>
                <w:lang w:val="es-ES_tradnl"/>
              </w:rPr>
              <w:t xml:space="preserve"> </w:t>
            </w:r>
            <w:r w:rsidRPr="003E1AD8">
              <w:rPr>
                <w:rFonts w:ascii="Arial" w:hAnsi="Arial" w:cs="Arial"/>
                <w:sz w:val="18"/>
                <w:szCs w:val="20"/>
                <w:lang w:val="es-ES_tradnl"/>
              </w:rPr>
              <w:t>El alcance de la sostenibilidad de los servicios públicos domiciliarios se promoverá en función de tres pilares:</w:t>
            </w:r>
          </w:p>
        </w:tc>
      </w:tr>
      <w:tr w:rsidR="005973CA" w:rsidRPr="00D818E2" w14:paraId="20088672" w14:textId="77777777" w:rsidTr="00DB1998">
        <w:trPr>
          <w:jc w:val="center"/>
        </w:trPr>
        <w:tc>
          <w:tcPr>
            <w:tcW w:w="1619" w:type="dxa"/>
            <w:tcBorders>
              <w:bottom w:val="single" w:sz="4" w:space="0" w:color="auto"/>
            </w:tcBorders>
            <w:shd w:val="clear" w:color="auto" w:fill="auto"/>
          </w:tcPr>
          <w:p w14:paraId="06A9196C" w14:textId="6770F8E1" w:rsidR="00234A41" w:rsidRPr="003E1AD8" w:rsidRDefault="003C788E" w:rsidP="000E2130">
            <w:pPr>
              <w:spacing w:after="0"/>
              <w:rPr>
                <w:rFonts w:ascii="Arial" w:hAnsi="Arial" w:cs="Arial"/>
                <w:b/>
                <w:bCs/>
                <w:sz w:val="18"/>
                <w:szCs w:val="20"/>
              </w:rPr>
            </w:pPr>
            <w:proofErr w:type="spellStart"/>
            <w:r w:rsidRPr="003E1AD8">
              <w:rPr>
                <w:rFonts w:ascii="Arial" w:hAnsi="Arial" w:cs="Arial"/>
                <w:b/>
                <w:spacing w:val="1"/>
                <w:sz w:val="18"/>
                <w:szCs w:val="20"/>
              </w:rPr>
              <w:t>Sostenibilidad</w:t>
            </w:r>
            <w:proofErr w:type="spellEnd"/>
            <w:r w:rsidRPr="003E1AD8">
              <w:rPr>
                <w:rFonts w:ascii="Arial" w:hAnsi="Arial" w:cs="Arial"/>
                <w:b/>
                <w:spacing w:val="1"/>
                <w:sz w:val="18"/>
                <w:szCs w:val="20"/>
              </w:rPr>
              <w:t xml:space="preserve"> </w:t>
            </w:r>
            <w:proofErr w:type="spellStart"/>
            <w:r w:rsidRPr="003E1AD8">
              <w:rPr>
                <w:rFonts w:ascii="Arial" w:hAnsi="Arial" w:cs="Arial"/>
                <w:b/>
                <w:spacing w:val="1"/>
                <w:sz w:val="18"/>
                <w:szCs w:val="20"/>
              </w:rPr>
              <w:t>financier</w:t>
            </w:r>
            <w:r w:rsidR="0044730F" w:rsidRPr="003E1AD8">
              <w:rPr>
                <w:rFonts w:ascii="Arial" w:hAnsi="Arial" w:cs="Arial"/>
                <w:b/>
                <w:spacing w:val="1"/>
                <w:sz w:val="18"/>
                <w:szCs w:val="20"/>
              </w:rPr>
              <w:t>a</w:t>
            </w:r>
            <w:proofErr w:type="spellEnd"/>
            <w:r w:rsidR="0044730F" w:rsidRPr="003E1AD8">
              <w:rPr>
                <w:rFonts w:ascii="Arial" w:hAnsi="Arial" w:cs="Arial"/>
                <w:b/>
                <w:spacing w:val="1"/>
                <w:sz w:val="18"/>
                <w:szCs w:val="20"/>
              </w:rPr>
              <w:t>.</w:t>
            </w:r>
          </w:p>
        </w:tc>
        <w:tc>
          <w:tcPr>
            <w:tcW w:w="4121" w:type="dxa"/>
            <w:tcBorders>
              <w:bottom w:val="single" w:sz="4" w:space="0" w:color="auto"/>
            </w:tcBorders>
            <w:shd w:val="clear" w:color="auto" w:fill="auto"/>
          </w:tcPr>
          <w:p w14:paraId="75F62399" w14:textId="66D59BA2" w:rsidR="00234A41" w:rsidRPr="003E1AD8" w:rsidRDefault="003C788E" w:rsidP="00DC20DD">
            <w:pPr>
              <w:spacing w:after="0" w:line="240" w:lineRule="auto"/>
              <w:jc w:val="both"/>
              <w:rPr>
                <w:rFonts w:ascii="Arial" w:hAnsi="Arial" w:cs="Arial"/>
                <w:sz w:val="18"/>
                <w:szCs w:val="20"/>
                <w:lang w:val="es-ES_tradnl"/>
              </w:rPr>
            </w:pPr>
            <w:r w:rsidRPr="003E1AD8">
              <w:rPr>
                <w:rFonts w:ascii="Arial" w:eastAsia="Times New Roman" w:hAnsi="Arial" w:cs="Arial"/>
                <w:color w:val="auto"/>
                <w:sz w:val="18"/>
                <w:szCs w:val="20"/>
                <w:lang w:val="es-ES_tradnl"/>
              </w:rPr>
              <w:t>Procurando contar con suficientes ingresos por la prestación del servicio al usuario, con los aportes de la comunidad y con los aportes directos del gobierno que permitan cubrir los costos eficientes de prestación del servicio.</w:t>
            </w:r>
          </w:p>
        </w:tc>
        <w:tc>
          <w:tcPr>
            <w:tcW w:w="3940" w:type="dxa"/>
            <w:tcBorders>
              <w:bottom w:val="single" w:sz="4" w:space="0" w:color="auto"/>
            </w:tcBorders>
            <w:shd w:val="clear" w:color="auto" w:fill="auto"/>
          </w:tcPr>
          <w:p w14:paraId="5856E5B3" w14:textId="759A007A" w:rsidR="00234A41" w:rsidRDefault="005973CA" w:rsidP="00DC20DD">
            <w:pPr>
              <w:spacing w:after="0" w:line="240" w:lineRule="auto"/>
              <w:jc w:val="both"/>
              <w:rPr>
                <w:rFonts w:ascii="Arial" w:hAnsi="Arial" w:cs="Arial"/>
                <w:sz w:val="18"/>
                <w:szCs w:val="20"/>
                <w:lang w:val="es-ES_tradnl"/>
              </w:rPr>
            </w:pPr>
            <w:r>
              <w:rPr>
                <w:rFonts w:ascii="Arial" w:hAnsi="Arial" w:cs="Arial"/>
                <w:sz w:val="18"/>
                <w:szCs w:val="20"/>
                <w:lang w:val="es-ES_tradnl"/>
              </w:rPr>
              <w:t xml:space="preserve">ANDE no recibe subsidios del Estado. Las tarifas de ANDE cubren el costo de la provisión del servicio. </w:t>
            </w:r>
          </w:p>
          <w:p w14:paraId="301144A1" w14:textId="21829527" w:rsidR="005973CA" w:rsidRDefault="005973CA" w:rsidP="00DC20DD">
            <w:pPr>
              <w:spacing w:after="0" w:line="240" w:lineRule="auto"/>
              <w:jc w:val="both"/>
              <w:rPr>
                <w:rFonts w:ascii="Arial" w:hAnsi="Arial" w:cs="Arial"/>
                <w:sz w:val="18"/>
                <w:szCs w:val="20"/>
                <w:lang w:val="es-ES_tradnl"/>
              </w:rPr>
            </w:pPr>
          </w:p>
          <w:p w14:paraId="7C450531" w14:textId="77777777" w:rsidR="009F50CD" w:rsidRDefault="005973CA" w:rsidP="00DC20DD">
            <w:pPr>
              <w:spacing w:after="0" w:line="240" w:lineRule="auto"/>
              <w:jc w:val="both"/>
              <w:rPr>
                <w:rFonts w:ascii="Arial" w:hAnsi="Arial" w:cs="Arial"/>
                <w:sz w:val="18"/>
                <w:szCs w:val="20"/>
                <w:lang w:val="es-ES_tradnl"/>
              </w:rPr>
            </w:pPr>
            <w:r>
              <w:rPr>
                <w:rFonts w:ascii="Arial" w:hAnsi="Arial" w:cs="Arial"/>
                <w:sz w:val="18"/>
                <w:szCs w:val="20"/>
                <w:lang w:val="es-ES_tradnl"/>
              </w:rPr>
              <w:t>Las tarifas no fueron ajustadas en el período 2002 a 2017</w:t>
            </w:r>
            <w:r w:rsidR="009F50CD">
              <w:rPr>
                <w:rFonts w:ascii="Arial" w:hAnsi="Arial" w:cs="Arial"/>
                <w:sz w:val="18"/>
                <w:szCs w:val="20"/>
                <w:lang w:val="es-ES_tradnl"/>
              </w:rPr>
              <w:t xml:space="preserve">. Los ingresos eran suficientes para cubrir los costos de operación, incluyendo pagos de impuestos, aranceles de importación y aportes inter-institucionales al fisco. </w:t>
            </w:r>
          </w:p>
          <w:p w14:paraId="36ADF0C5" w14:textId="297C7B90" w:rsidR="009F50CD" w:rsidRDefault="009F50CD" w:rsidP="00DC20DD">
            <w:pPr>
              <w:spacing w:after="0" w:line="240" w:lineRule="auto"/>
              <w:jc w:val="both"/>
              <w:rPr>
                <w:rFonts w:ascii="Arial" w:hAnsi="Arial" w:cs="Arial"/>
                <w:sz w:val="18"/>
                <w:szCs w:val="20"/>
                <w:lang w:val="es-ES_tradnl"/>
              </w:rPr>
            </w:pPr>
          </w:p>
          <w:p w14:paraId="39CD9528" w14:textId="4071BF3B" w:rsidR="009F50CD" w:rsidRDefault="009F50CD" w:rsidP="00DC20DD">
            <w:pPr>
              <w:spacing w:after="0" w:line="240" w:lineRule="auto"/>
              <w:jc w:val="both"/>
              <w:rPr>
                <w:rFonts w:ascii="Arial" w:hAnsi="Arial" w:cs="Arial"/>
                <w:sz w:val="18"/>
                <w:szCs w:val="20"/>
                <w:lang w:val="es-ES_tradnl"/>
              </w:rPr>
            </w:pPr>
            <w:r>
              <w:rPr>
                <w:rFonts w:ascii="Arial" w:hAnsi="Arial" w:cs="Arial"/>
                <w:sz w:val="18"/>
                <w:szCs w:val="20"/>
                <w:lang w:val="es-ES_tradnl"/>
              </w:rPr>
              <w:t xml:space="preserve">Sin embargo, debido al aumento del ritmo de las inversiones </w:t>
            </w:r>
            <w:proofErr w:type="gramStart"/>
            <w:r>
              <w:rPr>
                <w:rFonts w:ascii="Arial" w:hAnsi="Arial" w:cs="Arial"/>
                <w:sz w:val="18"/>
                <w:szCs w:val="20"/>
                <w:lang w:val="es-ES_tradnl"/>
              </w:rPr>
              <w:t>y</w:t>
            </w:r>
            <w:proofErr w:type="gramEnd"/>
            <w:r>
              <w:rPr>
                <w:rFonts w:ascii="Arial" w:hAnsi="Arial" w:cs="Arial"/>
                <w:sz w:val="18"/>
                <w:szCs w:val="20"/>
                <w:lang w:val="es-ES_tradnl"/>
              </w:rPr>
              <w:t xml:space="preserve"> por ende, el aumento del endeudamiento, en 2016 los ingresos de ANDE no fueron suficientes para cubrir sus gastos. Como consecuencia en </w:t>
            </w:r>
            <w:r w:rsidR="007F3C5B">
              <w:rPr>
                <w:rFonts w:ascii="Arial" w:hAnsi="Arial" w:cs="Arial"/>
                <w:sz w:val="18"/>
                <w:szCs w:val="20"/>
                <w:lang w:val="es-ES_tradnl"/>
              </w:rPr>
              <w:t>a</w:t>
            </w:r>
            <w:r>
              <w:rPr>
                <w:rFonts w:ascii="Arial" w:hAnsi="Arial" w:cs="Arial"/>
                <w:sz w:val="18"/>
                <w:szCs w:val="20"/>
                <w:lang w:val="es-ES_tradnl"/>
              </w:rPr>
              <w:t>bril del 2017 se ajustaron las tarifas con lo cual los resultados financieros del 2017 fueron positivos. No se ajustaron las tarifas residenciales de consumo inferiores a 300kW/mes.</w:t>
            </w:r>
          </w:p>
          <w:p w14:paraId="0F3DFC68" w14:textId="77777777" w:rsidR="009F50CD" w:rsidRDefault="009F50CD" w:rsidP="00DC20DD">
            <w:pPr>
              <w:spacing w:after="0" w:line="240" w:lineRule="auto"/>
              <w:jc w:val="both"/>
              <w:rPr>
                <w:rFonts w:ascii="Arial" w:hAnsi="Arial" w:cs="Arial"/>
                <w:sz w:val="18"/>
                <w:szCs w:val="20"/>
                <w:lang w:val="es-ES_tradnl"/>
              </w:rPr>
            </w:pPr>
          </w:p>
          <w:p w14:paraId="75CE9147" w14:textId="66C2231B" w:rsidR="009F50CD" w:rsidRDefault="004F316A" w:rsidP="00DC20DD">
            <w:pPr>
              <w:spacing w:after="0" w:line="240" w:lineRule="auto"/>
              <w:jc w:val="both"/>
              <w:rPr>
                <w:rFonts w:ascii="Arial" w:hAnsi="Arial" w:cs="Arial"/>
                <w:sz w:val="18"/>
                <w:szCs w:val="20"/>
                <w:lang w:val="es-ES_tradnl"/>
              </w:rPr>
            </w:pPr>
            <w:r>
              <w:rPr>
                <w:rFonts w:ascii="Arial" w:hAnsi="Arial" w:cs="Arial"/>
                <w:sz w:val="18"/>
                <w:szCs w:val="20"/>
                <w:lang w:val="es-ES_tradnl"/>
              </w:rPr>
              <w:t xml:space="preserve">La evaluación financiera del programa </w:t>
            </w:r>
            <w:r w:rsidR="009F50CD">
              <w:rPr>
                <w:rFonts w:ascii="Arial" w:hAnsi="Arial" w:cs="Arial"/>
                <w:sz w:val="18"/>
                <w:szCs w:val="20"/>
                <w:lang w:val="es-ES_tradnl"/>
              </w:rPr>
              <w:t xml:space="preserve">de rehabilitación de la CHA </w:t>
            </w:r>
            <w:r w:rsidR="002D36C6">
              <w:rPr>
                <w:rFonts w:ascii="Arial" w:hAnsi="Arial" w:cs="Arial"/>
                <w:sz w:val="18"/>
                <w:szCs w:val="20"/>
                <w:lang w:val="es-ES_tradnl"/>
              </w:rPr>
              <w:t>es</w:t>
            </w:r>
            <w:r w:rsidR="009F50CD">
              <w:rPr>
                <w:rFonts w:ascii="Arial" w:hAnsi="Arial" w:cs="Arial"/>
                <w:sz w:val="18"/>
                <w:szCs w:val="20"/>
                <w:lang w:val="es-ES_tradnl"/>
              </w:rPr>
              <w:t xml:space="preserve"> positivo. </w:t>
            </w:r>
          </w:p>
          <w:p w14:paraId="78AD00E7" w14:textId="15DE0C30" w:rsidR="004F316A" w:rsidRPr="003E1AD8" w:rsidRDefault="004F316A" w:rsidP="00DC20DD">
            <w:pPr>
              <w:spacing w:after="0" w:line="240" w:lineRule="auto"/>
              <w:jc w:val="both"/>
              <w:rPr>
                <w:rFonts w:ascii="Arial" w:hAnsi="Arial" w:cs="Arial"/>
                <w:sz w:val="18"/>
                <w:szCs w:val="20"/>
                <w:lang w:val="es-ES_tradnl"/>
              </w:rPr>
            </w:pPr>
          </w:p>
        </w:tc>
      </w:tr>
      <w:tr w:rsidR="005973CA" w:rsidRPr="00D818E2" w14:paraId="3DEDA903" w14:textId="77777777" w:rsidTr="00DB1998">
        <w:trPr>
          <w:jc w:val="center"/>
        </w:trPr>
        <w:tc>
          <w:tcPr>
            <w:tcW w:w="1619" w:type="dxa"/>
            <w:tcBorders>
              <w:bottom w:val="single" w:sz="4" w:space="0" w:color="auto"/>
            </w:tcBorders>
            <w:shd w:val="clear" w:color="auto" w:fill="auto"/>
          </w:tcPr>
          <w:p w14:paraId="021A85E1" w14:textId="2F4BE2C1" w:rsidR="00234A41" w:rsidRPr="003E1AD8" w:rsidRDefault="003C788E" w:rsidP="000E2130">
            <w:pPr>
              <w:spacing w:after="0"/>
              <w:rPr>
                <w:rFonts w:ascii="Arial" w:hAnsi="Arial" w:cs="Arial"/>
                <w:b/>
                <w:bCs/>
                <w:sz w:val="18"/>
                <w:szCs w:val="20"/>
              </w:rPr>
            </w:pPr>
            <w:proofErr w:type="spellStart"/>
            <w:r w:rsidRPr="003E1AD8">
              <w:rPr>
                <w:rFonts w:ascii="Arial" w:hAnsi="Arial" w:cs="Arial"/>
                <w:b/>
                <w:spacing w:val="1"/>
                <w:sz w:val="18"/>
                <w:szCs w:val="20"/>
              </w:rPr>
              <w:t>Sostenibilidad</w:t>
            </w:r>
            <w:proofErr w:type="spellEnd"/>
            <w:r w:rsidRPr="003E1AD8">
              <w:rPr>
                <w:rFonts w:ascii="Arial" w:hAnsi="Arial" w:cs="Arial"/>
                <w:b/>
                <w:spacing w:val="1"/>
                <w:sz w:val="18"/>
                <w:szCs w:val="20"/>
              </w:rPr>
              <w:t xml:space="preserve"> </w:t>
            </w:r>
            <w:proofErr w:type="spellStart"/>
            <w:r w:rsidRPr="003E1AD8">
              <w:rPr>
                <w:rFonts w:ascii="Arial" w:hAnsi="Arial" w:cs="Arial"/>
                <w:b/>
                <w:spacing w:val="1"/>
                <w:sz w:val="18"/>
                <w:szCs w:val="20"/>
              </w:rPr>
              <w:t>ambiental</w:t>
            </w:r>
            <w:proofErr w:type="spellEnd"/>
            <w:r w:rsidRPr="003E1AD8">
              <w:rPr>
                <w:rFonts w:ascii="Arial" w:hAnsi="Arial" w:cs="Arial"/>
                <w:b/>
                <w:spacing w:val="1"/>
                <w:sz w:val="18"/>
                <w:szCs w:val="20"/>
              </w:rPr>
              <w:t>:</w:t>
            </w:r>
          </w:p>
        </w:tc>
        <w:tc>
          <w:tcPr>
            <w:tcW w:w="4121" w:type="dxa"/>
            <w:tcBorders>
              <w:bottom w:val="single" w:sz="4" w:space="0" w:color="auto"/>
            </w:tcBorders>
            <w:shd w:val="clear" w:color="auto" w:fill="auto"/>
          </w:tcPr>
          <w:p w14:paraId="5580F406" w14:textId="4CED6394" w:rsidR="00234A41" w:rsidRPr="003E1AD8" w:rsidRDefault="003C788E" w:rsidP="000E2130">
            <w:pPr>
              <w:spacing w:after="0"/>
              <w:jc w:val="both"/>
              <w:rPr>
                <w:rFonts w:ascii="Arial" w:hAnsi="Arial" w:cs="Arial"/>
                <w:sz w:val="18"/>
                <w:szCs w:val="20"/>
                <w:lang w:val="es-ES_tradnl"/>
              </w:rPr>
            </w:pPr>
            <w:r w:rsidRPr="003E1AD8">
              <w:rPr>
                <w:rFonts w:ascii="Arial" w:eastAsia="Times New Roman" w:hAnsi="Arial" w:cs="Arial"/>
                <w:color w:val="auto"/>
                <w:spacing w:val="-1"/>
                <w:sz w:val="18"/>
                <w:szCs w:val="20"/>
                <w:lang w:val="es-ES_tradnl"/>
              </w:rPr>
              <w:t>Apoyando que la selección, ejecución, operación y mantenimiento de los proyectos para prestar el servicio cumplan con las salvaguardias ambientales del Banco y contribuyan al desarrollo de una infraestructura con mayor resiliencia, considerando alternativas viables para mitigar el cambio climático.</w:t>
            </w:r>
          </w:p>
        </w:tc>
        <w:tc>
          <w:tcPr>
            <w:tcW w:w="3940" w:type="dxa"/>
            <w:tcBorders>
              <w:bottom w:val="single" w:sz="4" w:space="0" w:color="auto"/>
            </w:tcBorders>
            <w:shd w:val="clear" w:color="auto" w:fill="auto"/>
          </w:tcPr>
          <w:p w14:paraId="2AA80D93" w14:textId="2DFDA485" w:rsidR="00972DD7" w:rsidRDefault="00972DD7" w:rsidP="000E2130">
            <w:pPr>
              <w:pStyle w:val="Default"/>
              <w:jc w:val="both"/>
              <w:rPr>
                <w:rFonts w:ascii="Arial" w:hAnsi="Arial" w:cs="Arial"/>
                <w:sz w:val="18"/>
                <w:szCs w:val="20"/>
                <w:lang w:val="es-ES_tradnl"/>
              </w:rPr>
            </w:pPr>
            <w:r>
              <w:rPr>
                <w:rFonts w:ascii="Arial" w:hAnsi="Arial" w:cs="Arial"/>
                <w:sz w:val="18"/>
                <w:szCs w:val="20"/>
                <w:lang w:val="es-ES_tradnl"/>
              </w:rPr>
              <w:t>El Banco ha venido apoyando a la ANDE para fortalecer su gestión ambiental y social (PR-L1058). Entre otros, ha apoyado el proceso de disposición de material contaminante (PCB de transformadores en desuso).</w:t>
            </w:r>
          </w:p>
          <w:p w14:paraId="671D6968" w14:textId="77777777" w:rsidR="00972DD7" w:rsidRDefault="00972DD7" w:rsidP="000E2130">
            <w:pPr>
              <w:pStyle w:val="Default"/>
              <w:jc w:val="both"/>
              <w:rPr>
                <w:rFonts w:ascii="Arial" w:hAnsi="Arial" w:cs="Arial"/>
                <w:sz w:val="18"/>
                <w:szCs w:val="20"/>
                <w:lang w:val="es-ES_tradnl"/>
              </w:rPr>
            </w:pPr>
          </w:p>
          <w:p w14:paraId="03C7DE58" w14:textId="0E2DDD23" w:rsidR="00A05B52" w:rsidRDefault="008146AE" w:rsidP="000E2130">
            <w:pPr>
              <w:pStyle w:val="Default"/>
              <w:jc w:val="both"/>
              <w:rPr>
                <w:rFonts w:ascii="Arial" w:hAnsi="Arial" w:cs="Arial"/>
                <w:sz w:val="18"/>
                <w:szCs w:val="20"/>
                <w:lang w:val="es-ES_tradnl"/>
              </w:rPr>
            </w:pPr>
            <w:r>
              <w:rPr>
                <w:rFonts w:ascii="Arial" w:hAnsi="Arial" w:cs="Arial"/>
                <w:sz w:val="18"/>
                <w:szCs w:val="20"/>
                <w:lang w:val="es-ES_tradnl"/>
              </w:rPr>
              <w:t xml:space="preserve">El programa </w:t>
            </w:r>
            <w:r w:rsidR="00972DD7">
              <w:rPr>
                <w:rFonts w:ascii="Arial" w:hAnsi="Arial" w:cs="Arial"/>
                <w:sz w:val="18"/>
                <w:szCs w:val="20"/>
                <w:lang w:val="es-ES_tradnl"/>
              </w:rPr>
              <w:t xml:space="preserve">de rehabilitación de la CHA </w:t>
            </w:r>
            <w:r>
              <w:rPr>
                <w:rFonts w:ascii="Arial" w:hAnsi="Arial" w:cs="Arial"/>
                <w:sz w:val="18"/>
                <w:szCs w:val="20"/>
                <w:lang w:val="es-ES_tradnl"/>
              </w:rPr>
              <w:t>fue categorizado como “B”</w:t>
            </w:r>
            <w:r w:rsidR="00B81630">
              <w:rPr>
                <w:rFonts w:ascii="Arial" w:hAnsi="Arial" w:cs="Arial"/>
                <w:sz w:val="18"/>
                <w:szCs w:val="20"/>
                <w:lang w:val="es-ES_tradnl"/>
              </w:rPr>
              <w:t>, por lo que los impactos ambientales y sociales se esperan sean limitados y puedan ser fácilmente mitigados.</w:t>
            </w:r>
          </w:p>
          <w:p w14:paraId="73DCAE27" w14:textId="77777777" w:rsidR="00B81630" w:rsidRDefault="00B81630" w:rsidP="000E2130">
            <w:pPr>
              <w:pStyle w:val="Default"/>
              <w:jc w:val="both"/>
              <w:rPr>
                <w:rFonts w:ascii="Arial" w:hAnsi="Arial" w:cs="Arial"/>
                <w:sz w:val="18"/>
                <w:szCs w:val="20"/>
                <w:lang w:val="es-ES_tradnl"/>
              </w:rPr>
            </w:pPr>
          </w:p>
          <w:p w14:paraId="1D6B02A8" w14:textId="76A97697" w:rsidR="00B81630" w:rsidRDefault="00B81630" w:rsidP="000E2130">
            <w:pPr>
              <w:pStyle w:val="Default"/>
              <w:jc w:val="both"/>
              <w:rPr>
                <w:rFonts w:ascii="Arial" w:hAnsi="Arial" w:cs="Arial"/>
                <w:sz w:val="18"/>
                <w:szCs w:val="20"/>
                <w:lang w:val="es-ES_tradnl"/>
              </w:rPr>
            </w:pPr>
            <w:r w:rsidRPr="00B81630">
              <w:rPr>
                <w:rFonts w:ascii="Arial" w:hAnsi="Arial" w:cs="Arial"/>
                <w:sz w:val="18"/>
                <w:szCs w:val="20"/>
                <w:lang w:val="es-ES_tradnl"/>
              </w:rPr>
              <w:t>Para mitigar estos impactos y riesgos, como parte de la preparación del Programa se llevó a cabo un Análisis Ambiental y Social que establece programas de mitigación ambiental y social, incluyendo para la gestión de residuos y para la higiene y seguridad ocupacional. También fueron desarrollados estudios de seguridad de presas siguiendo las mejores prácticas internacionales</w:t>
            </w:r>
            <w:r w:rsidRPr="00B81630">
              <w:rPr>
                <w:rFonts w:ascii="Arial" w:hAnsi="Arial" w:cs="Arial"/>
                <w:sz w:val="18"/>
                <w:szCs w:val="20"/>
                <w:vertAlign w:val="superscript"/>
                <w:lang w:val="es-ES_tradnl"/>
              </w:rPr>
              <w:footnoteReference w:id="2"/>
            </w:r>
            <w:r w:rsidRPr="00B81630">
              <w:rPr>
                <w:rFonts w:ascii="Arial" w:hAnsi="Arial" w:cs="Arial"/>
                <w:sz w:val="18"/>
                <w:szCs w:val="20"/>
                <w:lang w:val="es-ES_tradnl"/>
              </w:rPr>
              <w:t xml:space="preserve"> incluyendo un plan de supervisión de los trabajos relacionados con el CHA, un plan para la actualización de los planes de operación y mantenimiento, un plan para el </w:t>
            </w:r>
            <w:r w:rsidRPr="00B81630">
              <w:rPr>
                <w:rFonts w:ascii="Arial" w:hAnsi="Arial" w:cs="Arial"/>
                <w:sz w:val="18"/>
                <w:szCs w:val="20"/>
                <w:lang w:val="es-ES_tradnl"/>
              </w:rPr>
              <w:lastRenderedPageBreak/>
              <w:t xml:space="preserve">mejoramiento de la instrumentación del CHA y una revisión </w:t>
            </w:r>
            <w:r w:rsidR="00972DD7">
              <w:rPr>
                <w:rFonts w:ascii="Arial" w:hAnsi="Arial" w:cs="Arial"/>
                <w:sz w:val="18"/>
                <w:szCs w:val="20"/>
                <w:lang w:val="es-ES_tradnl"/>
              </w:rPr>
              <w:t xml:space="preserve">y actualización </w:t>
            </w:r>
            <w:r w:rsidRPr="00B81630">
              <w:rPr>
                <w:rFonts w:ascii="Arial" w:hAnsi="Arial" w:cs="Arial"/>
                <w:sz w:val="18"/>
                <w:szCs w:val="20"/>
                <w:lang w:val="es-ES_tradnl"/>
              </w:rPr>
              <w:t>del Plan de Acción Durante Emergencias (PADE)</w:t>
            </w:r>
            <w:r>
              <w:rPr>
                <w:rFonts w:ascii="Arial" w:hAnsi="Arial" w:cs="Arial"/>
                <w:sz w:val="18"/>
                <w:szCs w:val="20"/>
                <w:lang w:val="es-ES_tradnl"/>
              </w:rPr>
              <w:t>.</w:t>
            </w:r>
          </w:p>
          <w:p w14:paraId="723031A6" w14:textId="57BA3408" w:rsidR="00972DD7" w:rsidRPr="003E1AD8" w:rsidRDefault="00972DD7" w:rsidP="000E2130">
            <w:pPr>
              <w:pStyle w:val="Default"/>
              <w:jc w:val="both"/>
              <w:rPr>
                <w:rFonts w:ascii="Arial" w:hAnsi="Arial" w:cs="Arial"/>
                <w:sz w:val="18"/>
                <w:szCs w:val="20"/>
                <w:lang w:val="es-ES_tradnl"/>
              </w:rPr>
            </w:pPr>
          </w:p>
        </w:tc>
      </w:tr>
      <w:tr w:rsidR="005973CA" w:rsidRPr="00D818E2" w14:paraId="3D62BFD7" w14:textId="77777777" w:rsidTr="00DB1998">
        <w:trPr>
          <w:jc w:val="center"/>
        </w:trPr>
        <w:tc>
          <w:tcPr>
            <w:tcW w:w="1619" w:type="dxa"/>
            <w:tcBorders>
              <w:bottom w:val="single" w:sz="4" w:space="0" w:color="auto"/>
            </w:tcBorders>
            <w:shd w:val="clear" w:color="auto" w:fill="auto"/>
          </w:tcPr>
          <w:p w14:paraId="6179ADBB" w14:textId="13EA0025" w:rsidR="00234A41" w:rsidRPr="003E1AD8" w:rsidRDefault="003C788E" w:rsidP="000E2130">
            <w:pPr>
              <w:spacing w:after="0"/>
              <w:rPr>
                <w:rFonts w:ascii="Arial" w:hAnsi="Arial" w:cs="Arial"/>
                <w:b/>
                <w:bCs/>
                <w:sz w:val="18"/>
                <w:szCs w:val="20"/>
              </w:rPr>
            </w:pPr>
            <w:proofErr w:type="spellStart"/>
            <w:r w:rsidRPr="003E1AD8">
              <w:rPr>
                <w:rFonts w:ascii="Arial" w:hAnsi="Arial" w:cs="Arial"/>
                <w:b/>
                <w:sz w:val="18"/>
                <w:szCs w:val="20"/>
              </w:rPr>
              <w:lastRenderedPageBreak/>
              <w:t>Sostenibilidad</w:t>
            </w:r>
            <w:proofErr w:type="spellEnd"/>
            <w:r w:rsidRPr="003E1AD8">
              <w:rPr>
                <w:rFonts w:ascii="Arial" w:hAnsi="Arial" w:cs="Arial"/>
                <w:b/>
                <w:sz w:val="18"/>
                <w:szCs w:val="20"/>
              </w:rPr>
              <w:t xml:space="preserve"> social:</w:t>
            </w:r>
          </w:p>
        </w:tc>
        <w:tc>
          <w:tcPr>
            <w:tcW w:w="4121" w:type="dxa"/>
            <w:tcBorders>
              <w:bottom w:val="single" w:sz="4" w:space="0" w:color="auto"/>
            </w:tcBorders>
            <w:shd w:val="clear" w:color="auto" w:fill="auto"/>
          </w:tcPr>
          <w:p w14:paraId="7DE8CCDC" w14:textId="4423ACBF" w:rsidR="00234A41" w:rsidRPr="003E1AD8" w:rsidRDefault="003C788E" w:rsidP="00DC20DD">
            <w:pPr>
              <w:spacing w:after="0" w:line="240" w:lineRule="auto"/>
              <w:jc w:val="both"/>
              <w:rPr>
                <w:rFonts w:ascii="Arial" w:hAnsi="Arial" w:cs="Arial"/>
                <w:sz w:val="18"/>
                <w:szCs w:val="20"/>
                <w:lang w:val="es-ES_tradnl"/>
              </w:rPr>
            </w:pPr>
            <w:r w:rsidRPr="003E1AD8">
              <w:rPr>
                <w:rFonts w:ascii="Arial" w:eastAsia="Times New Roman" w:hAnsi="Arial" w:cs="Arial"/>
                <w:color w:val="auto"/>
                <w:spacing w:val="-3"/>
                <w:sz w:val="18"/>
                <w:szCs w:val="20"/>
                <w:lang w:val="es-ES_tradnl"/>
              </w:rPr>
              <w:t>Contribuyendo a incrementar el acceso al servicio y previendo mecanismos de consulta con la comunidad sobre los aspectos relevantes de la provisión del servicio.</w:t>
            </w:r>
          </w:p>
        </w:tc>
        <w:tc>
          <w:tcPr>
            <w:tcW w:w="3940" w:type="dxa"/>
            <w:tcBorders>
              <w:bottom w:val="single" w:sz="4" w:space="0" w:color="auto"/>
            </w:tcBorders>
            <w:shd w:val="clear" w:color="auto" w:fill="auto"/>
          </w:tcPr>
          <w:p w14:paraId="7589DA5E" w14:textId="54D8E2B1" w:rsidR="00E24CA7" w:rsidRDefault="00972DD7" w:rsidP="00DC20DD">
            <w:pPr>
              <w:spacing w:after="0" w:line="240" w:lineRule="auto"/>
              <w:jc w:val="both"/>
              <w:rPr>
                <w:rFonts w:ascii="Arial" w:hAnsi="Arial" w:cs="Arial"/>
                <w:color w:val="auto"/>
                <w:sz w:val="18"/>
                <w:szCs w:val="20"/>
                <w:lang w:val="es-ES_tradnl"/>
              </w:rPr>
            </w:pPr>
            <w:r>
              <w:rPr>
                <w:rFonts w:ascii="Arial" w:hAnsi="Arial" w:cs="Arial"/>
                <w:color w:val="auto"/>
                <w:sz w:val="18"/>
                <w:szCs w:val="20"/>
                <w:lang w:val="es-ES_tradnl"/>
              </w:rPr>
              <w:t>El Banco ha venido apoyando una mayor transparencia y difusión de la información vinculada con los proyectos</w:t>
            </w:r>
            <w:r w:rsidR="00E24CA7">
              <w:rPr>
                <w:rFonts w:ascii="Arial" w:hAnsi="Arial" w:cs="Arial"/>
                <w:color w:val="auto"/>
                <w:sz w:val="18"/>
                <w:szCs w:val="20"/>
                <w:lang w:val="es-ES_tradnl"/>
              </w:rPr>
              <w:t xml:space="preserve"> financiados para la ANDE</w:t>
            </w:r>
            <w:r>
              <w:rPr>
                <w:rFonts w:ascii="Arial" w:hAnsi="Arial" w:cs="Arial"/>
                <w:color w:val="auto"/>
                <w:sz w:val="18"/>
                <w:szCs w:val="20"/>
                <w:lang w:val="es-ES_tradnl"/>
              </w:rPr>
              <w:t xml:space="preserve">. </w:t>
            </w:r>
            <w:r w:rsidR="00E24CA7">
              <w:rPr>
                <w:rFonts w:ascii="Arial" w:hAnsi="Arial" w:cs="Arial"/>
                <w:color w:val="auto"/>
                <w:sz w:val="18"/>
                <w:szCs w:val="20"/>
                <w:lang w:val="es-ES_tradnl"/>
              </w:rPr>
              <w:t xml:space="preserve">En los proyectos financiados por el Banco se ha tenido cuidado en analizar debidamente los posibles impactos sociales, en especial a los segmentos vulnerables. </w:t>
            </w:r>
          </w:p>
          <w:p w14:paraId="1F7D7CD7" w14:textId="77777777" w:rsidR="00E24CA7" w:rsidRDefault="00E24CA7" w:rsidP="00DC20DD">
            <w:pPr>
              <w:spacing w:after="0" w:line="240" w:lineRule="auto"/>
              <w:jc w:val="both"/>
              <w:rPr>
                <w:rFonts w:ascii="Arial" w:hAnsi="Arial" w:cs="Arial"/>
                <w:color w:val="auto"/>
                <w:sz w:val="18"/>
                <w:szCs w:val="20"/>
                <w:lang w:val="es-ES_tradnl"/>
              </w:rPr>
            </w:pPr>
          </w:p>
          <w:p w14:paraId="75114BA7" w14:textId="39E51141" w:rsidR="00E24CA7" w:rsidRDefault="00E24CA7" w:rsidP="00DC20DD">
            <w:pPr>
              <w:spacing w:after="0" w:line="240" w:lineRule="auto"/>
              <w:jc w:val="both"/>
              <w:rPr>
                <w:rFonts w:ascii="Arial" w:hAnsi="Arial" w:cs="Arial"/>
                <w:color w:val="auto"/>
                <w:sz w:val="18"/>
                <w:szCs w:val="20"/>
                <w:lang w:val="es-ES_tradnl"/>
              </w:rPr>
            </w:pPr>
            <w:r>
              <w:rPr>
                <w:rFonts w:ascii="Arial" w:hAnsi="Arial" w:cs="Arial"/>
                <w:color w:val="auto"/>
                <w:sz w:val="18"/>
                <w:szCs w:val="20"/>
                <w:lang w:val="es-ES_tradnl"/>
              </w:rPr>
              <w:t xml:space="preserve">Para el programa de rehabilitación de la CHA se ha realizado una consulta pública para informar a la comunidad sobre las obras que se ejecutarán bajo el programa y recibir comentarios sobre los mismos. </w:t>
            </w:r>
          </w:p>
          <w:p w14:paraId="0115D396" w14:textId="342B9ECF" w:rsidR="00234A41" w:rsidRPr="003E1AD8" w:rsidRDefault="00234A41" w:rsidP="00DC20DD">
            <w:pPr>
              <w:spacing w:after="0" w:line="240" w:lineRule="auto"/>
              <w:jc w:val="both"/>
              <w:rPr>
                <w:rFonts w:ascii="Arial" w:hAnsi="Arial" w:cs="Arial"/>
                <w:color w:val="auto"/>
                <w:sz w:val="18"/>
                <w:szCs w:val="20"/>
                <w:lang w:val="es-ES_tradnl"/>
              </w:rPr>
            </w:pPr>
          </w:p>
        </w:tc>
      </w:tr>
    </w:tbl>
    <w:p w14:paraId="1066643D" w14:textId="77777777" w:rsidR="00234A41" w:rsidRPr="003C788E" w:rsidRDefault="00234A41" w:rsidP="008C4DE6">
      <w:pPr>
        <w:rPr>
          <w:lang w:val="es-ES_tradnl" w:eastAsia="ja-JP"/>
        </w:rPr>
      </w:pPr>
    </w:p>
    <w:p w14:paraId="432041E4" w14:textId="00773D46" w:rsidR="008045CA" w:rsidRPr="008045CA" w:rsidRDefault="00E83B32" w:rsidP="008045CA">
      <w:pPr>
        <w:numPr>
          <w:ilvl w:val="0"/>
          <w:numId w:val="41"/>
        </w:numPr>
        <w:rPr>
          <w:rFonts w:ascii="Arial" w:hAnsi="Arial" w:cs="Arial"/>
          <w:b/>
          <w:sz w:val="20"/>
          <w:szCs w:val="20"/>
          <w:lang w:eastAsia="ja-JP"/>
        </w:rPr>
      </w:pPr>
      <w:r>
        <w:rPr>
          <w:rFonts w:ascii="Arial" w:hAnsi="Arial" w:cs="Arial"/>
          <w:b/>
          <w:bCs/>
          <w:sz w:val="20"/>
          <w:szCs w:val="20"/>
          <w:lang w:eastAsia="ja-JP"/>
        </w:rPr>
        <w:t>PRINCIPIOS</w:t>
      </w:r>
    </w:p>
    <w:p w14:paraId="79765F13" w14:textId="105B8315" w:rsidR="00E83B32" w:rsidRPr="00E83B32" w:rsidRDefault="00E83B32" w:rsidP="00E83B32">
      <w:pPr>
        <w:jc w:val="both"/>
        <w:rPr>
          <w:rFonts w:ascii="Arial" w:hAnsi="Arial" w:cs="Arial"/>
          <w:sz w:val="20"/>
          <w:szCs w:val="20"/>
          <w:lang w:val="es-ES_tradnl" w:eastAsia="ja-JP"/>
        </w:rPr>
      </w:pPr>
      <w:r w:rsidRPr="00E83B32">
        <w:rPr>
          <w:rFonts w:ascii="Arial" w:hAnsi="Arial" w:cs="Arial"/>
          <w:sz w:val="20"/>
          <w:szCs w:val="20"/>
          <w:lang w:val="es-ES_tradnl" w:eastAsia="ja-JP"/>
        </w:rPr>
        <w:t>La Política está basada en los siguientes Principios que guiar</w:t>
      </w:r>
      <w:r>
        <w:rPr>
          <w:rFonts w:ascii="Arial" w:hAnsi="Arial" w:cs="Arial"/>
          <w:sz w:val="20"/>
          <w:szCs w:val="20"/>
          <w:lang w:val="es-ES_tradnl" w:eastAsia="ja-JP"/>
        </w:rPr>
        <w:t>án el diseño y supervisión de las Operaciones del Banco.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1"/>
        <w:gridCol w:w="3883"/>
        <w:gridCol w:w="3846"/>
      </w:tblGrid>
      <w:tr w:rsidR="005D7368" w:rsidRPr="008045CA" w14:paraId="4E06FD24" w14:textId="77777777" w:rsidTr="00E83B32">
        <w:trPr>
          <w:trHeight w:val="701"/>
          <w:jc w:val="center"/>
        </w:trPr>
        <w:tc>
          <w:tcPr>
            <w:tcW w:w="1629" w:type="dxa"/>
            <w:shd w:val="clear" w:color="auto" w:fill="00B050"/>
            <w:vAlign w:val="center"/>
          </w:tcPr>
          <w:p w14:paraId="229E3380" w14:textId="77777777" w:rsidR="00E83B32" w:rsidRPr="00DF549E" w:rsidRDefault="00E83B32" w:rsidP="00025F78">
            <w:pPr>
              <w:spacing w:after="0"/>
              <w:jc w:val="center"/>
              <w:rPr>
                <w:rFonts w:ascii="Arial" w:hAnsi="Arial" w:cs="Arial"/>
                <w:b/>
                <w:color w:val="FFFFFF"/>
                <w:sz w:val="18"/>
                <w:szCs w:val="18"/>
                <w:lang w:val="es-ES_tradnl"/>
              </w:rPr>
            </w:pPr>
            <w:r w:rsidRPr="00DF549E">
              <w:rPr>
                <w:rFonts w:ascii="Arial" w:hAnsi="Arial" w:cs="Arial"/>
                <w:b/>
                <w:color w:val="FFFFFF"/>
                <w:sz w:val="18"/>
                <w:szCs w:val="18"/>
                <w:lang w:val="es-ES_tradnl"/>
              </w:rPr>
              <w:t>Objetivos de la política</w:t>
            </w:r>
          </w:p>
          <w:p w14:paraId="1DA06071" w14:textId="2A2A7378" w:rsidR="00E83B32" w:rsidRPr="00DF549E" w:rsidRDefault="00E83B32" w:rsidP="00BB68B1">
            <w:pPr>
              <w:spacing w:after="0" w:line="240" w:lineRule="auto"/>
              <w:jc w:val="center"/>
              <w:rPr>
                <w:rFonts w:ascii="Arial" w:hAnsi="Arial" w:cs="Arial"/>
                <w:color w:val="FFFFFF" w:themeColor="background1"/>
                <w:sz w:val="18"/>
                <w:szCs w:val="18"/>
                <w:lang w:val="es-ES_tradnl" w:eastAsia="ja-JP"/>
              </w:rPr>
            </w:pPr>
            <w:r w:rsidRPr="00DF549E">
              <w:rPr>
                <w:rFonts w:ascii="Arial" w:hAnsi="Arial" w:cs="Arial"/>
                <w:b/>
                <w:color w:val="FFFFFF"/>
                <w:sz w:val="18"/>
                <w:szCs w:val="18"/>
                <w:lang w:val="es-ES_tradnl"/>
              </w:rPr>
              <w:t>(GN-2716-6)</w:t>
            </w:r>
          </w:p>
        </w:tc>
        <w:tc>
          <w:tcPr>
            <w:tcW w:w="4002" w:type="dxa"/>
            <w:shd w:val="clear" w:color="auto" w:fill="00B050"/>
            <w:vAlign w:val="center"/>
          </w:tcPr>
          <w:p w14:paraId="2CA08DFE" w14:textId="43A973DB" w:rsidR="00E83B32" w:rsidRPr="00DF549E" w:rsidRDefault="00E83B32" w:rsidP="00BB68B1">
            <w:pPr>
              <w:spacing w:after="0" w:line="240" w:lineRule="auto"/>
              <w:jc w:val="center"/>
              <w:rPr>
                <w:rFonts w:ascii="Arial" w:hAnsi="Arial" w:cs="Arial"/>
                <w:b/>
                <w:color w:val="FFFFFF" w:themeColor="background1"/>
                <w:sz w:val="18"/>
                <w:szCs w:val="18"/>
                <w:lang w:eastAsia="ja-JP"/>
              </w:rPr>
            </w:pPr>
            <w:proofErr w:type="spellStart"/>
            <w:r w:rsidRPr="00DF549E">
              <w:rPr>
                <w:rFonts w:ascii="Arial" w:hAnsi="Arial" w:cs="Arial"/>
                <w:b/>
                <w:color w:val="FFFFFF"/>
                <w:sz w:val="18"/>
                <w:szCs w:val="18"/>
              </w:rPr>
              <w:t>Descripción</w:t>
            </w:r>
            <w:proofErr w:type="spellEnd"/>
          </w:p>
        </w:tc>
        <w:tc>
          <w:tcPr>
            <w:tcW w:w="3945" w:type="dxa"/>
            <w:shd w:val="clear" w:color="auto" w:fill="00B050"/>
            <w:vAlign w:val="center"/>
          </w:tcPr>
          <w:p w14:paraId="267412EE" w14:textId="49666075" w:rsidR="00E83B32" w:rsidRPr="00DF549E" w:rsidRDefault="00E83B32" w:rsidP="00BB68B1">
            <w:pPr>
              <w:spacing w:after="0" w:line="240" w:lineRule="auto"/>
              <w:jc w:val="center"/>
              <w:rPr>
                <w:rFonts w:ascii="Arial" w:hAnsi="Arial" w:cs="Arial"/>
                <w:b/>
                <w:color w:val="FFFFFF" w:themeColor="background1"/>
                <w:sz w:val="18"/>
                <w:szCs w:val="18"/>
                <w:lang w:eastAsia="ja-JP"/>
              </w:rPr>
            </w:pPr>
            <w:proofErr w:type="spellStart"/>
            <w:r w:rsidRPr="00DF549E">
              <w:rPr>
                <w:rFonts w:ascii="Arial" w:hAnsi="Arial" w:cs="Arial"/>
                <w:b/>
                <w:color w:val="FFFFFF"/>
                <w:sz w:val="18"/>
                <w:szCs w:val="18"/>
              </w:rPr>
              <w:t>Comentarios</w:t>
            </w:r>
            <w:proofErr w:type="spellEnd"/>
          </w:p>
        </w:tc>
      </w:tr>
      <w:tr w:rsidR="005D7368" w:rsidRPr="00D818E2" w14:paraId="44686D55" w14:textId="77777777" w:rsidTr="00DB1998">
        <w:trPr>
          <w:jc w:val="center"/>
        </w:trPr>
        <w:tc>
          <w:tcPr>
            <w:tcW w:w="1629" w:type="dxa"/>
            <w:tcBorders>
              <w:bottom w:val="single" w:sz="4" w:space="0" w:color="auto"/>
            </w:tcBorders>
            <w:shd w:val="clear" w:color="auto" w:fill="auto"/>
          </w:tcPr>
          <w:p w14:paraId="7159CDCB" w14:textId="1BAAA0A6" w:rsidR="00E83B32" w:rsidRPr="00DF549E" w:rsidRDefault="008551AD" w:rsidP="00BB68B1">
            <w:pPr>
              <w:spacing w:line="240" w:lineRule="auto"/>
              <w:rPr>
                <w:rFonts w:ascii="Arial" w:hAnsi="Arial" w:cs="Arial"/>
                <w:b/>
                <w:bCs/>
                <w:sz w:val="18"/>
                <w:szCs w:val="18"/>
                <w:lang w:val="es-ES_tradnl" w:eastAsia="ja-JP"/>
              </w:rPr>
            </w:pPr>
            <w:r w:rsidRPr="00DF549E">
              <w:rPr>
                <w:rFonts w:ascii="Arial" w:hAnsi="Arial" w:cs="Arial"/>
                <w:b/>
                <w:bCs/>
                <w:sz w:val="18"/>
                <w:szCs w:val="18"/>
                <w:lang w:val="es-ES_tradnl" w:eastAsia="ja-JP"/>
              </w:rPr>
              <w:t>Apoyar</w:t>
            </w:r>
            <w:r w:rsidR="00E83B32" w:rsidRPr="00DF549E">
              <w:rPr>
                <w:rFonts w:ascii="Arial" w:hAnsi="Arial" w:cs="Arial"/>
                <w:b/>
                <w:bCs/>
                <w:sz w:val="18"/>
                <w:szCs w:val="18"/>
                <w:lang w:val="es-ES_tradnl" w:eastAsia="ja-JP"/>
              </w:rPr>
              <w:t xml:space="preserve"> a los países para </w:t>
            </w:r>
            <w:r w:rsidRPr="00DF549E">
              <w:rPr>
                <w:rFonts w:ascii="Arial" w:hAnsi="Arial" w:cs="Arial"/>
                <w:b/>
                <w:bCs/>
                <w:sz w:val="18"/>
                <w:szCs w:val="18"/>
                <w:lang w:val="es-ES_tradnl" w:eastAsia="ja-JP"/>
              </w:rPr>
              <w:t>atender</w:t>
            </w:r>
            <w:r w:rsidR="00E83B32" w:rsidRPr="00DF549E">
              <w:rPr>
                <w:rFonts w:ascii="Arial" w:hAnsi="Arial" w:cs="Arial"/>
                <w:b/>
                <w:bCs/>
                <w:sz w:val="18"/>
                <w:szCs w:val="18"/>
                <w:lang w:val="es-ES_tradnl" w:eastAsia="ja-JP"/>
              </w:rPr>
              <w:t xml:space="preserve"> </w:t>
            </w:r>
            <w:r w:rsidRPr="00DF549E">
              <w:rPr>
                <w:rFonts w:ascii="Arial" w:hAnsi="Arial" w:cs="Arial"/>
                <w:b/>
                <w:bCs/>
                <w:sz w:val="18"/>
                <w:szCs w:val="18"/>
                <w:lang w:val="es-ES_tradnl" w:eastAsia="ja-JP"/>
              </w:rPr>
              <w:t>las</w:t>
            </w:r>
            <w:r w:rsidR="00E83B32" w:rsidRPr="00DF549E">
              <w:rPr>
                <w:rFonts w:ascii="Arial" w:hAnsi="Arial" w:cs="Arial"/>
                <w:b/>
                <w:bCs/>
                <w:sz w:val="18"/>
                <w:szCs w:val="18"/>
                <w:lang w:val="es-ES_tradnl" w:eastAsia="ja-JP"/>
              </w:rPr>
              <w:t xml:space="preserve"> necesidades b</w:t>
            </w:r>
            <w:r w:rsidRPr="00DF549E">
              <w:rPr>
                <w:rFonts w:ascii="Arial" w:hAnsi="Arial" w:cs="Arial"/>
                <w:b/>
                <w:bCs/>
                <w:sz w:val="18"/>
                <w:szCs w:val="18"/>
                <w:lang w:val="es-ES_tradnl" w:eastAsia="ja-JP"/>
              </w:rPr>
              <w:t>ásicas de acceso.</w:t>
            </w:r>
          </w:p>
          <w:p w14:paraId="5663E75E" w14:textId="77777777" w:rsidR="008045CA" w:rsidRPr="00DF549E" w:rsidRDefault="008045CA" w:rsidP="00E83B32">
            <w:pPr>
              <w:spacing w:line="240" w:lineRule="auto"/>
              <w:rPr>
                <w:rFonts w:ascii="Arial" w:hAnsi="Arial" w:cs="Arial"/>
                <w:b/>
                <w:bCs/>
                <w:sz w:val="18"/>
                <w:szCs w:val="18"/>
                <w:lang w:val="es-ES_tradnl" w:eastAsia="ja-JP"/>
              </w:rPr>
            </w:pPr>
          </w:p>
        </w:tc>
        <w:tc>
          <w:tcPr>
            <w:tcW w:w="4002" w:type="dxa"/>
            <w:tcBorders>
              <w:bottom w:val="single" w:sz="4" w:space="0" w:color="auto"/>
            </w:tcBorders>
            <w:shd w:val="clear" w:color="auto" w:fill="auto"/>
          </w:tcPr>
          <w:p w14:paraId="51AFECAB" w14:textId="2CF18800" w:rsidR="008045CA" w:rsidRPr="00DF549E" w:rsidRDefault="008551AD" w:rsidP="00BB68B1">
            <w:pPr>
              <w:spacing w:line="240" w:lineRule="auto"/>
              <w:jc w:val="both"/>
              <w:rPr>
                <w:rFonts w:ascii="Arial" w:hAnsi="Arial" w:cs="Arial"/>
                <w:sz w:val="18"/>
                <w:szCs w:val="18"/>
                <w:lang w:val="es-ES_tradnl" w:eastAsia="ja-JP"/>
              </w:rPr>
            </w:pPr>
            <w:r w:rsidRPr="00DF549E">
              <w:rPr>
                <w:rFonts w:ascii="Arial" w:hAnsi="Arial" w:cs="Arial"/>
                <w:sz w:val="18"/>
                <w:szCs w:val="18"/>
                <w:lang w:val="es-ES_tradnl" w:eastAsia="ja-JP"/>
              </w:rPr>
              <w:t>La ampliación del acceso a servicios públicos domiciliarios a precios asequibles es una necesidad en la región, especialmente en los países con menor grado de desarrollo y en las áreas rurales de todos los países. El acceso a estos servicios es esencial para contribuir al proceso de reducción de la pobreza y promover un desarrollo incluyente. El Banco apoyará el desarrollo de esquemas sostenibles que utilicen la combinación costo-eficiencia y las soluciones tecnológicas más apropiadas en función de las características de la demanda y el servicio público para atender las necesidades de acceso de la población, tanto rural como urbana.</w:t>
            </w:r>
          </w:p>
        </w:tc>
        <w:tc>
          <w:tcPr>
            <w:tcW w:w="3945" w:type="dxa"/>
            <w:tcBorders>
              <w:bottom w:val="single" w:sz="4" w:space="0" w:color="auto"/>
            </w:tcBorders>
            <w:shd w:val="clear" w:color="auto" w:fill="auto"/>
          </w:tcPr>
          <w:p w14:paraId="6891091C" w14:textId="77777777" w:rsidR="008045CA" w:rsidRPr="00DF549E" w:rsidRDefault="00597E23" w:rsidP="00BB68B1">
            <w:pPr>
              <w:spacing w:line="240" w:lineRule="auto"/>
              <w:jc w:val="both"/>
              <w:rPr>
                <w:rFonts w:ascii="Arial" w:hAnsi="Arial" w:cs="Arial"/>
                <w:sz w:val="18"/>
                <w:szCs w:val="18"/>
                <w:lang w:val="es-ES_tradnl" w:eastAsia="ja-JP"/>
              </w:rPr>
            </w:pPr>
            <w:r w:rsidRPr="00DF549E">
              <w:rPr>
                <w:rFonts w:ascii="Arial" w:hAnsi="Arial" w:cs="Arial"/>
                <w:sz w:val="18"/>
                <w:szCs w:val="18"/>
                <w:lang w:val="es-ES_tradnl" w:eastAsia="ja-JP"/>
              </w:rPr>
              <w:t>Paraguay presenta una cobertura eléctrica elevada del 99,1% (99,6% en áreas urbanas y 96.0% en rurales).</w:t>
            </w:r>
          </w:p>
          <w:p w14:paraId="762FF5E5" w14:textId="77777777" w:rsidR="00597E23" w:rsidRPr="00DF549E" w:rsidRDefault="00742604" w:rsidP="00BB68B1">
            <w:pPr>
              <w:spacing w:line="240" w:lineRule="auto"/>
              <w:jc w:val="both"/>
              <w:rPr>
                <w:rFonts w:ascii="Arial" w:hAnsi="Arial" w:cs="Arial"/>
                <w:sz w:val="18"/>
                <w:szCs w:val="18"/>
                <w:lang w:val="es-ES_tradnl" w:eastAsia="ja-JP"/>
              </w:rPr>
            </w:pPr>
            <w:r w:rsidRPr="00DF549E">
              <w:rPr>
                <w:rFonts w:ascii="Arial" w:hAnsi="Arial" w:cs="Arial"/>
                <w:sz w:val="18"/>
                <w:szCs w:val="18"/>
                <w:lang w:val="es-ES_tradnl" w:eastAsia="ja-JP"/>
              </w:rPr>
              <w:t>El programa apoyará a la ANDE a contar con un servicio de calidad en la disponibilidad (generación) eléctrica por medio de la rehabilitación y modernización de sus activos.</w:t>
            </w:r>
          </w:p>
          <w:p w14:paraId="36931A65" w14:textId="613F4EF0" w:rsidR="00742604" w:rsidRPr="00DF549E" w:rsidRDefault="00742604" w:rsidP="00BB68B1">
            <w:pPr>
              <w:spacing w:line="240" w:lineRule="auto"/>
              <w:jc w:val="both"/>
              <w:rPr>
                <w:rFonts w:ascii="Arial" w:hAnsi="Arial" w:cs="Arial"/>
                <w:sz w:val="18"/>
                <w:szCs w:val="18"/>
                <w:lang w:val="es-ES_tradnl" w:eastAsia="ja-JP"/>
              </w:rPr>
            </w:pPr>
            <w:r w:rsidRPr="00DF549E">
              <w:rPr>
                <w:rFonts w:ascii="Arial" w:hAnsi="Arial" w:cs="Arial"/>
                <w:sz w:val="18"/>
                <w:szCs w:val="18"/>
                <w:lang w:val="es-ES_tradnl" w:eastAsia="ja-JP"/>
              </w:rPr>
              <w:t xml:space="preserve">La legislación Paraguaya, en especial la Ley </w:t>
            </w:r>
            <w:proofErr w:type="spellStart"/>
            <w:r w:rsidRPr="00DF549E">
              <w:rPr>
                <w:rFonts w:ascii="Arial" w:hAnsi="Arial" w:cs="Arial"/>
                <w:sz w:val="18"/>
                <w:szCs w:val="18"/>
                <w:lang w:val="es-ES_tradnl" w:eastAsia="ja-JP"/>
              </w:rPr>
              <w:t>Nº</w:t>
            </w:r>
            <w:proofErr w:type="spellEnd"/>
            <w:r w:rsidRPr="00DF549E">
              <w:rPr>
                <w:rFonts w:ascii="Arial" w:hAnsi="Arial" w:cs="Arial"/>
                <w:sz w:val="18"/>
                <w:szCs w:val="18"/>
                <w:lang w:val="es-ES_tradnl" w:eastAsia="ja-JP"/>
              </w:rPr>
              <w:t xml:space="preserve"> 966/1964 establece que la ANDE “…..</w:t>
            </w:r>
            <w:r w:rsidRPr="00DF549E">
              <w:rPr>
                <w:rFonts w:ascii="Arial" w:hAnsi="Arial" w:cs="Arial"/>
                <w:i/>
                <w:sz w:val="18"/>
                <w:szCs w:val="18"/>
                <w:lang w:val="es-ES_tradnl" w:eastAsia="ja-JP"/>
              </w:rPr>
              <w:t>tiene como objeto primordial, satisfacer en forma adecuada las necesidades de energía eléctrica del país, con el fin de promover su desarrollo económico y fomentar el bienestar de la población, mediante el aprovechamiento preferente de los recursos naturales de la Nación</w:t>
            </w:r>
            <w:r w:rsidRPr="00DF549E">
              <w:rPr>
                <w:rFonts w:ascii="Arial" w:hAnsi="Arial" w:cs="Arial"/>
                <w:sz w:val="18"/>
                <w:szCs w:val="18"/>
                <w:lang w:val="es-ES_tradnl" w:eastAsia="ja-JP"/>
              </w:rPr>
              <w:t>”, así como el Decreto Nº6092-2016 de Política Energética Nacional, tiene entre sus objetivos</w:t>
            </w:r>
            <w:r w:rsidRPr="00DF549E">
              <w:rPr>
                <w:sz w:val="18"/>
                <w:szCs w:val="18"/>
                <w:lang w:val="es-ES_tradnl"/>
              </w:rPr>
              <w:t xml:space="preserve"> </w:t>
            </w:r>
            <w:r w:rsidRPr="00DF549E">
              <w:rPr>
                <w:rFonts w:ascii="Arial" w:hAnsi="Arial" w:cs="Arial"/>
                <w:i/>
                <w:sz w:val="18"/>
                <w:szCs w:val="18"/>
                <w:lang w:val="es-ES_tradnl" w:eastAsia="ja-JP"/>
              </w:rPr>
              <w:t>garantizar la seguridad energética con criterios de autoabastecimiento, eficiencia, mínimo costo, con responsabilidad socioambiental, que acompañe el desarrollo del país; y asegurar el acceso a la energía de calidad a toda la población con atención a los derechos del consumidor</w:t>
            </w:r>
            <w:r w:rsidR="00A3224F" w:rsidRPr="00DF549E">
              <w:rPr>
                <w:rFonts w:ascii="Arial" w:hAnsi="Arial" w:cs="Arial"/>
                <w:i/>
                <w:sz w:val="18"/>
                <w:szCs w:val="18"/>
                <w:lang w:val="es-ES_tradnl" w:eastAsia="ja-JP"/>
              </w:rPr>
              <w:t>.</w:t>
            </w:r>
            <w:r w:rsidRPr="00DF549E">
              <w:rPr>
                <w:rFonts w:ascii="Arial" w:hAnsi="Arial" w:cs="Arial"/>
                <w:sz w:val="18"/>
                <w:szCs w:val="18"/>
                <w:lang w:val="es-ES_tradnl" w:eastAsia="ja-JP"/>
              </w:rPr>
              <w:t xml:space="preserve">   </w:t>
            </w:r>
          </w:p>
        </w:tc>
      </w:tr>
      <w:tr w:rsidR="005D7368" w:rsidRPr="00D818E2" w14:paraId="38E0ADD7" w14:textId="77777777" w:rsidTr="00DB1998">
        <w:trPr>
          <w:jc w:val="center"/>
        </w:trPr>
        <w:tc>
          <w:tcPr>
            <w:tcW w:w="1629" w:type="dxa"/>
            <w:shd w:val="clear" w:color="auto" w:fill="auto"/>
          </w:tcPr>
          <w:p w14:paraId="75372B25" w14:textId="652D376B" w:rsidR="008045CA" w:rsidRPr="00DF549E" w:rsidRDefault="005D7368" w:rsidP="005D7368">
            <w:pPr>
              <w:spacing w:line="240" w:lineRule="auto"/>
              <w:rPr>
                <w:rFonts w:ascii="Arial" w:hAnsi="Arial" w:cs="Arial"/>
                <w:b/>
                <w:bCs/>
                <w:sz w:val="18"/>
                <w:szCs w:val="18"/>
                <w:lang w:val="es-ES_tradnl" w:eastAsia="ja-JP"/>
              </w:rPr>
            </w:pPr>
            <w:r w:rsidRPr="00DF549E">
              <w:rPr>
                <w:rFonts w:ascii="Arial" w:hAnsi="Arial" w:cs="Arial"/>
                <w:b/>
                <w:sz w:val="18"/>
                <w:szCs w:val="18"/>
                <w:lang w:val="es-ES_tradnl" w:eastAsia="ja-JP"/>
              </w:rPr>
              <w:t xml:space="preserve">Promover la integridad, transparencia y </w:t>
            </w:r>
            <w:r w:rsidRPr="00DF549E">
              <w:rPr>
                <w:rFonts w:ascii="Arial" w:hAnsi="Arial" w:cs="Arial"/>
                <w:b/>
                <w:sz w:val="18"/>
                <w:szCs w:val="18"/>
                <w:lang w:val="es-ES_tradnl" w:eastAsia="ja-JP"/>
              </w:rPr>
              <w:lastRenderedPageBreak/>
              <w:t xml:space="preserve">la rendición de cuentas. </w:t>
            </w:r>
          </w:p>
        </w:tc>
        <w:tc>
          <w:tcPr>
            <w:tcW w:w="4002" w:type="dxa"/>
            <w:shd w:val="clear" w:color="auto" w:fill="auto"/>
          </w:tcPr>
          <w:p w14:paraId="607F1F67" w14:textId="6BFF0732" w:rsidR="008045CA" w:rsidRPr="00DF549E" w:rsidRDefault="005D7368" w:rsidP="00BB68B1">
            <w:pPr>
              <w:spacing w:line="240" w:lineRule="auto"/>
              <w:jc w:val="both"/>
              <w:rPr>
                <w:rFonts w:ascii="Arial" w:hAnsi="Arial" w:cs="Arial"/>
                <w:sz w:val="18"/>
                <w:szCs w:val="18"/>
                <w:lang w:val="es-ES_tradnl" w:eastAsia="ja-JP"/>
              </w:rPr>
            </w:pPr>
            <w:r w:rsidRPr="00DF549E">
              <w:rPr>
                <w:rFonts w:ascii="Arial" w:hAnsi="Arial" w:cs="Arial"/>
                <w:sz w:val="18"/>
                <w:szCs w:val="18"/>
                <w:lang w:val="es-ES_tradnl" w:eastAsia="ja-JP"/>
              </w:rPr>
              <w:lastRenderedPageBreak/>
              <w:t xml:space="preserve">Las operaciones financiadas por el Banco impulsarán los arreglos institucionales básicos para que los países de la región adopten medidas que promuevan la integridad y aumenten la transparencia en la provisión de </w:t>
            </w:r>
            <w:r w:rsidRPr="00DF549E">
              <w:rPr>
                <w:rFonts w:ascii="Arial" w:hAnsi="Arial" w:cs="Arial"/>
                <w:sz w:val="18"/>
                <w:szCs w:val="18"/>
                <w:lang w:val="es-ES_tradnl" w:eastAsia="ja-JP"/>
              </w:rPr>
              <w:lastRenderedPageBreak/>
              <w:t>servicios públicos domiciliarios, con el objetivo de mejorar la rendición de cuentas y fortalecer el cumplimiento de los derechos de los usuarios. En virtud de ello, el Banco hará los mayores esfuerzos para que sus operaciones contribuyan al desarrollo de sistemas de buena gobernanza en los actores públicos y privados. Adicionalmente, esta Política reconoce que la debilidad en la información estadística pública y la escasez de la información estadística privada son factores que, frecuentemente, privan de respuestas adecuadas a preguntas básicas sobre las necesidades de inversión en infraestructura, el desempeño de las empresas proveedoras de servicios, o la estructura y evolución de las tarifas. Por lo tanto, el Banco impulsará la transparencia focalizada teniendo en cuenta las necesidades de los usuarios de la información, la manera más efectiva en que debe hacerse disponible y los canales idóneos para distribuirla.</w:t>
            </w:r>
          </w:p>
        </w:tc>
        <w:tc>
          <w:tcPr>
            <w:tcW w:w="3945" w:type="dxa"/>
            <w:shd w:val="clear" w:color="auto" w:fill="auto"/>
          </w:tcPr>
          <w:p w14:paraId="7EA1EC2F" w14:textId="77777777" w:rsidR="008045CA" w:rsidRPr="00DF549E" w:rsidRDefault="008045CA" w:rsidP="00BB68B1">
            <w:pPr>
              <w:spacing w:line="240" w:lineRule="auto"/>
              <w:jc w:val="both"/>
              <w:rPr>
                <w:rFonts w:ascii="Arial" w:hAnsi="Arial" w:cs="Arial"/>
                <w:sz w:val="18"/>
                <w:szCs w:val="18"/>
                <w:lang w:val="es-ES_tradnl" w:eastAsia="ja-JP"/>
              </w:rPr>
            </w:pPr>
            <w:r w:rsidRPr="00DF549E">
              <w:rPr>
                <w:rFonts w:ascii="Arial" w:hAnsi="Arial" w:cs="Arial"/>
                <w:sz w:val="18"/>
                <w:szCs w:val="18"/>
                <w:lang w:val="es-ES_tradnl" w:eastAsia="ja-JP"/>
              </w:rPr>
              <w:lastRenderedPageBreak/>
              <w:t xml:space="preserve"> </w:t>
            </w:r>
            <w:r w:rsidR="0023464C" w:rsidRPr="00DF549E">
              <w:rPr>
                <w:rFonts w:ascii="Arial" w:hAnsi="Arial" w:cs="Arial"/>
                <w:sz w:val="18"/>
                <w:szCs w:val="18"/>
                <w:lang w:val="es-ES_tradnl" w:eastAsia="ja-JP"/>
              </w:rPr>
              <w:t xml:space="preserve">El sector energético paraguayo se rige por la Ley de Transparencia </w:t>
            </w:r>
            <w:r w:rsidR="00B550CE" w:rsidRPr="00DF549E">
              <w:rPr>
                <w:rFonts w:ascii="Arial" w:hAnsi="Arial" w:cs="Arial"/>
                <w:sz w:val="18"/>
                <w:szCs w:val="18"/>
                <w:lang w:val="es-ES_tradnl" w:eastAsia="ja-JP"/>
              </w:rPr>
              <w:t xml:space="preserve">Administrativa (Ley </w:t>
            </w:r>
            <w:proofErr w:type="spellStart"/>
            <w:r w:rsidR="00B550CE" w:rsidRPr="00DF549E">
              <w:rPr>
                <w:rFonts w:ascii="Arial" w:hAnsi="Arial" w:cs="Arial"/>
                <w:sz w:val="18"/>
                <w:szCs w:val="18"/>
                <w:lang w:val="es-ES_tradnl" w:eastAsia="ja-JP"/>
              </w:rPr>
              <w:t>Nº</w:t>
            </w:r>
            <w:proofErr w:type="spellEnd"/>
            <w:r w:rsidR="00B550CE" w:rsidRPr="00DF549E">
              <w:rPr>
                <w:rFonts w:ascii="Arial" w:hAnsi="Arial" w:cs="Arial"/>
                <w:sz w:val="18"/>
                <w:szCs w:val="18"/>
                <w:lang w:val="es-ES_tradnl" w:eastAsia="ja-JP"/>
              </w:rPr>
              <w:t xml:space="preserve"> 1728), la Ley de Acceso a la Información Pública (Ley 5189/14) y la Ley de Libre Acceso Ciudadano a la Información Pública y </w:t>
            </w:r>
            <w:r w:rsidR="00B550CE" w:rsidRPr="00DF549E">
              <w:rPr>
                <w:rFonts w:ascii="Arial" w:hAnsi="Arial" w:cs="Arial"/>
                <w:sz w:val="18"/>
                <w:szCs w:val="18"/>
                <w:lang w:val="es-ES_tradnl" w:eastAsia="ja-JP"/>
              </w:rPr>
              <w:lastRenderedPageBreak/>
              <w:t xml:space="preserve">Transparencia Gubernamental (Ley </w:t>
            </w:r>
            <w:proofErr w:type="spellStart"/>
            <w:r w:rsidR="00B550CE" w:rsidRPr="00DF549E">
              <w:rPr>
                <w:rFonts w:ascii="Arial" w:hAnsi="Arial" w:cs="Arial"/>
                <w:sz w:val="18"/>
                <w:szCs w:val="18"/>
                <w:lang w:val="es-ES_tradnl" w:eastAsia="ja-JP"/>
              </w:rPr>
              <w:t>Nº</w:t>
            </w:r>
            <w:proofErr w:type="spellEnd"/>
            <w:r w:rsidR="00B550CE" w:rsidRPr="00DF549E">
              <w:rPr>
                <w:rFonts w:ascii="Arial" w:hAnsi="Arial" w:cs="Arial"/>
                <w:sz w:val="18"/>
                <w:szCs w:val="18"/>
                <w:lang w:val="es-ES_tradnl" w:eastAsia="ja-JP"/>
              </w:rPr>
              <w:t xml:space="preserve"> 5282/14).</w:t>
            </w:r>
          </w:p>
          <w:p w14:paraId="789BF250" w14:textId="08F21B7D" w:rsidR="00B550CE" w:rsidRPr="00DF549E" w:rsidRDefault="00B550CE" w:rsidP="00BB68B1">
            <w:pPr>
              <w:spacing w:line="240" w:lineRule="auto"/>
              <w:jc w:val="both"/>
              <w:rPr>
                <w:rFonts w:ascii="Arial" w:hAnsi="Arial" w:cs="Arial"/>
                <w:sz w:val="18"/>
                <w:szCs w:val="18"/>
                <w:lang w:val="es-ES_tradnl" w:eastAsia="ja-JP"/>
              </w:rPr>
            </w:pPr>
            <w:r w:rsidRPr="00DF549E">
              <w:rPr>
                <w:rFonts w:ascii="Arial" w:hAnsi="Arial" w:cs="Arial"/>
                <w:sz w:val="18"/>
                <w:szCs w:val="18"/>
                <w:lang w:val="es-ES_tradnl" w:eastAsia="ja-JP"/>
              </w:rPr>
              <w:t xml:space="preserve">La ANDE a través de su sitio web provee una sección de Transparencia en la cual se presenta información del marco legal, así como herramientas de búsqueda de información pública y los datos de contacto en dónde recurrir para más información solicitada.  </w:t>
            </w:r>
          </w:p>
          <w:p w14:paraId="7DE50BC0" w14:textId="502075C8" w:rsidR="00B949D3" w:rsidRPr="00DF549E" w:rsidRDefault="00B550CE" w:rsidP="00BB68B1">
            <w:pPr>
              <w:spacing w:line="240" w:lineRule="auto"/>
              <w:jc w:val="both"/>
              <w:rPr>
                <w:rFonts w:ascii="Arial" w:hAnsi="Arial" w:cs="Arial"/>
                <w:sz w:val="18"/>
                <w:szCs w:val="18"/>
                <w:lang w:val="es-ES_tradnl" w:eastAsia="ja-JP"/>
              </w:rPr>
            </w:pPr>
            <w:r w:rsidRPr="00DF549E">
              <w:rPr>
                <w:rFonts w:ascii="Arial" w:hAnsi="Arial" w:cs="Arial"/>
                <w:sz w:val="18"/>
                <w:szCs w:val="18"/>
                <w:lang w:val="es-ES_tradnl" w:eastAsia="ja-JP"/>
              </w:rPr>
              <w:t xml:space="preserve">Adicionalmente, en el sitio web de ANDE, se provee información de: (i) centro de consulta virtual; (ii) </w:t>
            </w:r>
            <w:r w:rsidR="00B949D3" w:rsidRPr="00DF549E">
              <w:rPr>
                <w:rFonts w:ascii="Arial" w:hAnsi="Arial" w:cs="Arial"/>
                <w:sz w:val="18"/>
                <w:szCs w:val="18"/>
                <w:lang w:val="es-ES_tradnl" w:eastAsia="ja-JP"/>
              </w:rPr>
              <w:t xml:space="preserve">solicitudes, lectura de medidores, </w:t>
            </w:r>
            <w:r w:rsidRPr="00DF549E">
              <w:rPr>
                <w:rFonts w:ascii="Arial" w:hAnsi="Arial" w:cs="Arial"/>
                <w:sz w:val="18"/>
                <w:szCs w:val="18"/>
                <w:lang w:val="es-ES_tradnl" w:eastAsia="ja-JP"/>
              </w:rPr>
              <w:t xml:space="preserve">información </w:t>
            </w:r>
            <w:r w:rsidR="00B949D3" w:rsidRPr="00DF549E">
              <w:rPr>
                <w:rFonts w:ascii="Arial" w:hAnsi="Arial" w:cs="Arial"/>
                <w:sz w:val="18"/>
                <w:szCs w:val="18"/>
                <w:lang w:val="es-ES_tradnl" w:eastAsia="ja-JP"/>
              </w:rPr>
              <w:t>útil como pliego de tarifas sociales y vigentes, etc.; (iii) información institucional; y (iv) datos técnicos de generación, transmisión, distribución, comercialización e interconexión</w:t>
            </w:r>
            <w:r w:rsidR="002C4EE1">
              <w:rPr>
                <w:rFonts w:ascii="Arial" w:hAnsi="Arial" w:cs="Arial"/>
                <w:sz w:val="18"/>
                <w:szCs w:val="18"/>
                <w:lang w:val="es-ES_tradnl" w:eastAsia="ja-JP"/>
              </w:rPr>
              <w:t>.</w:t>
            </w:r>
          </w:p>
          <w:p w14:paraId="12433F50" w14:textId="0C463ED4" w:rsidR="00B949D3" w:rsidRPr="00DF549E" w:rsidRDefault="00B949D3" w:rsidP="00BB68B1">
            <w:pPr>
              <w:spacing w:line="240" w:lineRule="auto"/>
              <w:jc w:val="both"/>
              <w:rPr>
                <w:rFonts w:ascii="Arial" w:hAnsi="Arial" w:cs="Arial"/>
                <w:sz w:val="18"/>
                <w:szCs w:val="18"/>
                <w:lang w:val="es-ES_tradnl" w:eastAsia="ja-JP"/>
              </w:rPr>
            </w:pPr>
          </w:p>
        </w:tc>
      </w:tr>
      <w:tr w:rsidR="005D7368" w:rsidRPr="00D818E2" w14:paraId="1EB5B1A9" w14:textId="77777777" w:rsidTr="00DB1998">
        <w:trPr>
          <w:jc w:val="center"/>
        </w:trPr>
        <w:tc>
          <w:tcPr>
            <w:tcW w:w="1629" w:type="dxa"/>
            <w:shd w:val="clear" w:color="auto" w:fill="auto"/>
          </w:tcPr>
          <w:p w14:paraId="439675D9" w14:textId="12DE0E00" w:rsidR="008045CA" w:rsidRPr="00DF549E" w:rsidRDefault="005D7368" w:rsidP="00BB68B1">
            <w:pPr>
              <w:spacing w:line="240" w:lineRule="auto"/>
              <w:rPr>
                <w:rFonts w:ascii="Arial" w:hAnsi="Arial" w:cs="Arial"/>
                <w:b/>
                <w:bCs/>
                <w:i/>
                <w:sz w:val="18"/>
                <w:szCs w:val="18"/>
                <w:lang w:eastAsia="ja-JP"/>
              </w:rPr>
            </w:pPr>
            <w:proofErr w:type="spellStart"/>
            <w:r w:rsidRPr="00DF549E">
              <w:rPr>
                <w:rFonts w:ascii="Arial" w:hAnsi="Arial" w:cs="Arial"/>
                <w:b/>
                <w:sz w:val="18"/>
                <w:szCs w:val="18"/>
                <w:lang w:eastAsia="ja-JP"/>
              </w:rPr>
              <w:lastRenderedPageBreak/>
              <w:t>Analizar</w:t>
            </w:r>
            <w:proofErr w:type="spellEnd"/>
            <w:r w:rsidRPr="00DF549E">
              <w:rPr>
                <w:rFonts w:ascii="Arial" w:hAnsi="Arial" w:cs="Arial"/>
                <w:b/>
                <w:sz w:val="18"/>
                <w:szCs w:val="18"/>
                <w:lang w:eastAsia="ja-JP"/>
              </w:rPr>
              <w:t xml:space="preserve"> las </w:t>
            </w:r>
            <w:proofErr w:type="spellStart"/>
            <w:r w:rsidRPr="00DF549E">
              <w:rPr>
                <w:rFonts w:ascii="Arial" w:hAnsi="Arial" w:cs="Arial"/>
                <w:b/>
                <w:sz w:val="18"/>
                <w:szCs w:val="18"/>
                <w:lang w:eastAsia="ja-JP"/>
              </w:rPr>
              <w:t>características</w:t>
            </w:r>
            <w:proofErr w:type="spellEnd"/>
            <w:r w:rsidRPr="00DF549E">
              <w:rPr>
                <w:rFonts w:ascii="Arial" w:hAnsi="Arial" w:cs="Arial"/>
                <w:b/>
                <w:sz w:val="18"/>
                <w:szCs w:val="18"/>
                <w:lang w:eastAsia="ja-JP"/>
              </w:rPr>
              <w:t xml:space="preserve"> e </w:t>
            </w:r>
            <w:proofErr w:type="spellStart"/>
            <w:r w:rsidRPr="00DF549E">
              <w:rPr>
                <w:rFonts w:ascii="Arial" w:hAnsi="Arial" w:cs="Arial"/>
                <w:b/>
                <w:sz w:val="18"/>
                <w:szCs w:val="18"/>
                <w:lang w:eastAsia="ja-JP"/>
              </w:rPr>
              <w:t>impactos</w:t>
            </w:r>
            <w:proofErr w:type="spellEnd"/>
            <w:r w:rsidRPr="00DF549E">
              <w:rPr>
                <w:rFonts w:ascii="Arial" w:hAnsi="Arial" w:cs="Arial"/>
                <w:b/>
                <w:sz w:val="18"/>
                <w:szCs w:val="18"/>
                <w:lang w:eastAsia="ja-JP"/>
              </w:rPr>
              <w:t xml:space="preserve"> de </w:t>
            </w:r>
            <w:proofErr w:type="spellStart"/>
            <w:r w:rsidRPr="00DF549E">
              <w:rPr>
                <w:rFonts w:ascii="Arial" w:hAnsi="Arial" w:cs="Arial"/>
                <w:b/>
                <w:sz w:val="18"/>
                <w:szCs w:val="18"/>
                <w:lang w:eastAsia="ja-JP"/>
              </w:rPr>
              <w:t>los</w:t>
            </w:r>
            <w:proofErr w:type="spellEnd"/>
            <w:r w:rsidRPr="00DF549E">
              <w:rPr>
                <w:rFonts w:ascii="Arial" w:hAnsi="Arial" w:cs="Arial"/>
                <w:b/>
                <w:sz w:val="18"/>
                <w:szCs w:val="18"/>
                <w:lang w:eastAsia="ja-JP"/>
              </w:rPr>
              <w:t xml:space="preserve"> </w:t>
            </w:r>
            <w:proofErr w:type="spellStart"/>
            <w:r w:rsidRPr="00DF549E">
              <w:rPr>
                <w:rFonts w:ascii="Arial" w:hAnsi="Arial" w:cs="Arial"/>
                <w:b/>
                <w:sz w:val="18"/>
                <w:szCs w:val="18"/>
                <w:lang w:eastAsia="ja-JP"/>
              </w:rPr>
              <w:t>subsidios</w:t>
            </w:r>
            <w:proofErr w:type="spellEnd"/>
            <w:r w:rsidRPr="00DF549E">
              <w:rPr>
                <w:rFonts w:ascii="Arial" w:hAnsi="Arial" w:cs="Arial"/>
                <w:b/>
                <w:sz w:val="18"/>
                <w:szCs w:val="18"/>
                <w:lang w:eastAsia="ja-JP"/>
              </w:rPr>
              <w:t>.</w:t>
            </w:r>
          </w:p>
        </w:tc>
        <w:tc>
          <w:tcPr>
            <w:tcW w:w="4002" w:type="dxa"/>
            <w:shd w:val="clear" w:color="auto" w:fill="auto"/>
          </w:tcPr>
          <w:p w14:paraId="7E33E477" w14:textId="62C51EB1" w:rsidR="008045CA" w:rsidRPr="00DF549E" w:rsidRDefault="005D7368" w:rsidP="005D7368">
            <w:pPr>
              <w:spacing w:line="240" w:lineRule="auto"/>
              <w:jc w:val="both"/>
              <w:rPr>
                <w:rFonts w:ascii="Arial" w:hAnsi="Arial" w:cs="Arial"/>
                <w:sz w:val="18"/>
                <w:szCs w:val="18"/>
                <w:lang w:val="es-ES_tradnl" w:eastAsia="ja-JP"/>
              </w:rPr>
            </w:pPr>
            <w:r w:rsidRPr="00DF549E">
              <w:rPr>
                <w:rFonts w:ascii="Arial" w:hAnsi="Arial" w:cs="Arial"/>
                <w:sz w:val="18"/>
                <w:szCs w:val="18"/>
                <w:lang w:val="es-ES_tradnl" w:eastAsia="ja-JP"/>
              </w:rPr>
              <w:t>La operación y financiamiento de los servicios abarcados por esta Política debería lograr la recuperación de costos de prestación en condiciones de eficiencia mediante tarifas a los usuarios. Sin embargo, esta Política reconoce que, ocasionalmente, la sostenibilidad financiera puede alcanzarse complementando los ingresos provenientes de las tarifas por la venta del servicio al usuario, con aportes de la comunidad y aportes directos del gobierno. En situaciones en las que se otorguen subsidios, el Banco promoverá que tanto su asignación como utilización se realicen de modo transparente y sujeto a mecanismos frecuentes y eficaces de rendición de cuentas. Estos mecanismos incorporarán: i) la identificación y análisis de fuentes y beneficiarios de los subsidios; ii) el análisis de la incidencia distributiva de los subsidios; y iii) la cuantificación del subsidio relativo a indicadores macroeconómicos (por ejemplo, Producto Interno Bruto, erogaciones totales del sector público) utilizados por el Banco o por el nivel de gobierno que otorgue los subsidios para informar sobre su sostenibilidad fiscal. En los casos en que se otorguen subsidios tarifarios, el Banco impulsará su focalización en los grupos más vulnerables y de menores ingresos. Adicionalmente, y en la medida de lo posible, el Banco apoyará a los países para sustituir los subsidios tarifarios a los servicios públicos por mecanismos de transferencias de ingresos más directos y focalizados en los segmentos de la población con menores ingresos.</w:t>
            </w:r>
          </w:p>
        </w:tc>
        <w:tc>
          <w:tcPr>
            <w:tcW w:w="3945" w:type="dxa"/>
            <w:shd w:val="clear" w:color="auto" w:fill="auto"/>
          </w:tcPr>
          <w:p w14:paraId="258C7C87" w14:textId="08784AA9" w:rsidR="008045CA" w:rsidRPr="00DF549E" w:rsidRDefault="00507043" w:rsidP="005D7368">
            <w:pPr>
              <w:spacing w:line="240" w:lineRule="auto"/>
              <w:jc w:val="both"/>
              <w:rPr>
                <w:rFonts w:ascii="Arial" w:hAnsi="Arial" w:cs="Arial"/>
                <w:sz w:val="18"/>
                <w:szCs w:val="18"/>
                <w:lang w:val="es-ES_tradnl" w:eastAsia="ja-JP"/>
              </w:rPr>
            </w:pPr>
            <w:r w:rsidRPr="00DF549E">
              <w:rPr>
                <w:rFonts w:ascii="Arial" w:hAnsi="Arial" w:cs="Arial"/>
                <w:sz w:val="18"/>
                <w:szCs w:val="18"/>
                <w:lang w:val="es-ES_tradnl" w:eastAsia="ja-JP"/>
              </w:rPr>
              <w:t>Las tarifas eléctricas de ANDE fueron ajustadas en 2017 para varias categorías de clientes después de muchos años sin aumentos</w:t>
            </w:r>
            <w:r w:rsidR="00847989">
              <w:rPr>
                <w:rFonts w:ascii="Arial" w:hAnsi="Arial" w:cs="Arial"/>
                <w:sz w:val="18"/>
                <w:szCs w:val="18"/>
                <w:lang w:val="es-ES_tradnl" w:eastAsia="ja-JP"/>
              </w:rPr>
              <w:t xml:space="preserve"> (</w:t>
            </w:r>
            <w:r w:rsidRPr="00DF549E">
              <w:rPr>
                <w:rFonts w:ascii="Arial" w:hAnsi="Arial" w:cs="Arial"/>
                <w:sz w:val="18"/>
                <w:szCs w:val="18"/>
                <w:lang w:val="es-ES_tradnl" w:eastAsia="ja-JP"/>
              </w:rPr>
              <w:t>el último ajuste tarifario anterior al del 2017 fue en el 2002</w:t>
            </w:r>
            <w:r w:rsidR="00847989">
              <w:rPr>
                <w:rFonts w:ascii="Arial" w:hAnsi="Arial" w:cs="Arial"/>
                <w:sz w:val="18"/>
                <w:szCs w:val="18"/>
                <w:lang w:val="es-ES_tradnl" w:eastAsia="ja-JP"/>
              </w:rPr>
              <w:t>)</w:t>
            </w:r>
            <w:r w:rsidRPr="00DF549E">
              <w:rPr>
                <w:rFonts w:ascii="Arial" w:hAnsi="Arial" w:cs="Arial"/>
                <w:sz w:val="18"/>
                <w:szCs w:val="18"/>
                <w:lang w:val="es-ES_tradnl" w:eastAsia="ja-JP"/>
              </w:rPr>
              <w:t>.</w:t>
            </w:r>
          </w:p>
          <w:p w14:paraId="157A55FC" w14:textId="3428D13F" w:rsidR="00507043" w:rsidRPr="00DF549E" w:rsidRDefault="00847989" w:rsidP="00B1084D">
            <w:pPr>
              <w:spacing w:line="240" w:lineRule="auto"/>
              <w:jc w:val="both"/>
              <w:rPr>
                <w:rFonts w:ascii="Arial" w:hAnsi="Arial" w:cs="Arial"/>
                <w:sz w:val="18"/>
                <w:szCs w:val="18"/>
                <w:lang w:val="es-ES_tradnl" w:eastAsia="ja-JP"/>
              </w:rPr>
            </w:pPr>
            <w:r>
              <w:rPr>
                <w:rFonts w:ascii="Arial" w:hAnsi="Arial" w:cs="Arial"/>
                <w:sz w:val="18"/>
                <w:szCs w:val="18"/>
                <w:lang w:val="es-ES_tradnl" w:eastAsia="ja-JP"/>
              </w:rPr>
              <w:t>Existe una tarifa social para consumos residenciales por debajo de 300kWj/mes de acuerdo a</w:t>
            </w:r>
            <w:r w:rsidR="00507043" w:rsidRPr="00DF549E">
              <w:rPr>
                <w:rFonts w:ascii="Arial" w:hAnsi="Arial" w:cs="Arial"/>
                <w:sz w:val="18"/>
                <w:szCs w:val="18"/>
                <w:lang w:val="es-ES_tradnl" w:eastAsia="ja-JP"/>
              </w:rPr>
              <w:t xml:space="preserve"> la Ley de Tarifa Social (Ley </w:t>
            </w:r>
            <w:proofErr w:type="spellStart"/>
            <w:r w:rsidR="00507043" w:rsidRPr="00DF549E">
              <w:rPr>
                <w:rFonts w:ascii="Arial" w:hAnsi="Arial" w:cs="Arial"/>
                <w:sz w:val="18"/>
                <w:szCs w:val="18"/>
                <w:lang w:val="es-ES_tradnl" w:eastAsia="ja-JP"/>
              </w:rPr>
              <w:t>Nº</w:t>
            </w:r>
            <w:proofErr w:type="spellEnd"/>
            <w:r w:rsidR="00507043" w:rsidRPr="00DF549E">
              <w:rPr>
                <w:rFonts w:ascii="Arial" w:hAnsi="Arial" w:cs="Arial"/>
                <w:sz w:val="18"/>
                <w:szCs w:val="18"/>
                <w:lang w:val="es-ES_tradnl" w:eastAsia="ja-JP"/>
              </w:rPr>
              <w:t xml:space="preserve"> 3.480</w:t>
            </w:r>
            <w:r>
              <w:rPr>
                <w:rFonts w:ascii="Arial" w:hAnsi="Arial" w:cs="Arial"/>
                <w:sz w:val="18"/>
                <w:szCs w:val="18"/>
                <w:lang w:val="es-ES_tradnl" w:eastAsia="ja-JP"/>
              </w:rPr>
              <w:t>/</w:t>
            </w:r>
            <w:r w:rsidR="00507043" w:rsidRPr="00DF549E">
              <w:rPr>
                <w:rFonts w:ascii="Arial" w:hAnsi="Arial" w:cs="Arial"/>
                <w:sz w:val="18"/>
                <w:szCs w:val="18"/>
                <w:lang w:val="es-ES_tradnl" w:eastAsia="ja-JP"/>
              </w:rPr>
              <w:t>2008)</w:t>
            </w:r>
            <w:r w:rsidR="006F22DE">
              <w:rPr>
                <w:rFonts w:ascii="Arial" w:hAnsi="Arial" w:cs="Arial"/>
                <w:sz w:val="18"/>
                <w:szCs w:val="18"/>
                <w:lang w:val="es-ES_tradnl" w:eastAsia="ja-JP"/>
              </w:rPr>
              <w:t xml:space="preserve">. Se realiza </w:t>
            </w:r>
            <w:r>
              <w:rPr>
                <w:rFonts w:ascii="Arial" w:hAnsi="Arial" w:cs="Arial"/>
                <w:sz w:val="18"/>
                <w:szCs w:val="18"/>
                <w:lang w:val="es-ES_tradnl" w:eastAsia="ja-JP"/>
              </w:rPr>
              <w:t xml:space="preserve">bajo una modalidad de descuentos, </w:t>
            </w:r>
            <w:r w:rsidR="006F22DE">
              <w:rPr>
                <w:rFonts w:ascii="Arial" w:hAnsi="Arial" w:cs="Arial"/>
                <w:sz w:val="18"/>
                <w:szCs w:val="18"/>
                <w:lang w:val="es-ES_tradnl" w:eastAsia="ja-JP"/>
              </w:rPr>
              <w:t xml:space="preserve">cuyo monto </w:t>
            </w:r>
            <w:r>
              <w:rPr>
                <w:rFonts w:ascii="Arial" w:hAnsi="Arial" w:cs="Arial"/>
                <w:sz w:val="18"/>
                <w:szCs w:val="18"/>
                <w:lang w:val="es-ES_tradnl" w:eastAsia="ja-JP"/>
              </w:rPr>
              <w:t xml:space="preserve">es asumido por el Estado, entre tres categorías: </w:t>
            </w:r>
          </w:p>
          <w:p w14:paraId="634CF19A" w14:textId="45B67654" w:rsidR="00B1084D" w:rsidRPr="00DF549E" w:rsidRDefault="00847989" w:rsidP="00B1084D">
            <w:pPr>
              <w:pStyle w:val="ListParagraph"/>
              <w:numPr>
                <w:ilvl w:val="0"/>
                <w:numId w:val="43"/>
              </w:numPr>
              <w:spacing w:line="240" w:lineRule="auto"/>
              <w:jc w:val="both"/>
              <w:rPr>
                <w:rFonts w:ascii="Arial" w:hAnsi="Arial" w:cs="Arial"/>
                <w:sz w:val="18"/>
                <w:szCs w:val="18"/>
                <w:lang w:val="es-ES_tradnl" w:eastAsia="ja-JP"/>
              </w:rPr>
            </w:pPr>
            <w:r>
              <w:rPr>
                <w:rFonts w:ascii="Arial" w:hAnsi="Arial" w:cs="Arial"/>
                <w:sz w:val="18"/>
                <w:szCs w:val="18"/>
                <w:lang w:val="es-ES_tradnl" w:eastAsia="ja-JP"/>
              </w:rPr>
              <w:t>C</w:t>
            </w:r>
            <w:r w:rsidR="00B1084D" w:rsidRPr="00DF549E">
              <w:rPr>
                <w:rFonts w:ascii="Arial" w:hAnsi="Arial" w:cs="Arial"/>
                <w:sz w:val="18"/>
                <w:szCs w:val="18"/>
                <w:lang w:val="es-ES_tradnl" w:eastAsia="ja-JP"/>
              </w:rPr>
              <w:t xml:space="preserve">onsumo igual o inferior a 100 kWh/mes, </w:t>
            </w:r>
            <w:r>
              <w:rPr>
                <w:rFonts w:ascii="Arial" w:hAnsi="Arial" w:cs="Arial"/>
                <w:sz w:val="18"/>
                <w:szCs w:val="18"/>
                <w:lang w:val="es-ES_tradnl" w:eastAsia="ja-JP"/>
              </w:rPr>
              <w:t xml:space="preserve">descuento </w:t>
            </w:r>
            <w:r w:rsidR="00B1084D" w:rsidRPr="00DF549E">
              <w:rPr>
                <w:rFonts w:ascii="Arial" w:hAnsi="Arial" w:cs="Arial"/>
                <w:sz w:val="18"/>
                <w:szCs w:val="18"/>
                <w:lang w:val="es-ES_tradnl" w:eastAsia="ja-JP"/>
              </w:rPr>
              <w:t xml:space="preserve">del 75%; </w:t>
            </w:r>
          </w:p>
          <w:p w14:paraId="1DCED48B" w14:textId="261C04C5" w:rsidR="00B1084D" w:rsidRPr="00DF549E" w:rsidRDefault="00847989" w:rsidP="00B1084D">
            <w:pPr>
              <w:pStyle w:val="ListParagraph"/>
              <w:numPr>
                <w:ilvl w:val="0"/>
                <w:numId w:val="43"/>
              </w:numPr>
              <w:spacing w:line="240" w:lineRule="auto"/>
              <w:jc w:val="both"/>
              <w:rPr>
                <w:rFonts w:ascii="Arial" w:hAnsi="Arial" w:cs="Arial"/>
                <w:sz w:val="18"/>
                <w:szCs w:val="18"/>
                <w:lang w:val="es-ES_tradnl" w:eastAsia="ja-JP"/>
              </w:rPr>
            </w:pPr>
            <w:r>
              <w:rPr>
                <w:rFonts w:ascii="Arial" w:hAnsi="Arial" w:cs="Arial"/>
                <w:sz w:val="18"/>
                <w:szCs w:val="18"/>
                <w:lang w:val="es-ES_tradnl" w:eastAsia="ja-JP"/>
              </w:rPr>
              <w:t xml:space="preserve">Consumo </w:t>
            </w:r>
            <w:r w:rsidR="00B1084D" w:rsidRPr="00DF549E">
              <w:rPr>
                <w:rFonts w:ascii="Arial" w:hAnsi="Arial" w:cs="Arial"/>
                <w:sz w:val="18"/>
                <w:szCs w:val="18"/>
                <w:lang w:val="es-ES_tradnl" w:eastAsia="ja-JP"/>
              </w:rPr>
              <w:t xml:space="preserve">entre 101 y 200 kWh/mes, </w:t>
            </w:r>
            <w:r>
              <w:rPr>
                <w:rFonts w:ascii="Arial" w:hAnsi="Arial" w:cs="Arial"/>
                <w:sz w:val="18"/>
                <w:szCs w:val="18"/>
                <w:lang w:val="es-ES_tradnl" w:eastAsia="ja-JP"/>
              </w:rPr>
              <w:t xml:space="preserve">descuento </w:t>
            </w:r>
            <w:r w:rsidR="00B1084D" w:rsidRPr="00DF549E">
              <w:rPr>
                <w:rFonts w:ascii="Arial" w:hAnsi="Arial" w:cs="Arial"/>
                <w:sz w:val="18"/>
                <w:szCs w:val="18"/>
                <w:lang w:val="es-ES_tradnl" w:eastAsia="ja-JP"/>
              </w:rPr>
              <w:t>del 50%</w:t>
            </w:r>
            <w:r w:rsidR="001076DA" w:rsidRPr="00DF549E">
              <w:rPr>
                <w:rFonts w:ascii="Arial" w:hAnsi="Arial" w:cs="Arial"/>
                <w:sz w:val="18"/>
                <w:szCs w:val="18"/>
                <w:lang w:val="es-ES_tradnl" w:eastAsia="ja-JP"/>
              </w:rPr>
              <w:t>;</w:t>
            </w:r>
          </w:p>
          <w:p w14:paraId="50D44B7F" w14:textId="57DF0D5C" w:rsidR="001076DA" w:rsidRPr="00DF549E" w:rsidRDefault="00847989" w:rsidP="001076DA">
            <w:pPr>
              <w:pStyle w:val="ListParagraph"/>
              <w:numPr>
                <w:ilvl w:val="0"/>
                <w:numId w:val="43"/>
              </w:numPr>
              <w:spacing w:line="240" w:lineRule="auto"/>
              <w:jc w:val="both"/>
              <w:rPr>
                <w:rFonts w:ascii="Arial" w:hAnsi="Arial" w:cs="Arial"/>
                <w:sz w:val="18"/>
                <w:szCs w:val="18"/>
                <w:lang w:val="es-ES_tradnl" w:eastAsia="ja-JP"/>
              </w:rPr>
            </w:pPr>
            <w:r>
              <w:rPr>
                <w:rFonts w:ascii="Arial" w:hAnsi="Arial" w:cs="Arial"/>
                <w:sz w:val="18"/>
                <w:szCs w:val="18"/>
                <w:lang w:val="es-ES_tradnl" w:eastAsia="ja-JP"/>
              </w:rPr>
              <w:t xml:space="preserve">Consumos </w:t>
            </w:r>
            <w:r w:rsidR="001076DA" w:rsidRPr="00DF549E">
              <w:rPr>
                <w:rFonts w:ascii="Arial" w:hAnsi="Arial" w:cs="Arial"/>
                <w:sz w:val="18"/>
                <w:szCs w:val="18"/>
                <w:lang w:val="es-ES_tradnl" w:eastAsia="ja-JP"/>
              </w:rPr>
              <w:t xml:space="preserve">comprendido entre 201 y 300 kWh/mes, </w:t>
            </w:r>
            <w:r>
              <w:rPr>
                <w:rFonts w:ascii="Arial" w:hAnsi="Arial" w:cs="Arial"/>
                <w:sz w:val="18"/>
                <w:szCs w:val="18"/>
                <w:lang w:val="es-ES_tradnl" w:eastAsia="ja-JP"/>
              </w:rPr>
              <w:t xml:space="preserve">descuento </w:t>
            </w:r>
            <w:r w:rsidR="001076DA" w:rsidRPr="00DF549E">
              <w:rPr>
                <w:rFonts w:ascii="Arial" w:hAnsi="Arial" w:cs="Arial"/>
                <w:sz w:val="18"/>
                <w:szCs w:val="18"/>
                <w:lang w:val="es-ES_tradnl" w:eastAsia="ja-JP"/>
              </w:rPr>
              <w:t>del 25%.</w:t>
            </w:r>
          </w:p>
          <w:p w14:paraId="77EEC983" w14:textId="19921D4A" w:rsidR="00507043" w:rsidRPr="00DF549E" w:rsidRDefault="00507043">
            <w:pPr>
              <w:spacing w:line="240" w:lineRule="auto"/>
              <w:jc w:val="both"/>
              <w:rPr>
                <w:rFonts w:ascii="Arial" w:hAnsi="Arial" w:cs="Arial"/>
                <w:sz w:val="18"/>
                <w:szCs w:val="18"/>
                <w:lang w:val="es-ES_tradnl" w:eastAsia="ja-JP"/>
              </w:rPr>
            </w:pPr>
          </w:p>
        </w:tc>
      </w:tr>
      <w:tr w:rsidR="005D7368" w:rsidRPr="00D818E2" w14:paraId="67D5F225" w14:textId="77777777" w:rsidTr="00DB1998">
        <w:trPr>
          <w:jc w:val="center"/>
        </w:trPr>
        <w:tc>
          <w:tcPr>
            <w:tcW w:w="1629" w:type="dxa"/>
            <w:shd w:val="clear" w:color="auto" w:fill="auto"/>
          </w:tcPr>
          <w:p w14:paraId="3B6D58AB" w14:textId="2BBA2946" w:rsidR="008045CA" w:rsidRPr="00DF549E" w:rsidRDefault="005D7368" w:rsidP="00BB68B1">
            <w:pPr>
              <w:spacing w:line="240" w:lineRule="auto"/>
              <w:rPr>
                <w:rFonts w:ascii="Arial" w:hAnsi="Arial" w:cs="Arial"/>
                <w:bCs/>
                <w:sz w:val="18"/>
                <w:szCs w:val="18"/>
                <w:lang w:val="es-ES_tradnl" w:eastAsia="ja-JP"/>
              </w:rPr>
            </w:pPr>
            <w:r w:rsidRPr="00DF549E">
              <w:rPr>
                <w:rFonts w:ascii="Arial" w:hAnsi="Arial" w:cs="Arial"/>
                <w:b/>
                <w:sz w:val="18"/>
                <w:szCs w:val="18"/>
                <w:lang w:val="es-ES_tradnl" w:eastAsia="ja-JP"/>
              </w:rPr>
              <w:t xml:space="preserve">Separar funciones </w:t>
            </w:r>
            <w:r w:rsidRPr="00DF549E">
              <w:rPr>
                <w:rFonts w:ascii="Arial" w:hAnsi="Arial" w:cs="Arial"/>
                <w:b/>
                <w:sz w:val="18"/>
                <w:szCs w:val="18"/>
                <w:lang w:val="es-ES_tradnl" w:eastAsia="ja-JP"/>
              </w:rPr>
              <w:lastRenderedPageBreak/>
              <w:t>institucionales para mejorar la gobernanza sectorial</w:t>
            </w:r>
            <w:r w:rsidR="008045CA" w:rsidRPr="00DF549E">
              <w:rPr>
                <w:rFonts w:ascii="Arial" w:hAnsi="Arial" w:cs="Arial"/>
                <w:b/>
                <w:sz w:val="18"/>
                <w:szCs w:val="18"/>
                <w:lang w:val="es-ES_tradnl" w:eastAsia="ja-JP"/>
              </w:rPr>
              <w:t>.</w:t>
            </w:r>
          </w:p>
          <w:p w14:paraId="6CEF5B67" w14:textId="77777777" w:rsidR="008045CA" w:rsidRPr="00DF549E" w:rsidRDefault="008045CA" w:rsidP="00BB68B1">
            <w:pPr>
              <w:spacing w:line="240" w:lineRule="auto"/>
              <w:rPr>
                <w:rFonts w:ascii="Arial" w:hAnsi="Arial" w:cs="Arial"/>
                <w:b/>
                <w:bCs/>
                <w:i/>
                <w:sz w:val="18"/>
                <w:szCs w:val="18"/>
                <w:lang w:val="es-ES_tradnl" w:eastAsia="ja-JP"/>
              </w:rPr>
            </w:pPr>
          </w:p>
          <w:p w14:paraId="359282F8" w14:textId="77777777" w:rsidR="008045CA" w:rsidRPr="00DF549E" w:rsidRDefault="008045CA" w:rsidP="00BB68B1">
            <w:pPr>
              <w:spacing w:line="240" w:lineRule="auto"/>
              <w:rPr>
                <w:rFonts w:ascii="Arial" w:hAnsi="Arial" w:cs="Arial"/>
                <w:b/>
                <w:bCs/>
                <w:i/>
                <w:sz w:val="18"/>
                <w:szCs w:val="18"/>
                <w:lang w:val="es-ES_tradnl" w:eastAsia="ja-JP"/>
              </w:rPr>
            </w:pPr>
          </w:p>
        </w:tc>
        <w:tc>
          <w:tcPr>
            <w:tcW w:w="4002" w:type="dxa"/>
            <w:shd w:val="clear" w:color="auto" w:fill="auto"/>
          </w:tcPr>
          <w:p w14:paraId="50B72402" w14:textId="6ADFE4C1" w:rsidR="008045CA" w:rsidRPr="00DF549E" w:rsidRDefault="005D7368" w:rsidP="00BB68B1">
            <w:pPr>
              <w:spacing w:line="240" w:lineRule="auto"/>
              <w:jc w:val="both"/>
              <w:rPr>
                <w:rFonts w:ascii="Arial" w:hAnsi="Arial" w:cs="Arial"/>
                <w:sz w:val="18"/>
                <w:szCs w:val="18"/>
                <w:lang w:val="es-ES_tradnl" w:eastAsia="ja-JP"/>
              </w:rPr>
            </w:pPr>
            <w:r w:rsidRPr="00DF549E">
              <w:rPr>
                <w:rFonts w:ascii="Arial" w:hAnsi="Arial" w:cs="Arial"/>
                <w:sz w:val="18"/>
                <w:szCs w:val="18"/>
                <w:lang w:val="es-ES_tradnl" w:eastAsia="ja-JP"/>
              </w:rPr>
              <w:lastRenderedPageBreak/>
              <w:t xml:space="preserve">La experiencia indica que la organización sectorial más efectiva para lograr el objetivo </w:t>
            </w:r>
            <w:r w:rsidRPr="00DF549E">
              <w:rPr>
                <w:rFonts w:ascii="Arial" w:hAnsi="Arial" w:cs="Arial"/>
                <w:sz w:val="18"/>
                <w:szCs w:val="18"/>
                <w:lang w:val="es-ES_tradnl" w:eastAsia="ja-JP"/>
              </w:rPr>
              <w:lastRenderedPageBreak/>
              <w:t>de esta Política es la separación de las funciones de formulador de políticas, regulador del servicio y prestador del servicio. En este contexto, la autoridad sectorial conserva la responsabilidad de formulación de políticas y planificación, los organismos públicos dictan y supervisan el cumplimiento del régimen reglamentario y se asigna a entidades -públicas o privadas- la responsabilidad de proveer el servicio. Esta Política reconoce, sin embargo, que la organización institucional no puede responder a un modelo único, debiendo adaptarse a las particularidades de cada sector y país. En varios países de la región, la responsabilidad de la formulación de políticas, la regulación y la provisión de los servicios públicos domiciliarios reside en el ámbito local (provincial o municipal). En estos casos, en los cuales no necesariamente es óptimo separar los roles de formulación de políticas y de regulación, el Banco promoverá una regulación homogénea, con parámetros mínimos adecuados de calidad, principios para la fijación de tarifas, y mecanismos de supervisión y control. Además, contribuirá a desarrollar mecanismos institucionales que fortalezcan la debida gestión en el marco de la legislación local.</w:t>
            </w:r>
          </w:p>
        </w:tc>
        <w:tc>
          <w:tcPr>
            <w:tcW w:w="3945" w:type="dxa"/>
            <w:shd w:val="clear" w:color="auto" w:fill="auto"/>
          </w:tcPr>
          <w:p w14:paraId="63FEC6EC" w14:textId="1E05AD6B" w:rsidR="00C0516D" w:rsidRDefault="00961C93" w:rsidP="00BB68B1">
            <w:pPr>
              <w:spacing w:line="240" w:lineRule="auto"/>
              <w:jc w:val="both"/>
              <w:rPr>
                <w:rFonts w:ascii="Arial" w:hAnsi="Arial" w:cs="Arial"/>
                <w:sz w:val="18"/>
                <w:szCs w:val="18"/>
                <w:lang w:val="es-ES_tradnl" w:eastAsia="ja-JP"/>
              </w:rPr>
            </w:pPr>
            <w:r w:rsidRPr="00DF549E">
              <w:rPr>
                <w:rFonts w:ascii="Arial" w:hAnsi="Arial" w:cs="Arial"/>
                <w:sz w:val="18"/>
                <w:szCs w:val="18"/>
                <w:lang w:val="es-ES_tradnl" w:eastAsia="ja-JP"/>
              </w:rPr>
              <w:lastRenderedPageBreak/>
              <w:t xml:space="preserve">El marco regulatorio del sector energético en Paraguay </w:t>
            </w:r>
            <w:r w:rsidR="00C0516D">
              <w:rPr>
                <w:rFonts w:ascii="Arial" w:hAnsi="Arial" w:cs="Arial"/>
                <w:sz w:val="18"/>
                <w:szCs w:val="18"/>
                <w:lang w:val="es-ES_tradnl" w:eastAsia="ja-JP"/>
              </w:rPr>
              <w:t xml:space="preserve">tiene particularidades debido a la </w:t>
            </w:r>
            <w:r w:rsidR="00C0516D">
              <w:rPr>
                <w:rFonts w:ascii="Arial" w:hAnsi="Arial" w:cs="Arial"/>
                <w:sz w:val="18"/>
                <w:szCs w:val="18"/>
                <w:lang w:val="es-ES_tradnl" w:eastAsia="ja-JP"/>
              </w:rPr>
              <w:lastRenderedPageBreak/>
              <w:t>estructura sectorial, dominado por ANDE con prácticamente el monopolio de la generación, transmisión y distribución eléctrica en todo el país (excepto en dos sistemas de distribución pequeños en la Ciudad de Villarrica y en la región del Chaco), junto con la abu</w:t>
            </w:r>
            <w:r w:rsidR="007F3C5B">
              <w:rPr>
                <w:rFonts w:ascii="Arial" w:hAnsi="Arial" w:cs="Arial"/>
                <w:sz w:val="18"/>
                <w:szCs w:val="18"/>
                <w:lang w:val="es-ES_tradnl" w:eastAsia="ja-JP"/>
              </w:rPr>
              <w:t>n</w:t>
            </w:r>
            <w:r w:rsidR="00C0516D">
              <w:rPr>
                <w:rFonts w:ascii="Arial" w:hAnsi="Arial" w:cs="Arial"/>
                <w:sz w:val="18"/>
                <w:szCs w:val="18"/>
                <w:lang w:val="es-ES_tradnl" w:eastAsia="ja-JP"/>
              </w:rPr>
              <w:t xml:space="preserve">dante disponibilidad de energía hidroeléctrica de bajo costo. </w:t>
            </w:r>
          </w:p>
          <w:p w14:paraId="08E22E93" w14:textId="0DF2F0CA" w:rsidR="008045CA" w:rsidRDefault="004745BA" w:rsidP="00BB68B1">
            <w:pPr>
              <w:spacing w:line="240" w:lineRule="auto"/>
              <w:jc w:val="both"/>
              <w:rPr>
                <w:rFonts w:ascii="Arial" w:hAnsi="Arial" w:cs="Arial"/>
                <w:sz w:val="18"/>
                <w:szCs w:val="18"/>
                <w:lang w:val="es-ES_tradnl" w:eastAsia="ja-JP"/>
              </w:rPr>
            </w:pPr>
            <w:r w:rsidRPr="00DF549E">
              <w:rPr>
                <w:rFonts w:ascii="Arial" w:hAnsi="Arial" w:cs="Arial"/>
                <w:sz w:val="18"/>
                <w:szCs w:val="18"/>
                <w:lang w:val="es-ES_tradnl" w:eastAsia="ja-JP"/>
              </w:rPr>
              <w:t>El Viceministerio de Minas y Energía es la (VME) que depende del Ministerio de Obras Públicas y Comunicaciones (MOPC) es el organismo que dicta la política sectorial con responsabilidad en la regulación. Por su parte, existe un equipo económico nacional que está conformado por los Ministros de Hacienda, MOPC, Agricultura y Ganadería, Industria y Comercio, y el presidente del Banco Central, define la política tarifaria de los servicios públicos, en donde la ANDE realiza estudios de tarifas y propone sus ajustes, pero es el gobierno el que toma la decisión.</w:t>
            </w:r>
          </w:p>
          <w:p w14:paraId="3C0C2FAD" w14:textId="79F248D0" w:rsidR="00C0516D" w:rsidRPr="00DF549E" w:rsidRDefault="00C0516D" w:rsidP="00BB68B1">
            <w:pPr>
              <w:spacing w:line="240" w:lineRule="auto"/>
              <w:jc w:val="both"/>
              <w:rPr>
                <w:rFonts w:ascii="Arial" w:hAnsi="Arial" w:cs="Arial"/>
                <w:sz w:val="18"/>
                <w:szCs w:val="18"/>
                <w:lang w:val="es-ES_tradnl" w:eastAsia="ja-JP"/>
              </w:rPr>
            </w:pPr>
            <w:r>
              <w:rPr>
                <w:rFonts w:ascii="Arial" w:hAnsi="Arial" w:cs="Arial"/>
                <w:sz w:val="18"/>
                <w:szCs w:val="18"/>
                <w:lang w:val="es-ES_tradnl" w:eastAsia="ja-JP"/>
              </w:rPr>
              <w:t xml:space="preserve">El monitoreo de las empresas públicas, incluyendo la ANDE, ha estado a cargo de una unidad de Empresas Públicas dentro del Ministerio de Hacienda. </w:t>
            </w:r>
          </w:p>
          <w:p w14:paraId="5CFCC31C" w14:textId="3A1A2A49" w:rsidR="004745BA" w:rsidRPr="00DF549E" w:rsidRDefault="00DF549E" w:rsidP="00BB68B1">
            <w:pPr>
              <w:spacing w:line="240" w:lineRule="auto"/>
              <w:jc w:val="both"/>
              <w:rPr>
                <w:rFonts w:ascii="Arial" w:hAnsi="Arial" w:cs="Arial"/>
                <w:sz w:val="18"/>
                <w:szCs w:val="18"/>
                <w:lang w:val="es-ES_tradnl" w:eastAsia="ja-JP"/>
              </w:rPr>
            </w:pPr>
            <w:r>
              <w:rPr>
                <w:rFonts w:ascii="Arial" w:hAnsi="Arial" w:cs="Arial"/>
                <w:sz w:val="18"/>
                <w:szCs w:val="18"/>
                <w:lang w:val="es-ES_tradnl" w:eastAsia="ja-JP"/>
              </w:rPr>
              <w:t xml:space="preserve">Por su parte, con la aprobación de la </w:t>
            </w:r>
            <w:r w:rsidRPr="00DF549E">
              <w:rPr>
                <w:rFonts w:ascii="Arial" w:hAnsi="Arial" w:cs="Arial"/>
                <w:sz w:val="18"/>
                <w:szCs w:val="18"/>
                <w:lang w:val="es-ES_tradnl" w:eastAsia="ja-JP"/>
              </w:rPr>
              <w:t xml:space="preserve">Política Energética </w:t>
            </w:r>
            <w:r>
              <w:rPr>
                <w:rFonts w:ascii="Arial" w:hAnsi="Arial" w:cs="Arial"/>
                <w:sz w:val="18"/>
                <w:szCs w:val="18"/>
                <w:lang w:val="es-ES_tradnl" w:eastAsia="ja-JP"/>
              </w:rPr>
              <w:t>Nacional a través del Decreto</w:t>
            </w:r>
            <w:r w:rsidRPr="00DF549E">
              <w:rPr>
                <w:lang w:val="es-ES_tradnl"/>
              </w:rPr>
              <w:t xml:space="preserve"> </w:t>
            </w:r>
            <w:r w:rsidRPr="00DF549E">
              <w:rPr>
                <w:rFonts w:ascii="Arial" w:hAnsi="Arial" w:cs="Arial"/>
                <w:sz w:val="18"/>
                <w:szCs w:val="18"/>
                <w:lang w:val="es-ES_tradnl" w:eastAsia="ja-JP"/>
              </w:rPr>
              <w:t>Nº6092-2016</w:t>
            </w:r>
            <w:r>
              <w:rPr>
                <w:rFonts w:ascii="Arial" w:hAnsi="Arial" w:cs="Arial"/>
                <w:sz w:val="18"/>
                <w:szCs w:val="18"/>
                <w:lang w:val="es-ES_tradnl" w:eastAsia="ja-JP"/>
              </w:rPr>
              <w:t xml:space="preserve">, </w:t>
            </w:r>
            <w:r w:rsidR="005226A3">
              <w:rPr>
                <w:rFonts w:ascii="Arial" w:hAnsi="Arial" w:cs="Arial"/>
                <w:sz w:val="18"/>
                <w:szCs w:val="18"/>
                <w:lang w:val="es-ES_tradnl" w:eastAsia="ja-JP"/>
              </w:rPr>
              <w:t>entre sus objetivos específicos se centra en consolidar la coordinación institucional con atribuciones y recursos para formular políticas, planificar, regular y fiscalizar, así como definir de manera precisa los roles institucionales de los actores del sector.</w:t>
            </w:r>
          </w:p>
        </w:tc>
      </w:tr>
      <w:tr w:rsidR="005D7368" w:rsidRPr="00D818E2" w14:paraId="40D01DE2" w14:textId="77777777" w:rsidTr="00DB1998">
        <w:trPr>
          <w:jc w:val="center"/>
        </w:trPr>
        <w:tc>
          <w:tcPr>
            <w:tcW w:w="1629" w:type="dxa"/>
            <w:shd w:val="clear" w:color="auto" w:fill="auto"/>
          </w:tcPr>
          <w:p w14:paraId="15B761A4" w14:textId="33449198" w:rsidR="008045CA" w:rsidRPr="00DF549E" w:rsidRDefault="005D7368" w:rsidP="00BB68B1">
            <w:pPr>
              <w:spacing w:line="240" w:lineRule="auto"/>
              <w:rPr>
                <w:rFonts w:ascii="Arial" w:hAnsi="Arial" w:cs="Arial"/>
                <w:b/>
                <w:bCs/>
                <w:sz w:val="18"/>
                <w:szCs w:val="18"/>
                <w:lang w:val="es-ES_tradnl" w:eastAsia="ja-JP"/>
              </w:rPr>
            </w:pPr>
            <w:r w:rsidRPr="00DF549E">
              <w:rPr>
                <w:rFonts w:ascii="Arial" w:hAnsi="Arial" w:cs="Arial"/>
                <w:b/>
                <w:sz w:val="18"/>
                <w:szCs w:val="18"/>
                <w:lang w:val="es-ES_tradnl" w:eastAsia="ja-JP"/>
              </w:rPr>
              <w:lastRenderedPageBreak/>
              <w:t>Establecer la estructura sectorial más apropiada en el contexto de las características del servicio y los objetivos de la Política.</w:t>
            </w:r>
          </w:p>
        </w:tc>
        <w:tc>
          <w:tcPr>
            <w:tcW w:w="4002" w:type="dxa"/>
            <w:shd w:val="clear" w:color="auto" w:fill="auto"/>
          </w:tcPr>
          <w:p w14:paraId="37298F25" w14:textId="20A5F66F" w:rsidR="008045CA" w:rsidRPr="00DF549E" w:rsidRDefault="005D7368" w:rsidP="00BB68B1">
            <w:pPr>
              <w:spacing w:line="240" w:lineRule="auto"/>
              <w:jc w:val="both"/>
              <w:rPr>
                <w:rFonts w:ascii="Arial" w:hAnsi="Arial" w:cs="Arial"/>
                <w:sz w:val="18"/>
                <w:szCs w:val="18"/>
                <w:lang w:val="es-ES_tradnl" w:eastAsia="ja-JP"/>
              </w:rPr>
            </w:pPr>
            <w:r w:rsidRPr="00DF549E">
              <w:rPr>
                <w:rFonts w:ascii="Arial" w:hAnsi="Arial" w:cs="Arial"/>
                <w:sz w:val="18"/>
                <w:szCs w:val="18"/>
                <w:lang w:val="es-ES_tradnl" w:eastAsia="ja-JP"/>
              </w:rPr>
              <w:t>La experiencia en procesos de reforma y cambios en la gestión en América Latina y el Caribe muestra que el buen o mal desempeño de las entidades prestadoras de servicios públicos domiciliarios no se explica necesariamente por el tipo de propiedad, sea esta pública o privada, ni por la estructura del sector, sea esta monopólica o competitiva. Por ello, y considerando la heterogeneidad en los mercados y servicios de la región, esta Política no promueve una organización industrial sectorial única para la prestación de los servicios públicos domiciliarios, y destaca que independientemente del modelo de gestión utilizado, se debe contar con prácticas de buena gobernanza y con un marco regulador claro, predecible y estable que incentive la eficiencia y la inversión.</w:t>
            </w:r>
          </w:p>
        </w:tc>
        <w:tc>
          <w:tcPr>
            <w:tcW w:w="3945" w:type="dxa"/>
            <w:shd w:val="clear" w:color="auto" w:fill="auto"/>
          </w:tcPr>
          <w:p w14:paraId="5CB67F7B" w14:textId="7277598D" w:rsidR="00411630" w:rsidRDefault="00411630" w:rsidP="00BB68B1">
            <w:pPr>
              <w:spacing w:line="240" w:lineRule="auto"/>
              <w:jc w:val="both"/>
              <w:rPr>
                <w:rFonts w:ascii="Arial" w:hAnsi="Arial" w:cs="Arial"/>
                <w:sz w:val="18"/>
                <w:szCs w:val="18"/>
                <w:lang w:val="es-ES_tradnl" w:eastAsia="ja-JP"/>
              </w:rPr>
            </w:pPr>
            <w:r>
              <w:rPr>
                <w:rFonts w:ascii="Arial" w:hAnsi="Arial" w:cs="Arial"/>
                <w:sz w:val="18"/>
                <w:szCs w:val="18"/>
                <w:lang w:val="es-ES_tradnl" w:eastAsia="ja-JP"/>
              </w:rPr>
              <w:t xml:space="preserve">Los objetivos específicos de la de la Política Energética Nacional en términos a establecer una estructura sectorial apropiada son: </w:t>
            </w:r>
          </w:p>
          <w:p w14:paraId="6FB43C40" w14:textId="77777777" w:rsidR="00411630" w:rsidRDefault="00411630" w:rsidP="00411630">
            <w:pPr>
              <w:pStyle w:val="ListParagraph"/>
              <w:numPr>
                <w:ilvl w:val="0"/>
                <w:numId w:val="44"/>
              </w:numPr>
              <w:spacing w:line="240" w:lineRule="auto"/>
              <w:jc w:val="both"/>
              <w:rPr>
                <w:rFonts w:ascii="Arial" w:hAnsi="Arial" w:cs="Arial"/>
                <w:sz w:val="18"/>
                <w:szCs w:val="18"/>
                <w:lang w:val="es-ES_tradnl" w:eastAsia="ja-JP"/>
              </w:rPr>
            </w:pPr>
            <w:r w:rsidRPr="00411630">
              <w:rPr>
                <w:rFonts w:ascii="Arial" w:hAnsi="Arial" w:cs="Arial"/>
                <w:sz w:val="18"/>
                <w:szCs w:val="18"/>
                <w:lang w:val="es-ES_tradnl" w:eastAsia="ja-JP"/>
              </w:rPr>
              <w:t>Consolidar la coordinación institucional con atribuciones y recursos para formular</w:t>
            </w:r>
            <w:r>
              <w:rPr>
                <w:rFonts w:ascii="Arial" w:hAnsi="Arial" w:cs="Arial"/>
                <w:sz w:val="18"/>
                <w:szCs w:val="18"/>
                <w:lang w:val="es-ES_tradnl" w:eastAsia="ja-JP"/>
              </w:rPr>
              <w:t xml:space="preserve"> </w:t>
            </w:r>
            <w:r w:rsidRPr="00411630">
              <w:rPr>
                <w:rFonts w:ascii="Arial" w:hAnsi="Arial" w:cs="Arial"/>
                <w:sz w:val="18"/>
                <w:szCs w:val="18"/>
                <w:lang w:val="es-ES_tradnl" w:eastAsia="ja-JP"/>
              </w:rPr>
              <w:t>políticas, planificar, regular y fiscalizar</w:t>
            </w:r>
            <w:r>
              <w:rPr>
                <w:rFonts w:ascii="Arial" w:hAnsi="Arial" w:cs="Arial"/>
                <w:sz w:val="18"/>
                <w:szCs w:val="18"/>
                <w:lang w:val="es-ES_tradnl" w:eastAsia="ja-JP"/>
              </w:rPr>
              <w:t>;</w:t>
            </w:r>
          </w:p>
          <w:p w14:paraId="267DF23A" w14:textId="77777777" w:rsidR="00411630" w:rsidRDefault="00411630" w:rsidP="00411630">
            <w:pPr>
              <w:pStyle w:val="ListParagraph"/>
              <w:numPr>
                <w:ilvl w:val="0"/>
                <w:numId w:val="44"/>
              </w:numPr>
              <w:spacing w:line="240" w:lineRule="auto"/>
              <w:jc w:val="both"/>
              <w:rPr>
                <w:rFonts w:ascii="Arial" w:hAnsi="Arial" w:cs="Arial"/>
                <w:sz w:val="18"/>
                <w:szCs w:val="18"/>
                <w:lang w:val="es-ES_tradnl" w:eastAsia="ja-JP"/>
              </w:rPr>
            </w:pPr>
            <w:r w:rsidRPr="00411630">
              <w:rPr>
                <w:rFonts w:ascii="Arial" w:hAnsi="Arial" w:cs="Arial"/>
                <w:sz w:val="18"/>
                <w:szCs w:val="18"/>
                <w:lang w:val="es-ES_tradnl" w:eastAsia="ja-JP"/>
              </w:rPr>
              <w:t>Definir de manera precisa los roles institucionales de los actores del sector</w:t>
            </w:r>
            <w:r>
              <w:rPr>
                <w:rFonts w:ascii="Arial" w:hAnsi="Arial" w:cs="Arial"/>
                <w:sz w:val="18"/>
                <w:szCs w:val="18"/>
                <w:lang w:val="es-ES_tradnl" w:eastAsia="ja-JP"/>
              </w:rPr>
              <w:t>;</w:t>
            </w:r>
          </w:p>
          <w:p w14:paraId="396D3FD2" w14:textId="77777777" w:rsidR="00411630" w:rsidRDefault="00411630" w:rsidP="00411630">
            <w:pPr>
              <w:pStyle w:val="ListParagraph"/>
              <w:numPr>
                <w:ilvl w:val="0"/>
                <w:numId w:val="44"/>
              </w:numPr>
              <w:spacing w:line="240" w:lineRule="auto"/>
              <w:jc w:val="both"/>
              <w:rPr>
                <w:rFonts w:ascii="Arial" w:hAnsi="Arial" w:cs="Arial"/>
                <w:sz w:val="18"/>
                <w:szCs w:val="18"/>
                <w:lang w:val="es-ES_tradnl" w:eastAsia="ja-JP"/>
              </w:rPr>
            </w:pPr>
            <w:r w:rsidRPr="00411630">
              <w:rPr>
                <w:rFonts w:ascii="Arial" w:hAnsi="Arial" w:cs="Arial"/>
                <w:sz w:val="18"/>
                <w:szCs w:val="18"/>
                <w:lang w:val="es-ES_tradnl" w:eastAsia="ja-JP"/>
              </w:rPr>
              <w:t>Potenciar a las empresas públicas del sector para que sean brazos ejecutores</w:t>
            </w:r>
            <w:r>
              <w:rPr>
                <w:rFonts w:ascii="Arial" w:hAnsi="Arial" w:cs="Arial"/>
                <w:sz w:val="18"/>
                <w:szCs w:val="18"/>
                <w:lang w:val="es-ES_tradnl" w:eastAsia="ja-JP"/>
              </w:rPr>
              <w:t xml:space="preserve"> </w:t>
            </w:r>
            <w:r w:rsidRPr="00411630">
              <w:rPr>
                <w:rFonts w:ascii="Arial" w:hAnsi="Arial" w:cs="Arial"/>
                <w:sz w:val="18"/>
                <w:szCs w:val="18"/>
                <w:lang w:val="es-ES_tradnl" w:eastAsia="ja-JP"/>
              </w:rPr>
              <w:t>competitivos y eficientes de la política energética</w:t>
            </w:r>
            <w:r>
              <w:rPr>
                <w:rFonts w:ascii="Arial" w:hAnsi="Arial" w:cs="Arial"/>
                <w:sz w:val="18"/>
                <w:szCs w:val="18"/>
                <w:lang w:val="es-ES_tradnl" w:eastAsia="ja-JP"/>
              </w:rPr>
              <w:t>;</w:t>
            </w:r>
          </w:p>
          <w:p w14:paraId="77C94FBA" w14:textId="77777777" w:rsidR="00411630" w:rsidRDefault="00853746" w:rsidP="00853746">
            <w:pPr>
              <w:pStyle w:val="ListParagraph"/>
              <w:numPr>
                <w:ilvl w:val="0"/>
                <w:numId w:val="44"/>
              </w:numPr>
              <w:spacing w:line="240" w:lineRule="auto"/>
              <w:jc w:val="both"/>
              <w:rPr>
                <w:rFonts w:ascii="Arial" w:hAnsi="Arial" w:cs="Arial"/>
                <w:sz w:val="18"/>
                <w:szCs w:val="18"/>
                <w:lang w:val="es-ES_tradnl" w:eastAsia="ja-JP"/>
              </w:rPr>
            </w:pPr>
            <w:r w:rsidRPr="00853746">
              <w:rPr>
                <w:rFonts w:ascii="Arial" w:hAnsi="Arial" w:cs="Arial"/>
                <w:sz w:val="18"/>
                <w:szCs w:val="18"/>
                <w:lang w:val="es-ES_tradnl" w:eastAsia="ja-JP"/>
              </w:rPr>
              <w:t>Garantizar el financiamiento público y privado para las inversiones de mantenimiento,</w:t>
            </w:r>
            <w:r>
              <w:rPr>
                <w:rFonts w:ascii="Arial" w:hAnsi="Arial" w:cs="Arial"/>
                <w:sz w:val="18"/>
                <w:szCs w:val="18"/>
                <w:lang w:val="es-ES_tradnl" w:eastAsia="ja-JP"/>
              </w:rPr>
              <w:t xml:space="preserve"> </w:t>
            </w:r>
            <w:r w:rsidRPr="00853746">
              <w:rPr>
                <w:rFonts w:ascii="Arial" w:hAnsi="Arial" w:cs="Arial"/>
                <w:sz w:val="18"/>
                <w:szCs w:val="18"/>
                <w:lang w:val="es-ES_tradnl" w:eastAsia="ja-JP"/>
              </w:rPr>
              <w:t>modernización, expansión de infraestructura y desarrollo tecnológico</w:t>
            </w:r>
            <w:r>
              <w:rPr>
                <w:rFonts w:ascii="Arial" w:hAnsi="Arial" w:cs="Arial"/>
                <w:sz w:val="18"/>
                <w:szCs w:val="18"/>
                <w:lang w:val="es-ES_tradnl" w:eastAsia="ja-JP"/>
              </w:rPr>
              <w:t>;</w:t>
            </w:r>
          </w:p>
          <w:p w14:paraId="76BE2865" w14:textId="77777777" w:rsidR="00853746" w:rsidRDefault="00853746" w:rsidP="00853746">
            <w:pPr>
              <w:pStyle w:val="ListParagraph"/>
              <w:numPr>
                <w:ilvl w:val="0"/>
                <w:numId w:val="44"/>
              </w:numPr>
              <w:spacing w:line="240" w:lineRule="auto"/>
              <w:jc w:val="both"/>
              <w:rPr>
                <w:rFonts w:ascii="Arial" w:hAnsi="Arial" w:cs="Arial"/>
                <w:sz w:val="18"/>
                <w:szCs w:val="18"/>
                <w:lang w:val="es-ES_tradnl" w:eastAsia="ja-JP"/>
              </w:rPr>
            </w:pPr>
            <w:r w:rsidRPr="00853746">
              <w:rPr>
                <w:rFonts w:ascii="Arial" w:hAnsi="Arial" w:cs="Arial"/>
                <w:sz w:val="18"/>
                <w:szCs w:val="18"/>
                <w:lang w:val="es-ES_tradnl" w:eastAsia="ja-JP"/>
              </w:rPr>
              <w:t xml:space="preserve">Fortalecer los actores relevantes de política energética </w:t>
            </w:r>
            <w:proofErr w:type="gramStart"/>
            <w:r w:rsidRPr="00853746">
              <w:rPr>
                <w:rFonts w:ascii="Arial" w:hAnsi="Arial" w:cs="Arial"/>
                <w:sz w:val="18"/>
                <w:szCs w:val="18"/>
                <w:lang w:val="es-ES_tradnl" w:eastAsia="ja-JP"/>
              </w:rPr>
              <w:t>de acuerdo a</w:t>
            </w:r>
            <w:proofErr w:type="gramEnd"/>
            <w:r w:rsidRPr="00853746">
              <w:rPr>
                <w:rFonts w:ascii="Arial" w:hAnsi="Arial" w:cs="Arial"/>
                <w:sz w:val="18"/>
                <w:szCs w:val="18"/>
                <w:lang w:val="es-ES_tradnl" w:eastAsia="ja-JP"/>
              </w:rPr>
              <w:t xml:space="preserve"> sus respectivos</w:t>
            </w:r>
            <w:r>
              <w:rPr>
                <w:rFonts w:ascii="Arial" w:hAnsi="Arial" w:cs="Arial"/>
                <w:sz w:val="18"/>
                <w:szCs w:val="18"/>
                <w:lang w:val="es-ES_tradnl" w:eastAsia="ja-JP"/>
              </w:rPr>
              <w:t xml:space="preserve"> </w:t>
            </w:r>
            <w:r w:rsidRPr="00853746">
              <w:rPr>
                <w:rFonts w:ascii="Arial" w:hAnsi="Arial" w:cs="Arial"/>
                <w:sz w:val="18"/>
                <w:szCs w:val="18"/>
                <w:lang w:val="es-ES_tradnl" w:eastAsia="ja-JP"/>
              </w:rPr>
              <w:t>roles</w:t>
            </w:r>
            <w:r>
              <w:rPr>
                <w:rFonts w:ascii="Arial" w:hAnsi="Arial" w:cs="Arial"/>
                <w:sz w:val="18"/>
                <w:szCs w:val="18"/>
                <w:lang w:val="es-ES_tradnl" w:eastAsia="ja-JP"/>
              </w:rPr>
              <w:t>;</w:t>
            </w:r>
          </w:p>
          <w:p w14:paraId="10F27346" w14:textId="77777777" w:rsidR="00853746" w:rsidRDefault="00853746" w:rsidP="00853746">
            <w:pPr>
              <w:pStyle w:val="ListParagraph"/>
              <w:numPr>
                <w:ilvl w:val="0"/>
                <w:numId w:val="44"/>
              </w:numPr>
              <w:spacing w:line="240" w:lineRule="auto"/>
              <w:jc w:val="both"/>
              <w:rPr>
                <w:rFonts w:ascii="Arial" w:hAnsi="Arial" w:cs="Arial"/>
                <w:sz w:val="18"/>
                <w:szCs w:val="18"/>
                <w:lang w:val="es-ES_tradnl" w:eastAsia="ja-JP"/>
              </w:rPr>
            </w:pPr>
            <w:r w:rsidRPr="00853746">
              <w:rPr>
                <w:rFonts w:ascii="Arial" w:hAnsi="Arial" w:cs="Arial"/>
                <w:sz w:val="18"/>
                <w:szCs w:val="18"/>
                <w:lang w:val="es-ES_tradnl" w:eastAsia="ja-JP"/>
              </w:rPr>
              <w:lastRenderedPageBreak/>
              <w:t>Garantizar la gestión transparente de los actores con una comunicación eficaz</w:t>
            </w:r>
            <w:r>
              <w:rPr>
                <w:rFonts w:ascii="Arial" w:hAnsi="Arial" w:cs="Arial"/>
                <w:sz w:val="18"/>
                <w:szCs w:val="18"/>
                <w:lang w:val="es-ES_tradnl" w:eastAsia="ja-JP"/>
              </w:rPr>
              <w:t>.</w:t>
            </w:r>
          </w:p>
          <w:p w14:paraId="1309C818" w14:textId="77777777" w:rsidR="00853746" w:rsidRDefault="00853746" w:rsidP="00853746">
            <w:pPr>
              <w:spacing w:line="240" w:lineRule="auto"/>
              <w:jc w:val="both"/>
              <w:rPr>
                <w:rFonts w:ascii="Arial" w:hAnsi="Arial" w:cs="Arial"/>
                <w:sz w:val="18"/>
                <w:szCs w:val="18"/>
                <w:lang w:val="es-ES_tradnl" w:eastAsia="ja-JP"/>
              </w:rPr>
            </w:pPr>
            <w:r>
              <w:rPr>
                <w:rFonts w:ascii="Arial" w:hAnsi="Arial" w:cs="Arial"/>
                <w:sz w:val="18"/>
                <w:szCs w:val="18"/>
                <w:lang w:val="es-ES_tradnl" w:eastAsia="ja-JP"/>
              </w:rPr>
              <w:t xml:space="preserve">Además, el marco jurídico para la participación público-privada se rige por la Ley </w:t>
            </w:r>
            <w:proofErr w:type="spellStart"/>
            <w:r>
              <w:rPr>
                <w:rFonts w:ascii="Arial" w:hAnsi="Arial" w:cs="Arial"/>
                <w:sz w:val="18"/>
                <w:szCs w:val="18"/>
                <w:lang w:val="es-ES_tradnl" w:eastAsia="ja-JP"/>
              </w:rPr>
              <w:t>Nº</w:t>
            </w:r>
            <w:proofErr w:type="spellEnd"/>
            <w:r>
              <w:rPr>
                <w:rFonts w:ascii="Arial" w:hAnsi="Arial" w:cs="Arial"/>
                <w:sz w:val="18"/>
                <w:szCs w:val="18"/>
                <w:lang w:val="es-ES_tradnl" w:eastAsia="ja-JP"/>
              </w:rPr>
              <w:t xml:space="preserve"> 5102, la cual promueve el establecimiento de mecanismos para inversiones público-privadas en infraestructura pública y en la prestación de servicios que las mismas estén destinadas o que sean complementarios a ellas, así como en la producción de bienes y en la prestación de servicios que sean propios del objetivo de organismos, entidades, empresas públicas y sociedades en las que el Estado sea parte.</w:t>
            </w:r>
          </w:p>
          <w:p w14:paraId="5912C9AF" w14:textId="6F372C50" w:rsidR="00F47DD5" w:rsidRPr="00853746" w:rsidRDefault="00F47DD5" w:rsidP="00853746">
            <w:pPr>
              <w:spacing w:line="240" w:lineRule="auto"/>
              <w:jc w:val="both"/>
              <w:rPr>
                <w:rFonts w:ascii="Arial" w:hAnsi="Arial" w:cs="Arial"/>
                <w:sz w:val="18"/>
                <w:szCs w:val="18"/>
                <w:lang w:val="es-ES_tradnl" w:eastAsia="ja-JP"/>
              </w:rPr>
            </w:pPr>
            <w:r>
              <w:rPr>
                <w:rFonts w:ascii="Arial" w:hAnsi="Arial" w:cs="Arial"/>
                <w:sz w:val="18"/>
                <w:szCs w:val="18"/>
                <w:lang w:val="es-ES_tradnl" w:eastAsia="ja-JP"/>
              </w:rPr>
              <w:t xml:space="preserve">El </w:t>
            </w:r>
            <w:r w:rsidR="002D36C6">
              <w:rPr>
                <w:rFonts w:ascii="Arial" w:hAnsi="Arial" w:cs="Arial"/>
                <w:sz w:val="18"/>
                <w:szCs w:val="18"/>
                <w:lang w:val="es-ES_tradnl" w:eastAsia="ja-JP"/>
              </w:rPr>
              <w:t>Gobierno</w:t>
            </w:r>
            <w:r>
              <w:rPr>
                <w:rFonts w:ascii="Arial" w:hAnsi="Arial" w:cs="Arial"/>
                <w:sz w:val="18"/>
                <w:szCs w:val="18"/>
                <w:lang w:val="es-ES_tradnl" w:eastAsia="ja-JP"/>
              </w:rPr>
              <w:t xml:space="preserve"> que ha asumido en </w:t>
            </w:r>
            <w:r w:rsidR="007F3C5B">
              <w:rPr>
                <w:rFonts w:ascii="Arial" w:hAnsi="Arial" w:cs="Arial"/>
                <w:sz w:val="18"/>
                <w:szCs w:val="18"/>
                <w:lang w:val="es-ES_tradnl" w:eastAsia="ja-JP"/>
              </w:rPr>
              <w:t>a</w:t>
            </w:r>
            <w:r>
              <w:rPr>
                <w:rFonts w:ascii="Arial" w:hAnsi="Arial" w:cs="Arial"/>
                <w:sz w:val="18"/>
                <w:szCs w:val="18"/>
                <w:lang w:val="es-ES_tradnl" w:eastAsia="ja-JP"/>
              </w:rPr>
              <w:t>gosto</w:t>
            </w:r>
            <w:r w:rsidR="007F3C5B">
              <w:rPr>
                <w:rFonts w:ascii="Arial" w:hAnsi="Arial" w:cs="Arial"/>
                <w:sz w:val="18"/>
                <w:szCs w:val="18"/>
                <w:lang w:val="es-ES_tradnl" w:eastAsia="ja-JP"/>
              </w:rPr>
              <w:t xml:space="preserve"> de</w:t>
            </w:r>
            <w:r>
              <w:rPr>
                <w:rFonts w:ascii="Arial" w:hAnsi="Arial" w:cs="Arial"/>
                <w:sz w:val="18"/>
                <w:szCs w:val="18"/>
                <w:lang w:val="es-ES_tradnl" w:eastAsia="ja-JP"/>
              </w:rPr>
              <w:t xml:space="preserve"> 2018 está planteando la creación de un Ministerio de Energía </w:t>
            </w:r>
            <w:r w:rsidR="00AF29F8">
              <w:rPr>
                <w:rFonts w:ascii="Arial" w:hAnsi="Arial" w:cs="Arial"/>
                <w:sz w:val="18"/>
                <w:szCs w:val="18"/>
                <w:lang w:val="es-ES_tradnl" w:eastAsia="ja-JP"/>
              </w:rPr>
              <w:t xml:space="preserve">consistente con la importancia estratégica del sector en Paraguay. </w:t>
            </w:r>
            <w:r>
              <w:rPr>
                <w:rFonts w:ascii="Arial" w:hAnsi="Arial" w:cs="Arial"/>
                <w:sz w:val="18"/>
                <w:szCs w:val="18"/>
                <w:lang w:val="es-ES_tradnl" w:eastAsia="ja-JP"/>
              </w:rPr>
              <w:t xml:space="preserve"> </w:t>
            </w:r>
          </w:p>
        </w:tc>
      </w:tr>
      <w:tr w:rsidR="005D7368" w:rsidRPr="00D818E2" w14:paraId="53F855DF" w14:textId="77777777" w:rsidTr="00DB1998">
        <w:trPr>
          <w:jc w:val="center"/>
        </w:trPr>
        <w:tc>
          <w:tcPr>
            <w:tcW w:w="1629" w:type="dxa"/>
            <w:shd w:val="clear" w:color="auto" w:fill="auto"/>
          </w:tcPr>
          <w:p w14:paraId="0B1742BE" w14:textId="08EB18BC" w:rsidR="008045CA" w:rsidRPr="00DF549E" w:rsidRDefault="005D7368" w:rsidP="00BB68B1">
            <w:pPr>
              <w:spacing w:line="240" w:lineRule="auto"/>
              <w:rPr>
                <w:rFonts w:ascii="Arial" w:hAnsi="Arial" w:cs="Arial"/>
                <w:b/>
                <w:bCs/>
                <w:sz w:val="18"/>
                <w:szCs w:val="18"/>
                <w:lang w:val="es-ES_tradnl" w:eastAsia="ja-JP"/>
              </w:rPr>
            </w:pPr>
            <w:r w:rsidRPr="00DF549E">
              <w:rPr>
                <w:rFonts w:ascii="Arial" w:hAnsi="Arial" w:cs="Arial"/>
                <w:b/>
                <w:sz w:val="18"/>
                <w:szCs w:val="18"/>
                <w:lang w:val="es-ES_tradnl" w:eastAsia="ja-JP"/>
              </w:rPr>
              <w:lastRenderedPageBreak/>
              <w:t>El rol de la regulación económica para incentivar la eficiencia, la inversión y proteger los derechos de los usuarios.</w:t>
            </w:r>
          </w:p>
        </w:tc>
        <w:tc>
          <w:tcPr>
            <w:tcW w:w="4002" w:type="dxa"/>
            <w:shd w:val="clear" w:color="auto" w:fill="auto"/>
          </w:tcPr>
          <w:p w14:paraId="35716479" w14:textId="47A2CE9C" w:rsidR="008045CA" w:rsidRPr="00DF549E" w:rsidRDefault="005D7368" w:rsidP="00BB68B1">
            <w:pPr>
              <w:spacing w:line="240" w:lineRule="auto"/>
              <w:jc w:val="both"/>
              <w:rPr>
                <w:rFonts w:ascii="Arial" w:hAnsi="Arial" w:cs="Arial"/>
                <w:sz w:val="18"/>
                <w:szCs w:val="18"/>
                <w:lang w:val="es-ES_tradnl" w:eastAsia="ja-JP"/>
              </w:rPr>
            </w:pPr>
            <w:r w:rsidRPr="00DF549E">
              <w:rPr>
                <w:rFonts w:ascii="Arial" w:hAnsi="Arial" w:cs="Arial"/>
                <w:sz w:val="18"/>
                <w:szCs w:val="18"/>
                <w:lang w:val="es-ES_tradnl" w:eastAsia="ja-JP"/>
              </w:rPr>
              <w:t xml:space="preserve">La adopción de un régimen regulatorio eficaz y adaptado a las condiciones particulares de cada sector en cada país es un factor clave para el logro de los objetivos de la Política. Un régimen regulatorio debe contribuir a reducir el costo del capital de los proveedores del servicio, incentivar la inversión, fijar estándares de calidad de los servicios y permitir que los proveedores del servicio obtengan ingresos suficientes para alcanzar la sostenibilidad financiera. La selección del instrumento institucional más adecuado a las condiciones específicas del país y del servicio reviste suma importancia para la eficacia y sostenibilidad del proceso regulatorio. Este instrumento puede adoptar formas distintas, desde la regulación por contrato hasta métodos más complejos que requieren la creación de un órgano regulador multisectorial o incluso uno específico para cada servicio. La probabilidad de que la regulación económica contribuya a alcanzar los objetivos de la Política aumenta con el grado de independencia, autonomía y transparencia de las instituciones y los procesos regulatorios. La promoción de los derechos de los usuarios debe ser un objetivo primordial del proceso de regulación de los servicios. Así, la regulación debe lograr que las ganancias de eficiencia, alcanzadas en el tiempo por los proveedores de los servicios, se trasladen a los usuarios vía reducciones tarifarias o mediante mejoras en la calidad del servicio. Para ello, resulta esencial evitar el abuso del poder dominante de mercado por parte del proveedor y aplicar estrictamente los estándares de calidad del servicio. Independientemente de la estructura sectorial y el modelo institucional para la regulación elegida por cada país, el Banco </w:t>
            </w:r>
            <w:r w:rsidRPr="00DF549E">
              <w:rPr>
                <w:rFonts w:ascii="Arial" w:hAnsi="Arial" w:cs="Arial"/>
                <w:sz w:val="18"/>
                <w:szCs w:val="18"/>
                <w:lang w:val="es-ES_tradnl" w:eastAsia="ja-JP"/>
              </w:rPr>
              <w:lastRenderedPageBreak/>
              <w:t>brindará asistencia en el desarrollo de sistemas de información que permitan a los formuladores de políticas y a los usuarios conocer la estructura y nivel de costos y tarifas en las todas las etapas de producción de los servicios.</w:t>
            </w:r>
          </w:p>
        </w:tc>
        <w:tc>
          <w:tcPr>
            <w:tcW w:w="3945" w:type="dxa"/>
            <w:shd w:val="clear" w:color="auto" w:fill="auto"/>
          </w:tcPr>
          <w:p w14:paraId="2E211FA3" w14:textId="3C7CA007" w:rsidR="008045CA" w:rsidRDefault="00AF29F8" w:rsidP="008433C6">
            <w:pPr>
              <w:spacing w:line="240" w:lineRule="auto"/>
              <w:jc w:val="both"/>
              <w:rPr>
                <w:rFonts w:ascii="Arial" w:hAnsi="Arial"/>
                <w:sz w:val="18"/>
                <w:szCs w:val="18"/>
                <w:lang w:val="es-ES_tradnl"/>
              </w:rPr>
            </w:pPr>
            <w:r>
              <w:rPr>
                <w:rFonts w:ascii="Arial" w:hAnsi="Arial"/>
                <w:sz w:val="18"/>
                <w:szCs w:val="18"/>
                <w:lang w:val="es-ES_tradnl"/>
              </w:rPr>
              <w:lastRenderedPageBreak/>
              <w:t>Los principales roles</w:t>
            </w:r>
            <w:r w:rsidR="004B4F34">
              <w:rPr>
                <w:rFonts w:ascii="Arial" w:hAnsi="Arial"/>
                <w:sz w:val="18"/>
                <w:szCs w:val="18"/>
                <w:lang w:val="es-ES_tradnl"/>
              </w:rPr>
              <w:t xml:space="preserve"> de</w:t>
            </w:r>
            <w:r>
              <w:rPr>
                <w:rFonts w:ascii="Arial" w:hAnsi="Arial"/>
                <w:sz w:val="18"/>
                <w:szCs w:val="18"/>
                <w:lang w:val="es-ES_tradnl"/>
              </w:rPr>
              <w:t xml:space="preserve"> </w:t>
            </w:r>
            <w:r w:rsidR="004B4F34">
              <w:rPr>
                <w:rFonts w:ascii="Arial" w:hAnsi="Arial"/>
                <w:sz w:val="18"/>
                <w:szCs w:val="18"/>
                <w:lang w:val="es-ES_tradnl"/>
              </w:rPr>
              <w:t xml:space="preserve">ANDE </w:t>
            </w:r>
            <w:r>
              <w:rPr>
                <w:rFonts w:ascii="Arial" w:hAnsi="Arial"/>
                <w:sz w:val="18"/>
                <w:szCs w:val="18"/>
                <w:lang w:val="es-ES_tradnl"/>
              </w:rPr>
              <w:t>son</w:t>
            </w:r>
            <w:r w:rsidR="004B4F34">
              <w:rPr>
                <w:rFonts w:ascii="Arial" w:hAnsi="Arial"/>
                <w:sz w:val="18"/>
                <w:szCs w:val="18"/>
                <w:lang w:val="es-ES_tradnl"/>
              </w:rPr>
              <w:t xml:space="preserve">: (a) </w:t>
            </w:r>
            <w:r w:rsidR="004B4F34" w:rsidRPr="004B4F34">
              <w:rPr>
                <w:rFonts w:ascii="Arial" w:hAnsi="Arial"/>
                <w:sz w:val="18"/>
                <w:szCs w:val="18"/>
                <w:lang w:val="es-ES_tradnl"/>
              </w:rPr>
              <w:t>elaborar planes y programas de desarrollo eléctrico</w:t>
            </w:r>
            <w:r w:rsidR="004B4F34">
              <w:rPr>
                <w:rFonts w:ascii="Arial" w:hAnsi="Arial"/>
                <w:sz w:val="18"/>
                <w:szCs w:val="18"/>
                <w:lang w:val="es-ES_tradnl"/>
              </w:rPr>
              <w:t xml:space="preserve">; </w:t>
            </w:r>
            <w:r w:rsidR="008433C6">
              <w:rPr>
                <w:rFonts w:ascii="Arial" w:hAnsi="Arial"/>
                <w:sz w:val="18"/>
                <w:szCs w:val="18"/>
                <w:lang w:val="es-ES_tradnl"/>
              </w:rPr>
              <w:t xml:space="preserve">(b) </w:t>
            </w:r>
            <w:r w:rsidR="008433C6" w:rsidRPr="008433C6">
              <w:rPr>
                <w:rFonts w:ascii="Arial" w:hAnsi="Arial"/>
                <w:sz w:val="18"/>
                <w:szCs w:val="18"/>
                <w:lang w:val="es-ES_tradnl"/>
              </w:rPr>
              <w:t>proyectar, construir y adquirir obras de generación, transmisión y distribución eléctrica,</w:t>
            </w:r>
            <w:r w:rsidR="008433C6">
              <w:rPr>
                <w:rFonts w:ascii="Arial" w:hAnsi="Arial"/>
                <w:sz w:val="18"/>
                <w:szCs w:val="18"/>
                <w:lang w:val="es-ES_tradnl"/>
              </w:rPr>
              <w:t xml:space="preserve"> </w:t>
            </w:r>
            <w:r w:rsidR="008433C6" w:rsidRPr="008433C6">
              <w:rPr>
                <w:rFonts w:ascii="Arial" w:hAnsi="Arial"/>
                <w:sz w:val="18"/>
                <w:szCs w:val="18"/>
                <w:lang w:val="es-ES_tradnl"/>
              </w:rPr>
              <w:t>y otras instalaciones y bienes necesarios para el normal funcionamiento de los servicios</w:t>
            </w:r>
            <w:r w:rsidR="008433C6">
              <w:rPr>
                <w:rFonts w:ascii="Arial" w:hAnsi="Arial"/>
                <w:sz w:val="18"/>
                <w:szCs w:val="18"/>
                <w:lang w:val="es-ES_tradnl"/>
              </w:rPr>
              <w:t xml:space="preserve"> </w:t>
            </w:r>
            <w:r w:rsidR="008433C6" w:rsidRPr="008433C6">
              <w:rPr>
                <w:rFonts w:ascii="Arial" w:hAnsi="Arial"/>
                <w:sz w:val="18"/>
                <w:szCs w:val="18"/>
                <w:lang w:val="es-ES_tradnl"/>
              </w:rPr>
              <w:t>eléctricos;</w:t>
            </w:r>
            <w:r w:rsidR="008433C6">
              <w:rPr>
                <w:rFonts w:ascii="Arial" w:hAnsi="Arial"/>
                <w:sz w:val="18"/>
                <w:szCs w:val="18"/>
                <w:lang w:val="es-ES_tradnl"/>
              </w:rPr>
              <w:t xml:space="preserve"> (c) </w:t>
            </w:r>
            <w:r w:rsidR="008433C6" w:rsidRPr="008433C6">
              <w:rPr>
                <w:rFonts w:ascii="Arial" w:hAnsi="Arial"/>
                <w:sz w:val="18"/>
                <w:szCs w:val="18"/>
                <w:lang w:val="es-ES_tradnl"/>
              </w:rPr>
              <w:t>explotar los sistemas de abastecimiento eléctrico de su propiedad o los de terceros que</w:t>
            </w:r>
            <w:r w:rsidR="008433C6">
              <w:rPr>
                <w:rFonts w:ascii="Arial" w:hAnsi="Arial"/>
                <w:sz w:val="18"/>
                <w:szCs w:val="18"/>
                <w:lang w:val="es-ES_tradnl"/>
              </w:rPr>
              <w:t xml:space="preserve"> </w:t>
            </w:r>
            <w:r w:rsidR="008433C6" w:rsidRPr="008433C6">
              <w:rPr>
                <w:rFonts w:ascii="Arial" w:hAnsi="Arial"/>
                <w:sz w:val="18"/>
                <w:szCs w:val="18"/>
                <w:lang w:val="es-ES_tradnl"/>
              </w:rPr>
              <w:t>tome a su cargo, suministrar energía a los consumidores y proporcionar servicio de</w:t>
            </w:r>
            <w:r w:rsidR="008433C6">
              <w:rPr>
                <w:rFonts w:ascii="Arial" w:hAnsi="Arial"/>
                <w:sz w:val="18"/>
                <w:szCs w:val="18"/>
                <w:lang w:val="es-ES_tradnl"/>
              </w:rPr>
              <w:t xml:space="preserve"> </w:t>
            </w:r>
            <w:r w:rsidR="008433C6" w:rsidRPr="008433C6">
              <w:rPr>
                <w:rFonts w:ascii="Arial" w:hAnsi="Arial"/>
                <w:sz w:val="18"/>
                <w:szCs w:val="18"/>
                <w:lang w:val="es-ES_tradnl"/>
              </w:rPr>
              <w:t>alumbrado público</w:t>
            </w:r>
            <w:r w:rsidR="008433C6">
              <w:rPr>
                <w:rFonts w:ascii="Arial" w:hAnsi="Arial"/>
                <w:sz w:val="18"/>
                <w:szCs w:val="18"/>
                <w:lang w:val="es-ES_tradnl"/>
              </w:rPr>
              <w:t xml:space="preserve">; (d) </w:t>
            </w:r>
            <w:r w:rsidR="008433C6" w:rsidRPr="008433C6">
              <w:rPr>
                <w:rFonts w:ascii="Arial" w:hAnsi="Arial"/>
                <w:sz w:val="18"/>
                <w:szCs w:val="18"/>
                <w:lang w:val="es-ES_tradnl"/>
              </w:rPr>
              <w:t>comprar y vender, dentro y fuera del territorio nacional, energía eléctrica, a otras</w:t>
            </w:r>
            <w:r w:rsidR="008433C6">
              <w:rPr>
                <w:rFonts w:ascii="Arial" w:hAnsi="Arial"/>
                <w:sz w:val="18"/>
                <w:szCs w:val="18"/>
                <w:lang w:val="es-ES_tradnl"/>
              </w:rPr>
              <w:t xml:space="preserve"> </w:t>
            </w:r>
            <w:r w:rsidR="008433C6" w:rsidRPr="008433C6">
              <w:rPr>
                <w:rFonts w:ascii="Arial" w:hAnsi="Arial"/>
                <w:sz w:val="18"/>
                <w:szCs w:val="18"/>
                <w:lang w:val="es-ES_tradnl"/>
              </w:rPr>
              <w:t>empresas o sistemas eléctricos de servicio público o privado, e intercambiar energía con</w:t>
            </w:r>
            <w:r w:rsidR="008433C6">
              <w:rPr>
                <w:rFonts w:ascii="Arial" w:hAnsi="Arial"/>
                <w:sz w:val="18"/>
                <w:szCs w:val="18"/>
                <w:lang w:val="es-ES_tradnl"/>
              </w:rPr>
              <w:t xml:space="preserve"> </w:t>
            </w:r>
            <w:r w:rsidR="008433C6" w:rsidRPr="008433C6">
              <w:rPr>
                <w:rFonts w:ascii="Arial" w:hAnsi="Arial"/>
                <w:sz w:val="18"/>
                <w:szCs w:val="18"/>
                <w:lang w:val="es-ES_tradnl"/>
              </w:rPr>
              <w:t>ellos;</w:t>
            </w:r>
            <w:r w:rsidR="008433C6">
              <w:rPr>
                <w:rFonts w:ascii="Arial" w:hAnsi="Arial"/>
                <w:sz w:val="18"/>
                <w:szCs w:val="18"/>
                <w:lang w:val="es-ES_tradnl"/>
              </w:rPr>
              <w:t xml:space="preserve"> (e) </w:t>
            </w:r>
            <w:r w:rsidR="008433C6" w:rsidRPr="008433C6">
              <w:rPr>
                <w:rFonts w:ascii="Arial" w:hAnsi="Arial"/>
                <w:sz w:val="18"/>
                <w:szCs w:val="18"/>
                <w:lang w:val="es-ES_tradnl"/>
              </w:rPr>
              <w:t>reglamentar todo lo pertinente a la energía eléctrica que genere, transforme, transmita,</w:t>
            </w:r>
            <w:r w:rsidR="008433C6">
              <w:rPr>
                <w:rFonts w:ascii="Arial" w:hAnsi="Arial"/>
                <w:sz w:val="18"/>
                <w:szCs w:val="18"/>
                <w:lang w:val="es-ES_tradnl"/>
              </w:rPr>
              <w:t xml:space="preserve"> </w:t>
            </w:r>
            <w:r w:rsidR="008433C6" w:rsidRPr="008433C6">
              <w:rPr>
                <w:rFonts w:ascii="Arial" w:hAnsi="Arial"/>
                <w:sz w:val="18"/>
                <w:szCs w:val="18"/>
                <w:lang w:val="es-ES_tradnl"/>
              </w:rPr>
              <w:t>distribuya y/o suministre;</w:t>
            </w:r>
            <w:r w:rsidR="008433C6">
              <w:rPr>
                <w:rFonts w:ascii="Arial" w:hAnsi="Arial"/>
                <w:sz w:val="18"/>
                <w:szCs w:val="18"/>
                <w:lang w:val="es-ES_tradnl"/>
              </w:rPr>
              <w:t xml:space="preserve"> (f) </w:t>
            </w:r>
            <w:r w:rsidR="008433C6" w:rsidRPr="008433C6">
              <w:rPr>
                <w:rFonts w:ascii="Arial" w:hAnsi="Arial"/>
                <w:sz w:val="18"/>
                <w:szCs w:val="18"/>
                <w:lang w:val="es-ES_tradnl"/>
              </w:rPr>
              <w:t>coordinar y orientar el desarrollo eléctrico del país y fomentar el consumo de la energía;</w:t>
            </w:r>
            <w:r w:rsidR="008433C6">
              <w:rPr>
                <w:rFonts w:ascii="Arial" w:hAnsi="Arial"/>
                <w:sz w:val="18"/>
                <w:szCs w:val="18"/>
                <w:lang w:val="es-ES_tradnl"/>
              </w:rPr>
              <w:t xml:space="preserve"> y (g) </w:t>
            </w:r>
            <w:r w:rsidR="008433C6" w:rsidRPr="008433C6">
              <w:rPr>
                <w:rFonts w:ascii="Arial" w:hAnsi="Arial"/>
                <w:sz w:val="18"/>
                <w:szCs w:val="18"/>
                <w:lang w:val="es-ES_tradnl"/>
              </w:rPr>
              <w:t>realizar, en general, todos los demás actos y funciones concernientes con el</w:t>
            </w:r>
            <w:r w:rsidR="008433C6">
              <w:rPr>
                <w:rFonts w:ascii="Arial" w:hAnsi="Arial"/>
                <w:sz w:val="18"/>
                <w:szCs w:val="18"/>
                <w:lang w:val="es-ES_tradnl"/>
              </w:rPr>
              <w:t xml:space="preserve"> </w:t>
            </w:r>
            <w:r w:rsidR="008433C6" w:rsidRPr="008433C6">
              <w:rPr>
                <w:rFonts w:ascii="Arial" w:hAnsi="Arial"/>
                <w:sz w:val="18"/>
                <w:szCs w:val="18"/>
                <w:lang w:val="es-ES_tradnl"/>
              </w:rPr>
              <w:t>cumplimiento de sus fines.</w:t>
            </w:r>
          </w:p>
          <w:p w14:paraId="6A713B1B" w14:textId="5BB39866" w:rsidR="00AF29F8" w:rsidRDefault="00AF29F8" w:rsidP="008433C6">
            <w:pPr>
              <w:spacing w:line="240" w:lineRule="auto"/>
              <w:jc w:val="both"/>
              <w:rPr>
                <w:rFonts w:ascii="Arial" w:hAnsi="Arial"/>
                <w:sz w:val="18"/>
                <w:szCs w:val="18"/>
                <w:lang w:val="es-ES_tradnl"/>
              </w:rPr>
            </w:pPr>
            <w:r>
              <w:rPr>
                <w:rFonts w:ascii="Arial" w:hAnsi="Arial"/>
                <w:sz w:val="18"/>
                <w:szCs w:val="18"/>
                <w:lang w:val="es-ES_tradnl"/>
              </w:rPr>
              <w:t xml:space="preserve">El Viceministerio de Energía y Minas, bajo el Ministerio de Obras Públicas y Comunicaciones (MOPC) es responsable </w:t>
            </w:r>
            <w:r w:rsidR="002D36C6">
              <w:rPr>
                <w:rFonts w:ascii="Arial" w:hAnsi="Arial"/>
                <w:sz w:val="18"/>
                <w:szCs w:val="18"/>
                <w:lang w:val="es-ES_tradnl"/>
              </w:rPr>
              <w:t xml:space="preserve">de </w:t>
            </w:r>
            <w:r w:rsidR="002D36C6" w:rsidRPr="00D818E2">
              <w:rPr>
                <w:rFonts w:ascii="Arial" w:hAnsi="Arial"/>
                <w:sz w:val="18"/>
                <w:szCs w:val="18"/>
                <w:lang w:val="es-ES_tradnl"/>
              </w:rPr>
              <w:t>proponer políticas, reglamentaciones y aplicaciones del sector energético</w:t>
            </w:r>
            <w:r>
              <w:rPr>
                <w:rFonts w:ascii="Arial" w:hAnsi="Arial"/>
                <w:sz w:val="18"/>
                <w:szCs w:val="18"/>
                <w:lang w:val="es-ES_tradnl"/>
              </w:rPr>
              <w:t xml:space="preserve">. </w:t>
            </w:r>
          </w:p>
          <w:p w14:paraId="2501E374" w14:textId="77777777" w:rsidR="00CE4F20" w:rsidRDefault="00AF29F8" w:rsidP="00AF29F8">
            <w:pPr>
              <w:spacing w:line="240" w:lineRule="auto"/>
              <w:jc w:val="both"/>
              <w:rPr>
                <w:rFonts w:ascii="Arial" w:hAnsi="Arial"/>
                <w:sz w:val="18"/>
                <w:szCs w:val="18"/>
                <w:lang w:val="es-ES_tradnl"/>
              </w:rPr>
            </w:pPr>
            <w:r>
              <w:rPr>
                <w:rFonts w:ascii="Arial" w:hAnsi="Arial"/>
                <w:sz w:val="18"/>
                <w:szCs w:val="18"/>
                <w:lang w:val="es-ES_tradnl"/>
              </w:rPr>
              <w:t xml:space="preserve">El monitoreo de las empresas públicas, incluyendo a ANDE, es realizado por una unidad de Empresas Públicas del Ministerio de Hacienda. </w:t>
            </w:r>
          </w:p>
          <w:p w14:paraId="3D483AB0" w14:textId="77777777" w:rsidR="00AF29F8" w:rsidRDefault="00AF29F8" w:rsidP="00AF29F8">
            <w:pPr>
              <w:spacing w:line="240" w:lineRule="auto"/>
              <w:jc w:val="both"/>
              <w:rPr>
                <w:rFonts w:ascii="Arial" w:hAnsi="Arial"/>
                <w:sz w:val="18"/>
                <w:szCs w:val="18"/>
                <w:lang w:val="es-ES_tradnl"/>
              </w:rPr>
            </w:pPr>
            <w:r>
              <w:rPr>
                <w:rFonts w:ascii="Arial" w:hAnsi="Arial"/>
                <w:sz w:val="18"/>
                <w:szCs w:val="18"/>
                <w:lang w:val="es-ES_tradnl"/>
              </w:rPr>
              <w:t xml:space="preserve">Las principales decisiones estratégicas del sector se discuten y definen en una Mesa </w:t>
            </w:r>
            <w:r>
              <w:rPr>
                <w:rFonts w:ascii="Arial" w:hAnsi="Arial"/>
                <w:sz w:val="18"/>
                <w:szCs w:val="18"/>
                <w:lang w:val="es-ES_tradnl"/>
              </w:rPr>
              <w:lastRenderedPageBreak/>
              <w:t xml:space="preserve">Energética en el ámbito de la Presidencia de la Nación. </w:t>
            </w:r>
          </w:p>
          <w:p w14:paraId="57257B4E" w14:textId="04B36B5E" w:rsidR="00AF29F8" w:rsidRPr="00DF549E" w:rsidRDefault="00AF29F8">
            <w:pPr>
              <w:spacing w:line="240" w:lineRule="auto"/>
              <w:jc w:val="both"/>
              <w:rPr>
                <w:rFonts w:ascii="Arial" w:hAnsi="Arial"/>
                <w:sz w:val="18"/>
                <w:szCs w:val="18"/>
                <w:lang w:val="es-ES_tradnl"/>
              </w:rPr>
            </w:pPr>
            <w:r>
              <w:rPr>
                <w:rFonts w:ascii="Arial" w:hAnsi="Arial"/>
                <w:sz w:val="18"/>
                <w:szCs w:val="18"/>
                <w:lang w:val="es-ES_tradnl"/>
              </w:rPr>
              <w:t xml:space="preserve">El nuevo Gobierno que ha asumido en </w:t>
            </w:r>
            <w:r w:rsidR="007F3C5B">
              <w:rPr>
                <w:rFonts w:ascii="Arial" w:hAnsi="Arial"/>
                <w:sz w:val="18"/>
                <w:szCs w:val="18"/>
                <w:lang w:val="es-ES_tradnl"/>
              </w:rPr>
              <w:t>a</w:t>
            </w:r>
            <w:r>
              <w:rPr>
                <w:rFonts w:ascii="Arial" w:hAnsi="Arial"/>
                <w:sz w:val="18"/>
                <w:szCs w:val="18"/>
                <w:lang w:val="es-ES_tradnl"/>
              </w:rPr>
              <w:t xml:space="preserve">gosto del 2018 está impulsando la creación de un Ministerio de Energía. De implementarse la creación del Ministerio abrirá oportunidades para adecuar el marco regulatorio para hacer frente a los desafíos del sector en los próximos años.  </w:t>
            </w:r>
          </w:p>
        </w:tc>
      </w:tr>
      <w:tr w:rsidR="005D7368" w:rsidRPr="00D818E2" w14:paraId="7EBA08D4" w14:textId="77777777" w:rsidTr="00DB1998">
        <w:trPr>
          <w:jc w:val="center"/>
        </w:trPr>
        <w:tc>
          <w:tcPr>
            <w:tcW w:w="1629" w:type="dxa"/>
            <w:shd w:val="clear" w:color="auto" w:fill="auto"/>
          </w:tcPr>
          <w:p w14:paraId="7903337C" w14:textId="6ACA7A85" w:rsidR="008045CA" w:rsidRPr="00DF549E" w:rsidRDefault="005D7368" w:rsidP="00BB68B1">
            <w:pPr>
              <w:spacing w:line="240" w:lineRule="auto"/>
              <w:rPr>
                <w:rFonts w:ascii="Arial" w:hAnsi="Arial" w:cs="Arial"/>
                <w:b/>
                <w:bCs/>
                <w:sz w:val="18"/>
                <w:szCs w:val="18"/>
                <w:lang w:val="es-ES_tradnl" w:eastAsia="ja-JP"/>
              </w:rPr>
            </w:pPr>
            <w:r w:rsidRPr="00DF549E">
              <w:rPr>
                <w:rFonts w:ascii="Arial" w:hAnsi="Arial" w:cs="Arial"/>
                <w:b/>
                <w:sz w:val="18"/>
                <w:szCs w:val="18"/>
                <w:lang w:val="es-ES_tradnl" w:eastAsia="ja-JP"/>
              </w:rPr>
              <w:lastRenderedPageBreak/>
              <w:t>Generar condiciones adecuadas para que la participación privada sea una opción viable para la provisión de servicios públicos domiciliarios.</w:t>
            </w:r>
          </w:p>
        </w:tc>
        <w:tc>
          <w:tcPr>
            <w:tcW w:w="4002" w:type="dxa"/>
            <w:shd w:val="clear" w:color="auto" w:fill="auto"/>
          </w:tcPr>
          <w:p w14:paraId="0ADB1655" w14:textId="7493C49D" w:rsidR="008045CA" w:rsidRPr="00DF549E" w:rsidRDefault="005D7368" w:rsidP="00BB68B1">
            <w:pPr>
              <w:spacing w:line="240" w:lineRule="auto"/>
              <w:jc w:val="both"/>
              <w:rPr>
                <w:rFonts w:ascii="Arial" w:hAnsi="Arial" w:cs="Arial"/>
                <w:sz w:val="18"/>
                <w:szCs w:val="18"/>
                <w:lang w:val="es-ES_tradnl" w:eastAsia="ja-JP"/>
              </w:rPr>
            </w:pPr>
            <w:r w:rsidRPr="00DF549E">
              <w:rPr>
                <w:rFonts w:ascii="Arial" w:hAnsi="Arial" w:cs="Arial"/>
                <w:sz w:val="18"/>
                <w:szCs w:val="18"/>
                <w:lang w:val="es-ES_tradnl" w:eastAsia="ja-JP"/>
              </w:rPr>
              <w:t xml:space="preserve">Esta Política reconoce que la competencia tiene el potencial de aumentar la eficiencia productiva y la calidad del servicio. En los mercados cuya tecnología de producción no exhibe las características propias de los monopolios naturales, es posible generar competencia en el mercado, permitiendo que varias empresas ofrezcan servicios simultáneamente. Cuando los mercados son monopolios naturales la competencia por el mercado puede producir los mismos resultados que la competencia en el mercado, siempre que el proceso de selección y regulación de la empresa proveedora del servicio sea abierto y efectivo. La Política reconoce, a su vez, que la participación privada (cualquiera sea su modalidad: contratos de gestión, concesiones o empresas de propiedad mixta, entre otras) es un instrumento clave para cerrar las brechas en la cantidad y calidad de los servicios domiciliarios en la región. La atracción de la participación privada hacia los servicios comprendidos en esta Política y la maximización de su impacto sobre las ganancias de eficiencia en la gestión de </w:t>
            </w:r>
            <w:proofErr w:type="gramStart"/>
            <w:r w:rsidRPr="00DF549E">
              <w:rPr>
                <w:rFonts w:ascii="Arial" w:hAnsi="Arial" w:cs="Arial"/>
                <w:sz w:val="18"/>
                <w:szCs w:val="18"/>
                <w:lang w:val="es-ES_tradnl" w:eastAsia="ja-JP"/>
              </w:rPr>
              <w:t>los mismos</w:t>
            </w:r>
            <w:proofErr w:type="gramEnd"/>
            <w:r w:rsidRPr="00DF549E">
              <w:rPr>
                <w:rFonts w:ascii="Arial" w:hAnsi="Arial" w:cs="Arial"/>
                <w:sz w:val="18"/>
                <w:szCs w:val="18"/>
                <w:lang w:val="es-ES_tradnl" w:eastAsia="ja-JP"/>
              </w:rPr>
              <w:t xml:space="preserve"> depende de la existencia de un contexto macroeconómico favorable para las inversiones y el crédito, la existencia de un marco institucional y regulatorio claro y estable, y la generación de condiciones económicas que reduzcan el costo de capital y permitan obtener tasas de retorno razonables a la inversión. En aquellos casos en que los países consideren que la competencia y la implementación de asociaciones pública-privadas son mecanismos idóneos para incentivar la expansión de la oferta y aumentar la calidad y eficiencia de los servicios públicos domiciliarios, el Banco brindará asistencia en el fortalecimiento del marco institucional y legal y en la generación de reglas y mecanismos que fomenten la participación de las empresas en igualdad de condiciones.</w:t>
            </w:r>
          </w:p>
        </w:tc>
        <w:tc>
          <w:tcPr>
            <w:tcW w:w="3945" w:type="dxa"/>
            <w:shd w:val="clear" w:color="auto" w:fill="auto"/>
          </w:tcPr>
          <w:p w14:paraId="4468573D" w14:textId="2DF3A1F2" w:rsidR="00AF29F8" w:rsidRDefault="00AF29F8" w:rsidP="00BB68B1">
            <w:pPr>
              <w:spacing w:line="240" w:lineRule="auto"/>
              <w:jc w:val="both"/>
              <w:rPr>
                <w:rFonts w:ascii="Arial" w:hAnsi="Arial" w:cs="Arial"/>
                <w:sz w:val="18"/>
                <w:szCs w:val="18"/>
                <w:lang w:val="es-ES_tradnl" w:eastAsia="ja-JP"/>
              </w:rPr>
            </w:pPr>
            <w:r>
              <w:rPr>
                <w:rFonts w:ascii="Arial" w:hAnsi="Arial" w:cs="Arial"/>
                <w:sz w:val="18"/>
                <w:szCs w:val="18"/>
                <w:lang w:val="es-ES_tradnl" w:eastAsia="ja-JP"/>
              </w:rPr>
              <w:t xml:space="preserve">La participación privada en el sector eléctrico en Paraguay ha sido limitada por las características particulares del sector, especialmente por la disponibilidad de abundante generación eléctrica de bajo costo. </w:t>
            </w:r>
          </w:p>
          <w:p w14:paraId="11F47F24" w14:textId="722AB97B" w:rsidR="008045CA" w:rsidRPr="00DF549E" w:rsidRDefault="00AF29F8" w:rsidP="00BB68B1">
            <w:pPr>
              <w:spacing w:line="240" w:lineRule="auto"/>
              <w:jc w:val="both"/>
              <w:rPr>
                <w:rFonts w:ascii="Arial" w:hAnsi="Arial" w:cs="Arial"/>
                <w:sz w:val="18"/>
                <w:szCs w:val="18"/>
                <w:lang w:val="es-ES_tradnl" w:eastAsia="ja-JP"/>
              </w:rPr>
            </w:pPr>
            <w:r>
              <w:rPr>
                <w:rFonts w:ascii="Arial" w:hAnsi="Arial" w:cs="Arial"/>
                <w:sz w:val="18"/>
                <w:szCs w:val="18"/>
                <w:lang w:val="es-ES_tradnl" w:eastAsia="ja-JP"/>
              </w:rPr>
              <w:t xml:space="preserve">La </w:t>
            </w:r>
            <w:r w:rsidR="00F06F07">
              <w:rPr>
                <w:rFonts w:ascii="Arial" w:hAnsi="Arial" w:cs="Arial"/>
                <w:sz w:val="18"/>
                <w:szCs w:val="18"/>
                <w:lang w:val="es-ES_tradnl" w:eastAsia="ja-JP"/>
              </w:rPr>
              <w:t xml:space="preserve">Ley </w:t>
            </w:r>
            <w:r w:rsidR="00F53671">
              <w:rPr>
                <w:rFonts w:ascii="Arial" w:hAnsi="Arial" w:cs="Arial"/>
                <w:sz w:val="18"/>
                <w:szCs w:val="18"/>
                <w:lang w:val="es-ES_tradnl" w:eastAsia="ja-JP"/>
              </w:rPr>
              <w:t xml:space="preserve">5102 sobre la promoción de la inversión en Infraestructura Pública-Privada, tiene como objetivo establecer normas y mecanismos para promover, a través de la participación público-privada, las inversiones en infraestructura pública y en la prestación de servicios a que las mismas estén destinadas o que sean complementarios a ellas; así como la producción de bienes y en la prestación de servicios que sean propios del objetivo de organismos, entidades, empresas públicas y sociedades en las que el Estado sea parte. </w:t>
            </w:r>
          </w:p>
          <w:p w14:paraId="6BBE4DC2" w14:textId="77777777" w:rsidR="008045CA" w:rsidRPr="00DF549E" w:rsidRDefault="008045CA" w:rsidP="00BB68B1">
            <w:pPr>
              <w:spacing w:line="240" w:lineRule="auto"/>
              <w:jc w:val="both"/>
              <w:rPr>
                <w:rFonts w:ascii="Arial" w:hAnsi="Arial" w:cs="Arial"/>
                <w:sz w:val="18"/>
                <w:szCs w:val="18"/>
                <w:lang w:val="es-ES_tradnl" w:eastAsia="ja-JP"/>
              </w:rPr>
            </w:pPr>
          </w:p>
        </w:tc>
      </w:tr>
      <w:tr w:rsidR="005D7368" w:rsidRPr="00D818E2" w14:paraId="7CF52CA9" w14:textId="77777777" w:rsidTr="00DB1998">
        <w:trPr>
          <w:jc w:val="center"/>
        </w:trPr>
        <w:tc>
          <w:tcPr>
            <w:tcW w:w="1629" w:type="dxa"/>
            <w:shd w:val="clear" w:color="auto" w:fill="auto"/>
          </w:tcPr>
          <w:p w14:paraId="6EE85697" w14:textId="3A0D69AD" w:rsidR="008045CA" w:rsidRPr="00DF549E" w:rsidRDefault="005D7368" w:rsidP="00BB68B1">
            <w:pPr>
              <w:spacing w:line="240" w:lineRule="auto"/>
              <w:rPr>
                <w:rFonts w:ascii="Arial" w:hAnsi="Arial" w:cs="Arial"/>
                <w:b/>
                <w:bCs/>
                <w:i/>
                <w:sz w:val="18"/>
                <w:szCs w:val="18"/>
                <w:lang w:val="es-ES_tradnl" w:eastAsia="ja-JP"/>
              </w:rPr>
            </w:pPr>
            <w:r w:rsidRPr="00DF549E">
              <w:rPr>
                <w:rFonts w:ascii="Arial" w:hAnsi="Arial" w:cs="Arial"/>
                <w:b/>
                <w:sz w:val="18"/>
                <w:szCs w:val="18"/>
                <w:lang w:val="es-ES_tradnl" w:eastAsia="ja-JP"/>
              </w:rPr>
              <w:t xml:space="preserve">Fortalecer la gestión de la infraestructura utilizada para la prestación de </w:t>
            </w:r>
            <w:r w:rsidRPr="00DF549E">
              <w:rPr>
                <w:rFonts w:ascii="Arial" w:hAnsi="Arial" w:cs="Arial"/>
                <w:b/>
                <w:sz w:val="18"/>
                <w:szCs w:val="18"/>
                <w:lang w:val="es-ES_tradnl" w:eastAsia="ja-JP"/>
              </w:rPr>
              <w:lastRenderedPageBreak/>
              <w:t>los servicios públicos domiciliarios.</w:t>
            </w:r>
          </w:p>
        </w:tc>
        <w:tc>
          <w:tcPr>
            <w:tcW w:w="4002" w:type="dxa"/>
            <w:shd w:val="clear" w:color="auto" w:fill="auto"/>
          </w:tcPr>
          <w:p w14:paraId="035D9BD4" w14:textId="15E9B598" w:rsidR="008045CA" w:rsidRPr="00DF549E" w:rsidRDefault="005D7368" w:rsidP="005D7368">
            <w:pPr>
              <w:spacing w:line="240" w:lineRule="auto"/>
              <w:jc w:val="both"/>
              <w:rPr>
                <w:rFonts w:ascii="Arial" w:hAnsi="Arial" w:cs="Arial"/>
                <w:sz w:val="18"/>
                <w:szCs w:val="18"/>
                <w:lang w:val="es-ES_tradnl" w:eastAsia="ja-JP"/>
              </w:rPr>
            </w:pPr>
            <w:r w:rsidRPr="00DF549E">
              <w:rPr>
                <w:rFonts w:ascii="Arial" w:hAnsi="Arial" w:cs="Arial"/>
                <w:sz w:val="18"/>
                <w:szCs w:val="18"/>
                <w:lang w:val="es-ES_tradnl" w:eastAsia="ja-JP"/>
              </w:rPr>
              <w:lastRenderedPageBreak/>
              <w:t xml:space="preserve">Aumentar la oferta de infraestructura no siempre es la solución más eficiente para responder al crecimiento de la demanda de servicios públicos. Es frecuente el diagnóstico que induce a construir más infraestructura en </w:t>
            </w:r>
            <w:r w:rsidRPr="00DF549E">
              <w:rPr>
                <w:rFonts w:ascii="Arial" w:hAnsi="Arial" w:cs="Arial"/>
                <w:sz w:val="18"/>
                <w:szCs w:val="18"/>
                <w:lang w:val="es-ES_tradnl" w:eastAsia="ja-JP"/>
              </w:rPr>
              <w:lastRenderedPageBreak/>
              <w:t>lugar de propiciar el uso y gestión óptimos de los activos existentes para aumentar la oferta y calidad de los servicios públicos domiciliarios evitando así realizar inversiones sub-óptimas. Los ámbitos de acción más relevantes para optimizar la gestión de la infraestructura son: i) incentivar la eficiencia en la gestión de las empresas; ii) desarrollar e implementar políticas adecuadas y estables de mantenimiento de activos; y iii) optimizar el uso de la infraestructura a través de incentivos a la demanda. Las políticas de incentivos a la demanda, a través de la fijación de estándares o el establecimiento de incentivos de precios (tarifas de congestión y tarifas en periodos de alta y baja demanda, entre otras) tienen el potencial de modificar los patrones de consumo aumentando la disponibilidad de los servicios de infraestructura. La optimización del uso de la infraestructura mediante el mecanismo de precios no sólo permite ahorrar costos, también puede contribuir a la sostenibilidad ambiental al generar incentivos a conservar, y por lo tanto a reducir las emisiones y los impactos negativos en los ecosistemas. Cuando se establecen incentivos de precios y se modifican tarifas, es altamente recomendable realizar un análisis riguroso de su incidencia distributiva sobre los distintos tipos de usuarios para informar sobre posibles impactos en la inclusión social.</w:t>
            </w:r>
          </w:p>
        </w:tc>
        <w:tc>
          <w:tcPr>
            <w:tcW w:w="3945" w:type="dxa"/>
            <w:shd w:val="clear" w:color="auto" w:fill="auto"/>
          </w:tcPr>
          <w:p w14:paraId="6D1294F7" w14:textId="09043607" w:rsidR="00F83BB4" w:rsidRDefault="00F83BB4" w:rsidP="00BB68B1">
            <w:pPr>
              <w:spacing w:line="240" w:lineRule="auto"/>
              <w:jc w:val="both"/>
              <w:rPr>
                <w:rFonts w:ascii="Arial" w:hAnsi="Arial" w:cs="Arial"/>
                <w:sz w:val="18"/>
                <w:szCs w:val="18"/>
                <w:lang w:val="es-ES_tradnl" w:eastAsia="ja-JP"/>
              </w:rPr>
            </w:pPr>
            <w:r>
              <w:rPr>
                <w:rFonts w:ascii="Arial" w:hAnsi="Arial" w:cs="Arial"/>
                <w:sz w:val="18"/>
                <w:szCs w:val="18"/>
                <w:lang w:val="es-ES_tradnl" w:eastAsia="ja-JP"/>
              </w:rPr>
              <w:lastRenderedPageBreak/>
              <w:t xml:space="preserve">El programa plantea la rehabilitación y modernización de una planta existente. Esta solución de aprovechamiento eficiente de una infraestructura existente es la opción más conveniente por sus costos y también por </w:t>
            </w:r>
            <w:r>
              <w:rPr>
                <w:rFonts w:ascii="Arial" w:hAnsi="Arial" w:cs="Arial"/>
                <w:sz w:val="18"/>
                <w:szCs w:val="18"/>
                <w:lang w:val="es-ES_tradnl" w:eastAsia="ja-JP"/>
              </w:rPr>
              <w:lastRenderedPageBreak/>
              <w:t>consideraciones ambientales y sociales (la rehabilitación prácticamente no tiene impactos ambientales y sociales).</w:t>
            </w:r>
          </w:p>
          <w:p w14:paraId="24E65F20" w14:textId="531423F9" w:rsidR="00AF29F8" w:rsidRDefault="00FB4CE5" w:rsidP="00BB68B1">
            <w:pPr>
              <w:spacing w:line="240" w:lineRule="auto"/>
              <w:jc w:val="both"/>
              <w:rPr>
                <w:rFonts w:ascii="Arial" w:hAnsi="Arial" w:cs="Arial"/>
                <w:sz w:val="18"/>
                <w:szCs w:val="18"/>
                <w:lang w:val="es-ES_tradnl" w:eastAsia="ja-JP"/>
              </w:rPr>
            </w:pPr>
            <w:r>
              <w:rPr>
                <w:rFonts w:ascii="Arial" w:hAnsi="Arial" w:cs="Arial"/>
                <w:sz w:val="18"/>
                <w:szCs w:val="18"/>
                <w:lang w:val="es-ES_tradnl" w:eastAsia="ja-JP"/>
              </w:rPr>
              <w:t xml:space="preserve">El programa </w:t>
            </w:r>
            <w:r w:rsidR="00F83BB4">
              <w:rPr>
                <w:rFonts w:ascii="Arial" w:hAnsi="Arial" w:cs="Arial"/>
                <w:sz w:val="18"/>
                <w:szCs w:val="18"/>
                <w:lang w:val="es-ES_tradnl" w:eastAsia="ja-JP"/>
              </w:rPr>
              <w:t xml:space="preserve">sustituirá equipos obsoletos por otros que incorporan </w:t>
            </w:r>
            <w:r w:rsidR="00AF29F8">
              <w:rPr>
                <w:rFonts w:ascii="Arial" w:hAnsi="Arial" w:cs="Arial"/>
                <w:sz w:val="18"/>
                <w:szCs w:val="18"/>
                <w:lang w:val="es-ES_tradnl" w:eastAsia="ja-JP"/>
              </w:rPr>
              <w:t xml:space="preserve">tecnología moderna </w:t>
            </w:r>
            <w:r w:rsidR="00F83BB4">
              <w:rPr>
                <w:rFonts w:ascii="Arial" w:hAnsi="Arial" w:cs="Arial"/>
                <w:sz w:val="18"/>
                <w:szCs w:val="18"/>
                <w:lang w:val="es-ES_tradnl" w:eastAsia="ja-JP"/>
              </w:rPr>
              <w:t xml:space="preserve">y más eficientes. </w:t>
            </w:r>
            <w:r w:rsidR="00AF29F8">
              <w:rPr>
                <w:rFonts w:ascii="Arial" w:hAnsi="Arial" w:cs="Arial"/>
                <w:sz w:val="18"/>
                <w:szCs w:val="18"/>
                <w:lang w:val="es-ES_tradnl" w:eastAsia="ja-JP"/>
              </w:rPr>
              <w:t xml:space="preserve"> </w:t>
            </w:r>
          </w:p>
          <w:p w14:paraId="78D420A4" w14:textId="24A6ED1C" w:rsidR="008045CA" w:rsidRPr="00DF549E" w:rsidRDefault="00FB4CE5" w:rsidP="00BB68B1">
            <w:pPr>
              <w:spacing w:line="240" w:lineRule="auto"/>
              <w:jc w:val="both"/>
              <w:rPr>
                <w:rFonts w:ascii="Arial" w:hAnsi="Arial" w:cs="Arial"/>
                <w:sz w:val="18"/>
                <w:szCs w:val="18"/>
                <w:lang w:val="es-ES_tradnl" w:eastAsia="ja-JP"/>
              </w:rPr>
            </w:pPr>
            <w:r>
              <w:rPr>
                <w:rFonts w:ascii="Arial" w:hAnsi="Arial" w:cs="Arial"/>
                <w:sz w:val="18"/>
                <w:szCs w:val="18"/>
                <w:lang w:val="es-ES_tradnl" w:eastAsia="ja-JP"/>
              </w:rPr>
              <w:t>Esta rehabilitación y modernización permitirá mejorar la disponibilidad y confiabilidad</w:t>
            </w:r>
            <w:r w:rsidR="004968CC">
              <w:rPr>
                <w:rFonts w:ascii="Arial" w:hAnsi="Arial" w:cs="Arial"/>
                <w:sz w:val="18"/>
                <w:szCs w:val="18"/>
                <w:lang w:val="es-ES_tradnl" w:eastAsia="ja-JP"/>
              </w:rPr>
              <w:t xml:space="preserve"> de la central </w:t>
            </w:r>
            <w:r w:rsidR="00F83BB4">
              <w:rPr>
                <w:rFonts w:ascii="Arial" w:hAnsi="Arial" w:cs="Arial"/>
                <w:sz w:val="18"/>
                <w:szCs w:val="18"/>
                <w:lang w:val="es-ES_tradnl" w:eastAsia="ja-JP"/>
              </w:rPr>
              <w:t xml:space="preserve">(menor tasas de falla) </w:t>
            </w:r>
            <w:r w:rsidR="004968CC">
              <w:rPr>
                <w:rFonts w:ascii="Arial" w:hAnsi="Arial" w:cs="Arial"/>
                <w:sz w:val="18"/>
                <w:szCs w:val="18"/>
                <w:lang w:val="es-ES_tradnl" w:eastAsia="ja-JP"/>
              </w:rPr>
              <w:t xml:space="preserve">y extender la vida útil </w:t>
            </w:r>
            <w:r w:rsidR="00F83BB4">
              <w:rPr>
                <w:rFonts w:ascii="Arial" w:hAnsi="Arial" w:cs="Arial"/>
                <w:sz w:val="18"/>
                <w:szCs w:val="18"/>
                <w:lang w:val="es-ES_tradnl" w:eastAsia="ja-JP"/>
              </w:rPr>
              <w:t xml:space="preserve">de la central. </w:t>
            </w:r>
            <w:r w:rsidR="004968CC">
              <w:rPr>
                <w:rFonts w:ascii="Arial" w:hAnsi="Arial" w:cs="Arial"/>
                <w:sz w:val="18"/>
                <w:szCs w:val="18"/>
                <w:lang w:val="es-ES_tradnl" w:eastAsia="ja-JP"/>
              </w:rPr>
              <w:t xml:space="preserve"> </w:t>
            </w:r>
            <w:r>
              <w:rPr>
                <w:rFonts w:ascii="Arial" w:hAnsi="Arial" w:cs="Arial"/>
                <w:sz w:val="18"/>
                <w:szCs w:val="18"/>
                <w:lang w:val="es-ES_tradnl" w:eastAsia="ja-JP"/>
              </w:rPr>
              <w:t xml:space="preserve"> </w:t>
            </w:r>
          </w:p>
        </w:tc>
      </w:tr>
      <w:tr w:rsidR="005D7368" w:rsidRPr="00D818E2" w14:paraId="1E9D3C07" w14:textId="77777777" w:rsidTr="00DB1998">
        <w:trPr>
          <w:jc w:val="center"/>
        </w:trPr>
        <w:tc>
          <w:tcPr>
            <w:tcW w:w="1629" w:type="dxa"/>
            <w:tcBorders>
              <w:bottom w:val="single" w:sz="4" w:space="0" w:color="auto"/>
            </w:tcBorders>
            <w:shd w:val="clear" w:color="auto" w:fill="auto"/>
          </w:tcPr>
          <w:p w14:paraId="17AB915F" w14:textId="314C90E5" w:rsidR="008045CA" w:rsidRPr="00DF549E" w:rsidRDefault="005D7368" w:rsidP="00BB68B1">
            <w:pPr>
              <w:spacing w:line="240" w:lineRule="auto"/>
              <w:rPr>
                <w:rFonts w:ascii="Arial" w:hAnsi="Arial" w:cs="Arial"/>
                <w:b/>
                <w:bCs/>
                <w:i/>
                <w:sz w:val="18"/>
                <w:szCs w:val="18"/>
                <w:lang w:val="es-ES_tradnl" w:eastAsia="ja-JP"/>
              </w:rPr>
            </w:pPr>
            <w:r w:rsidRPr="00DF549E">
              <w:rPr>
                <w:rFonts w:ascii="Arial" w:hAnsi="Arial" w:cs="Arial"/>
                <w:b/>
                <w:sz w:val="18"/>
                <w:szCs w:val="18"/>
                <w:lang w:val="es-ES_tradnl" w:eastAsia="ja-JP"/>
              </w:rPr>
              <w:lastRenderedPageBreak/>
              <w:t>Promover la innovación para fomentar la eficiencia, el acceso y la sostenibilidad ambiental.</w:t>
            </w:r>
          </w:p>
        </w:tc>
        <w:tc>
          <w:tcPr>
            <w:tcW w:w="4002" w:type="dxa"/>
            <w:tcBorders>
              <w:bottom w:val="single" w:sz="4" w:space="0" w:color="auto"/>
            </w:tcBorders>
            <w:shd w:val="clear" w:color="auto" w:fill="auto"/>
          </w:tcPr>
          <w:p w14:paraId="2BF49B1E" w14:textId="0051433A" w:rsidR="008045CA" w:rsidRPr="00DF549E" w:rsidRDefault="005D7368" w:rsidP="00BB68B1">
            <w:pPr>
              <w:spacing w:line="240" w:lineRule="auto"/>
              <w:jc w:val="both"/>
              <w:rPr>
                <w:rFonts w:ascii="Arial" w:hAnsi="Arial" w:cs="Arial"/>
                <w:sz w:val="18"/>
                <w:szCs w:val="18"/>
                <w:lang w:val="es-ES_tradnl" w:eastAsia="ja-JP"/>
              </w:rPr>
            </w:pPr>
            <w:r w:rsidRPr="00DF549E">
              <w:rPr>
                <w:rFonts w:ascii="Arial" w:hAnsi="Arial" w:cs="Arial"/>
                <w:sz w:val="18"/>
                <w:szCs w:val="18"/>
                <w:lang w:val="es-ES_tradnl" w:eastAsia="ja-JP"/>
              </w:rPr>
              <w:t xml:space="preserve">Los avances tecnológicos permiten, de forma creciente, diseñar soluciones focalizadas para satisfacer la demanda de servicios de infraestructura. La generación solar fotovoltaica, las generadoras micro hidroeléctricas y las plantas de separación de residuos para reciclaje, constituyen ejemplos donde la tecnología cumple el doble propósito de incrementar la oferta de servicios y contribuir a la sostenibilidad ambiental mediante el desarrollo de una oferta con menores emisiones. La adopción de las tecnologías más recientes también puede coadyuvar a reducir los costos de provisión de los servicios, por </w:t>
            </w:r>
            <w:proofErr w:type="gramStart"/>
            <w:r w:rsidRPr="00DF549E">
              <w:rPr>
                <w:rFonts w:ascii="Arial" w:hAnsi="Arial" w:cs="Arial"/>
                <w:sz w:val="18"/>
                <w:szCs w:val="18"/>
                <w:lang w:val="es-ES_tradnl" w:eastAsia="ja-JP"/>
              </w:rPr>
              <w:t>ejemplo</w:t>
            </w:r>
            <w:proofErr w:type="gramEnd"/>
            <w:r w:rsidRPr="00DF549E">
              <w:rPr>
                <w:rFonts w:ascii="Arial" w:hAnsi="Arial" w:cs="Arial"/>
                <w:sz w:val="18"/>
                <w:szCs w:val="18"/>
                <w:lang w:val="es-ES_tradnl" w:eastAsia="ja-JP"/>
              </w:rPr>
              <w:t xml:space="preserve"> mediante detección de pérdidas técnicas y no-técnicas en la distribución de agua y electricidad. Adicionalmente, las innovaciones tecnológicas, como los medidores inteligentes, tienen el potencial de reducir el consumo de servicios públicos en períodos de alta demanda. Esta Política resalta el rol de la tecnología para incrementar el acceso con soluciones costo-efectivas, reducir los costos de mantenimiento y administrar el consumo, evitando inversiones innecesarias en mayor capacidad. La Política reconoce que el Banco deberá contribuir a diseminar información sobre la adopción, financiamiento y esquemas de gestión de las soluciones tecnológicas más </w:t>
            </w:r>
            <w:r w:rsidRPr="00DF549E">
              <w:rPr>
                <w:rFonts w:ascii="Arial" w:hAnsi="Arial" w:cs="Arial"/>
                <w:sz w:val="18"/>
                <w:szCs w:val="18"/>
                <w:lang w:val="es-ES_tradnl" w:eastAsia="ja-JP"/>
              </w:rPr>
              <w:lastRenderedPageBreak/>
              <w:t>apropiadas para cada combinación particular de servicio público y características de la demanda.</w:t>
            </w:r>
          </w:p>
        </w:tc>
        <w:tc>
          <w:tcPr>
            <w:tcW w:w="3945" w:type="dxa"/>
            <w:tcBorders>
              <w:bottom w:val="single" w:sz="4" w:space="0" w:color="auto"/>
            </w:tcBorders>
            <w:shd w:val="clear" w:color="auto" w:fill="auto"/>
          </w:tcPr>
          <w:p w14:paraId="79885074" w14:textId="77777777" w:rsidR="008045CA" w:rsidRDefault="008F009B" w:rsidP="005D7368">
            <w:pPr>
              <w:spacing w:line="240" w:lineRule="auto"/>
              <w:jc w:val="both"/>
              <w:rPr>
                <w:rFonts w:ascii="Arial" w:hAnsi="Arial" w:cs="Arial"/>
                <w:sz w:val="18"/>
                <w:szCs w:val="18"/>
                <w:lang w:val="es-ES_tradnl" w:eastAsia="ja-JP"/>
              </w:rPr>
            </w:pPr>
            <w:r>
              <w:rPr>
                <w:rFonts w:ascii="Arial" w:hAnsi="Arial" w:cs="Arial"/>
                <w:sz w:val="18"/>
                <w:szCs w:val="18"/>
                <w:lang w:val="es-ES_tradnl" w:eastAsia="ja-JP"/>
              </w:rPr>
              <w:lastRenderedPageBreak/>
              <w:t>La Política Energética Nacional entre sus objetivos específicos se encuentra la de fomentar la investigación científica y tecnológica vinculada al desarrollo sostenible e integral de la energía.</w:t>
            </w:r>
          </w:p>
          <w:p w14:paraId="3813DCB7" w14:textId="32E3192C" w:rsidR="008F009B" w:rsidRDefault="008F009B" w:rsidP="005D7368">
            <w:pPr>
              <w:spacing w:line="240" w:lineRule="auto"/>
              <w:jc w:val="both"/>
              <w:rPr>
                <w:rFonts w:ascii="Arial" w:hAnsi="Arial" w:cs="Arial"/>
                <w:sz w:val="18"/>
                <w:szCs w:val="18"/>
                <w:lang w:val="es-ES_tradnl" w:eastAsia="ja-JP"/>
              </w:rPr>
            </w:pPr>
            <w:r>
              <w:rPr>
                <w:rFonts w:ascii="Arial" w:hAnsi="Arial" w:cs="Arial"/>
                <w:sz w:val="18"/>
                <w:szCs w:val="18"/>
                <w:lang w:val="es-ES_tradnl" w:eastAsia="ja-JP"/>
              </w:rPr>
              <w:t>El programa apoyará a la ANDE en la instalación de tecnología innovadora</w:t>
            </w:r>
            <w:r w:rsidR="00534219">
              <w:rPr>
                <w:rFonts w:ascii="Arial" w:hAnsi="Arial" w:cs="Arial"/>
                <w:sz w:val="18"/>
                <w:szCs w:val="18"/>
                <w:lang w:val="es-ES_tradnl" w:eastAsia="ja-JP"/>
              </w:rPr>
              <w:t>, incluyendo la digitalización</w:t>
            </w:r>
            <w:r w:rsidR="008D386F">
              <w:rPr>
                <w:rFonts w:ascii="Arial" w:hAnsi="Arial" w:cs="Arial"/>
                <w:sz w:val="18"/>
                <w:szCs w:val="18"/>
                <w:lang w:val="es-ES_tradnl" w:eastAsia="ja-JP"/>
              </w:rPr>
              <w:t xml:space="preserve"> de los procesos,</w:t>
            </w:r>
            <w:r>
              <w:rPr>
                <w:rFonts w:ascii="Arial" w:hAnsi="Arial" w:cs="Arial"/>
                <w:sz w:val="18"/>
                <w:szCs w:val="18"/>
                <w:lang w:val="es-ES_tradnl" w:eastAsia="ja-JP"/>
              </w:rPr>
              <w:t xml:space="preserve"> para la gestión y operación de sus instalaciones para la generación eléctrica, contribuyendo </w:t>
            </w:r>
            <w:r w:rsidR="008D386F">
              <w:rPr>
                <w:rFonts w:ascii="Arial" w:hAnsi="Arial" w:cs="Arial"/>
                <w:sz w:val="18"/>
                <w:szCs w:val="18"/>
                <w:lang w:val="es-ES_tradnl" w:eastAsia="ja-JP"/>
              </w:rPr>
              <w:t xml:space="preserve">también en </w:t>
            </w:r>
            <w:r>
              <w:rPr>
                <w:rFonts w:ascii="Arial" w:hAnsi="Arial" w:cs="Arial"/>
                <w:sz w:val="18"/>
                <w:szCs w:val="18"/>
                <w:lang w:val="es-ES_tradnl" w:eastAsia="ja-JP"/>
              </w:rPr>
              <w:t xml:space="preserve">la capacitación de su personal. </w:t>
            </w:r>
          </w:p>
          <w:p w14:paraId="3AAD1F79" w14:textId="7D837B08" w:rsidR="008F009B" w:rsidRPr="00DF549E" w:rsidRDefault="008F009B" w:rsidP="005D7368">
            <w:pPr>
              <w:spacing w:line="240" w:lineRule="auto"/>
              <w:jc w:val="both"/>
              <w:rPr>
                <w:rFonts w:ascii="Arial" w:hAnsi="Arial" w:cs="Arial"/>
                <w:sz w:val="18"/>
                <w:szCs w:val="18"/>
                <w:lang w:val="es-ES_tradnl" w:eastAsia="ja-JP"/>
              </w:rPr>
            </w:pPr>
          </w:p>
        </w:tc>
      </w:tr>
    </w:tbl>
    <w:p w14:paraId="11148E92" w14:textId="77777777" w:rsidR="008045CA" w:rsidRPr="005D7368" w:rsidRDefault="008045CA" w:rsidP="008045CA">
      <w:pPr>
        <w:rPr>
          <w:b/>
          <w:bCs/>
          <w:lang w:val="es-ES_tradnl" w:eastAsia="ja-JP"/>
        </w:rPr>
      </w:pPr>
    </w:p>
    <w:p w14:paraId="5CAE2917" w14:textId="0F5385C8" w:rsidR="008045CA" w:rsidRPr="00C81968" w:rsidRDefault="005D7368" w:rsidP="008045CA">
      <w:pPr>
        <w:numPr>
          <w:ilvl w:val="0"/>
          <w:numId w:val="41"/>
        </w:numPr>
        <w:rPr>
          <w:rFonts w:ascii="Arial" w:hAnsi="Arial" w:cs="Arial"/>
          <w:b/>
          <w:sz w:val="20"/>
          <w:szCs w:val="20"/>
          <w:lang w:eastAsia="ja-JP"/>
        </w:rPr>
      </w:pPr>
      <w:r>
        <w:rPr>
          <w:rFonts w:ascii="Arial" w:hAnsi="Arial" w:cs="Arial"/>
          <w:b/>
          <w:bCs/>
          <w:sz w:val="20"/>
          <w:szCs w:val="20"/>
          <w:lang w:eastAsia="ja-JP"/>
        </w:rPr>
        <w:t>CONDICIONES</w:t>
      </w:r>
      <w:r w:rsidR="008045CA" w:rsidRPr="00C81968">
        <w:rPr>
          <w:rFonts w:ascii="Arial" w:hAnsi="Arial" w:cs="Arial"/>
          <w:b/>
          <w:bCs/>
          <w:sz w:val="20"/>
          <w:szCs w:val="20"/>
          <w:lang w:eastAsia="ja-JP"/>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6"/>
        <w:gridCol w:w="3780"/>
        <w:gridCol w:w="3854"/>
      </w:tblGrid>
      <w:tr w:rsidR="005D7368" w:rsidRPr="008045CA" w14:paraId="1BF349FD" w14:textId="77777777" w:rsidTr="005D7368">
        <w:trPr>
          <w:jc w:val="center"/>
        </w:trPr>
        <w:tc>
          <w:tcPr>
            <w:tcW w:w="1734" w:type="dxa"/>
            <w:shd w:val="clear" w:color="auto" w:fill="00B050"/>
            <w:vAlign w:val="center"/>
          </w:tcPr>
          <w:p w14:paraId="4B7BE5A3" w14:textId="77777777" w:rsidR="005D7368" w:rsidRPr="00D9720B" w:rsidRDefault="005D7368" w:rsidP="00025F78">
            <w:pPr>
              <w:spacing w:after="0"/>
              <w:jc w:val="center"/>
              <w:rPr>
                <w:rFonts w:ascii="Arial" w:hAnsi="Arial" w:cs="Arial"/>
                <w:b/>
                <w:color w:val="FFFFFF"/>
                <w:sz w:val="18"/>
                <w:szCs w:val="18"/>
                <w:lang w:val="es-ES_tradnl"/>
              </w:rPr>
            </w:pPr>
            <w:r w:rsidRPr="00D9720B">
              <w:rPr>
                <w:rFonts w:ascii="Arial" w:hAnsi="Arial" w:cs="Arial"/>
                <w:b/>
                <w:color w:val="FFFFFF"/>
                <w:sz w:val="18"/>
                <w:szCs w:val="18"/>
                <w:lang w:val="es-ES_tradnl"/>
              </w:rPr>
              <w:t>Objetivos de la política</w:t>
            </w:r>
          </w:p>
          <w:p w14:paraId="4D398697" w14:textId="6B257FFE" w:rsidR="005D7368" w:rsidRPr="00D9720B" w:rsidRDefault="005D7368" w:rsidP="008045CA">
            <w:pPr>
              <w:spacing w:after="0"/>
              <w:jc w:val="center"/>
              <w:rPr>
                <w:rFonts w:ascii="Arial" w:hAnsi="Arial" w:cs="Arial"/>
                <w:color w:val="FFFFFF" w:themeColor="background1"/>
                <w:sz w:val="18"/>
                <w:szCs w:val="18"/>
                <w:lang w:eastAsia="ja-JP"/>
              </w:rPr>
            </w:pPr>
            <w:r w:rsidRPr="00D9720B">
              <w:rPr>
                <w:rFonts w:ascii="Arial" w:hAnsi="Arial" w:cs="Arial"/>
                <w:b/>
                <w:color w:val="FFFFFF"/>
                <w:sz w:val="18"/>
                <w:szCs w:val="18"/>
                <w:lang w:val="es-ES_tradnl"/>
              </w:rPr>
              <w:t>(GN-2716-6)</w:t>
            </w:r>
          </w:p>
        </w:tc>
        <w:tc>
          <w:tcPr>
            <w:tcW w:w="3869" w:type="dxa"/>
            <w:shd w:val="clear" w:color="auto" w:fill="00B050"/>
            <w:vAlign w:val="center"/>
          </w:tcPr>
          <w:p w14:paraId="32ED3C54" w14:textId="217BFE47" w:rsidR="005D7368" w:rsidRPr="00D9720B" w:rsidRDefault="005D7368" w:rsidP="00C81968">
            <w:pPr>
              <w:spacing w:after="0" w:line="240" w:lineRule="auto"/>
              <w:jc w:val="center"/>
              <w:rPr>
                <w:rFonts w:ascii="Arial" w:hAnsi="Arial" w:cs="Arial"/>
                <w:b/>
                <w:color w:val="FFFFFF" w:themeColor="background1"/>
                <w:sz w:val="18"/>
                <w:szCs w:val="18"/>
                <w:lang w:eastAsia="ja-JP"/>
              </w:rPr>
            </w:pPr>
            <w:proofErr w:type="spellStart"/>
            <w:r w:rsidRPr="00D9720B">
              <w:rPr>
                <w:rFonts w:ascii="Arial" w:hAnsi="Arial" w:cs="Arial"/>
                <w:b/>
                <w:color w:val="FFFFFF"/>
                <w:sz w:val="18"/>
                <w:szCs w:val="18"/>
              </w:rPr>
              <w:t>Descripción</w:t>
            </w:r>
            <w:proofErr w:type="spellEnd"/>
          </w:p>
        </w:tc>
        <w:tc>
          <w:tcPr>
            <w:tcW w:w="3973" w:type="dxa"/>
            <w:shd w:val="clear" w:color="auto" w:fill="00B050"/>
            <w:vAlign w:val="center"/>
          </w:tcPr>
          <w:p w14:paraId="52302474" w14:textId="4492213E" w:rsidR="005D7368" w:rsidRPr="00D9720B" w:rsidRDefault="005D7368" w:rsidP="00C81968">
            <w:pPr>
              <w:spacing w:after="0" w:line="240" w:lineRule="auto"/>
              <w:jc w:val="center"/>
              <w:rPr>
                <w:rFonts w:ascii="Arial" w:hAnsi="Arial" w:cs="Arial"/>
                <w:b/>
                <w:color w:val="FFFFFF" w:themeColor="background1"/>
                <w:sz w:val="18"/>
                <w:szCs w:val="18"/>
                <w:lang w:eastAsia="ja-JP"/>
              </w:rPr>
            </w:pPr>
            <w:proofErr w:type="spellStart"/>
            <w:r w:rsidRPr="00D9720B">
              <w:rPr>
                <w:rFonts w:ascii="Arial" w:hAnsi="Arial" w:cs="Arial"/>
                <w:b/>
                <w:color w:val="FFFFFF"/>
                <w:sz w:val="18"/>
                <w:szCs w:val="18"/>
              </w:rPr>
              <w:t>Comentarios</w:t>
            </w:r>
            <w:proofErr w:type="spellEnd"/>
          </w:p>
        </w:tc>
      </w:tr>
      <w:tr w:rsidR="008045CA" w:rsidRPr="00D818E2" w14:paraId="7259692A" w14:textId="77777777" w:rsidTr="005D7368">
        <w:trPr>
          <w:jc w:val="center"/>
        </w:trPr>
        <w:tc>
          <w:tcPr>
            <w:tcW w:w="1734" w:type="dxa"/>
            <w:shd w:val="clear" w:color="auto" w:fill="auto"/>
          </w:tcPr>
          <w:p w14:paraId="5F6A2C33" w14:textId="77777777" w:rsidR="008045CA" w:rsidRPr="00D9720B" w:rsidRDefault="008045CA" w:rsidP="008045CA">
            <w:pPr>
              <w:rPr>
                <w:rFonts w:ascii="Arial" w:hAnsi="Arial" w:cs="Arial"/>
                <w:b/>
                <w:sz w:val="18"/>
                <w:szCs w:val="18"/>
                <w:lang w:eastAsia="ja-JP"/>
              </w:rPr>
            </w:pPr>
            <w:r w:rsidRPr="00D9720B">
              <w:rPr>
                <w:rFonts w:ascii="Arial" w:hAnsi="Arial" w:cs="Arial"/>
                <w:b/>
                <w:bCs/>
                <w:sz w:val="18"/>
                <w:szCs w:val="18"/>
                <w:lang w:eastAsia="ja-JP"/>
              </w:rPr>
              <w:t>Financial sustainability</w:t>
            </w:r>
          </w:p>
        </w:tc>
        <w:tc>
          <w:tcPr>
            <w:tcW w:w="3869" w:type="dxa"/>
            <w:shd w:val="clear" w:color="auto" w:fill="auto"/>
          </w:tcPr>
          <w:p w14:paraId="5EE41B2B" w14:textId="77777777" w:rsidR="008045CA" w:rsidRPr="00D9720B" w:rsidRDefault="005D7368" w:rsidP="00C81968">
            <w:pPr>
              <w:spacing w:line="240" w:lineRule="auto"/>
              <w:jc w:val="both"/>
              <w:rPr>
                <w:rFonts w:ascii="Arial" w:hAnsi="Arial" w:cs="Arial"/>
                <w:sz w:val="18"/>
                <w:szCs w:val="18"/>
                <w:lang w:val="es-ES_tradnl" w:eastAsia="ja-JP"/>
              </w:rPr>
            </w:pPr>
            <w:r w:rsidRPr="00D9720B">
              <w:rPr>
                <w:rFonts w:ascii="Arial" w:hAnsi="Arial" w:cs="Arial"/>
                <w:sz w:val="18"/>
                <w:szCs w:val="18"/>
                <w:lang w:val="es-ES_tradnl" w:eastAsia="ja-JP"/>
              </w:rPr>
              <w:t>Para cada operación se deberá verificar que el servicio correspondiente generará o recibirá fondos suficientes para atender sus compromisos financieros y sufragar los costos de operación y mantenimiento de los sistemas relacionados con la operación.</w:t>
            </w:r>
          </w:p>
          <w:p w14:paraId="6FF32AF1" w14:textId="5746F477" w:rsidR="005D7368" w:rsidRPr="00D9720B" w:rsidRDefault="005D7368" w:rsidP="00C81968">
            <w:pPr>
              <w:spacing w:line="240" w:lineRule="auto"/>
              <w:jc w:val="both"/>
              <w:rPr>
                <w:rFonts w:ascii="Arial" w:hAnsi="Arial" w:cs="Arial"/>
                <w:sz w:val="18"/>
                <w:szCs w:val="18"/>
                <w:lang w:val="es-ES_tradnl" w:eastAsia="ja-JP"/>
              </w:rPr>
            </w:pPr>
            <w:r w:rsidRPr="00D9720B">
              <w:rPr>
                <w:rFonts w:ascii="Arial" w:hAnsi="Arial" w:cs="Arial"/>
                <w:sz w:val="18"/>
                <w:szCs w:val="18"/>
                <w:lang w:val="es-ES_tradnl" w:eastAsia="ja-JP"/>
              </w:rPr>
              <w:t>Cuando una operación del Banco involucre aportes de fondos presupuestarios destinados a subsidiar la oferta de la provisión de un servicio público se deberá verificar:</w:t>
            </w:r>
          </w:p>
          <w:p w14:paraId="3A281C13" w14:textId="6E3495E0" w:rsidR="005D7368" w:rsidRPr="00D9720B" w:rsidRDefault="00BE2F45" w:rsidP="00BE2F45">
            <w:pPr>
              <w:spacing w:line="240" w:lineRule="auto"/>
              <w:ind w:left="606" w:hanging="360"/>
              <w:jc w:val="both"/>
              <w:rPr>
                <w:rFonts w:ascii="Arial" w:hAnsi="Arial" w:cs="Arial"/>
                <w:sz w:val="18"/>
                <w:szCs w:val="18"/>
                <w:lang w:val="es-ES_tradnl" w:eastAsia="ja-JP"/>
              </w:rPr>
            </w:pPr>
            <w:r w:rsidRPr="00D9720B">
              <w:rPr>
                <w:rFonts w:ascii="Arial" w:hAnsi="Arial" w:cs="Arial"/>
                <w:sz w:val="18"/>
                <w:szCs w:val="18"/>
                <w:lang w:val="es-ES_tradnl" w:eastAsia="ja-JP"/>
              </w:rPr>
              <w:t>a)</w:t>
            </w:r>
            <w:r w:rsidR="005D7368" w:rsidRPr="00D9720B">
              <w:rPr>
                <w:rFonts w:ascii="Arial" w:hAnsi="Arial" w:cs="Arial"/>
                <w:sz w:val="18"/>
                <w:szCs w:val="18"/>
                <w:lang w:val="es-ES_tradnl" w:eastAsia="ja-JP"/>
              </w:rPr>
              <w:t xml:space="preserve"> que la asignación presupuestaria de dichos aportes sea transparente; y</w:t>
            </w:r>
            <w:r w:rsidRPr="00D9720B">
              <w:rPr>
                <w:rFonts w:ascii="Arial" w:hAnsi="Arial" w:cs="Arial"/>
                <w:sz w:val="18"/>
                <w:szCs w:val="18"/>
                <w:lang w:val="es-ES_tradnl" w:eastAsia="ja-JP"/>
              </w:rPr>
              <w:t>;</w:t>
            </w:r>
          </w:p>
          <w:p w14:paraId="581D62BA" w14:textId="4C3AFE54" w:rsidR="005D7368" w:rsidRPr="00D9720B" w:rsidRDefault="00BE2F45" w:rsidP="00BE2F45">
            <w:pPr>
              <w:spacing w:line="240" w:lineRule="auto"/>
              <w:ind w:left="606" w:hanging="360"/>
              <w:jc w:val="both"/>
              <w:rPr>
                <w:rFonts w:ascii="Arial" w:hAnsi="Arial" w:cs="Arial"/>
                <w:sz w:val="18"/>
                <w:szCs w:val="18"/>
                <w:lang w:val="es-ES_tradnl" w:eastAsia="ja-JP"/>
              </w:rPr>
            </w:pPr>
            <w:r w:rsidRPr="00D9720B">
              <w:rPr>
                <w:rFonts w:ascii="Arial" w:hAnsi="Arial" w:cs="Arial"/>
                <w:sz w:val="18"/>
                <w:szCs w:val="18"/>
                <w:lang w:val="es-ES_tradnl" w:eastAsia="ja-JP"/>
              </w:rPr>
              <w:t>b)</w:t>
            </w:r>
            <w:r w:rsidR="005D7368" w:rsidRPr="00D9720B">
              <w:rPr>
                <w:rFonts w:ascii="Arial" w:hAnsi="Arial" w:cs="Arial"/>
                <w:sz w:val="18"/>
                <w:szCs w:val="18"/>
                <w:lang w:val="es-ES_tradnl" w:eastAsia="ja-JP"/>
              </w:rPr>
              <w:t xml:space="preserve"> que su propósito se corresponda con algu</w:t>
            </w:r>
            <w:r w:rsidR="00B362CC" w:rsidRPr="00D9720B">
              <w:rPr>
                <w:rFonts w:ascii="Arial" w:hAnsi="Arial" w:cs="Arial"/>
                <w:sz w:val="18"/>
                <w:szCs w:val="18"/>
                <w:lang w:val="es-ES_tradnl" w:eastAsia="ja-JP"/>
              </w:rPr>
              <w:t>no de los siguientes objetivos: i)</w:t>
            </w:r>
            <w:r w:rsidR="005D7368" w:rsidRPr="00D9720B">
              <w:rPr>
                <w:rFonts w:ascii="Arial" w:hAnsi="Arial" w:cs="Arial"/>
                <w:sz w:val="18"/>
                <w:szCs w:val="18"/>
                <w:lang w:val="es-ES_tradnl" w:eastAsia="ja-JP"/>
              </w:rPr>
              <w:t xml:space="preserve"> la expansión en la capacidad para proveer mayo</w:t>
            </w:r>
            <w:r w:rsidR="00B362CC" w:rsidRPr="00D9720B">
              <w:rPr>
                <w:rFonts w:ascii="Arial" w:hAnsi="Arial" w:cs="Arial"/>
                <w:sz w:val="18"/>
                <w:szCs w:val="18"/>
                <w:lang w:val="es-ES_tradnl" w:eastAsia="ja-JP"/>
              </w:rPr>
              <w:t>r acceso; ii)</w:t>
            </w:r>
            <w:r w:rsidR="00B362CC" w:rsidRPr="00D9720B">
              <w:rPr>
                <w:sz w:val="18"/>
                <w:szCs w:val="18"/>
                <w:lang w:val="es-ES_tradnl"/>
              </w:rPr>
              <w:t xml:space="preserve"> </w:t>
            </w:r>
            <w:r w:rsidR="00B362CC" w:rsidRPr="00D9720B">
              <w:rPr>
                <w:rFonts w:ascii="Arial" w:hAnsi="Arial" w:cs="Arial"/>
                <w:sz w:val="18"/>
                <w:szCs w:val="18"/>
                <w:lang w:val="es-ES_tradnl" w:eastAsia="ja-JP"/>
              </w:rPr>
              <w:t xml:space="preserve">el incremento en la calidad de los servicios existentes; iii) la mejora en la administración de procesos y la incorporación de tecnología destinada a que los servicios contribuyan a mitigar el cambio climático o a gestionar los riesgos asociados a desastres naturales. </w:t>
            </w:r>
          </w:p>
          <w:p w14:paraId="327CBB67" w14:textId="760BC966" w:rsidR="005D7368" w:rsidRPr="00D9720B" w:rsidRDefault="00B362CC" w:rsidP="00C81968">
            <w:pPr>
              <w:spacing w:line="240" w:lineRule="auto"/>
              <w:jc w:val="both"/>
              <w:rPr>
                <w:rFonts w:ascii="Arial" w:hAnsi="Arial" w:cs="Arial"/>
                <w:sz w:val="18"/>
                <w:szCs w:val="18"/>
                <w:lang w:val="es-ES_tradnl" w:eastAsia="ja-JP"/>
              </w:rPr>
            </w:pPr>
            <w:r w:rsidRPr="00D9720B">
              <w:rPr>
                <w:rFonts w:ascii="Arial" w:hAnsi="Arial" w:cs="Arial"/>
                <w:sz w:val="18"/>
                <w:szCs w:val="18"/>
                <w:lang w:val="es-ES_tradnl" w:eastAsia="ja-JP"/>
              </w:rPr>
              <w:t>Cuando los fondos presupuestarios constituyan subsidios tarifarios, se deberá constatar que se avance en el diseño e implementación de instrumentos de focalización de subsidios que prioricen a los grupos más vulnerables y de menores ingresos.</w:t>
            </w:r>
          </w:p>
        </w:tc>
        <w:tc>
          <w:tcPr>
            <w:tcW w:w="3973" w:type="dxa"/>
            <w:shd w:val="clear" w:color="auto" w:fill="auto"/>
          </w:tcPr>
          <w:p w14:paraId="65D74A1A" w14:textId="19477882" w:rsidR="008045CA" w:rsidRDefault="008D386F" w:rsidP="00C81968">
            <w:pPr>
              <w:spacing w:line="240" w:lineRule="auto"/>
              <w:jc w:val="both"/>
              <w:rPr>
                <w:rFonts w:ascii="Arial" w:hAnsi="Arial" w:cs="Arial"/>
                <w:sz w:val="18"/>
                <w:szCs w:val="18"/>
                <w:lang w:val="es-ES_tradnl" w:eastAsia="ja-JP"/>
              </w:rPr>
            </w:pPr>
            <w:r>
              <w:rPr>
                <w:rFonts w:ascii="Arial" w:hAnsi="Arial" w:cs="Arial"/>
                <w:sz w:val="18"/>
                <w:szCs w:val="18"/>
                <w:lang w:val="es-ES_tradnl" w:eastAsia="ja-JP"/>
              </w:rPr>
              <w:t xml:space="preserve">Se ha realizado un análisis financiero del programa confirmándose que las inversiones a ser ejecutada son </w:t>
            </w:r>
            <w:r w:rsidR="0047245F">
              <w:rPr>
                <w:rFonts w:ascii="Arial" w:hAnsi="Arial" w:cs="Arial"/>
                <w:sz w:val="18"/>
                <w:szCs w:val="18"/>
                <w:lang w:val="es-ES_tradnl" w:eastAsia="ja-JP"/>
              </w:rPr>
              <w:t>financieramente sustentable</w:t>
            </w:r>
            <w:r>
              <w:rPr>
                <w:rFonts w:ascii="Arial" w:hAnsi="Arial" w:cs="Arial"/>
                <w:sz w:val="18"/>
                <w:szCs w:val="18"/>
                <w:lang w:val="es-ES_tradnl" w:eastAsia="ja-JP"/>
              </w:rPr>
              <w:t>s</w:t>
            </w:r>
            <w:r w:rsidR="0047245F">
              <w:rPr>
                <w:rFonts w:ascii="Arial" w:hAnsi="Arial" w:cs="Arial"/>
                <w:sz w:val="18"/>
                <w:szCs w:val="18"/>
                <w:lang w:val="es-ES_tradnl" w:eastAsia="ja-JP"/>
              </w:rPr>
              <w:t>.</w:t>
            </w:r>
          </w:p>
          <w:p w14:paraId="0A7CFBD5" w14:textId="47697511" w:rsidR="0047245F" w:rsidRDefault="0047245F" w:rsidP="00C81968">
            <w:pPr>
              <w:spacing w:line="240" w:lineRule="auto"/>
              <w:jc w:val="both"/>
              <w:rPr>
                <w:rFonts w:ascii="Arial" w:hAnsi="Arial" w:cs="Arial"/>
                <w:sz w:val="18"/>
                <w:szCs w:val="18"/>
                <w:lang w:val="es-ES_tradnl" w:eastAsia="ja-JP"/>
              </w:rPr>
            </w:pPr>
            <w:r>
              <w:rPr>
                <w:rFonts w:ascii="Arial" w:hAnsi="Arial" w:cs="Arial"/>
                <w:sz w:val="18"/>
                <w:szCs w:val="18"/>
                <w:lang w:val="es-ES_tradnl" w:eastAsia="ja-JP"/>
              </w:rPr>
              <w:t>No se proveen subsidios específicos al beneficiario del programa.</w:t>
            </w:r>
          </w:p>
          <w:p w14:paraId="33BCDD6D" w14:textId="6F8766AD" w:rsidR="0047245F" w:rsidRDefault="0047245F" w:rsidP="00C81968">
            <w:pPr>
              <w:spacing w:line="240" w:lineRule="auto"/>
              <w:jc w:val="both"/>
              <w:rPr>
                <w:rFonts w:ascii="Arial" w:hAnsi="Arial" w:cs="Arial"/>
                <w:sz w:val="18"/>
                <w:szCs w:val="18"/>
                <w:lang w:val="es-ES_tradnl" w:eastAsia="ja-JP"/>
              </w:rPr>
            </w:pPr>
          </w:p>
          <w:p w14:paraId="387AF103" w14:textId="77777777" w:rsidR="0047245F" w:rsidRDefault="0047245F" w:rsidP="00C81968">
            <w:pPr>
              <w:spacing w:line="240" w:lineRule="auto"/>
              <w:jc w:val="both"/>
              <w:rPr>
                <w:rFonts w:ascii="Arial" w:hAnsi="Arial" w:cs="Arial"/>
                <w:sz w:val="18"/>
                <w:szCs w:val="18"/>
                <w:lang w:val="es-ES_tradnl" w:eastAsia="ja-JP"/>
              </w:rPr>
            </w:pPr>
          </w:p>
          <w:p w14:paraId="65C28446" w14:textId="0F42A33C" w:rsidR="0047245F" w:rsidRPr="00D9720B" w:rsidRDefault="0047245F" w:rsidP="00C81968">
            <w:pPr>
              <w:spacing w:line="240" w:lineRule="auto"/>
              <w:jc w:val="both"/>
              <w:rPr>
                <w:rFonts w:ascii="Arial" w:hAnsi="Arial" w:cs="Arial"/>
                <w:sz w:val="18"/>
                <w:szCs w:val="18"/>
                <w:lang w:val="es-ES_tradnl" w:eastAsia="ja-JP"/>
              </w:rPr>
            </w:pPr>
          </w:p>
        </w:tc>
      </w:tr>
      <w:tr w:rsidR="008045CA" w:rsidRPr="00D818E2" w14:paraId="2E9C7B19" w14:textId="77777777" w:rsidTr="005D7368">
        <w:trPr>
          <w:jc w:val="center"/>
        </w:trPr>
        <w:tc>
          <w:tcPr>
            <w:tcW w:w="1734" w:type="dxa"/>
            <w:shd w:val="clear" w:color="auto" w:fill="auto"/>
          </w:tcPr>
          <w:p w14:paraId="6B245423" w14:textId="4C531CAD" w:rsidR="008045CA" w:rsidRPr="00D9720B" w:rsidRDefault="00D517C8" w:rsidP="008045CA">
            <w:pPr>
              <w:rPr>
                <w:rFonts w:ascii="Arial" w:hAnsi="Arial" w:cs="Arial"/>
                <w:b/>
                <w:sz w:val="18"/>
                <w:szCs w:val="18"/>
                <w:lang w:eastAsia="ja-JP"/>
              </w:rPr>
            </w:pPr>
            <w:proofErr w:type="spellStart"/>
            <w:r w:rsidRPr="00D9720B">
              <w:rPr>
                <w:rFonts w:ascii="Arial" w:hAnsi="Arial" w:cs="Arial"/>
                <w:b/>
                <w:bCs/>
                <w:sz w:val="18"/>
                <w:szCs w:val="18"/>
                <w:lang w:eastAsia="ja-JP"/>
              </w:rPr>
              <w:t>Evaluación</w:t>
            </w:r>
            <w:proofErr w:type="spellEnd"/>
            <w:r w:rsidRPr="00D9720B">
              <w:rPr>
                <w:rFonts w:ascii="Arial" w:hAnsi="Arial" w:cs="Arial"/>
                <w:b/>
                <w:bCs/>
                <w:sz w:val="18"/>
                <w:szCs w:val="18"/>
                <w:lang w:eastAsia="ja-JP"/>
              </w:rPr>
              <w:t xml:space="preserve"> </w:t>
            </w:r>
            <w:proofErr w:type="spellStart"/>
            <w:r w:rsidRPr="00D9720B">
              <w:rPr>
                <w:rFonts w:ascii="Arial" w:hAnsi="Arial" w:cs="Arial"/>
                <w:b/>
                <w:bCs/>
                <w:sz w:val="18"/>
                <w:szCs w:val="18"/>
                <w:lang w:eastAsia="ja-JP"/>
              </w:rPr>
              <w:t>económica</w:t>
            </w:r>
            <w:proofErr w:type="spellEnd"/>
          </w:p>
        </w:tc>
        <w:tc>
          <w:tcPr>
            <w:tcW w:w="3869" w:type="dxa"/>
            <w:shd w:val="clear" w:color="auto" w:fill="auto"/>
          </w:tcPr>
          <w:p w14:paraId="6BBCA17F" w14:textId="6626CF3C" w:rsidR="008045CA" w:rsidRPr="00D9720B" w:rsidRDefault="00D517C8" w:rsidP="00C81968">
            <w:pPr>
              <w:spacing w:line="240" w:lineRule="auto"/>
              <w:jc w:val="both"/>
              <w:rPr>
                <w:rFonts w:ascii="Arial" w:hAnsi="Arial" w:cs="Arial"/>
                <w:sz w:val="18"/>
                <w:szCs w:val="18"/>
                <w:lang w:val="es-ES_tradnl" w:eastAsia="ja-JP"/>
              </w:rPr>
            </w:pPr>
            <w:r w:rsidRPr="00D9720B">
              <w:rPr>
                <w:rFonts w:ascii="Arial" w:hAnsi="Arial" w:cs="Arial"/>
                <w:sz w:val="18"/>
                <w:szCs w:val="18"/>
                <w:lang w:val="es-ES_tradnl" w:eastAsia="ja-JP"/>
              </w:rPr>
              <w:t xml:space="preserve">Los proyectos de servicios públicos domiciliarios deberán ser económicamente rentables, </w:t>
            </w:r>
            <w:proofErr w:type="gramStart"/>
            <w:r w:rsidRPr="00D9720B">
              <w:rPr>
                <w:rFonts w:ascii="Arial" w:hAnsi="Arial" w:cs="Arial"/>
                <w:sz w:val="18"/>
                <w:szCs w:val="18"/>
                <w:lang w:val="es-ES_tradnl" w:eastAsia="ja-JP"/>
              </w:rPr>
              <w:t>de acuerdo a</w:t>
            </w:r>
            <w:proofErr w:type="gramEnd"/>
            <w:r w:rsidRPr="00D9720B">
              <w:rPr>
                <w:rFonts w:ascii="Arial" w:hAnsi="Arial" w:cs="Arial"/>
                <w:sz w:val="18"/>
                <w:szCs w:val="18"/>
                <w:lang w:val="es-ES_tradnl" w:eastAsia="ja-JP"/>
              </w:rPr>
              <w:t xml:space="preserve"> las metodologías de evaluación costo-beneficio y costo-efectividad utilizadas y aceptadas por el Banco.</w:t>
            </w:r>
          </w:p>
        </w:tc>
        <w:tc>
          <w:tcPr>
            <w:tcW w:w="3973" w:type="dxa"/>
            <w:shd w:val="clear" w:color="auto" w:fill="auto"/>
          </w:tcPr>
          <w:p w14:paraId="0EC1A162" w14:textId="77777777" w:rsidR="00D9607C" w:rsidRDefault="00D9607C" w:rsidP="00C81968">
            <w:pPr>
              <w:spacing w:line="240" w:lineRule="auto"/>
              <w:jc w:val="both"/>
              <w:rPr>
                <w:rFonts w:ascii="Arial" w:hAnsi="Arial" w:cs="Arial"/>
                <w:sz w:val="18"/>
                <w:szCs w:val="18"/>
                <w:lang w:val="es-ES_tradnl" w:eastAsia="ja-JP"/>
              </w:rPr>
            </w:pPr>
            <w:r>
              <w:rPr>
                <w:rFonts w:ascii="Arial" w:hAnsi="Arial" w:cs="Arial"/>
                <w:sz w:val="18"/>
                <w:szCs w:val="18"/>
                <w:lang w:val="es-ES_tradnl" w:eastAsia="ja-JP"/>
              </w:rPr>
              <w:t>El programa cuenta con una evaluación económica bajo la metodología análisis costo-beneficio, la cual sigue los procedimientos del Banco. Esta evaluación se realizó comparando (a) las inversiones necesarias para mantener y aumentar la capacidad de la potencia disponible y la energía producida por la central, y (b) el costo de adquirir las cantidades de energía y potencia que dejaría de producir la central de no ejecutarse el programa.</w:t>
            </w:r>
          </w:p>
          <w:p w14:paraId="3E8C7CCC" w14:textId="0399862F" w:rsidR="00D9607C" w:rsidRPr="00D9720B" w:rsidRDefault="00D9607C" w:rsidP="00C81968">
            <w:pPr>
              <w:spacing w:line="240" w:lineRule="auto"/>
              <w:jc w:val="both"/>
              <w:rPr>
                <w:rFonts w:ascii="Arial" w:hAnsi="Arial" w:cs="Arial"/>
                <w:sz w:val="18"/>
                <w:szCs w:val="18"/>
                <w:lang w:val="es-ES_tradnl" w:eastAsia="ja-JP"/>
              </w:rPr>
            </w:pPr>
            <w:r w:rsidRPr="00D9607C">
              <w:rPr>
                <w:rFonts w:ascii="Arial" w:hAnsi="Arial" w:cs="Arial"/>
                <w:sz w:val="18"/>
                <w:szCs w:val="18"/>
                <w:lang w:val="es-ES_tradnl" w:eastAsia="ja-JP"/>
              </w:rPr>
              <w:lastRenderedPageBreak/>
              <w:t>Se desarrollaron escenarios de sensibilidad considerando un incremento en los costos de inversiones (10%) y el potencial retraso de las obras (1 año), y un retraso en el aumento de los precios de la potencia contratada</w:t>
            </w:r>
            <w:r>
              <w:rPr>
                <w:rFonts w:ascii="Arial" w:hAnsi="Arial" w:cs="Arial"/>
                <w:sz w:val="18"/>
                <w:szCs w:val="18"/>
                <w:lang w:val="es-ES_tradnl" w:eastAsia="ja-JP"/>
              </w:rPr>
              <w:t>, resultando en todos los casos un retorno de inversión mayor a 12%.</w:t>
            </w:r>
          </w:p>
        </w:tc>
      </w:tr>
    </w:tbl>
    <w:p w14:paraId="48178113" w14:textId="32D39798" w:rsidR="008045CA" w:rsidRPr="0044730F" w:rsidRDefault="008045CA" w:rsidP="008045CA">
      <w:pPr>
        <w:rPr>
          <w:lang w:val="es-ES_tradnl" w:eastAsia="ja-JP"/>
        </w:rPr>
      </w:pPr>
    </w:p>
    <w:sectPr w:rsidR="008045CA" w:rsidRPr="0044730F" w:rsidSect="004E1243">
      <w:headerReference w:type="default" r:id="rId8"/>
      <w:footerReference w:type="defaul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C4A418" w14:textId="77777777" w:rsidR="007116C7" w:rsidRDefault="007116C7" w:rsidP="00DE6A03">
      <w:pPr>
        <w:spacing w:after="0" w:line="240" w:lineRule="auto"/>
      </w:pPr>
      <w:r>
        <w:separator/>
      </w:r>
    </w:p>
  </w:endnote>
  <w:endnote w:type="continuationSeparator" w:id="0">
    <w:p w14:paraId="0A0C993F" w14:textId="77777777" w:rsidR="007116C7" w:rsidRDefault="007116C7" w:rsidP="00DE6A03">
      <w:pPr>
        <w:spacing w:after="0" w:line="240" w:lineRule="auto"/>
      </w:pPr>
      <w:r>
        <w:continuationSeparator/>
      </w:r>
    </w:p>
  </w:endnote>
  <w:endnote w:type="continuationNotice" w:id="1">
    <w:p w14:paraId="161CF684" w14:textId="77777777" w:rsidR="007116C7" w:rsidRDefault="007116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8325655"/>
      <w:docPartObj>
        <w:docPartGallery w:val="Page Numbers (Bottom of Page)"/>
        <w:docPartUnique/>
      </w:docPartObj>
    </w:sdtPr>
    <w:sdtEndPr>
      <w:rPr>
        <w:noProof/>
      </w:rPr>
    </w:sdtEndPr>
    <w:sdtContent>
      <w:p w14:paraId="5D65C055" w14:textId="50868B38" w:rsidR="009F2643" w:rsidRDefault="009F2643">
        <w:pPr>
          <w:pStyle w:val="Footer"/>
          <w:jc w:val="center"/>
        </w:pPr>
        <w:r>
          <w:fldChar w:fldCharType="begin"/>
        </w:r>
        <w:r>
          <w:instrText xml:space="preserve"> PAGE   \* MERGEFORMAT </w:instrText>
        </w:r>
        <w:r>
          <w:fldChar w:fldCharType="separate"/>
        </w:r>
        <w:r w:rsidR="008D5D56">
          <w:rPr>
            <w:noProof/>
          </w:rPr>
          <w:t>2</w:t>
        </w:r>
        <w:r>
          <w:rPr>
            <w:noProof/>
          </w:rPr>
          <w:fldChar w:fldCharType="end"/>
        </w:r>
      </w:p>
    </w:sdtContent>
  </w:sdt>
  <w:p w14:paraId="23905572" w14:textId="77777777" w:rsidR="009F2643" w:rsidRDefault="009F26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660110"/>
      <w:docPartObj>
        <w:docPartGallery w:val="Page Numbers (Bottom of Page)"/>
        <w:docPartUnique/>
      </w:docPartObj>
    </w:sdtPr>
    <w:sdtEndPr>
      <w:rPr>
        <w:noProof/>
      </w:rPr>
    </w:sdtEndPr>
    <w:sdtContent>
      <w:p w14:paraId="4AC97333" w14:textId="7F65625F" w:rsidR="009F2643" w:rsidRDefault="009F2643">
        <w:pPr>
          <w:pStyle w:val="Footer"/>
          <w:jc w:val="center"/>
        </w:pPr>
        <w:r>
          <w:fldChar w:fldCharType="begin"/>
        </w:r>
        <w:r>
          <w:instrText xml:space="preserve"> PAGE   \* MERGEFORMAT </w:instrText>
        </w:r>
        <w:r>
          <w:fldChar w:fldCharType="separate"/>
        </w:r>
        <w:r w:rsidR="008D5D56">
          <w:rPr>
            <w:noProof/>
          </w:rPr>
          <w:t>1</w:t>
        </w:r>
        <w:r>
          <w:rPr>
            <w:noProof/>
          </w:rPr>
          <w:fldChar w:fldCharType="end"/>
        </w:r>
      </w:p>
    </w:sdtContent>
  </w:sdt>
  <w:p w14:paraId="2D5559C0" w14:textId="77777777" w:rsidR="009F2643" w:rsidRDefault="009F26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8F4AF9" w14:textId="77777777" w:rsidR="007116C7" w:rsidRDefault="007116C7" w:rsidP="00DE6A03">
      <w:pPr>
        <w:spacing w:after="0" w:line="240" w:lineRule="auto"/>
      </w:pPr>
      <w:r>
        <w:separator/>
      </w:r>
    </w:p>
  </w:footnote>
  <w:footnote w:type="continuationSeparator" w:id="0">
    <w:p w14:paraId="20F0FF02" w14:textId="77777777" w:rsidR="007116C7" w:rsidRDefault="007116C7" w:rsidP="00DE6A03">
      <w:pPr>
        <w:spacing w:after="0" w:line="240" w:lineRule="auto"/>
      </w:pPr>
      <w:r>
        <w:continuationSeparator/>
      </w:r>
    </w:p>
  </w:footnote>
  <w:footnote w:type="continuationNotice" w:id="1">
    <w:p w14:paraId="6C2E1B2D" w14:textId="77777777" w:rsidR="007116C7" w:rsidRDefault="007116C7">
      <w:pPr>
        <w:spacing w:after="0" w:line="240" w:lineRule="auto"/>
      </w:pPr>
    </w:p>
  </w:footnote>
  <w:footnote w:id="2">
    <w:p w14:paraId="4BB9DD38" w14:textId="77777777" w:rsidR="00B81630" w:rsidRPr="00B81630" w:rsidRDefault="00B81630" w:rsidP="00B81630">
      <w:pPr>
        <w:pStyle w:val="FootnoteText"/>
        <w:rPr>
          <w:lang w:val="es-ES_tradnl"/>
        </w:rPr>
      </w:pPr>
      <w:r>
        <w:rPr>
          <w:rStyle w:val="FootnoteReference"/>
        </w:rPr>
        <w:footnoteRef/>
      </w:r>
      <w:r w:rsidRPr="00B81630">
        <w:rPr>
          <w:lang w:val="es-ES_tradnl"/>
        </w:rPr>
        <w:t xml:space="preserve"> Se tomó como referencia la Política de Seguridad de Presas del Banco Mundial.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34BEF" w14:textId="77777777" w:rsidR="00DB1998" w:rsidRDefault="00DB19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09C487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A5C7FA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F48608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B0224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27E0F2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8"/>
    <w:multiLevelType w:val="singleLevel"/>
    <w:tmpl w:val="531A5D08"/>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3B48BF9E"/>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93E311C"/>
    <w:multiLevelType w:val="multilevel"/>
    <w:tmpl w:val="3926D21C"/>
    <w:lvl w:ilvl="0">
      <w:start w:val="1"/>
      <w:numFmt w:val="bullet"/>
      <w:pStyle w:val="ListBullet"/>
      <w:lvlText w:val=""/>
      <w:lvlJc w:val="left"/>
      <w:pPr>
        <w:tabs>
          <w:tab w:val="num" w:pos="1004"/>
        </w:tabs>
        <w:ind w:left="1004" w:hanging="284"/>
      </w:pPr>
      <w:rPr>
        <w:rFonts w:ascii="Wingdings" w:hAnsi="Wingdings" w:hint="default"/>
      </w:rPr>
    </w:lvl>
    <w:lvl w:ilvl="1">
      <w:start w:val="1"/>
      <w:numFmt w:val="bullet"/>
      <w:pStyle w:val="ListBullet2"/>
      <w:lvlText w:val="–"/>
      <w:lvlJc w:val="left"/>
      <w:pPr>
        <w:tabs>
          <w:tab w:val="num" w:pos="1287"/>
        </w:tabs>
        <w:ind w:left="1287" w:hanging="283"/>
      </w:pPr>
      <w:rPr>
        <w:rFonts w:ascii="Times New Roman" w:hAnsi="Times New Roman" w:cs="Times New Roman" w:hint="default"/>
      </w:rPr>
    </w:lvl>
    <w:lvl w:ilvl="2">
      <w:start w:val="1"/>
      <w:numFmt w:val="bullet"/>
      <w:pStyle w:val="ListBullet3"/>
      <w:lvlText w:val=""/>
      <w:lvlJc w:val="left"/>
      <w:pPr>
        <w:tabs>
          <w:tab w:val="num" w:pos="1571"/>
        </w:tabs>
        <w:ind w:left="1571" w:hanging="284"/>
      </w:pPr>
      <w:rPr>
        <w:rFonts w:ascii="Wingdings 2" w:hAnsi="Wingdings 2" w:hint="default"/>
      </w:rPr>
    </w:lvl>
    <w:lvl w:ilvl="3">
      <w:start w:val="1"/>
      <w:numFmt w:val="none"/>
      <w:pStyle w:val="ListBullet4"/>
      <w:suff w:val="nothing"/>
      <w:lvlText w:val=""/>
      <w:lvlJc w:val="left"/>
      <w:pPr>
        <w:ind w:left="1571" w:firstLine="0"/>
      </w:pPr>
      <w:rPr>
        <w:rFonts w:hint="default"/>
      </w:rPr>
    </w:lvl>
    <w:lvl w:ilvl="4">
      <w:start w:val="1"/>
      <w:numFmt w:val="none"/>
      <w:suff w:val="nothing"/>
      <w:lvlText w:val=""/>
      <w:lvlJc w:val="left"/>
      <w:pPr>
        <w:ind w:left="1571" w:firstLine="0"/>
      </w:pPr>
      <w:rPr>
        <w:rFonts w:hint="default"/>
      </w:rPr>
    </w:lvl>
    <w:lvl w:ilvl="5">
      <w:start w:val="1"/>
      <w:numFmt w:val="none"/>
      <w:suff w:val="nothing"/>
      <w:lvlText w:val=""/>
      <w:lvlJc w:val="left"/>
      <w:pPr>
        <w:ind w:left="1571" w:firstLine="0"/>
      </w:pPr>
      <w:rPr>
        <w:rFonts w:hint="default"/>
      </w:rPr>
    </w:lvl>
    <w:lvl w:ilvl="6">
      <w:start w:val="1"/>
      <w:numFmt w:val="none"/>
      <w:suff w:val="nothing"/>
      <w:lvlText w:val=""/>
      <w:lvlJc w:val="left"/>
      <w:pPr>
        <w:ind w:left="1571" w:firstLine="0"/>
      </w:pPr>
      <w:rPr>
        <w:rFonts w:hint="default"/>
      </w:rPr>
    </w:lvl>
    <w:lvl w:ilvl="7">
      <w:start w:val="1"/>
      <w:numFmt w:val="none"/>
      <w:suff w:val="nothing"/>
      <w:lvlText w:val=""/>
      <w:lvlJc w:val="left"/>
      <w:pPr>
        <w:ind w:left="1571" w:firstLine="0"/>
      </w:pPr>
      <w:rPr>
        <w:rFonts w:hint="default"/>
      </w:rPr>
    </w:lvl>
    <w:lvl w:ilvl="8">
      <w:start w:val="1"/>
      <w:numFmt w:val="none"/>
      <w:suff w:val="nothing"/>
      <w:lvlText w:val=""/>
      <w:lvlJc w:val="left"/>
      <w:pPr>
        <w:ind w:left="1571" w:firstLine="0"/>
      </w:pPr>
      <w:rPr>
        <w:rFonts w:hint="default"/>
      </w:rPr>
    </w:lvl>
  </w:abstractNum>
  <w:abstractNum w:abstractNumId="8" w15:restartNumberingAfterBreak="0">
    <w:nsid w:val="0C7175AE"/>
    <w:multiLevelType w:val="hybridMultilevel"/>
    <w:tmpl w:val="B69AB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A934DC"/>
    <w:multiLevelType w:val="multilevel"/>
    <w:tmpl w:val="6B6A1E22"/>
    <w:lvl w:ilvl="0">
      <w:start w:val="1"/>
      <w:numFmt w:val="decimal"/>
      <w:pStyle w:val="BoxNumberedText"/>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none"/>
      <w:suff w:val="nothing"/>
      <w:lvlText w:val=""/>
      <w:lvlJc w:val="left"/>
      <w:pPr>
        <w:ind w:left="567" w:firstLine="0"/>
      </w:pPr>
      <w:rPr>
        <w:rFonts w:hint="default"/>
      </w:rPr>
    </w:lvl>
    <w:lvl w:ilvl="3">
      <w:start w:val="1"/>
      <w:numFmt w:val="none"/>
      <w:suff w:val="nothing"/>
      <w:lvlText w:val=""/>
      <w:lvlJc w:val="left"/>
      <w:pPr>
        <w:ind w:left="567" w:firstLine="0"/>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abstractNum w:abstractNumId="10" w15:restartNumberingAfterBreak="0">
    <w:nsid w:val="164B0338"/>
    <w:multiLevelType w:val="multilevel"/>
    <w:tmpl w:val="F8DA5E0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upperLetter"/>
      <w:suff w:val="nothing"/>
      <w:lvlText w:val="Appendix %4"/>
      <w:lvlJc w:val="left"/>
      <w:pPr>
        <w:ind w:left="720" w:hanging="720"/>
      </w:pPr>
      <w:rPr>
        <w:rFonts w:hint="default"/>
      </w:rPr>
    </w:lvl>
    <w:lvl w:ilvl="4">
      <w:start w:val="1"/>
      <w:numFmt w:val="decimal"/>
      <w:lvlText w:val="%4.%5"/>
      <w:lvlJc w:val="left"/>
      <w:pPr>
        <w:tabs>
          <w:tab w:val="num" w:pos="720"/>
        </w:tabs>
        <w:ind w:left="720" w:hanging="720"/>
      </w:pPr>
      <w:rPr>
        <w:rFonts w:hint="default"/>
      </w:rPr>
    </w:lvl>
    <w:lvl w:ilvl="5">
      <w:start w:val="1"/>
      <w:numFmt w:val="decimal"/>
      <w:lvlText w:val="%4.%5.%6"/>
      <w:lvlJc w:val="left"/>
      <w:pPr>
        <w:tabs>
          <w:tab w:val="num" w:pos="720"/>
        </w:tabs>
        <w:ind w:left="720" w:hanging="720"/>
      </w:pPr>
      <w:rPr>
        <w:rFonts w:hint="default"/>
      </w:rPr>
    </w:lvl>
    <w:lvl w:ilvl="6">
      <w:start w:val="1"/>
      <w:numFmt w:val="none"/>
      <w:suff w:val="nothing"/>
      <w:lvlText w:val=""/>
      <w:lvlJc w:val="left"/>
      <w:pPr>
        <w:ind w:left="0" w:firstLine="0"/>
      </w:pPr>
      <w:rPr>
        <w:rFonts w:ascii="Garamond" w:hAnsi="Garamond" w:hint="default"/>
        <w:b/>
        <w:i w:val="0"/>
        <w:sz w:val="24"/>
        <w:szCs w:val="24"/>
      </w:rPr>
    </w:lvl>
    <w:lvl w:ilvl="7">
      <w:start w:val="1"/>
      <w:numFmt w:val="none"/>
      <w:suff w:val="nothing"/>
      <w:lvlText w:val=""/>
      <w:lvlJc w:val="left"/>
      <w:pPr>
        <w:ind w:left="0" w:firstLine="0"/>
      </w:pPr>
      <w:rPr>
        <w:rFonts w:ascii="Garamond" w:hAnsi="Garamond" w:hint="default"/>
        <w:b/>
        <w:i w:val="0"/>
        <w:sz w:val="24"/>
        <w:szCs w:val="24"/>
      </w:rPr>
    </w:lvl>
    <w:lvl w:ilvl="8">
      <w:start w:val="1"/>
      <w:numFmt w:val="none"/>
      <w:suff w:val="nothing"/>
      <w:lvlText w:val=""/>
      <w:lvlJc w:val="left"/>
      <w:pPr>
        <w:ind w:left="0" w:firstLine="0"/>
      </w:pPr>
      <w:rPr>
        <w:rFonts w:ascii="Garamond" w:hAnsi="Garamond" w:hint="default"/>
        <w:b/>
        <w:i w:val="0"/>
        <w:sz w:val="24"/>
        <w:szCs w:val="24"/>
      </w:rPr>
    </w:lvl>
  </w:abstractNum>
  <w:abstractNum w:abstractNumId="11" w15:restartNumberingAfterBreak="0">
    <w:nsid w:val="1B2F0EA6"/>
    <w:multiLevelType w:val="hybridMultilevel"/>
    <w:tmpl w:val="707E1C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003735"/>
    <w:multiLevelType w:val="hybridMultilevel"/>
    <w:tmpl w:val="3A8C8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875D74"/>
    <w:multiLevelType w:val="hybridMultilevel"/>
    <w:tmpl w:val="2D846E6A"/>
    <w:lvl w:ilvl="0" w:tplc="45C4E9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330F57"/>
    <w:multiLevelType w:val="hybridMultilevel"/>
    <w:tmpl w:val="930E02D0"/>
    <w:lvl w:ilvl="0" w:tplc="9B1C311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EE68CD"/>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15:restartNumberingAfterBreak="0">
    <w:nsid w:val="33E63CDE"/>
    <w:multiLevelType w:val="hybridMultilevel"/>
    <w:tmpl w:val="C65895D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8753F5"/>
    <w:multiLevelType w:val="hybridMultilevel"/>
    <w:tmpl w:val="3442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DC27CA"/>
    <w:multiLevelType w:val="multilevel"/>
    <w:tmpl w:val="07A473D0"/>
    <w:lvl w:ilvl="0">
      <w:start w:val="1"/>
      <w:numFmt w:val="bullet"/>
      <w:pStyle w:val="TableBullet1"/>
      <w:lvlText w:val=""/>
      <w:lvlJc w:val="left"/>
      <w:pPr>
        <w:tabs>
          <w:tab w:val="num" w:pos="284"/>
        </w:tabs>
        <w:ind w:left="284" w:hanging="284"/>
      </w:pPr>
      <w:rPr>
        <w:rFonts w:ascii="Wingdings" w:hAnsi="Wingdings" w:hint="default"/>
      </w:rPr>
    </w:lvl>
    <w:lvl w:ilvl="1">
      <w:start w:val="1"/>
      <w:numFmt w:val="bullet"/>
      <w:pStyle w:val="TableBullet2"/>
      <w:lvlText w:val="–"/>
      <w:lvlJc w:val="left"/>
      <w:pPr>
        <w:tabs>
          <w:tab w:val="num" w:pos="567"/>
        </w:tabs>
        <w:ind w:left="567" w:hanging="283"/>
      </w:pPr>
      <w:rPr>
        <w:rFonts w:ascii="Times New Roman" w:hAnsi="Times New Roman" w:cs="Times New Roman" w:hint="default"/>
      </w:rPr>
    </w:lvl>
    <w:lvl w:ilvl="2">
      <w:start w:val="1"/>
      <w:numFmt w:val="none"/>
      <w:suff w:val="nothing"/>
      <w:lvlText w:val=""/>
      <w:lvlJc w:val="left"/>
      <w:pPr>
        <w:ind w:left="567" w:firstLine="0"/>
      </w:pPr>
      <w:rPr>
        <w:rFonts w:hint="default"/>
      </w:rPr>
    </w:lvl>
    <w:lvl w:ilvl="3">
      <w:start w:val="1"/>
      <w:numFmt w:val="none"/>
      <w:suff w:val="nothing"/>
      <w:lvlText w:val=""/>
      <w:lvlJc w:val="left"/>
      <w:pPr>
        <w:ind w:left="567" w:firstLine="0"/>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abstractNum w:abstractNumId="19" w15:restartNumberingAfterBreak="0">
    <w:nsid w:val="3AF6391E"/>
    <w:multiLevelType w:val="hybridMultilevel"/>
    <w:tmpl w:val="6FA0D6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DF1C74"/>
    <w:multiLevelType w:val="hybridMultilevel"/>
    <w:tmpl w:val="6BD43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0E1091"/>
    <w:multiLevelType w:val="hybridMultilevel"/>
    <w:tmpl w:val="97D42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223234"/>
    <w:multiLevelType w:val="hybridMultilevel"/>
    <w:tmpl w:val="E988B16A"/>
    <w:lvl w:ilvl="0" w:tplc="04090001">
      <w:start w:val="1"/>
      <w:numFmt w:val="bullet"/>
      <w:lvlText w:val=""/>
      <w:lvlJc w:val="left"/>
      <w:pPr>
        <w:ind w:left="720" w:hanging="360"/>
      </w:pPr>
      <w:rPr>
        <w:rFonts w:ascii="Symbol" w:hAnsi="Symbol" w:hint="default"/>
      </w:rPr>
    </w:lvl>
    <w:lvl w:ilvl="1" w:tplc="000B04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A66286"/>
    <w:multiLevelType w:val="hybridMultilevel"/>
    <w:tmpl w:val="0422097E"/>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4" w15:restartNumberingAfterBreak="0">
    <w:nsid w:val="48121FD7"/>
    <w:multiLevelType w:val="hybridMultilevel"/>
    <w:tmpl w:val="6BD2D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2752F2"/>
    <w:multiLevelType w:val="hybridMultilevel"/>
    <w:tmpl w:val="BB9AB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5915DF"/>
    <w:multiLevelType w:val="multilevel"/>
    <w:tmpl w:val="BD28436A"/>
    <w:lvl w:ilvl="0">
      <w:start w:val="1"/>
      <w:numFmt w:val="upperRoman"/>
      <w:lvlText w:val="%1."/>
      <w:lvlJc w:val="left"/>
      <w:pPr>
        <w:ind w:left="360" w:hanging="360"/>
      </w:pPr>
      <w:rPr>
        <w:rFonts w:hint="default"/>
      </w:rPr>
    </w:lvl>
    <w:lvl w:ilvl="1">
      <w:start w:val="1"/>
      <w:numFmt w:val="decimal"/>
      <w:pStyle w:val="Bullet2"/>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7" w15:restartNumberingAfterBreak="0">
    <w:nsid w:val="53331407"/>
    <w:multiLevelType w:val="multilevel"/>
    <w:tmpl w:val="DCC890E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upperLetter"/>
      <w:suff w:val="nothing"/>
      <w:lvlText w:val="Appendix %4"/>
      <w:lvlJc w:val="left"/>
      <w:pPr>
        <w:ind w:left="2430" w:hanging="720"/>
      </w:pPr>
      <w:rPr>
        <w:rFonts w:hint="default"/>
      </w:rPr>
    </w:lvl>
    <w:lvl w:ilvl="4">
      <w:start w:val="1"/>
      <w:numFmt w:val="decimal"/>
      <w:lvlText w:val="%4.%5"/>
      <w:lvlJc w:val="left"/>
      <w:pPr>
        <w:tabs>
          <w:tab w:val="num" w:pos="720"/>
        </w:tabs>
        <w:ind w:left="720" w:hanging="720"/>
      </w:pPr>
      <w:rPr>
        <w:rFonts w:hint="default"/>
      </w:rPr>
    </w:lvl>
    <w:lvl w:ilvl="5">
      <w:start w:val="1"/>
      <w:numFmt w:val="decimal"/>
      <w:lvlText w:val="%4.%5.%6"/>
      <w:lvlJc w:val="left"/>
      <w:pPr>
        <w:tabs>
          <w:tab w:val="num" w:pos="720"/>
        </w:tabs>
        <w:ind w:left="720" w:hanging="720"/>
      </w:pPr>
      <w:rPr>
        <w:rFonts w:hint="default"/>
      </w:rPr>
    </w:lvl>
    <w:lvl w:ilvl="6">
      <w:start w:val="1"/>
      <w:numFmt w:val="none"/>
      <w:suff w:val="nothing"/>
      <w:lvlText w:val=""/>
      <w:lvlJc w:val="left"/>
      <w:pPr>
        <w:ind w:left="0" w:firstLine="0"/>
      </w:pPr>
      <w:rPr>
        <w:rFonts w:ascii="Garamond" w:hAnsi="Garamond" w:hint="default"/>
        <w:b/>
        <w:i w:val="0"/>
        <w:sz w:val="24"/>
        <w:szCs w:val="24"/>
      </w:rPr>
    </w:lvl>
    <w:lvl w:ilvl="7">
      <w:start w:val="1"/>
      <w:numFmt w:val="none"/>
      <w:suff w:val="nothing"/>
      <w:lvlText w:val=""/>
      <w:lvlJc w:val="left"/>
      <w:pPr>
        <w:ind w:left="0" w:firstLine="0"/>
      </w:pPr>
      <w:rPr>
        <w:rFonts w:ascii="Garamond" w:hAnsi="Garamond" w:hint="default"/>
        <w:b/>
        <w:i w:val="0"/>
        <w:sz w:val="24"/>
        <w:szCs w:val="24"/>
      </w:rPr>
    </w:lvl>
    <w:lvl w:ilvl="8">
      <w:start w:val="1"/>
      <w:numFmt w:val="none"/>
      <w:suff w:val="nothing"/>
      <w:lvlText w:val=""/>
      <w:lvlJc w:val="left"/>
      <w:pPr>
        <w:ind w:left="0" w:firstLine="0"/>
      </w:pPr>
      <w:rPr>
        <w:rFonts w:ascii="Garamond" w:hAnsi="Garamond" w:hint="default"/>
        <w:b/>
        <w:i w:val="0"/>
        <w:sz w:val="24"/>
        <w:szCs w:val="24"/>
      </w:rPr>
    </w:lvl>
  </w:abstractNum>
  <w:abstractNum w:abstractNumId="28" w15:restartNumberingAfterBreak="0">
    <w:nsid w:val="55EA3203"/>
    <w:multiLevelType w:val="hybridMultilevel"/>
    <w:tmpl w:val="C3E47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8E556A"/>
    <w:multiLevelType w:val="multilevel"/>
    <w:tmpl w:val="2C7ABA90"/>
    <w:lvl w:ilvl="0">
      <w:start w:val="1"/>
      <w:numFmt w:val="bullet"/>
      <w:pStyle w:val="BoxBullet1"/>
      <w:lvlText w:val=""/>
      <w:lvlJc w:val="left"/>
      <w:pPr>
        <w:tabs>
          <w:tab w:val="num" w:pos="284"/>
        </w:tabs>
        <w:ind w:left="284" w:hanging="284"/>
      </w:pPr>
      <w:rPr>
        <w:rFonts w:ascii="Wingdings" w:hAnsi="Wingdings" w:hint="default"/>
      </w:rPr>
    </w:lvl>
    <w:lvl w:ilvl="1">
      <w:start w:val="1"/>
      <w:numFmt w:val="bullet"/>
      <w:pStyle w:val="BoxBullet2"/>
      <w:lvlText w:val="–"/>
      <w:lvlJc w:val="left"/>
      <w:pPr>
        <w:tabs>
          <w:tab w:val="num" w:pos="567"/>
        </w:tabs>
        <w:ind w:left="567" w:hanging="283"/>
      </w:pPr>
      <w:rPr>
        <w:rFonts w:ascii="Times New Roman" w:hAnsi="Times New Roman" w:cs="Times New Roman" w:hint="default"/>
      </w:rPr>
    </w:lvl>
    <w:lvl w:ilvl="2">
      <w:start w:val="1"/>
      <w:numFmt w:val="none"/>
      <w:suff w:val="nothing"/>
      <w:lvlText w:val=""/>
      <w:lvlJc w:val="left"/>
      <w:pPr>
        <w:ind w:left="567" w:firstLine="0"/>
      </w:pPr>
      <w:rPr>
        <w:rFonts w:hint="default"/>
      </w:rPr>
    </w:lvl>
    <w:lvl w:ilvl="3">
      <w:start w:val="1"/>
      <w:numFmt w:val="none"/>
      <w:suff w:val="nothing"/>
      <w:lvlText w:val=""/>
      <w:lvlJc w:val="left"/>
      <w:pPr>
        <w:ind w:left="567" w:firstLine="0"/>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lvlRestart w:val="2"/>
      <w:suff w:val="nothing"/>
      <w:lvlText w:val=""/>
      <w:lvlJc w:val="left"/>
      <w:pPr>
        <w:ind w:left="567" w:firstLine="0"/>
      </w:pPr>
      <w:rPr>
        <w:rFonts w:hint="default"/>
      </w:rPr>
    </w:lvl>
  </w:abstractNum>
  <w:abstractNum w:abstractNumId="30" w15:restartNumberingAfterBreak="0">
    <w:nsid w:val="5A176FAB"/>
    <w:multiLevelType w:val="hybridMultilevel"/>
    <w:tmpl w:val="795675D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1" w15:restartNumberingAfterBreak="0">
    <w:nsid w:val="5B4A6EA8"/>
    <w:multiLevelType w:val="multilevel"/>
    <w:tmpl w:val="4BB02B4E"/>
    <w:lvl w:ilvl="0">
      <w:start w:val="1"/>
      <w:numFmt w:val="decimal"/>
      <w:pStyle w:val="Numberedtext"/>
      <w:lvlText w:val="%1."/>
      <w:lvlJc w:val="left"/>
      <w:pPr>
        <w:tabs>
          <w:tab w:val="num" w:pos="1004"/>
        </w:tabs>
        <w:ind w:left="1004" w:hanging="284"/>
      </w:pPr>
      <w:rPr>
        <w:rFonts w:hint="default"/>
      </w:rPr>
    </w:lvl>
    <w:lvl w:ilvl="1">
      <w:start w:val="1"/>
      <w:numFmt w:val="lowerLetter"/>
      <w:lvlText w:val="%2."/>
      <w:lvlJc w:val="left"/>
      <w:pPr>
        <w:tabs>
          <w:tab w:val="num" w:pos="1287"/>
        </w:tabs>
        <w:ind w:left="1287" w:hanging="283"/>
      </w:pPr>
      <w:rPr>
        <w:rFonts w:hint="default"/>
      </w:rPr>
    </w:lvl>
    <w:lvl w:ilvl="2">
      <w:start w:val="1"/>
      <w:numFmt w:val="lowerRoman"/>
      <w:lvlText w:val="%3."/>
      <w:lvlJc w:val="left"/>
      <w:pPr>
        <w:tabs>
          <w:tab w:val="num" w:pos="1571"/>
        </w:tabs>
        <w:ind w:left="1571" w:hanging="284"/>
      </w:pPr>
      <w:rPr>
        <w:rFonts w:hint="default"/>
      </w:rPr>
    </w:lvl>
    <w:lvl w:ilvl="3">
      <w:start w:val="1"/>
      <w:numFmt w:val="none"/>
      <w:lvlText w:val=""/>
      <w:lvlJc w:val="left"/>
      <w:pPr>
        <w:tabs>
          <w:tab w:val="num" w:pos="1571"/>
        </w:tabs>
        <w:ind w:left="1571" w:firstLine="0"/>
      </w:pPr>
      <w:rPr>
        <w:rFonts w:hint="default"/>
      </w:rPr>
    </w:lvl>
    <w:lvl w:ilvl="4">
      <w:start w:val="1"/>
      <w:numFmt w:val="none"/>
      <w:lvlText w:val=""/>
      <w:lvlJc w:val="left"/>
      <w:pPr>
        <w:tabs>
          <w:tab w:val="num" w:pos="1571"/>
        </w:tabs>
        <w:ind w:left="1571" w:firstLine="0"/>
      </w:pPr>
      <w:rPr>
        <w:rFonts w:hint="default"/>
      </w:rPr>
    </w:lvl>
    <w:lvl w:ilvl="5">
      <w:start w:val="1"/>
      <w:numFmt w:val="none"/>
      <w:lvlText w:val=""/>
      <w:lvlJc w:val="left"/>
      <w:pPr>
        <w:tabs>
          <w:tab w:val="num" w:pos="1571"/>
        </w:tabs>
        <w:ind w:left="1571" w:firstLine="0"/>
      </w:pPr>
      <w:rPr>
        <w:rFonts w:hint="default"/>
      </w:rPr>
    </w:lvl>
    <w:lvl w:ilvl="6">
      <w:start w:val="1"/>
      <w:numFmt w:val="none"/>
      <w:lvlText w:val=""/>
      <w:lvlJc w:val="left"/>
      <w:pPr>
        <w:tabs>
          <w:tab w:val="num" w:pos="1571"/>
        </w:tabs>
        <w:ind w:left="1571" w:firstLine="0"/>
      </w:pPr>
      <w:rPr>
        <w:rFonts w:hint="default"/>
      </w:rPr>
    </w:lvl>
    <w:lvl w:ilvl="7">
      <w:start w:val="1"/>
      <w:numFmt w:val="none"/>
      <w:lvlText w:val=""/>
      <w:lvlJc w:val="left"/>
      <w:pPr>
        <w:tabs>
          <w:tab w:val="num" w:pos="1571"/>
        </w:tabs>
        <w:ind w:left="1571" w:firstLine="0"/>
      </w:pPr>
      <w:rPr>
        <w:rFonts w:hint="default"/>
      </w:rPr>
    </w:lvl>
    <w:lvl w:ilvl="8">
      <w:start w:val="1"/>
      <w:numFmt w:val="none"/>
      <w:lvlRestart w:val="3"/>
      <w:lvlText w:val=""/>
      <w:lvlJc w:val="left"/>
      <w:pPr>
        <w:tabs>
          <w:tab w:val="num" w:pos="1571"/>
        </w:tabs>
        <w:ind w:left="1571" w:firstLine="0"/>
      </w:pPr>
      <w:rPr>
        <w:rFonts w:hint="default"/>
      </w:rPr>
    </w:lvl>
  </w:abstractNum>
  <w:abstractNum w:abstractNumId="32" w15:restartNumberingAfterBreak="0">
    <w:nsid w:val="5CBC57DB"/>
    <w:multiLevelType w:val="hybridMultilevel"/>
    <w:tmpl w:val="745A3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49733E"/>
    <w:multiLevelType w:val="multilevel"/>
    <w:tmpl w:val="8DF204F0"/>
    <w:lvl w:ilvl="0">
      <w:start w:val="1"/>
      <w:numFmt w:val="decimal"/>
      <w:pStyle w:val="TableNumberedText"/>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none"/>
      <w:suff w:val="nothing"/>
      <w:lvlText w:val=""/>
      <w:lvlJc w:val="left"/>
      <w:pPr>
        <w:ind w:left="567" w:firstLine="0"/>
      </w:pPr>
      <w:rPr>
        <w:rFonts w:hint="default"/>
      </w:rPr>
    </w:lvl>
    <w:lvl w:ilvl="3">
      <w:start w:val="1"/>
      <w:numFmt w:val="none"/>
      <w:suff w:val="nothing"/>
      <w:lvlText w:val=""/>
      <w:lvlJc w:val="left"/>
      <w:pPr>
        <w:ind w:left="567" w:firstLine="0"/>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abstractNum w:abstractNumId="34" w15:restartNumberingAfterBreak="0">
    <w:nsid w:val="5E53538A"/>
    <w:multiLevelType w:val="hybridMultilevel"/>
    <w:tmpl w:val="2FDA207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480413B"/>
    <w:multiLevelType w:val="multilevel"/>
    <w:tmpl w:val="147662F4"/>
    <w:lvl w:ilvl="0">
      <w:start w:val="7"/>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6" w15:restartNumberingAfterBreak="0">
    <w:nsid w:val="689E4F6C"/>
    <w:multiLevelType w:val="multilevel"/>
    <w:tmpl w:val="5A7484E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upperLetter"/>
      <w:suff w:val="nothing"/>
      <w:lvlText w:val="Appendix %4: "/>
      <w:lvlJc w:val="left"/>
      <w:pPr>
        <w:ind w:left="720" w:hanging="720"/>
      </w:pPr>
      <w:rPr>
        <w:rFonts w:hint="default"/>
      </w:rPr>
    </w:lvl>
    <w:lvl w:ilvl="4">
      <w:start w:val="1"/>
      <w:numFmt w:val="decimal"/>
      <w:lvlText w:val="%4.%5"/>
      <w:lvlJc w:val="left"/>
      <w:pPr>
        <w:tabs>
          <w:tab w:val="num" w:pos="720"/>
        </w:tabs>
        <w:ind w:left="720" w:hanging="720"/>
      </w:pPr>
      <w:rPr>
        <w:rFonts w:hint="default"/>
      </w:rPr>
    </w:lvl>
    <w:lvl w:ilvl="5">
      <w:start w:val="1"/>
      <w:numFmt w:val="decimal"/>
      <w:lvlText w:val="%4.%5.%6"/>
      <w:lvlJc w:val="left"/>
      <w:pPr>
        <w:tabs>
          <w:tab w:val="num" w:pos="720"/>
        </w:tabs>
        <w:ind w:left="720" w:hanging="720"/>
      </w:pPr>
      <w:rPr>
        <w:rFonts w:hint="default"/>
      </w:rPr>
    </w:lvl>
    <w:lvl w:ilvl="6">
      <w:start w:val="1"/>
      <w:numFmt w:val="none"/>
      <w:suff w:val="nothing"/>
      <w:lvlText w:val=""/>
      <w:lvlJc w:val="left"/>
      <w:pPr>
        <w:ind w:left="0" w:firstLine="0"/>
      </w:pPr>
      <w:rPr>
        <w:rFonts w:ascii="Garamond" w:hAnsi="Garamond" w:hint="default"/>
        <w:b/>
        <w:i w:val="0"/>
        <w:sz w:val="24"/>
        <w:szCs w:val="24"/>
      </w:rPr>
    </w:lvl>
    <w:lvl w:ilvl="7">
      <w:start w:val="1"/>
      <w:numFmt w:val="none"/>
      <w:suff w:val="nothing"/>
      <w:lvlText w:val=""/>
      <w:lvlJc w:val="left"/>
      <w:pPr>
        <w:ind w:left="0" w:firstLine="0"/>
      </w:pPr>
      <w:rPr>
        <w:rFonts w:ascii="Garamond" w:hAnsi="Garamond" w:hint="default"/>
        <w:b/>
        <w:i w:val="0"/>
        <w:sz w:val="24"/>
        <w:szCs w:val="24"/>
      </w:rPr>
    </w:lvl>
    <w:lvl w:ilvl="8">
      <w:start w:val="1"/>
      <w:numFmt w:val="none"/>
      <w:suff w:val="nothing"/>
      <w:lvlText w:val=""/>
      <w:lvlJc w:val="left"/>
      <w:pPr>
        <w:ind w:left="0" w:firstLine="0"/>
      </w:pPr>
      <w:rPr>
        <w:rFonts w:ascii="Garamond" w:hAnsi="Garamond" w:hint="default"/>
        <w:b/>
        <w:i w:val="0"/>
        <w:sz w:val="24"/>
        <w:szCs w:val="24"/>
      </w:rPr>
    </w:lvl>
  </w:abstractNum>
  <w:abstractNum w:abstractNumId="37" w15:restartNumberingAfterBreak="0">
    <w:nsid w:val="6DDB48C0"/>
    <w:multiLevelType w:val="hybridMultilevel"/>
    <w:tmpl w:val="5386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EC34E3"/>
    <w:multiLevelType w:val="hybridMultilevel"/>
    <w:tmpl w:val="51B862A8"/>
    <w:lvl w:ilvl="0" w:tplc="AD447F38">
      <w:start w:val="1"/>
      <w:numFmt w:val="bullet"/>
      <w:pStyle w:val="Bullet1"/>
      <w:lvlText w:val=""/>
      <w:lvlJc w:val="left"/>
      <w:pPr>
        <w:ind w:left="720" w:hanging="360"/>
      </w:pPr>
      <w:rPr>
        <w:rFonts w:ascii="Wingdings 3" w:hAnsi="Wingdings 3" w:hint="default"/>
        <w:sz w:val="20"/>
      </w:rPr>
    </w:lvl>
    <w:lvl w:ilvl="1" w:tplc="B93485CA">
      <w:start w:val="1"/>
      <w:numFmt w:val="bullet"/>
      <w:lvlText w:val=""/>
      <w:lvlJc w:val="left"/>
      <w:pPr>
        <w:ind w:left="1440" w:hanging="360"/>
      </w:pPr>
      <w:rPr>
        <w:rFonts w:ascii="Wingdings 3" w:hAnsi="Wingdings 3" w:hint="default"/>
        <w:sz w:val="1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CE2DA3"/>
    <w:multiLevelType w:val="hybridMultilevel"/>
    <w:tmpl w:val="00C62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BE303E1"/>
    <w:multiLevelType w:val="hybridMultilevel"/>
    <w:tmpl w:val="ED1CDE9C"/>
    <w:lvl w:ilvl="0" w:tplc="04090013">
      <w:start w:val="1"/>
      <w:numFmt w:val="upperRoman"/>
      <w:lvlText w:val="%1."/>
      <w:lvlJc w:val="right"/>
      <w:pPr>
        <w:ind w:left="720" w:hanging="360"/>
      </w:pPr>
      <w:rPr>
        <w:rFonts w:hint="default"/>
      </w:rPr>
    </w:lvl>
    <w:lvl w:ilvl="1" w:tplc="04090013">
      <w:start w:val="1"/>
      <w:numFmt w:val="upperRoman"/>
      <w:lvlText w:val="%2."/>
      <w:lvlJc w:val="right"/>
      <w:pPr>
        <w:ind w:left="1350" w:hanging="360"/>
      </w:pPr>
    </w:lvl>
    <w:lvl w:ilvl="2" w:tplc="00010409">
      <w:start w:val="1"/>
      <w:numFmt w:val="bullet"/>
      <w:lvlText w:val=""/>
      <w:lvlJc w:val="left"/>
      <w:pPr>
        <w:tabs>
          <w:tab w:val="num" w:pos="80"/>
        </w:tabs>
        <w:ind w:left="8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26"/>
  </w:num>
  <w:num w:numId="3">
    <w:abstractNumId w:val="37"/>
  </w:num>
  <w:num w:numId="4">
    <w:abstractNumId w:val="39"/>
  </w:num>
  <w:num w:numId="5">
    <w:abstractNumId w:val="35"/>
  </w:num>
  <w:num w:numId="6">
    <w:abstractNumId w:val="34"/>
  </w:num>
  <w:num w:numId="7">
    <w:abstractNumId w:val="40"/>
  </w:num>
  <w:num w:numId="8">
    <w:abstractNumId w:val="38"/>
  </w:num>
  <w:num w:numId="9">
    <w:abstractNumId w:val="38"/>
  </w:num>
  <w:num w:numId="10">
    <w:abstractNumId w:val="38"/>
  </w:num>
  <w:num w:numId="11">
    <w:abstractNumId w:val="38"/>
  </w:num>
  <w:num w:numId="12">
    <w:abstractNumId w:val="15"/>
  </w:num>
  <w:num w:numId="13">
    <w:abstractNumId w:val="7"/>
  </w:num>
  <w:num w:numId="14">
    <w:abstractNumId w:val="21"/>
  </w:num>
  <w:num w:numId="15">
    <w:abstractNumId w:val="3"/>
  </w:num>
  <w:num w:numId="16">
    <w:abstractNumId w:val="32"/>
  </w:num>
  <w:num w:numId="17">
    <w:abstractNumId w:val="29"/>
  </w:num>
  <w:num w:numId="18">
    <w:abstractNumId w:val="9"/>
  </w:num>
  <w:num w:numId="19">
    <w:abstractNumId w:val="27"/>
  </w:num>
  <w:num w:numId="20">
    <w:abstractNumId w:val="31"/>
  </w:num>
  <w:num w:numId="21">
    <w:abstractNumId w:val="18"/>
  </w:num>
  <w:num w:numId="22">
    <w:abstractNumId w:val="33"/>
  </w:num>
  <w:num w:numId="23">
    <w:abstractNumId w:val="10"/>
  </w:num>
  <w:num w:numId="24">
    <w:abstractNumId w:val="36"/>
  </w:num>
  <w:num w:numId="25">
    <w:abstractNumId w:val="4"/>
  </w:num>
  <w:num w:numId="26">
    <w:abstractNumId w:val="5"/>
  </w:num>
  <w:num w:numId="27">
    <w:abstractNumId w:val="2"/>
  </w:num>
  <w:num w:numId="28">
    <w:abstractNumId w:val="1"/>
  </w:num>
  <w:num w:numId="29">
    <w:abstractNumId w:val="0"/>
  </w:num>
  <w:num w:numId="30">
    <w:abstractNumId w:val="6"/>
  </w:num>
  <w:num w:numId="31">
    <w:abstractNumId w:val="13"/>
  </w:num>
  <w:num w:numId="32">
    <w:abstractNumId w:val="28"/>
  </w:num>
  <w:num w:numId="33">
    <w:abstractNumId w:val="25"/>
  </w:num>
  <w:num w:numId="34">
    <w:abstractNumId w:val="8"/>
  </w:num>
  <w:num w:numId="35">
    <w:abstractNumId w:val="24"/>
  </w:num>
  <w:num w:numId="36">
    <w:abstractNumId w:val="17"/>
  </w:num>
  <w:num w:numId="37">
    <w:abstractNumId w:val="30"/>
  </w:num>
  <w:num w:numId="38">
    <w:abstractNumId w:val="12"/>
  </w:num>
  <w:num w:numId="39">
    <w:abstractNumId w:val="23"/>
  </w:num>
  <w:num w:numId="40">
    <w:abstractNumId w:val="20"/>
  </w:num>
  <w:num w:numId="41">
    <w:abstractNumId w:val="14"/>
  </w:num>
  <w:num w:numId="42">
    <w:abstractNumId w:val="11"/>
  </w:num>
  <w:num w:numId="43">
    <w:abstractNumId w:val="19"/>
  </w:num>
  <w:num w:numId="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F61"/>
    <w:rsid w:val="00003504"/>
    <w:rsid w:val="00003572"/>
    <w:rsid w:val="00006A8B"/>
    <w:rsid w:val="00007B71"/>
    <w:rsid w:val="00011C5A"/>
    <w:rsid w:val="00035D37"/>
    <w:rsid w:val="00047DC3"/>
    <w:rsid w:val="00057DB4"/>
    <w:rsid w:val="00073610"/>
    <w:rsid w:val="000753B0"/>
    <w:rsid w:val="000A2435"/>
    <w:rsid w:val="000C5D37"/>
    <w:rsid w:val="000D054F"/>
    <w:rsid w:val="000E2130"/>
    <w:rsid w:val="000E6D6C"/>
    <w:rsid w:val="000F591A"/>
    <w:rsid w:val="000F75BB"/>
    <w:rsid w:val="001076DA"/>
    <w:rsid w:val="00144CF7"/>
    <w:rsid w:val="00147568"/>
    <w:rsid w:val="0015036F"/>
    <w:rsid w:val="00164AD9"/>
    <w:rsid w:val="00171E4B"/>
    <w:rsid w:val="001732DC"/>
    <w:rsid w:val="00173F96"/>
    <w:rsid w:val="00196B2F"/>
    <w:rsid w:val="001C390D"/>
    <w:rsid w:val="001C39E0"/>
    <w:rsid w:val="001C567A"/>
    <w:rsid w:val="001D0436"/>
    <w:rsid w:val="001E033E"/>
    <w:rsid w:val="00205557"/>
    <w:rsid w:val="00215E66"/>
    <w:rsid w:val="00220712"/>
    <w:rsid w:val="002278EF"/>
    <w:rsid w:val="002324F3"/>
    <w:rsid w:val="002343CC"/>
    <w:rsid w:val="0023464C"/>
    <w:rsid w:val="00234A41"/>
    <w:rsid w:val="002377C5"/>
    <w:rsid w:val="002450CB"/>
    <w:rsid w:val="00253FFE"/>
    <w:rsid w:val="00256EAF"/>
    <w:rsid w:val="00257632"/>
    <w:rsid w:val="00264D55"/>
    <w:rsid w:val="00284DFD"/>
    <w:rsid w:val="00287C31"/>
    <w:rsid w:val="0029421B"/>
    <w:rsid w:val="002B03F8"/>
    <w:rsid w:val="002C0110"/>
    <w:rsid w:val="002C2057"/>
    <w:rsid w:val="002C4EE1"/>
    <w:rsid w:val="002C715A"/>
    <w:rsid w:val="002D36C6"/>
    <w:rsid w:val="002D4BEC"/>
    <w:rsid w:val="002E198C"/>
    <w:rsid w:val="002E1F5A"/>
    <w:rsid w:val="002E48CB"/>
    <w:rsid w:val="002E7210"/>
    <w:rsid w:val="002F6553"/>
    <w:rsid w:val="00307678"/>
    <w:rsid w:val="003235C2"/>
    <w:rsid w:val="00330A0F"/>
    <w:rsid w:val="00361675"/>
    <w:rsid w:val="003644E7"/>
    <w:rsid w:val="00376541"/>
    <w:rsid w:val="00382866"/>
    <w:rsid w:val="003872E9"/>
    <w:rsid w:val="00387B1A"/>
    <w:rsid w:val="003A1657"/>
    <w:rsid w:val="003A65F8"/>
    <w:rsid w:val="003A6A5C"/>
    <w:rsid w:val="003A7332"/>
    <w:rsid w:val="003B1465"/>
    <w:rsid w:val="003C64E1"/>
    <w:rsid w:val="003C788E"/>
    <w:rsid w:val="003D447B"/>
    <w:rsid w:val="003E1AD8"/>
    <w:rsid w:val="003F3D75"/>
    <w:rsid w:val="003F4646"/>
    <w:rsid w:val="003F491C"/>
    <w:rsid w:val="003F7F8B"/>
    <w:rsid w:val="00411630"/>
    <w:rsid w:val="00416EE9"/>
    <w:rsid w:val="004246D3"/>
    <w:rsid w:val="00443AB3"/>
    <w:rsid w:val="0044730F"/>
    <w:rsid w:val="004633EB"/>
    <w:rsid w:val="00463F1B"/>
    <w:rsid w:val="00464FDE"/>
    <w:rsid w:val="004651B5"/>
    <w:rsid w:val="00467009"/>
    <w:rsid w:val="0047245F"/>
    <w:rsid w:val="004745BA"/>
    <w:rsid w:val="00482D2D"/>
    <w:rsid w:val="004968CC"/>
    <w:rsid w:val="004A0639"/>
    <w:rsid w:val="004B4F34"/>
    <w:rsid w:val="004C17EE"/>
    <w:rsid w:val="004D7A66"/>
    <w:rsid w:val="004E1243"/>
    <w:rsid w:val="004E14A2"/>
    <w:rsid w:val="004F0537"/>
    <w:rsid w:val="004F316A"/>
    <w:rsid w:val="004F47E6"/>
    <w:rsid w:val="005047D2"/>
    <w:rsid w:val="00504FB7"/>
    <w:rsid w:val="00507043"/>
    <w:rsid w:val="00510274"/>
    <w:rsid w:val="0051137C"/>
    <w:rsid w:val="005115AA"/>
    <w:rsid w:val="00512FA4"/>
    <w:rsid w:val="00513B0A"/>
    <w:rsid w:val="0051652C"/>
    <w:rsid w:val="005226A3"/>
    <w:rsid w:val="00526005"/>
    <w:rsid w:val="0052642E"/>
    <w:rsid w:val="0053113D"/>
    <w:rsid w:val="00534219"/>
    <w:rsid w:val="00540E00"/>
    <w:rsid w:val="00567452"/>
    <w:rsid w:val="00567EFF"/>
    <w:rsid w:val="0057095A"/>
    <w:rsid w:val="00584277"/>
    <w:rsid w:val="0059187E"/>
    <w:rsid w:val="005918A7"/>
    <w:rsid w:val="00593C2C"/>
    <w:rsid w:val="005967D0"/>
    <w:rsid w:val="005973CA"/>
    <w:rsid w:val="00597E23"/>
    <w:rsid w:val="005A265C"/>
    <w:rsid w:val="005C05B7"/>
    <w:rsid w:val="005C1754"/>
    <w:rsid w:val="005C4856"/>
    <w:rsid w:val="005D7368"/>
    <w:rsid w:val="005E4C36"/>
    <w:rsid w:val="005E6797"/>
    <w:rsid w:val="005E7538"/>
    <w:rsid w:val="006015D8"/>
    <w:rsid w:val="0060591A"/>
    <w:rsid w:val="0061348F"/>
    <w:rsid w:val="00621B06"/>
    <w:rsid w:val="00622F2E"/>
    <w:rsid w:val="00631E64"/>
    <w:rsid w:val="00636BBF"/>
    <w:rsid w:val="0065244D"/>
    <w:rsid w:val="0066026D"/>
    <w:rsid w:val="006606F6"/>
    <w:rsid w:val="00674061"/>
    <w:rsid w:val="00690440"/>
    <w:rsid w:val="006940A1"/>
    <w:rsid w:val="006A5BAD"/>
    <w:rsid w:val="006B6437"/>
    <w:rsid w:val="006C65AF"/>
    <w:rsid w:val="006C72DB"/>
    <w:rsid w:val="006C7CED"/>
    <w:rsid w:val="006F22DE"/>
    <w:rsid w:val="006F27B5"/>
    <w:rsid w:val="006F3089"/>
    <w:rsid w:val="006F42C9"/>
    <w:rsid w:val="006F7524"/>
    <w:rsid w:val="00704CBF"/>
    <w:rsid w:val="007065A3"/>
    <w:rsid w:val="007078B5"/>
    <w:rsid w:val="007116C7"/>
    <w:rsid w:val="00712938"/>
    <w:rsid w:val="00712B41"/>
    <w:rsid w:val="00712C73"/>
    <w:rsid w:val="00723BA8"/>
    <w:rsid w:val="00734D40"/>
    <w:rsid w:val="00742604"/>
    <w:rsid w:val="007437DA"/>
    <w:rsid w:val="007504ED"/>
    <w:rsid w:val="00763386"/>
    <w:rsid w:val="00770412"/>
    <w:rsid w:val="0077226D"/>
    <w:rsid w:val="0077677B"/>
    <w:rsid w:val="0078304E"/>
    <w:rsid w:val="00785224"/>
    <w:rsid w:val="00791234"/>
    <w:rsid w:val="00793336"/>
    <w:rsid w:val="007A76B8"/>
    <w:rsid w:val="007B3CFE"/>
    <w:rsid w:val="007C0431"/>
    <w:rsid w:val="007C2AB0"/>
    <w:rsid w:val="007C761F"/>
    <w:rsid w:val="007E540F"/>
    <w:rsid w:val="007F3C5B"/>
    <w:rsid w:val="00801A6E"/>
    <w:rsid w:val="008045CA"/>
    <w:rsid w:val="00804D43"/>
    <w:rsid w:val="00810F5A"/>
    <w:rsid w:val="008146AE"/>
    <w:rsid w:val="00815A47"/>
    <w:rsid w:val="00815EEE"/>
    <w:rsid w:val="00827B1A"/>
    <w:rsid w:val="008433C6"/>
    <w:rsid w:val="00847989"/>
    <w:rsid w:val="00853746"/>
    <w:rsid w:val="008551AD"/>
    <w:rsid w:val="0085566B"/>
    <w:rsid w:val="008670B6"/>
    <w:rsid w:val="008731D7"/>
    <w:rsid w:val="0088166F"/>
    <w:rsid w:val="00882A6B"/>
    <w:rsid w:val="00895CF7"/>
    <w:rsid w:val="008A1DD9"/>
    <w:rsid w:val="008A3993"/>
    <w:rsid w:val="008A7AED"/>
    <w:rsid w:val="008B15FB"/>
    <w:rsid w:val="008B548C"/>
    <w:rsid w:val="008B677C"/>
    <w:rsid w:val="008C4DE6"/>
    <w:rsid w:val="008D386F"/>
    <w:rsid w:val="008D5D56"/>
    <w:rsid w:val="008E568A"/>
    <w:rsid w:val="008F009B"/>
    <w:rsid w:val="008F48F3"/>
    <w:rsid w:val="00915447"/>
    <w:rsid w:val="00922B86"/>
    <w:rsid w:val="00936A79"/>
    <w:rsid w:val="00941F61"/>
    <w:rsid w:val="00945706"/>
    <w:rsid w:val="00957ACC"/>
    <w:rsid w:val="009604E9"/>
    <w:rsid w:val="00961C93"/>
    <w:rsid w:val="0096360D"/>
    <w:rsid w:val="00972DD7"/>
    <w:rsid w:val="00986F98"/>
    <w:rsid w:val="00990A65"/>
    <w:rsid w:val="009A03F4"/>
    <w:rsid w:val="009A352A"/>
    <w:rsid w:val="009B1117"/>
    <w:rsid w:val="009B7295"/>
    <w:rsid w:val="009B72FA"/>
    <w:rsid w:val="009C6319"/>
    <w:rsid w:val="009D18E2"/>
    <w:rsid w:val="009F2591"/>
    <w:rsid w:val="009F2643"/>
    <w:rsid w:val="009F50CD"/>
    <w:rsid w:val="00A0011C"/>
    <w:rsid w:val="00A05B52"/>
    <w:rsid w:val="00A1702D"/>
    <w:rsid w:val="00A26952"/>
    <w:rsid w:val="00A27FC1"/>
    <w:rsid w:val="00A3224F"/>
    <w:rsid w:val="00A4557A"/>
    <w:rsid w:val="00A53246"/>
    <w:rsid w:val="00A55061"/>
    <w:rsid w:val="00A61EB7"/>
    <w:rsid w:val="00A73489"/>
    <w:rsid w:val="00A74A3E"/>
    <w:rsid w:val="00A74C05"/>
    <w:rsid w:val="00A752FD"/>
    <w:rsid w:val="00A7601B"/>
    <w:rsid w:val="00A761A9"/>
    <w:rsid w:val="00A82022"/>
    <w:rsid w:val="00A84E91"/>
    <w:rsid w:val="00AA31CB"/>
    <w:rsid w:val="00AA4E6F"/>
    <w:rsid w:val="00AA63C5"/>
    <w:rsid w:val="00AB466D"/>
    <w:rsid w:val="00AC68E8"/>
    <w:rsid w:val="00AD1CFB"/>
    <w:rsid w:val="00AD51DD"/>
    <w:rsid w:val="00AE46F2"/>
    <w:rsid w:val="00AF29F8"/>
    <w:rsid w:val="00B1084D"/>
    <w:rsid w:val="00B2230A"/>
    <w:rsid w:val="00B22473"/>
    <w:rsid w:val="00B25A8B"/>
    <w:rsid w:val="00B332A3"/>
    <w:rsid w:val="00B362CC"/>
    <w:rsid w:val="00B46A32"/>
    <w:rsid w:val="00B46D6F"/>
    <w:rsid w:val="00B550CE"/>
    <w:rsid w:val="00B76EFA"/>
    <w:rsid w:val="00B81630"/>
    <w:rsid w:val="00B82B8A"/>
    <w:rsid w:val="00B94100"/>
    <w:rsid w:val="00B949D3"/>
    <w:rsid w:val="00BA402B"/>
    <w:rsid w:val="00BA7018"/>
    <w:rsid w:val="00BB4A19"/>
    <w:rsid w:val="00BB68B1"/>
    <w:rsid w:val="00BD0C1B"/>
    <w:rsid w:val="00BE1449"/>
    <w:rsid w:val="00BE2F45"/>
    <w:rsid w:val="00BE387D"/>
    <w:rsid w:val="00C0516D"/>
    <w:rsid w:val="00C16F12"/>
    <w:rsid w:val="00C17DB7"/>
    <w:rsid w:val="00C225FB"/>
    <w:rsid w:val="00C26910"/>
    <w:rsid w:val="00C33E2A"/>
    <w:rsid w:val="00C41D28"/>
    <w:rsid w:val="00C6431E"/>
    <w:rsid w:val="00C755DB"/>
    <w:rsid w:val="00C81968"/>
    <w:rsid w:val="00C82F33"/>
    <w:rsid w:val="00C86A61"/>
    <w:rsid w:val="00C97671"/>
    <w:rsid w:val="00CB0656"/>
    <w:rsid w:val="00CB3C6F"/>
    <w:rsid w:val="00CC670E"/>
    <w:rsid w:val="00CE4F20"/>
    <w:rsid w:val="00CE7742"/>
    <w:rsid w:val="00CF5FE8"/>
    <w:rsid w:val="00D005FC"/>
    <w:rsid w:val="00D01C91"/>
    <w:rsid w:val="00D0568D"/>
    <w:rsid w:val="00D21E83"/>
    <w:rsid w:val="00D23EF8"/>
    <w:rsid w:val="00D26B98"/>
    <w:rsid w:val="00D37372"/>
    <w:rsid w:val="00D517C8"/>
    <w:rsid w:val="00D5364D"/>
    <w:rsid w:val="00D7638F"/>
    <w:rsid w:val="00D818E2"/>
    <w:rsid w:val="00D8320F"/>
    <w:rsid w:val="00D9607C"/>
    <w:rsid w:val="00D9720B"/>
    <w:rsid w:val="00DA2568"/>
    <w:rsid w:val="00DB1998"/>
    <w:rsid w:val="00DC20DD"/>
    <w:rsid w:val="00DD4B6F"/>
    <w:rsid w:val="00DD4CD6"/>
    <w:rsid w:val="00DE424E"/>
    <w:rsid w:val="00DE4838"/>
    <w:rsid w:val="00DE6A03"/>
    <w:rsid w:val="00DF549E"/>
    <w:rsid w:val="00E10C7D"/>
    <w:rsid w:val="00E14C8B"/>
    <w:rsid w:val="00E23A03"/>
    <w:rsid w:val="00E24CA7"/>
    <w:rsid w:val="00E2763A"/>
    <w:rsid w:val="00E37786"/>
    <w:rsid w:val="00E518A7"/>
    <w:rsid w:val="00E56B36"/>
    <w:rsid w:val="00E65956"/>
    <w:rsid w:val="00E75296"/>
    <w:rsid w:val="00E83B32"/>
    <w:rsid w:val="00EC0296"/>
    <w:rsid w:val="00EC36F0"/>
    <w:rsid w:val="00ED6F60"/>
    <w:rsid w:val="00EF0DCD"/>
    <w:rsid w:val="00F0308B"/>
    <w:rsid w:val="00F03DE8"/>
    <w:rsid w:val="00F06F07"/>
    <w:rsid w:val="00F122AA"/>
    <w:rsid w:val="00F176E8"/>
    <w:rsid w:val="00F36157"/>
    <w:rsid w:val="00F4263F"/>
    <w:rsid w:val="00F469E3"/>
    <w:rsid w:val="00F47DD5"/>
    <w:rsid w:val="00F53671"/>
    <w:rsid w:val="00F645F6"/>
    <w:rsid w:val="00F83BB4"/>
    <w:rsid w:val="00F94887"/>
    <w:rsid w:val="00FA77DC"/>
    <w:rsid w:val="00FB39C7"/>
    <w:rsid w:val="00FB4CE5"/>
    <w:rsid w:val="00FC3D38"/>
    <w:rsid w:val="00FD51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4F93B"/>
  <w15:docId w15:val="{5DEB1816-71F6-4AC7-BB94-DB0FCBCCB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26910"/>
    <w:rPr>
      <w:rFonts w:ascii="Garamond" w:hAnsi="Garamond"/>
      <w:color w:val="262626" w:themeColor="text1" w:themeTint="D9"/>
      <w:sz w:val="24"/>
    </w:rPr>
  </w:style>
  <w:style w:type="paragraph" w:styleId="Heading1">
    <w:name w:val="heading 1"/>
    <w:basedOn w:val="Normal"/>
    <w:next w:val="Normal"/>
    <w:link w:val="Heading1Char"/>
    <w:qFormat/>
    <w:rsid w:val="00F94887"/>
    <w:pPr>
      <w:keepNext/>
      <w:keepLines/>
      <w:numPr>
        <w:numId w:val="12"/>
      </w:numPr>
      <w:spacing w:before="480" w:after="0"/>
      <w:outlineLvl w:val="0"/>
    </w:pPr>
    <w:rPr>
      <w:rFonts w:eastAsiaTheme="majorEastAsia" w:cstheme="majorBidi"/>
      <w:b/>
      <w:bCs/>
      <w:sz w:val="28"/>
      <w:szCs w:val="28"/>
    </w:rPr>
  </w:style>
  <w:style w:type="paragraph" w:styleId="Heading2">
    <w:name w:val="heading 2"/>
    <w:basedOn w:val="Normal"/>
    <w:next w:val="Normal"/>
    <w:link w:val="Heading2Char"/>
    <w:unhideWhenUsed/>
    <w:qFormat/>
    <w:rsid w:val="00F94887"/>
    <w:pPr>
      <w:keepNext/>
      <w:keepLines/>
      <w:numPr>
        <w:ilvl w:val="1"/>
        <w:numId w:val="12"/>
      </w:numPr>
      <w:spacing w:before="200" w:after="0"/>
      <w:outlineLvl w:val="1"/>
    </w:pPr>
    <w:rPr>
      <w:rFonts w:eastAsiaTheme="majorEastAsia" w:cstheme="majorBidi"/>
      <w:b/>
      <w:bCs/>
      <w:sz w:val="26"/>
      <w:szCs w:val="26"/>
    </w:rPr>
  </w:style>
  <w:style w:type="paragraph" w:styleId="Heading3">
    <w:name w:val="heading 3"/>
    <w:basedOn w:val="Normal"/>
    <w:next w:val="Normal"/>
    <w:link w:val="Heading3Char"/>
    <w:autoRedefine/>
    <w:unhideWhenUsed/>
    <w:qFormat/>
    <w:rsid w:val="00621B06"/>
    <w:pPr>
      <w:keepNext/>
      <w:numPr>
        <w:ilvl w:val="2"/>
        <w:numId w:val="12"/>
      </w:numPr>
      <w:spacing w:after="80" w:line="240" w:lineRule="auto"/>
      <w:outlineLvl w:val="2"/>
    </w:pPr>
    <w:rPr>
      <w:rFonts w:eastAsiaTheme="majorEastAsia" w:cstheme="majorBidi"/>
      <w:b/>
      <w:bCs/>
      <w:szCs w:val="24"/>
    </w:rPr>
  </w:style>
  <w:style w:type="paragraph" w:styleId="Heading4">
    <w:name w:val="heading 4"/>
    <w:basedOn w:val="Heading1"/>
    <w:next w:val="Normal"/>
    <w:link w:val="Heading4Char"/>
    <w:unhideWhenUsed/>
    <w:qFormat/>
    <w:rsid w:val="005115AA"/>
    <w:pPr>
      <w:numPr>
        <w:numId w:val="0"/>
      </w:numPr>
      <w:ind w:left="432" w:hanging="432"/>
      <w:outlineLvl w:val="3"/>
    </w:pPr>
    <w:rPr>
      <w:color w:val="auto"/>
    </w:rPr>
  </w:style>
  <w:style w:type="paragraph" w:styleId="Heading5">
    <w:name w:val="heading 5"/>
    <w:basedOn w:val="Normal"/>
    <w:next w:val="Normal"/>
    <w:link w:val="Heading5Char"/>
    <w:unhideWhenUsed/>
    <w:qFormat/>
    <w:rsid w:val="00DE6A03"/>
    <w:pPr>
      <w:keepNext/>
      <w:keepLines/>
      <w:numPr>
        <w:ilvl w:val="4"/>
        <w:numId w:val="1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DE6A03"/>
    <w:pPr>
      <w:keepNext/>
      <w:keepLines/>
      <w:numPr>
        <w:ilvl w:val="5"/>
        <w:numId w:val="1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DE6A03"/>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E6A03"/>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DE6A03"/>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F94887"/>
    <w:pPr>
      <w:ind w:left="720"/>
      <w:contextualSpacing/>
    </w:pPr>
  </w:style>
  <w:style w:type="paragraph" w:styleId="BodyText">
    <w:name w:val="Body Text"/>
    <w:aliases w:val="Body Text Char Char Char,Body Text Char Char,1body,BodText,bt,body text,Body Txt,heading3,3 indent,heading31,body text1,3 indent1,heading32,body text2,3 indent2,heading33,body text3,3 indent3,heading34,body text4 Char,b,Body Tex,body ...,sub,B"/>
    <w:basedOn w:val="Normal"/>
    <w:link w:val="BodyTextChar"/>
    <w:unhideWhenUsed/>
    <w:rsid w:val="00941F61"/>
    <w:pPr>
      <w:spacing w:after="120" w:line="240" w:lineRule="auto"/>
    </w:pPr>
    <w:rPr>
      <w:rFonts w:ascii="Cambria" w:eastAsia="MS Mincho" w:hAnsi="Cambria" w:cs="Times New Roman"/>
      <w:szCs w:val="24"/>
      <w:lang w:eastAsia="ja-JP"/>
    </w:rPr>
  </w:style>
  <w:style w:type="character" w:customStyle="1" w:styleId="BodyTextChar">
    <w:name w:val="Body Text Char"/>
    <w:aliases w:val="Body Text Char Char Char Char,Body Text Char Char Char1,1body Char,BodText Char,bt Char,body text Char,Body Txt Char,heading3 Char,3 indent Char,heading31 Char,body text1 Char,3 indent1 Char,heading32 Char,body text2 Char,3 indent2 Char"/>
    <w:basedOn w:val="DefaultParagraphFont"/>
    <w:link w:val="BodyText"/>
    <w:rsid w:val="00941F61"/>
    <w:rPr>
      <w:rFonts w:ascii="Cambria" w:eastAsia="MS Mincho" w:hAnsi="Cambria" w:cs="Times New Roman"/>
      <w:sz w:val="24"/>
      <w:szCs w:val="24"/>
      <w:lang w:eastAsia="ja-JP"/>
    </w:rPr>
  </w:style>
  <w:style w:type="paragraph" w:styleId="Title">
    <w:name w:val="Title"/>
    <w:basedOn w:val="Normal"/>
    <w:next w:val="Normal"/>
    <w:link w:val="TitleChar"/>
    <w:qFormat/>
    <w:rsid w:val="00F94887"/>
    <w:pPr>
      <w:spacing w:after="300" w:line="240" w:lineRule="auto"/>
      <w:contextualSpacing/>
    </w:pPr>
    <w:rPr>
      <w:rFonts w:eastAsiaTheme="majorEastAsia" w:cstheme="majorBidi"/>
      <w:spacing w:val="5"/>
      <w:kern w:val="28"/>
      <w:sz w:val="48"/>
      <w:szCs w:val="52"/>
    </w:rPr>
  </w:style>
  <w:style w:type="character" w:customStyle="1" w:styleId="TitleChar">
    <w:name w:val="Title Char"/>
    <w:basedOn w:val="DefaultParagraphFont"/>
    <w:link w:val="Title"/>
    <w:uiPriority w:val="10"/>
    <w:rsid w:val="00F94887"/>
    <w:rPr>
      <w:rFonts w:ascii="Garamond" w:eastAsiaTheme="majorEastAsia" w:hAnsi="Garamond" w:cstheme="majorBidi"/>
      <w:color w:val="262626" w:themeColor="text1" w:themeTint="D9"/>
      <w:spacing w:val="5"/>
      <w:kern w:val="28"/>
      <w:sz w:val="48"/>
      <w:szCs w:val="52"/>
    </w:rPr>
  </w:style>
  <w:style w:type="paragraph" w:customStyle="1" w:styleId="Newpage">
    <w:name w:val="Newpage"/>
    <w:basedOn w:val="Normal"/>
    <w:rsid w:val="00941F61"/>
    <w:pPr>
      <w:tabs>
        <w:tab w:val="left" w:pos="1440"/>
        <w:tab w:val="left" w:pos="3060"/>
      </w:tabs>
      <w:spacing w:after="0" w:line="240" w:lineRule="auto"/>
      <w:jc w:val="center"/>
    </w:pPr>
    <w:rPr>
      <w:rFonts w:ascii="Times New Roman" w:eastAsia="Times New Roman" w:hAnsi="Times New Roman" w:cs="Arial"/>
      <w:b/>
      <w:smallCaps/>
      <w:szCs w:val="20"/>
    </w:rPr>
  </w:style>
  <w:style w:type="paragraph" w:customStyle="1" w:styleId="Bullet1">
    <w:name w:val="Bullet 1"/>
    <w:basedOn w:val="ListParagraph"/>
    <w:link w:val="Bullet1Char"/>
    <w:qFormat/>
    <w:rsid w:val="00F94887"/>
    <w:pPr>
      <w:numPr>
        <w:numId w:val="11"/>
      </w:numPr>
      <w:contextualSpacing w:val="0"/>
    </w:pPr>
    <w:rPr>
      <w:color w:val="FFC000"/>
    </w:rPr>
  </w:style>
  <w:style w:type="character" w:customStyle="1" w:styleId="Bullet1Char">
    <w:name w:val="Bullet 1 Char"/>
    <w:basedOn w:val="ListParagraphChar"/>
    <w:link w:val="Bullet1"/>
    <w:rsid w:val="00F94887"/>
    <w:rPr>
      <w:rFonts w:ascii="Garamond" w:hAnsi="Garamond"/>
      <w:color w:val="FFC000"/>
      <w:sz w:val="24"/>
    </w:rPr>
  </w:style>
  <w:style w:type="paragraph" w:customStyle="1" w:styleId="Bullet2">
    <w:name w:val="Bullet 2"/>
    <w:basedOn w:val="Bullet1"/>
    <w:link w:val="Bullet2Char"/>
    <w:qFormat/>
    <w:rsid w:val="00F94887"/>
    <w:pPr>
      <w:numPr>
        <w:ilvl w:val="1"/>
        <w:numId w:val="2"/>
      </w:numPr>
      <w:ind w:left="1440"/>
    </w:pPr>
    <w:rPr>
      <w:color w:val="262626" w:themeColor="text1" w:themeTint="D9"/>
    </w:rPr>
  </w:style>
  <w:style w:type="character" w:customStyle="1" w:styleId="Bullet2Char">
    <w:name w:val="Bullet 2 Char"/>
    <w:basedOn w:val="Bullet1Char"/>
    <w:link w:val="Bullet2"/>
    <w:rsid w:val="00F94887"/>
    <w:rPr>
      <w:rFonts w:ascii="Garamond" w:hAnsi="Garamond"/>
      <w:color w:val="262626" w:themeColor="text1" w:themeTint="D9"/>
      <w:sz w:val="24"/>
    </w:rPr>
  </w:style>
  <w:style w:type="paragraph" w:customStyle="1" w:styleId="Source">
    <w:name w:val="Source"/>
    <w:basedOn w:val="Normal"/>
    <w:link w:val="SourceChar"/>
    <w:qFormat/>
    <w:rsid w:val="00F94887"/>
    <w:pPr>
      <w:pBdr>
        <w:top w:val="single" w:sz="8" w:space="1" w:color="FFC000"/>
      </w:pBdr>
    </w:pPr>
    <w:rPr>
      <w:sz w:val="20"/>
      <w:szCs w:val="20"/>
    </w:rPr>
  </w:style>
  <w:style w:type="character" w:customStyle="1" w:styleId="SourceChar">
    <w:name w:val="Source Char"/>
    <w:basedOn w:val="DefaultParagraphFont"/>
    <w:link w:val="Source"/>
    <w:rsid w:val="00F94887"/>
    <w:rPr>
      <w:rFonts w:ascii="Garamond" w:hAnsi="Garamond"/>
      <w:color w:val="262626" w:themeColor="text1" w:themeTint="D9"/>
      <w:sz w:val="20"/>
      <w:szCs w:val="20"/>
    </w:rPr>
  </w:style>
  <w:style w:type="character" w:customStyle="1" w:styleId="Heading1Char">
    <w:name w:val="Heading 1 Char"/>
    <w:basedOn w:val="DefaultParagraphFont"/>
    <w:link w:val="Heading1"/>
    <w:rsid w:val="00F94887"/>
    <w:rPr>
      <w:rFonts w:ascii="Garamond" w:eastAsiaTheme="majorEastAsia" w:hAnsi="Garamond" w:cstheme="majorBidi"/>
      <w:b/>
      <w:bCs/>
      <w:color w:val="262626" w:themeColor="text1" w:themeTint="D9"/>
      <w:sz w:val="28"/>
      <w:szCs w:val="28"/>
    </w:rPr>
  </w:style>
  <w:style w:type="character" w:customStyle="1" w:styleId="Heading2Char">
    <w:name w:val="Heading 2 Char"/>
    <w:basedOn w:val="DefaultParagraphFont"/>
    <w:link w:val="Heading2"/>
    <w:rsid w:val="00F94887"/>
    <w:rPr>
      <w:rFonts w:ascii="Garamond" w:eastAsiaTheme="majorEastAsia" w:hAnsi="Garamond" w:cstheme="majorBidi"/>
      <w:b/>
      <w:bCs/>
      <w:color w:val="262626" w:themeColor="text1" w:themeTint="D9"/>
      <w:sz w:val="26"/>
      <w:szCs w:val="26"/>
    </w:rPr>
  </w:style>
  <w:style w:type="character" w:customStyle="1" w:styleId="Heading3Char">
    <w:name w:val="Heading 3 Char"/>
    <w:basedOn w:val="DefaultParagraphFont"/>
    <w:link w:val="Heading3"/>
    <w:rsid w:val="00621B06"/>
    <w:rPr>
      <w:rFonts w:ascii="Garamond" w:eastAsiaTheme="majorEastAsia" w:hAnsi="Garamond" w:cstheme="majorBidi"/>
      <w:b/>
      <w:bCs/>
      <w:color w:val="262626" w:themeColor="text1" w:themeTint="D9"/>
      <w:sz w:val="24"/>
      <w:szCs w:val="24"/>
    </w:rPr>
  </w:style>
  <w:style w:type="paragraph" w:styleId="Caption">
    <w:name w:val="caption"/>
    <w:basedOn w:val="Normal"/>
    <w:next w:val="Normal"/>
    <w:link w:val="CaptionChar"/>
    <w:unhideWhenUsed/>
    <w:qFormat/>
    <w:rsid w:val="00F94887"/>
    <w:pPr>
      <w:pBdr>
        <w:bottom w:val="single" w:sz="8" w:space="1" w:color="FFC000"/>
      </w:pBdr>
      <w:spacing w:line="240" w:lineRule="auto"/>
    </w:pPr>
    <w:rPr>
      <w:b/>
      <w:bCs/>
      <w:szCs w:val="18"/>
    </w:rPr>
  </w:style>
  <w:style w:type="character" w:customStyle="1" w:styleId="ListParagraphChar">
    <w:name w:val="List Paragraph Char"/>
    <w:basedOn w:val="DefaultParagraphFont"/>
    <w:link w:val="ListParagraph"/>
    <w:uiPriority w:val="34"/>
    <w:rsid w:val="00F94887"/>
    <w:rPr>
      <w:rFonts w:ascii="Garamond" w:hAnsi="Garamond"/>
      <w:color w:val="262626" w:themeColor="text1" w:themeTint="D9"/>
      <w:sz w:val="24"/>
    </w:rPr>
  </w:style>
  <w:style w:type="character" w:customStyle="1" w:styleId="Heading4Char">
    <w:name w:val="Heading 4 Char"/>
    <w:basedOn w:val="DefaultParagraphFont"/>
    <w:link w:val="Heading4"/>
    <w:rsid w:val="005115AA"/>
    <w:rPr>
      <w:rFonts w:ascii="Garamond" w:eastAsiaTheme="majorEastAsia" w:hAnsi="Garamond" w:cstheme="majorBidi"/>
      <w:b/>
      <w:bCs/>
      <w:sz w:val="28"/>
      <w:szCs w:val="28"/>
    </w:rPr>
  </w:style>
  <w:style w:type="character" w:customStyle="1" w:styleId="Heading5Char">
    <w:name w:val="Heading 5 Char"/>
    <w:basedOn w:val="DefaultParagraphFont"/>
    <w:link w:val="Heading5"/>
    <w:rsid w:val="00DE6A03"/>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rsid w:val="00DE6A03"/>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semiHidden/>
    <w:rsid w:val="00DE6A03"/>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semiHidden/>
    <w:rsid w:val="00DE6A0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DE6A03"/>
    <w:rPr>
      <w:rFonts w:asciiTheme="majorHAnsi" w:eastAsiaTheme="majorEastAsia" w:hAnsiTheme="majorHAnsi" w:cstheme="majorBidi"/>
      <w:i/>
      <w:iCs/>
      <w:color w:val="404040" w:themeColor="text1" w:themeTint="BF"/>
      <w:sz w:val="20"/>
      <w:szCs w:val="20"/>
    </w:rPr>
  </w:style>
  <w:style w:type="paragraph" w:styleId="ListBullet">
    <w:name w:val="List Bullet"/>
    <w:aliases w:val="List Bullet Title,List Bullet Title Char Char Char,List Bullet Title Char Char Char Char,List Bullet1 Char,List Bullet Char Char Char Char Char Char Char,List Bullet Char Char Char Char,List Bullet Char Char Char Char Char,List Bullet2,Char"/>
    <w:basedOn w:val="BodyText"/>
    <w:link w:val="ListBulletChar"/>
    <w:rsid w:val="00DE6A03"/>
    <w:pPr>
      <w:numPr>
        <w:numId w:val="13"/>
      </w:numPr>
      <w:jc w:val="both"/>
    </w:pPr>
    <w:rPr>
      <w:rFonts w:ascii="Garamond" w:eastAsia="Times New Roman" w:hAnsi="Garamond"/>
      <w:color w:val="auto"/>
      <w:lang w:eastAsia="en-NZ"/>
    </w:rPr>
  </w:style>
  <w:style w:type="paragraph" w:styleId="ListBullet2">
    <w:name w:val="List Bullet 2"/>
    <w:aliases w:val="List Bullet 2 Char Char Char"/>
    <w:basedOn w:val="BodyText"/>
    <w:rsid w:val="00DE6A03"/>
    <w:pPr>
      <w:numPr>
        <w:ilvl w:val="1"/>
        <w:numId w:val="13"/>
      </w:numPr>
      <w:jc w:val="both"/>
    </w:pPr>
    <w:rPr>
      <w:rFonts w:ascii="Garamond" w:eastAsia="Times New Roman" w:hAnsi="Garamond"/>
      <w:color w:val="auto"/>
      <w:lang w:eastAsia="en-NZ"/>
    </w:rPr>
  </w:style>
  <w:style w:type="paragraph" w:styleId="ListBullet3">
    <w:name w:val="List Bullet 3"/>
    <w:basedOn w:val="BodyText"/>
    <w:rsid w:val="00DE6A03"/>
    <w:pPr>
      <w:numPr>
        <w:ilvl w:val="2"/>
        <w:numId w:val="13"/>
      </w:numPr>
      <w:jc w:val="both"/>
    </w:pPr>
    <w:rPr>
      <w:rFonts w:ascii="Garamond" w:eastAsia="Times New Roman" w:hAnsi="Garamond"/>
      <w:color w:val="auto"/>
      <w:lang w:eastAsia="en-NZ"/>
    </w:rPr>
  </w:style>
  <w:style w:type="paragraph" w:styleId="ListBullet4">
    <w:name w:val="List Bullet 4"/>
    <w:basedOn w:val="BodyText"/>
    <w:rsid w:val="00DE6A03"/>
    <w:pPr>
      <w:numPr>
        <w:ilvl w:val="3"/>
        <w:numId w:val="13"/>
      </w:numPr>
      <w:jc w:val="both"/>
    </w:pPr>
    <w:rPr>
      <w:rFonts w:ascii="Garamond" w:eastAsia="Times New Roman" w:hAnsi="Garamond"/>
      <w:color w:val="auto"/>
      <w:lang w:eastAsia="en-NZ"/>
    </w:rPr>
  </w:style>
  <w:style w:type="paragraph" w:styleId="FootnoteText">
    <w:name w:val="footnote text"/>
    <w:aliases w:val="FOOTNOTES,fn,single space,Char2 Char Char,Char2 Char,Char2 Char Char Char  Char Char,footnote text,ALTS FOOTNOTE,ft,ADB,Footnote Text Char Char Char,Footnote Text Char Char,ft Char Char Char,(NECG) Footnote Text,Char Char Char"/>
    <w:basedOn w:val="Normal"/>
    <w:link w:val="FootnoteTextChar"/>
    <w:rsid w:val="00DE6A03"/>
    <w:pPr>
      <w:tabs>
        <w:tab w:val="left" w:pos="187"/>
      </w:tabs>
      <w:spacing w:after="120" w:line="240" w:lineRule="auto"/>
      <w:ind w:left="187" w:hanging="187"/>
      <w:jc w:val="both"/>
    </w:pPr>
    <w:rPr>
      <w:rFonts w:eastAsia="Times New Roman" w:cs="Times New Roman"/>
      <w:color w:val="auto"/>
      <w:sz w:val="18"/>
      <w:szCs w:val="20"/>
      <w:lang w:eastAsia="en-NZ"/>
    </w:rPr>
  </w:style>
  <w:style w:type="character" w:customStyle="1" w:styleId="FootnoteTextChar">
    <w:name w:val="Footnote Text Char"/>
    <w:aliases w:val="FOOTNOTES Char,fn Char,single space Char,Char2 Char Char Char,Char2 Char Char1,Char2 Char Char Char  Char Char Char,footnote text Char,ALTS FOOTNOTE Char,ft Char,ADB Char,Footnote Text Char Char Char Char,Footnote Text Char Char Char1"/>
    <w:basedOn w:val="DefaultParagraphFont"/>
    <w:link w:val="FootnoteText"/>
    <w:rsid w:val="00DE6A03"/>
    <w:rPr>
      <w:rFonts w:ascii="Garamond" w:eastAsia="Times New Roman" w:hAnsi="Garamond" w:cs="Times New Roman"/>
      <w:sz w:val="18"/>
      <w:szCs w:val="20"/>
      <w:lang w:eastAsia="en-NZ"/>
    </w:rPr>
  </w:style>
  <w:style w:type="character" w:styleId="FootnoteReference">
    <w:name w:val="footnote reference"/>
    <w:aliases w:val="ftref,(NECG) Footnote Reference,Ref,de nota al pie"/>
    <w:basedOn w:val="DefaultParagraphFont"/>
    <w:rsid w:val="00DE6A03"/>
    <w:rPr>
      <w:rFonts w:ascii="Garamond" w:hAnsi="Garamond"/>
      <w:sz w:val="18"/>
      <w:szCs w:val="18"/>
      <w:vertAlign w:val="superscript"/>
      <w:lang w:val="en-US"/>
    </w:rPr>
  </w:style>
  <w:style w:type="character" w:styleId="Hyperlink">
    <w:name w:val="Hyperlink"/>
    <w:basedOn w:val="DefaultParagraphFont"/>
    <w:uiPriority w:val="99"/>
    <w:rsid w:val="00DE6A03"/>
    <w:rPr>
      <w:color w:val="0000FF"/>
      <w:u w:val="single"/>
      <w:lang w:val="en-US"/>
    </w:rPr>
  </w:style>
  <w:style w:type="character" w:customStyle="1" w:styleId="ListBulletChar">
    <w:name w:val="List Bullet Char"/>
    <w:aliases w:val="List Bullet Title Char,List Bullet Title Char Char Char Char1,List Bullet Title Char Char Char Char Char,List Bullet1 Char Char,List Bullet Char Char Char Char Char Char Char Char,List Bullet Char Char Char Char Char1,List Bullet2 Char"/>
    <w:basedOn w:val="DefaultParagraphFont"/>
    <w:link w:val="ListBullet"/>
    <w:rsid w:val="00DE6A03"/>
    <w:rPr>
      <w:rFonts w:ascii="Garamond" w:eastAsia="Times New Roman" w:hAnsi="Garamond" w:cs="Times New Roman"/>
      <w:sz w:val="24"/>
      <w:szCs w:val="24"/>
      <w:lang w:eastAsia="en-NZ"/>
    </w:rPr>
  </w:style>
  <w:style w:type="character" w:customStyle="1" w:styleId="CaptionChar">
    <w:name w:val="Caption Char"/>
    <w:link w:val="Caption"/>
    <w:locked/>
    <w:rsid w:val="00D5364D"/>
    <w:rPr>
      <w:rFonts w:ascii="Garamond" w:hAnsi="Garamond"/>
      <w:b/>
      <w:bCs/>
      <w:color w:val="262626" w:themeColor="text1" w:themeTint="D9"/>
      <w:sz w:val="24"/>
      <w:szCs w:val="18"/>
    </w:rPr>
  </w:style>
  <w:style w:type="paragraph" w:customStyle="1" w:styleId="BlockQuotation">
    <w:name w:val="Block Quotation"/>
    <w:basedOn w:val="BodyText"/>
    <w:next w:val="BodyText"/>
    <w:rsid w:val="00E14C8B"/>
    <w:pPr>
      <w:keepLines/>
      <w:spacing w:line="280" w:lineRule="atLeast"/>
      <w:ind w:left="720" w:right="720"/>
      <w:jc w:val="both"/>
    </w:pPr>
    <w:rPr>
      <w:rFonts w:ascii="Garamond" w:eastAsia="Times New Roman" w:hAnsi="Garamond"/>
      <w:i/>
      <w:color w:val="auto"/>
      <w:lang w:eastAsia="en-NZ"/>
    </w:rPr>
  </w:style>
  <w:style w:type="paragraph" w:customStyle="1" w:styleId="Subheading">
    <w:name w:val="Subheading"/>
    <w:basedOn w:val="BodyText"/>
    <w:next w:val="BodyText"/>
    <w:rsid w:val="00E14C8B"/>
    <w:pPr>
      <w:keepNext/>
      <w:spacing w:after="80"/>
    </w:pPr>
    <w:rPr>
      <w:rFonts w:ascii="Garamond" w:eastAsia="Times New Roman" w:hAnsi="Garamond"/>
      <w:b/>
      <w:color w:val="auto"/>
      <w:kern w:val="28"/>
      <w:lang w:eastAsia="en-NZ"/>
    </w:rPr>
  </w:style>
  <w:style w:type="paragraph" w:styleId="ListContinue">
    <w:name w:val="List Continue"/>
    <w:basedOn w:val="BodyText"/>
    <w:rsid w:val="00E14C8B"/>
    <w:pPr>
      <w:ind w:left="1004"/>
      <w:jc w:val="both"/>
    </w:pPr>
    <w:rPr>
      <w:rFonts w:ascii="Garamond" w:eastAsia="Times New Roman" w:hAnsi="Garamond"/>
      <w:color w:val="auto"/>
      <w:lang w:eastAsia="en-NZ"/>
    </w:rPr>
  </w:style>
  <w:style w:type="paragraph" w:styleId="ListContinue2">
    <w:name w:val="List Continue 2"/>
    <w:basedOn w:val="BodyText"/>
    <w:rsid w:val="00E14C8B"/>
    <w:pPr>
      <w:ind w:left="1287"/>
      <w:jc w:val="both"/>
    </w:pPr>
    <w:rPr>
      <w:rFonts w:ascii="Garamond" w:eastAsia="Times New Roman" w:hAnsi="Garamond"/>
      <w:color w:val="auto"/>
      <w:lang w:eastAsia="en-NZ"/>
    </w:rPr>
  </w:style>
  <w:style w:type="paragraph" w:customStyle="1" w:styleId="Numberedtext">
    <w:name w:val="Numbered text"/>
    <w:basedOn w:val="BodyText"/>
    <w:rsid w:val="00E14C8B"/>
    <w:pPr>
      <w:numPr>
        <w:numId w:val="20"/>
      </w:numPr>
      <w:jc w:val="both"/>
    </w:pPr>
    <w:rPr>
      <w:rFonts w:ascii="Garamond" w:eastAsia="Times New Roman" w:hAnsi="Garamond"/>
      <w:color w:val="auto"/>
      <w:lang w:eastAsia="en-NZ"/>
    </w:rPr>
  </w:style>
  <w:style w:type="paragraph" w:customStyle="1" w:styleId="BoxText">
    <w:name w:val="Box Text"/>
    <w:basedOn w:val="Normal"/>
    <w:rsid w:val="00E14C8B"/>
    <w:pPr>
      <w:spacing w:before="30" w:after="30" w:line="240" w:lineRule="auto"/>
      <w:jc w:val="both"/>
    </w:pPr>
    <w:rPr>
      <w:rFonts w:eastAsia="Times New Roman" w:cs="Times New Roman"/>
      <w:color w:val="auto"/>
      <w:sz w:val="22"/>
      <w:szCs w:val="24"/>
      <w:lang w:eastAsia="en-NZ"/>
    </w:rPr>
  </w:style>
  <w:style w:type="paragraph" w:customStyle="1" w:styleId="BoxBullet1">
    <w:name w:val="Box Bullet 1"/>
    <w:basedOn w:val="BoxText"/>
    <w:rsid w:val="00E14C8B"/>
    <w:pPr>
      <w:numPr>
        <w:numId w:val="17"/>
      </w:numPr>
    </w:pPr>
  </w:style>
  <w:style w:type="paragraph" w:customStyle="1" w:styleId="BoxBullet2">
    <w:name w:val="Box Bullet 2"/>
    <w:basedOn w:val="BoxText"/>
    <w:rsid w:val="00E14C8B"/>
    <w:pPr>
      <w:numPr>
        <w:ilvl w:val="1"/>
        <w:numId w:val="17"/>
      </w:numPr>
    </w:pPr>
  </w:style>
  <w:style w:type="paragraph" w:customStyle="1" w:styleId="TableText">
    <w:name w:val="Table Text"/>
    <w:basedOn w:val="Normal"/>
    <w:link w:val="TableTextChar"/>
    <w:rsid w:val="00E14C8B"/>
    <w:pPr>
      <w:spacing w:before="30" w:after="30" w:line="240" w:lineRule="auto"/>
    </w:pPr>
    <w:rPr>
      <w:rFonts w:eastAsia="Times New Roman" w:cs="Times New Roman"/>
      <w:color w:val="auto"/>
      <w:sz w:val="22"/>
      <w:szCs w:val="24"/>
      <w:lang w:eastAsia="en-NZ"/>
    </w:rPr>
  </w:style>
  <w:style w:type="paragraph" w:customStyle="1" w:styleId="TableBullet1">
    <w:name w:val="Table Bullet 1"/>
    <w:basedOn w:val="TableText"/>
    <w:rsid w:val="00E14C8B"/>
    <w:pPr>
      <w:numPr>
        <w:numId w:val="21"/>
      </w:numPr>
      <w:tabs>
        <w:tab w:val="clear" w:pos="284"/>
      </w:tabs>
      <w:ind w:left="1080" w:hanging="360"/>
    </w:pPr>
  </w:style>
  <w:style w:type="paragraph" w:customStyle="1" w:styleId="TableBullet2">
    <w:name w:val="Table Bullet 2"/>
    <w:basedOn w:val="TableText"/>
    <w:rsid w:val="00E14C8B"/>
    <w:pPr>
      <w:numPr>
        <w:ilvl w:val="1"/>
        <w:numId w:val="21"/>
      </w:numPr>
      <w:tabs>
        <w:tab w:val="clear" w:pos="567"/>
      </w:tabs>
      <w:ind w:left="1800" w:hanging="360"/>
    </w:pPr>
  </w:style>
  <w:style w:type="paragraph" w:customStyle="1" w:styleId="BoldHeading">
    <w:name w:val="Bold Heading"/>
    <w:basedOn w:val="Heading1"/>
    <w:next w:val="BodyText"/>
    <w:rsid w:val="00E14C8B"/>
    <w:pPr>
      <w:keepLines w:val="0"/>
      <w:numPr>
        <w:numId w:val="0"/>
      </w:numPr>
      <w:spacing w:before="240" w:after="120" w:line="240" w:lineRule="auto"/>
      <w:outlineLvl w:val="9"/>
    </w:pPr>
    <w:rPr>
      <w:rFonts w:eastAsia="Times New Roman" w:cs="Arial"/>
      <w:color w:val="auto"/>
      <w:kern w:val="28"/>
      <w:sz w:val="36"/>
      <w:szCs w:val="36"/>
      <w:lang w:eastAsia="en-NZ"/>
    </w:rPr>
  </w:style>
  <w:style w:type="paragraph" w:customStyle="1" w:styleId="BoxNumberedText">
    <w:name w:val="Box Numbered Text"/>
    <w:basedOn w:val="BoxText"/>
    <w:rsid w:val="00E14C8B"/>
    <w:pPr>
      <w:numPr>
        <w:numId w:val="18"/>
      </w:numPr>
    </w:pPr>
  </w:style>
  <w:style w:type="paragraph" w:styleId="Footer">
    <w:name w:val="footer"/>
    <w:basedOn w:val="Normal"/>
    <w:link w:val="FooterChar"/>
    <w:uiPriority w:val="99"/>
    <w:rsid w:val="00E14C8B"/>
    <w:pPr>
      <w:tabs>
        <w:tab w:val="right" w:pos="8505"/>
      </w:tabs>
      <w:spacing w:after="0" w:line="240" w:lineRule="auto"/>
      <w:jc w:val="both"/>
    </w:pPr>
    <w:rPr>
      <w:rFonts w:eastAsia="Times New Roman" w:cs="Times New Roman"/>
      <w:color w:val="auto"/>
      <w:sz w:val="20"/>
      <w:szCs w:val="24"/>
      <w:lang w:eastAsia="en-NZ"/>
    </w:rPr>
  </w:style>
  <w:style w:type="character" w:customStyle="1" w:styleId="FooterChar">
    <w:name w:val="Footer Char"/>
    <w:basedOn w:val="DefaultParagraphFont"/>
    <w:link w:val="Footer"/>
    <w:uiPriority w:val="99"/>
    <w:rsid w:val="00E14C8B"/>
    <w:rPr>
      <w:rFonts w:ascii="Garamond" w:eastAsia="Times New Roman" w:hAnsi="Garamond" w:cs="Times New Roman"/>
      <w:sz w:val="20"/>
      <w:szCs w:val="24"/>
      <w:lang w:eastAsia="en-NZ"/>
    </w:rPr>
  </w:style>
  <w:style w:type="character" w:styleId="CommentReference">
    <w:name w:val="annotation reference"/>
    <w:basedOn w:val="DefaultParagraphFont"/>
    <w:semiHidden/>
    <w:rsid w:val="00E14C8B"/>
    <w:rPr>
      <w:sz w:val="16"/>
      <w:szCs w:val="16"/>
    </w:rPr>
  </w:style>
  <w:style w:type="paragraph" w:styleId="CommentText">
    <w:name w:val="annotation text"/>
    <w:basedOn w:val="Normal"/>
    <w:link w:val="CommentTextChar"/>
    <w:semiHidden/>
    <w:rsid w:val="00E14C8B"/>
    <w:pPr>
      <w:spacing w:after="0" w:line="240" w:lineRule="auto"/>
      <w:jc w:val="both"/>
    </w:pPr>
    <w:rPr>
      <w:rFonts w:eastAsia="Times New Roman" w:cs="Times New Roman"/>
      <w:color w:val="auto"/>
      <w:sz w:val="20"/>
      <w:szCs w:val="20"/>
      <w:lang w:eastAsia="en-NZ"/>
    </w:rPr>
  </w:style>
  <w:style w:type="character" w:customStyle="1" w:styleId="CommentTextChar">
    <w:name w:val="Comment Text Char"/>
    <w:basedOn w:val="DefaultParagraphFont"/>
    <w:link w:val="CommentText"/>
    <w:semiHidden/>
    <w:rsid w:val="00E14C8B"/>
    <w:rPr>
      <w:rFonts w:ascii="Garamond" w:eastAsia="Times New Roman" w:hAnsi="Garamond" w:cs="Times New Roman"/>
      <w:sz w:val="20"/>
      <w:szCs w:val="20"/>
      <w:lang w:eastAsia="en-NZ"/>
    </w:rPr>
  </w:style>
  <w:style w:type="paragraph" w:styleId="CommentSubject">
    <w:name w:val="annotation subject"/>
    <w:basedOn w:val="CommentText"/>
    <w:next w:val="CommentText"/>
    <w:link w:val="CommentSubjectChar"/>
    <w:semiHidden/>
    <w:rsid w:val="00E14C8B"/>
    <w:rPr>
      <w:b/>
      <w:bCs/>
    </w:rPr>
  </w:style>
  <w:style w:type="character" w:customStyle="1" w:styleId="CommentSubjectChar">
    <w:name w:val="Comment Subject Char"/>
    <w:basedOn w:val="CommentTextChar"/>
    <w:link w:val="CommentSubject"/>
    <w:semiHidden/>
    <w:rsid w:val="00E14C8B"/>
    <w:rPr>
      <w:rFonts w:ascii="Garamond" w:eastAsia="Times New Roman" w:hAnsi="Garamond" w:cs="Times New Roman"/>
      <w:b/>
      <w:bCs/>
      <w:sz w:val="20"/>
      <w:szCs w:val="20"/>
      <w:lang w:eastAsia="en-NZ"/>
    </w:rPr>
  </w:style>
  <w:style w:type="paragraph" w:styleId="BalloonText">
    <w:name w:val="Balloon Text"/>
    <w:basedOn w:val="Normal"/>
    <w:link w:val="BalloonTextChar"/>
    <w:rsid w:val="00E14C8B"/>
    <w:pPr>
      <w:spacing w:after="0" w:line="240" w:lineRule="auto"/>
      <w:jc w:val="both"/>
    </w:pPr>
    <w:rPr>
      <w:rFonts w:eastAsia="Times New Roman" w:cs="Tahoma"/>
      <w:color w:val="auto"/>
      <w:sz w:val="16"/>
      <w:szCs w:val="16"/>
      <w:lang w:eastAsia="en-NZ"/>
    </w:rPr>
  </w:style>
  <w:style w:type="character" w:customStyle="1" w:styleId="BalloonTextChar">
    <w:name w:val="Balloon Text Char"/>
    <w:basedOn w:val="DefaultParagraphFont"/>
    <w:link w:val="BalloonText"/>
    <w:rsid w:val="00E14C8B"/>
    <w:rPr>
      <w:rFonts w:ascii="Garamond" w:eastAsia="Times New Roman" w:hAnsi="Garamond" w:cs="Tahoma"/>
      <w:sz w:val="16"/>
      <w:szCs w:val="16"/>
      <w:lang w:eastAsia="en-NZ"/>
    </w:rPr>
  </w:style>
  <w:style w:type="paragraph" w:styleId="Header">
    <w:name w:val="header"/>
    <w:basedOn w:val="Normal"/>
    <w:link w:val="HeaderChar"/>
    <w:rsid w:val="00E14C8B"/>
    <w:pPr>
      <w:keepLines/>
      <w:tabs>
        <w:tab w:val="center" w:pos="4153"/>
        <w:tab w:val="right" w:pos="8306"/>
      </w:tabs>
      <w:spacing w:after="0" w:line="240" w:lineRule="auto"/>
      <w:jc w:val="center"/>
    </w:pPr>
    <w:rPr>
      <w:rFonts w:eastAsia="Times New Roman" w:cs="Times New Roman"/>
      <w:color w:val="auto"/>
      <w:sz w:val="20"/>
      <w:szCs w:val="24"/>
      <w:lang w:eastAsia="en-NZ"/>
    </w:rPr>
  </w:style>
  <w:style w:type="character" w:customStyle="1" w:styleId="HeaderChar">
    <w:name w:val="Header Char"/>
    <w:basedOn w:val="DefaultParagraphFont"/>
    <w:link w:val="Header"/>
    <w:rsid w:val="00E14C8B"/>
    <w:rPr>
      <w:rFonts w:ascii="Garamond" w:eastAsia="Times New Roman" w:hAnsi="Garamond" w:cs="Times New Roman"/>
      <w:sz w:val="20"/>
      <w:szCs w:val="24"/>
      <w:lang w:eastAsia="en-NZ"/>
    </w:rPr>
  </w:style>
  <w:style w:type="character" w:styleId="PageNumber">
    <w:name w:val="page number"/>
    <w:basedOn w:val="DefaultParagraphFont"/>
    <w:rsid w:val="00E14C8B"/>
    <w:rPr>
      <w:rFonts w:ascii="Garamond" w:hAnsi="Garamond"/>
      <w:sz w:val="18"/>
      <w:lang w:val="en-US"/>
    </w:rPr>
  </w:style>
  <w:style w:type="paragraph" w:customStyle="1" w:styleId="SourceNoteText">
    <w:name w:val="Source/Note Text"/>
    <w:basedOn w:val="Normal"/>
    <w:link w:val="SourceNoteTextChar"/>
    <w:rsid w:val="00E14C8B"/>
    <w:pPr>
      <w:tabs>
        <w:tab w:val="left" w:pos="743"/>
        <w:tab w:val="left" w:pos="1168"/>
      </w:tabs>
      <w:spacing w:before="120" w:after="30" w:line="240" w:lineRule="auto"/>
      <w:ind w:left="743" w:hanging="743"/>
    </w:pPr>
    <w:rPr>
      <w:rFonts w:eastAsia="Times New Roman" w:cs="Times New Roman"/>
      <w:color w:val="auto"/>
      <w:sz w:val="20"/>
      <w:szCs w:val="24"/>
      <w:lang w:eastAsia="en-NZ"/>
    </w:rPr>
  </w:style>
  <w:style w:type="table" w:styleId="TableGrid">
    <w:name w:val="Table Grid"/>
    <w:basedOn w:val="TableNormal"/>
    <w:rsid w:val="00E14C8B"/>
    <w:pPr>
      <w:tabs>
        <w:tab w:val="left" w:pos="284"/>
        <w:tab w:val="left" w:pos="567"/>
      </w:tabs>
      <w:spacing w:before="30" w:after="30" w:line="240" w:lineRule="auto"/>
    </w:pPr>
    <w:rPr>
      <w:rFonts w:ascii="Garamond" w:eastAsia="Times New Roman" w:hAnsi="Garamond" w:cs="Times New Roman"/>
    </w:rPr>
    <w:tblPr>
      <w:jc w:val="center"/>
      <w:tblBorders>
        <w:insideH w:val="single" w:sz="4" w:space="0" w:color="auto"/>
        <w:insideV w:val="single" w:sz="4" w:space="0" w:color="auto"/>
      </w:tblBorders>
      <w:tblCellMar>
        <w:top w:w="28" w:type="dxa"/>
        <w:left w:w="85" w:type="dxa"/>
        <w:bottom w:w="28" w:type="dxa"/>
        <w:right w:w="85" w:type="dxa"/>
      </w:tblCellMar>
    </w:tblPr>
    <w:trPr>
      <w:jc w:val="center"/>
    </w:trPr>
    <w:tcPr>
      <w:noWrap/>
    </w:tcPr>
  </w:style>
  <w:style w:type="paragraph" w:customStyle="1" w:styleId="TableNumberedText">
    <w:name w:val="Table Numbered Text"/>
    <w:basedOn w:val="TableText"/>
    <w:rsid w:val="00E14C8B"/>
    <w:pPr>
      <w:numPr>
        <w:numId w:val="22"/>
      </w:numPr>
      <w:tabs>
        <w:tab w:val="clear" w:pos="284"/>
      </w:tabs>
      <w:ind w:left="720" w:hanging="360"/>
    </w:pPr>
  </w:style>
  <w:style w:type="paragraph" w:styleId="TOC1">
    <w:name w:val="toc 1"/>
    <w:basedOn w:val="Normal"/>
    <w:next w:val="Normal"/>
    <w:uiPriority w:val="39"/>
    <w:rsid w:val="00E14C8B"/>
    <w:pPr>
      <w:tabs>
        <w:tab w:val="right" w:pos="7655"/>
      </w:tabs>
      <w:spacing w:before="60" w:after="120" w:line="240" w:lineRule="auto"/>
      <w:ind w:left="720" w:right="1588" w:hanging="720"/>
    </w:pPr>
    <w:rPr>
      <w:rFonts w:eastAsia="Times New Roman" w:cs="Times New Roman"/>
      <w:b/>
      <w:color w:val="auto"/>
      <w:szCs w:val="24"/>
      <w:lang w:eastAsia="en-NZ"/>
    </w:rPr>
  </w:style>
  <w:style w:type="paragraph" w:styleId="TOC2">
    <w:name w:val="toc 2"/>
    <w:basedOn w:val="Normal"/>
    <w:next w:val="Normal"/>
    <w:uiPriority w:val="39"/>
    <w:rsid w:val="00E14C8B"/>
    <w:pPr>
      <w:tabs>
        <w:tab w:val="right" w:pos="7655"/>
      </w:tabs>
      <w:spacing w:after="120" w:line="240" w:lineRule="auto"/>
      <w:ind w:left="1440" w:right="1588" w:hanging="720"/>
    </w:pPr>
    <w:rPr>
      <w:rFonts w:eastAsia="Times New Roman" w:cs="Times New Roman"/>
      <w:color w:val="auto"/>
      <w:szCs w:val="24"/>
      <w:lang w:eastAsia="en-NZ"/>
    </w:rPr>
  </w:style>
  <w:style w:type="paragraph" w:styleId="TOC3">
    <w:name w:val="toc 3"/>
    <w:basedOn w:val="Normal"/>
    <w:next w:val="Normal"/>
    <w:uiPriority w:val="39"/>
    <w:rsid w:val="00E14C8B"/>
    <w:pPr>
      <w:tabs>
        <w:tab w:val="left" w:pos="1440"/>
        <w:tab w:val="left" w:pos="2160"/>
        <w:tab w:val="right" w:pos="7655"/>
      </w:tabs>
      <w:spacing w:after="120" w:line="240" w:lineRule="auto"/>
      <w:ind w:left="2160" w:right="1588" w:hanging="720"/>
    </w:pPr>
    <w:rPr>
      <w:rFonts w:eastAsia="Times New Roman" w:cs="Times New Roman"/>
      <w:color w:val="auto"/>
      <w:szCs w:val="24"/>
      <w:lang w:eastAsia="en-NZ"/>
    </w:rPr>
  </w:style>
  <w:style w:type="paragraph" w:styleId="TableofFigures">
    <w:name w:val="table of figures"/>
    <w:basedOn w:val="TOC1"/>
    <w:next w:val="Normal"/>
    <w:uiPriority w:val="99"/>
    <w:rsid w:val="00E14C8B"/>
    <w:pPr>
      <w:ind w:left="0" w:firstLine="0"/>
    </w:pPr>
  </w:style>
  <w:style w:type="paragraph" w:customStyle="1" w:styleId="TableorFigureEnd">
    <w:name w:val="Table or Figure End"/>
    <w:basedOn w:val="Normal"/>
    <w:next w:val="BodyText"/>
    <w:rsid w:val="00E14C8B"/>
    <w:pPr>
      <w:pBdr>
        <w:top w:val="single" w:sz="4" w:space="1" w:color="auto"/>
      </w:pBdr>
      <w:tabs>
        <w:tab w:val="right" w:leader="dot" w:pos="8296"/>
      </w:tabs>
      <w:spacing w:before="90" w:after="0" w:line="240" w:lineRule="auto"/>
      <w:ind w:left="-57" w:right="-57"/>
      <w:jc w:val="both"/>
    </w:pPr>
    <w:rPr>
      <w:rFonts w:eastAsia="Times New Roman" w:cs="Times New Roman"/>
      <w:color w:val="auto"/>
      <w:szCs w:val="24"/>
      <w:lang w:eastAsia="en-NZ"/>
    </w:rPr>
  </w:style>
  <w:style w:type="paragraph" w:styleId="TOC4">
    <w:name w:val="toc 4"/>
    <w:basedOn w:val="Normal"/>
    <w:next w:val="Normal"/>
    <w:rsid w:val="00E14C8B"/>
    <w:pPr>
      <w:spacing w:before="60" w:after="120" w:line="240" w:lineRule="auto"/>
      <w:ind w:right="1588"/>
    </w:pPr>
    <w:rPr>
      <w:rFonts w:eastAsia="Times New Roman" w:cs="Times New Roman"/>
      <w:b/>
      <w:color w:val="auto"/>
      <w:szCs w:val="24"/>
      <w:lang w:eastAsia="en-NZ"/>
    </w:rPr>
  </w:style>
  <w:style w:type="character" w:customStyle="1" w:styleId="TableTextChar">
    <w:name w:val="Table Text Char"/>
    <w:basedOn w:val="DefaultParagraphFont"/>
    <w:link w:val="TableText"/>
    <w:locked/>
    <w:rsid w:val="00E14C8B"/>
    <w:rPr>
      <w:rFonts w:ascii="Garamond" w:eastAsia="Times New Roman" w:hAnsi="Garamond" w:cs="Times New Roman"/>
      <w:szCs w:val="24"/>
      <w:lang w:eastAsia="en-NZ"/>
    </w:rPr>
  </w:style>
  <w:style w:type="character" w:customStyle="1" w:styleId="SourceNoteTextChar">
    <w:name w:val="Source/Note Text Char"/>
    <w:basedOn w:val="DefaultParagraphFont"/>
    <w:link w:val="SourceNoteText"/>
    <w:locked/>
    <w:rsid w:val="00E14C8B"/>
    <w:rPr>
      <w:rFonts w:ascii="Garamond" w:eastAsia="Times New Roman" w:hAnsi="Garamond" w:cs="Times New Roman"/>
      <w:sz w:val="20"/>
      <w:szCs w:val="24"/>
      <w:lang w:eastAsia="en-NZ"/>
    </w:rPr>
  </w:style>
  <w:style w:type="character" w:styleId="FollowedHyperlink">
    <w:name w:val="FollowedHyperlink"/>
    <w:basedOn w:val="DefaultParagraphFont"/>
    <w:rsid w:val="00E14C8B"/>
    <w:rPr>
      <w:color w:val="800080" w:themeColor="followedHyperlink"/>
      <w:u w:val="single"/>
    </w:rPr>
  </w:style>
  <w:style w:type="paragraph" w:styleId="Revision">
    <w:name w:val="Revision"/>
    <w:hidden/>
    <w:uiPriority w:val="99"/>
    <w:semiHidden/>
    <w:rsid w:val="00E14C8B"/>
    <w:pPr>
      <w:spacing w:after="0" w:line="240" w:lineRule="auto"/>
    </w:pPr>
    <w:rPr>
      <w:rFonts w:ascii="Garamond" w:eastAsia="Times New Roman" w:hAnsi="Garamond" w:cs="Times New Roman"/>
      <w:sz w:val="24"/>
      <w:szCs w:val="24"/>
      <w:lang w:eastAsia="en-NZ"/>
    </w:rPr>
  </w:style>
  <w:style w:type="table" w:customStyle="1" w:styleId="TableGrid1">
    <w:name w:val="Table Grid1"/>
    <w:basedOn w:val="TableNormal"/>
    <w:next w:val="TableGrid"/>
    <w:rsid w:val="000E6D6C"/>
    <w:pPr>
      <w:tabs>
        <w:tab w:val="left" w:pos="284"/>
        <w:tab w:val="left" w:pos="567"/>
      </w:tabs>
      <w:spacing w:before="30" w:after="30" w:line="240" w:lineRule="auto"/>
    </w:pPr>
    <w:rPr>
      <w:rFonts w:ascii="Garamond" w:eastAsia="Times New Roman" w:hAnsi="Garamond" w:cs="Times New Roman"/>
    </w:rPr>
    <w:tblPr>
      <w:jc w:val="center"/>
      <w:tblBorders>
        <w:insideH w:val="single" w:sz="4" w:space="0" w:color="auto"/>
        <w:insideV w:val="single" w:sz="4" w:space="0" w:color="auto"/>
      </w:tblBorders>
      <w:tblCellMar>
        <w:top w:w="28" w:type="dxa"/>
        <w:left w:w="85" w:type="dxa"/>
        <w:bottom w:w="28" w:type="dxa"/>
        <w:right w:w="85" w:type="dxa"/>
      </w:tblCellMar>
    </w:tblPr>
    <w:trPr>
      <w:jc w:val="center"/>
    </w:trPr>
    <w:tcPr>
      <w:noWrap/>
    </w:tcPr>
  </w:style>
  <w:style w:type="paragraph" w:styleId="TOCHeading">
    <w:name w:val="TOC Heading"/>
    <w:basedOn w:val="Heading1"/>
    <w:next w:val="Normal"/>
    <w:uiPriority w:val="39"/>
    <w:unhideWhenUsed/>
    <w:qFormat/>
    <w:rsid w:val="00622F2E"/>
    <w:pPr>
      <w:numPr>
        <w:numId w:val="0"/>
      </w:numPr>
      <w:outlineLvl w:val="9"/>
    </w:pPr>
    <w:rPr>
      <w:rFonts w:asciiTheme="majorHAnsi" w:hAnsiTheme="majorHAnsi"/>
      <w:color w:val="365F91" w:themeColor="accent1" w:themeShade="BF"/>
      <w:lang w:eastAsia="ja-JP"/>
    </w:rPr>
  </w:style>
  <w:style w:type="paragraph" w:customStyle="1" w:styleId="Default">
    <w:name w:val="Default"/>
    <w:rsid w:val="00234A4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HTMLPreformatted">
    <w:name w:val="HTML Preformatted"/>
    <w:basedOn w:val="Normal"/>
    <w:link w:val="HTMLPreformattedChar"/>
    <w:uiPriority w:val="99"/>
    <w:unhideWhenUsed/>
    <w:rsid w:val="00234A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rPr>
  </w:style>
  <w:style w:type="character" w:customStyle="1" w:styleId="HTMLPreformattedChar">
    <w:name w:val="HTML Preformatted Char"/>
    <w:basedOn w:val="DefaultParagraphFont"/>
    <w:link w:val="HTMLPreformatted"/>
    <w:uiPriority w:val="99"/>
    <w:rsid w:val="00234A41"/>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42089">
      <w:bodyDiv w:val="1"/>
      <w:marLeft w:val="0"/>
      <w:marRight w:val="0"/>
      <w:marTop w:val="0"/>
      <w:marBottom w:val="0"/>
      <w:divBdr>
        <w:top w:val="none" w:sz="0" w:space="0" w:color="auto"/>
        <w:left w:val="none" w:sz="0" w:space="0" w:color="auto"/>
        <w:bottom w:val="none" w:sz="0" w:space="0" w:color="auto"/>
        <w:right w:val="none" w:sz="0" w:space="0" w:color="auto"/>
      </w:divBdr>
    </w:div>
    <w:div w:id="47608460">
      <w:bodyDiv w:val="1"/>
      <w:marLeft w:val="0"/>
      <w:marRight w:val="0"/>
      <w:marTop w:val="0"/>
      <w:marBottom w:val="0"/>
      <w:divBdr>
        <w:top w:val="none" w:sz="0" w:space="0" w:color="auto"/>
        <w:left w:val="none" w:sz="0" w:space="0" w:color="auto"/>
        <w:bottom w:val="none" w:sz="0" w:space="0" w:color="auto"/>
        <w:right w:val="none" w:sz="0" w:space="0" w:color="auto"/>
      </w:divBdr>
    </w:div>
    <w:div w:id="229048707">
      <w:bodyDiv w:val="1"/>
      <w:marLeft w:val="0"/>
      <w:marRight w:val="0"/>
      <w:marTop w:val="0"/>
      <w:marBottom w:val="0"/>
      <w:divBdr>
        <w:top w:val="none" w:sz="0" w:space="0" w:color="auto"/>
        <w:left w:val="none" w:sz="0" w:space="0" w:color="auto"/>
        <w:bottom w:val="none" w:sz="0" w:space="0" w:color="auto"/>
        <w:right w:val="none" w:sz="0" w:space="0" w:color="auto"/>
      </w:divBdr>
    </w:div>
    <w:div w:id="234633732">
      <w:bodyDiv w:val="1"/>
      <w:marLeft w:val="0"/>
      <w:marRight w:val="0"/>
      <w:marTop w:val="0"/>
      <w:marBottom w:val="0"/>
      <w:divBdr>
        <w:top w:val="none" w:sz="0" w:space="0" w:color="auto"/>
        <w:left w:val="none" w:sz="0" w:space="0" w:color="auto"/>
        <w:bottom w:val="none" w:sz="0" w:space="0" w:color="auto"/>
        <w:right w:val="none" w:sz="0" w:space="0" w:color="auto"/>
      </w:divBdr>
    </w:div>
    <w:div w:id="246161870">
      <w:bodyDiv w:val="1"/>
      <w:marLeft w:val="0"/>
      <w:marRight w:val="0"/>
      <w:marTop w:val="0"/>
      <w:marBottom w:val="0"/>
      <w:divBdr>
        <w:top w:val="none" w:sz="0" w:space="0" w:color="auto"/>
        <w:left w:val="none" w:sz="0" w:space="0" w:color="auto"/>
        <w:bottom w:val="none" w:sz="0" w:space="0" w:color="auto"/>
        <w:right w:val="none" w:sz="0" w:space="0" w:color="auto"/>
      </w:divBdr>
    </w:div>
    <w:div w:id="278338221">
      <w:bodyDiv w:val="1"/>
      <w:marLeft w:val="0"/>
      <w:marRight w:val="0"/>
      <w:marTop w:val="0"/>
      <w:marBottom w:val="0"/>
      <w:divBdr>
        <w:top w:val="none" w:sz="0" w:space="0" w:color="auto"/>
        <w:left w:val="none" w:sz="0" w:space="0" w:color="auto"/>
        <w:bottom w:val="none" w:sz="0" w:space="0" w:color="auto"/>
        <w:right w:val="none" w:sz="0" w:space="0" w:color="auto"/>
      </w:divBdr>
    </w:div>
    <w:div w:id="360252732">
      <w:bodyDiv w:val="1"/>
      <w:marLeft w:val="0"/>
      <w:marRight w:val="0"/>
      <w:marTop w:val="0"/>
      <w:marBottom w:val="0"/>
      <w:divBdr>
        <w:top w:val="none" w:sz="0" w:space="0" w:color="auto"/>
        <w:left w:val="none" w:sz="0" w:space="0" w:color="auto"/>
        <w:bottom w:val="none" w:sz="0" w:space="0" w:color="auto"/>
        <w:right w:val="none" w:sz="0" w:space="0" w:color="auto"/>
      </w:divBdr>
    </w:div>
    <w:div w:id="378093127">
      <w:bodyDiv w:val="1"/>
      <w:marLeft w:val="0"/>
      <w:marRight w:val="0"/>
      <w:marTop w:val="0"/>
      <w:marBottom w:val="0"/>
      <w:divBdr>
        <w:top w:val="none" w:sz="0" w:space="0" w:color="auto"/>
        <w:left w:val="none" w:sz="0" w:space="0" w:color="auto"/>
        <w:bottom w:val="none" w:sz="0" w:space="0" w:color="auto"/>
        <w:right w:val="none" w:sz="0" w:space="0" w:color="auto"/>
      </w:divBdr>
    </w:div>
    <w:div w:id="430324955">
      <w:bodyDiv w:val="1"/>
      <w:marLeft w:val="0"/>
      <w:marRight w:val="0"/>
      <w:marTop w:val="0"/>
      <w:marBottom w:val="0"/>
      <w:divBdr>
        <w:top w:val="none" w:sz="0" w:space="0" w:color="auto"/>
        <w:left w:val="none" w:sz="0" w:space="0" w:color="auto"/>
        <w:bottom w:val="none" w:sz="0" w:space="0" w:color="auto"/>
        <w:right w:val="none" w:sz="0" w:space="0" w:color="auto"/>
      </w:divBdr>
    </w:div>
    <w:div w:id="441851379">
      <w:bodyDiv w:val="1"/>
      <w:marLeft w:val="0"/>
      <w:marRight w:val="0"/>
      <w:marTop w:val="0"/>
      <w:marBottom w:val="0"/>
      <w:divBdr>
        <w:top w:val="none" w:sz="0" w:space="0" w:color="auto"/>
        <w:left w:val="none" w:sz="0" w:space="0" w:color="auto"/>
        <w:bottom w:val="none" w:sz="0" w:space="0" w:color="auto"/>
        <w:right w:val="none" w:sz="0" w:space="0" w:color="auto"/>
      </w:divBdr>
    </w:div>
    <w:div w:id="510098839">
      <w:bodyDiv w:val="1"/>
      <w:marLeft w:val="0"/>
      <w:marRight w:val="0"/>
      <w:marTop w:val="0"/>
      <w:marBottom w:val="0"/>
      <w:divBdr>
        <w:top w:val="none" w:sz="0" w:space="0" w:color="auto"/>
        <w:left w:val="none" w:sz="0" w:space="0" w:color="auto"/>
        <w:bottom w:val="none" w:sz="0" w:space="0" w:color="auto"/>
        <w:right w:val="none" w:sz="0" w:space="0" w:color="auto"/>
      </w:divBdr>
    </w:div>
    <w:div w:id="516114754">
      <w:bodyDiv w:val="1"/>
      <w:marLeft w:val="0"/>
      <w:marRight w:val="0"/>
      <w:marTop w:val="0"/>
      <w:marBottom w:val="0"/>
      <w:divBdr>
        <w:top w:val="none" w:sz="0" w:space="0" w:color="auto"/>
        <w:left w:val="none" w:sz="0" w:space="0" w:color="auto"/>
        <w:bottom w:val="none" w:sz="0" w:space="0" w:color="auto"/>
        <w:right w:val="none" w:sz="0" w:space="0" w:color="auto"/>
      </w:divBdr>
    </w:div>
    <w:div w:id="554511343">
      <w:bodyDiv w:val="1"/>
      <w:marLeft w:val="0"/>
      <w:marRight w:val="0"/>
      <w:marTop w:val="0"/>
      <w:marBottom w:val="0"/>
      <w:divBdr>
        <w:top w:val="none" w:sz="0" w:space="0" w:color="auto"/>
        <w:left w:val="none" w:sz="0" w:space="0" w:color="auto"/>
        <w:bottom w:val="none" w:sz="0" w:space="0" w:color="auto"/>
        <w:right w:val="none" w:sz="0" w:space="0" w:color="auto"/>
      </w:divBdr>
    </w:div>
    <w:div w:id="608246693">
      <w:bodyDiv w:val="1"/>
      <w:marLeft w:val="0"/>
      <w:marRight w:val="0"/>
      <w:marTop w:val="0"/>
      <w:marBottom w:val="0"/>
      <w:divBdr>
        <w:top w:val="none" w:sz="0" w:space="0" w:color="auto"/>
        <w:left w:val="none" w:sz="0" w:space="0" w:color="auto"/>
        <w:bottom w:val="none" w:sz="0" w:space="0" w:color="auto"/>
        <w:right w:val="none" w:sz="0" w:space="0" w:color="auto"/>
      </w:divBdr>
    </w:div>
    <w:div w:id="652877926">
      <w:bodyDiv w:val="1"/>
      <w:marLeft w:val="0"/>
      <w:marRight w:val="0"/>
      <w:marTop w:val="0"/>
      <w:marBottom w:val="0"/>
      <w:divBdr>
        <w:top w:val="none" w:sz="0" w:space="0" w:color="auto"/>
        <w:left w:val="none" w:sz="0" w:space="0" w:color="auto"/>
        <w:bottom w:val="none" w:sz="0" w:space="0" w:color="auto"/>
        <w:right w:val="none" w:sz="0" w:space="0" w:color="auto"/>
      </w:divBdr>
    </w:div>
    <w:div w:id="715859627">
      <w:bodyDiv w:val="1"/>
      <w:marLeft w:val="0"/>
      <w:marRight w:val="0"/>
      <w:marTop w:val="0"/>
      <w:marBottom w:val="0"/>
      <w:divBdr>
        <w:top w:val="none" w:sz="0" w:space="0" w:color="auto"/>
        <w:left w:val="none" w:sz="0" w:space="0" w:color="auto"/>
        <w:bottom w:val="none" w:sz="0" w:space="0" w:color="auto"/>
        <w:right w:val="none" w:sz="0" w:space="0" w:color="auto"/>
      </w:divBdr>
    </w:div>
    <w:div w:id="733627852">
      <w:bodyDiv w:val="1"/>
      <w:marLeft w:val="0"/>
      <w:marRight w:val="0"/>
      <w:marTop w:val="0"/>
      <w:marBottom w:val="0"/>
      <w:divBdr>
        <w:top w:val="none" w:sz="0" w:space="0" w:color="auto"/>
        <w:left w:val="none" w:sz="0" w:space="0" w:color="auto"/>
        <w:bottom w:val="none" w:sz="0" w:space="0" w:color="auto"/>
        <w:right w:val="none" w:sz="0" w:space="0" w:color="auto"/>
      </w:divBdr>
    </w:div>
    <w:div w:id="737705226">
      <w:bodyDiv w:val="1"/>
      <w:marLeft w:val="0"/>
      <w:marRight w:val="0"/>
      <w:marTop w:val="0"/>
      <w:marBottom w:val="0"/>
      <w:divBdr>
        <w:top w:val="none" w:sz="0" w:space="0" w:color="auto"/>
        <w:left w:val="none" w:sz="0" w:space="0" w:color="auto"/>
        <w:bottom w:val="none" w:sz="0" w:space="0" w:color="auto"/>
        <w:right w:val="none" w:sz="0" w:space="0" w:color="auto"/>
      </w:divBdr>
    </w:div>
    <w:div w:id="768623354">
      <w:bodyDiv w:val="1"/>
      <w:marLeft w:val="0"/>
      <w:marRight w:val="0"/>
      <w:marTop w:val="0"/>
      <w:marBottom w:val="0"/>
      <w:divBdr>
        <w:top w:val="none" w:sz="0" w:space="0" w:color="auto"/>
        <w:left w:val="none" w:sz="0" w:space="0" w:color="auto"/>
        <w:bottom w:val="none" w:sz="0" w:space="0" w:color="auto"/>
        <w:right w:val="none" w:sz="0" w:space="0" w:color="auto"/>
      </w:divBdr>
    </w:div>
    <w:div w:id="848955987">
      <w:bodyDiv w:val="1"/>
      <w:marLeft w:val="0"/>
      <w:marRight w:val="0"/>
      <w:marTop w:val="0"/>
      <w:marBottom w:val="0"/>
      <w:divBdr>
        <w:top w:val="none" w:sz="0" w:space="0" w:color="auto"/>
        <w:left w:val="none" w:sz="0" w:space="0" w:color="auto"/>
        <w:bottom w:val="none" w:sz="0" w:space="0" w:color="auto"/>
        <w:right w:val="none" w:sz="0" w:space="0" w:color="auto"/>
      </w:divBdr>
    </w:div>
    <w:div w:id="864758419">
      <w:bodyDiv w:val="1"/>
      <w:marLeft w:val="0"/>
      <w:marRight w:val="0"/>
      <w:marTop w:val="0"/>
      <w:marBottom w:val="0"/>
      <w:divBdr>
        <w:top w:val="none" w:sz="0" w:space="0" w:color="auto"/>
        <w:left w:val="none" w:sz="0" w:space="0" w:color="auto"/>
        <w:bottom w:val="none" w:sz="0" w:space="0" w:color="auto"/>
        <w:right w:val="none" w:sz="0" w:space="0" w:color="auto"/>
      </w:divBdr>
    </w:div>
    <w:div w:id="872839866">
      <w:bodyDiv w:val="1"/>
      <w:marLeft w:val="0"/>
      <w:marRight w:val="0"/>
      <w:marTop w:val="0"/>
      <w:marBottom w:val="0"/>
      <w:divBdr>
        <w:top w:val="none" w:sz="0" w:space="0" w:color="auto"/>
        <w:left w:val="none" w:sz="0" w:space="0" w:color="auto"/>
        <w:bottom w:val="none" w:sz="0" w:space="0" w:color="auto"/>
        <w:right w:val="none" w:sz="0" w:space="0" w:color="auto"/>
      </w:divBdr>
    </w:div>
    <w:div w:id="891387786">
      <w:bodyDiv w:val="1"/>
      <w:marLeft w:val="0"/>
      <w:marRight w:val="0"/>
      <w:marTop w:val="0"/>
      <w:marBottom w:val="0"/>
      <w:divBdr>
        <w:top w:val="none" w:sz="0" w:space="0" w:color="auto"/>
        <w:left w:val="none" w:sz="0" w:space="0" w:color="auto"/>
        <w:bottom w:val="none" w:sz="0" w:space="0" w:color="auto"/>
        <w:right w:val="none" w:sz="0" w:space="0" w:color="auto"/>
      </w:divBdr>
    </w:div>
    <w:div w:id="912399822">
      <w:bodyDiv w:val="1"/>
      <w:marLeft w:val="0"/>
      <w:marRight w:val="0"/>
      <w:marTop w:val="0"/>
      <w:marBottom w:val="0"/>
      <w:divBdr>
        <w:top w:val="none" w:sz="0" w:space="0" w:color="auto"/>
        <w:left w:val="none" w:sz="0" w:space="0" w:color="auto"/>
        <w:bottom w:val="none" w:sz="0" w:space="0" w:color="auto"/>
        <w:right w:val="none" w:sz="0" w:space="0" w:color="auto"/>
      </w:divBdr>
    </w:div>
    <w:div w:id="978387708">
      <w:bodyDiv w:val="1"/>
      <w:marLeft w:val="0"/>
      <w:marRight w:val="0"/>
      <w:marTop w:val="0"/>
      <w:marBottom w:val="0"/>
      <w:divBdr>
        <w:top w:val="none" w:sz="0" w:space="0" w:color="auto"/>
        <w:left w:val="none" w:sz="0" w:space="0" w:color="auto"/>
        <w:bottom w:val="none" w:sz="0" w:space="0" w:color="auto"/>
        <w:right w:val="none" w:sz="0" w:space="0" w:color="auto"/>
      </w:divBdr>
    </w:div>
    <w:div w:id="1080636284">
      <w:bodyDiv w:val="1"/>
      <w:marLeft w:val="0"/>
      <w:marRight w:val="0"/>
      <w:marTop w:val="0"/>
      <w:marBottom w:val="0"/>
      <w:divBdr>
        <w:top w:val="none" w:sz="0" w:space="0" w:color="auto"/>
        <w:left w:val="none" w:sz="0" w:space="0" w:color="auto"/>
        <w:bottom w:val="none" w:sz="0" w:space="0" w:color="auto"/>
        <w:right w:val="none" w:sz="0" w:space="0" w:color="auto"/>
      </w:divBdr>
    </w:div>
    <w:div w:id="1114905989">
      <w:bodyDiv w:val="1"/>
      <w:marLeft w:val="0"/>
      <w:marRight w:val="0"/>
      <w:marTop w:val="0"/>
      <w:marBottom w:val="0"/>
      <w:divBdr>
        <w:top w:val="none" w:sz="0" w:space="0" w:color="auto"/>
        <w:left w:val="none" w:sz="0" w:space="0" w:color="auto"/>
        <w:bottom w:val="none" w:sz="0" w:space="0" w:color="auto"/>
        <w:right w:val="none" w:sz="0" w:space="0" w:color="auto"/>
      </w:divBdr>
    </w:div>
    <w:div w:id="1189642227">
      <w:bodyDiv w:val="1"/>
      <w:marLeft w:val="0"/>
      <w:marRight w:val="0"/>
      <w:marTop w:val="0"/>
      <w:marBottom w:val="0"/>
      <w:divBdr>
        <w:top w:val="none" w:sz="0" w:space="0" w:color="auto"/>
        <w:left w:val="none" w:sz="0" w:space="0" w:color="auto"/>
        <w:bottom w:val="none" w:sz="0" w:space="0" w:color="auto"/>
        <w:right w:val="none" w:sz="0" w:space="0" w:color="auto"/>
      </w:divBdr>
    </w:div>
    <w:div w:id="1192575111">
      <w:bodyDiv w:val="1"/>
      <w:marLeft w:val="0"/>
      <w:marRight w:val="0"/>
      <w:marTop w:val="0"/>
      <w:marBottom w:val="0"/>
      <w:divBdr>
        <w:top w:val="none" w:sz="0" w:space="0" w:color="auto"/>
        <w:left w:val="none" w:sz="0" w:space="0" w:color="auto"/>
        <w:bottom w:val="none" w:sz="0" w:space="0" w:color="auto"/>
        <w:right w:val="none" w:sz="0" w:space="0" w:color="auto"/>
      </w:divBdr>
    </w:div>
    <w:div w:id="1211498753">
      <w:bodyDiv w:val="1"/>
      <w:marLeft w:val="0"/>
      <w:marRight w:val="0"/>
      <w:marTop w:val="0"/>
      <w:marBottom w:val="0"/>
      <w:divBdr>
        <w:top w:val="none" w:sz="0" w:space="0" w:color="auto"/>
        <w:left w:val="none" w:sz="0" w:space="0" w:color="auto"/>
        <w:bottom w:val="none" w:sz="0" w:space="0" w:color="auto"/>
        <w:right w:val="none" w:sz="0" w:space="0" w:color="auto"/>
      </w:divBdr>
    </w:div>
    <w:div w:id="1247880059">
      <w:bodyDiv w:val="1"/>
      <w:marLeft w:val="0"/>
      <w:marRight w:val="0"/>
      <w:marTop w:val="0"/>
      <w:marBottom w:val="0"/>
      <w:divBdr>
        <w:top w:val="none" w:sz="0" w:space="0" w:color="auto"/>
        <w:left w:val="none" w:sz="0" w:space="0" w:color="auto"/>
        <w:bottom w:val="none" w:sz="0" w:space="0" w:color="auto"/>
        <w:right w:val="none" w:sz="0" w:space="0" w:color="auto"/>
      </w:divBdr>
    </w:div>
    <w:div w:id="1292786229">
      <w:bodyDiv w:val="1"/>
      <w:marLeft w:val="0"/>
      <w:marRight w:val="0"/>
      <w:marTop w:val="0"/>
      <w:marBottom w:val="0"/>
      <w:divBdr>
        <w:top w:val="none" w:sz="0" w:space="0" w:color="auto"/>
        <w:left w:val="none" w:sz="0" w:space="0" w:color="auto"/>
        <w:bottom w:val="none" w:sz="0" w:space="0" w:color="auto"/>
        <w:right w:val="none" w:sz="0" w:space="0" w:color="auto"/>
      </w:divBdr>
    </w:div>
    <w:div w:id="1352682099">
      <w:bodyDiv w:val="1"/>
      <w:marLeft w:val="0"/>
      <w:marRight w:val="0"/>
      <w:marTop w:val="0"/>
      <w:marBottom w:val="0"/>
      <w:divBdr>
        <w:top w:val="none" w:sz="0" w:space="0" w:color="auto"/>
        <w:left w:val="none" w:sz="0" w:space="0" w:color="auto"/>
        <w:bottom w:val="none" w:sz="0" w:space="0" w:color="auto"/>
        <w:right w:val="none" w:sz="0" w:space="0" w:color="auto"/>
      </w:divBdr>
    </w:div>
    <w:div w:id="1382484733">
      <w:bodyDiv w:val="1"/>
      <w:marLeft w:val="0"/>
      <w:marRight w:val="0"/>
      <w:marTop w:val="0"/>
      <w:marBottom w:val="0"/>
      <w:divBdr>
        <w:top w:val="none" w:sz="0" w:space="0" w:color="auto"/>
        <w:left w:val="none" w:sz="0" w:space="0" w:color="auto"/>
        <w:bottom w:val="none" w:sz="0" w:space="0" w:color="auto"/>
        <w:right w:val="none" w:sz="0" w:space="0" w:color="auto"/>
      </w:divBdr>
    </w:div>
    <w:div w:id="1450926733">
      <w:bodyDiv w:val="1"/>
      <w:marLeft w:val="0"/>
      <w:marRight w:val="0"/>
      <w:marTop w:val="0"/>
      <w:marBottom w:val="0"/>
      <w:divBdr>
        <w:top w:val="none" w:sz="0" w:space="0" w:color="auto"/>
        <w:left w:val="none" w:sz="0" w:space="0" w:color="auto"/>
        <w:bottom w:val="none" w:sz="0" w:space="0" w:color="auto"/>
        <w:right w:val="none" w:sz="0" w:space="0" w:color="auto"/>
      </w:divBdr>
    </w:div>
    <w:div w:id="1468545154">
      <w:bodyDiv w:val="1"/>
      <w:marLeft w:val="0"/>
      <w:marRight w:val="0"/>
      <w:marTop w:val="0"/>
      <w:marBottom w:val="0"/>
      <w:divBdr>
        <w:top w:val="none" w:sz="0" w:space="0" w:color="auto"/>
        <w:left w:val="none" w:sz="0" w:space="0" w:color="auto"/>
        <w:bottom w:val="none" w:sz="0" w:space="0" w:color="auto"/>
        <w:right w:val="none" w:sz="0" w:space="0" w:color="auto"/>
      </w:divBdr>
    </w:div>
    <w:div w:id="1502040544">
      <w:bodyDiv w:val="1"/>
      <w:marLeft w:val="0"/>
      <w:marRight w:val="0"/>
      <w:marTop w:val="0"/>
      <w:marBottom w:val="0"/>
      <w:divBdr>
        <w:top w:val="none" w:sz="0" w:space="0" w:color="auto"/>
        <w:left w:val="none" w:sz="0" w:space="0" w:color="auto"/>
        <w:bottom w:val="none" w:sz="0" w:space="0" w:color="auto"/>
        <w:right w:val="none" w:sz="0" w:space="0" w:color="auto"/>
      </w:divBdr>
    </w:div>
    <w:div w:id="1511144930">
      <w:bodyDiv w:val="1"/>
      <w:marLeft w:val="0"/>
      <w:marRight w:val="0"/>
      <w:marTop w:val="0"/>
      <w:marBottom w:val="0"/>
      <w:divBdr>
        <w:top w:val="none" w:sz="0" w:space="0" w:color="auto"/>
        <w:left w:val="none" w:sz="0" w:space="0" w:color="auto"/>
        <w:bottom w:val="none" w:sz="0" w:space="0" w:color="auto"/>
        <w:right w:val="none" w:sz="0" w:space="0" w:color="auto"/>
      </w:divBdr>
    </w:div>
    <w:div w:id="1549607024">
      <w:bodyDiv w:val="1"/>
      <w:marLeft w:val="0"/>
      <w:marRight w:val="0"/>
      <w:marTop w:val="0"/>
      <w:marBottom w:val="0"/>
      <w:divBdr>
        <w:top w:val="none" w:sz="0" w:space="0" w:color="auto"/>
        <w:left w:val="none" w:sz="0" w:space="0" w:color="auto"/>
        <w:bottom w:val="none" w:sz="0" w:space="0" w:color="auto"/>
        <w:right w:val="none" w:sz="0" w:space="0" w:color="auto"/>
      </w:divBdr>
    </w:div>
    <w:div w:id="1580214912">
      <w:bodyDiv w:val="1"/>
      <w:marLeft w:val="0"/>
      <w:marRight w:val="0"/>
      <w:marTop w:val="0"/>
      <w:marBottom w:val="0"/>
      <w:divBdr>
        <w:top w:val="none" w:sz="0" w:space="0" w:color="auto"/>
        <w:left w:val="none" w:sz="0" w:space="0" w:color="auto"/>
        <w:bottom w:val="none" w:sz="0" w:space="0" w:color="auto"/>
        <w:right w:val="none" w:sz="0" w:space="0" w:color="auto"/>
      </w:divBdr>
    </w:div>
    <w:div w:id="1608926073">
      <w:bodyDiv w:val="1"/>
      <w:marLeft w:val="0"/>
      <w:marRight w:val="0"/>
      <w:marTop w:val="0"/>
      <w:marBottom w:val="0"/>
      <w:divBdr>
        <w:top w:val="none" w:sz="0" w:space="0" w:color="auto"/>
        <w:left w:val="none" w:sz="0" w:space="0" w:color="auto"/>
        <w:bottom w:val="none" w:sz="0" w:space="0" w:color="auto"/>
        <w:right w:val="none" w:sz="0" w:space="0" w:color="auto"/>
      </w:divBdr>
    </w:div>
    <w:div w:id="1629048035">
      <w:bodyDiv w:val="1"/>
      <w:marLeft w:val="0"/>
      <w:marRight w:val="0"/>
      <w:marTop w:val="0"/>
      <w:marBottom w:val="0"/>
      <w:divBdr>
        <w:top w:val="none" w:sz="0" w:space="0" w:color="auto"/>
        <w:left w:val="none" w:sz="0" w:space="0" w:color="auto"/>
        <w:bottom w:val="none" w:sz="0" w:space="0" w:color="auto"/>
        <w:right w:val="none" w:sz="0" w:space="0" w:color="auto"/>
      </w:divBdr>
    </w:div>
    <w:div w:id="1711690346">
      <w:bodyDiv w:val="1"/>
      <w:marLeft w:val="0"/>
      <w:marRight w:val="0"/>
      <w:marTop w:val="0"/>
      <w:marBottom w:val="0"/>
      <w:divBdr>
        <w:top w:val="none" w:sz="0" w:space="0" w:color="auto"/>
        <w:left w:val="none" w:sz="0" w:space="0" w:color="auto"/>
        <w:bottom w:val="none" w:sz="0" w:space="0" w:color="auto"/>
        <w:right w:val="none" w:sz="0" w:space="0" w:color="auto"/>
      </w:divBdr>
    </w:div>
    <w:div w:id="1711953499">
      <w:bodyDiv w:val="1"/>
      <w:marLeft w:val="0"/>
      <w:marRight w:val="0"/>
      <w:marTop w:val="0"/>
      <w:marBottom w:val="0"/>
      <w:divBdr>
        <w:top w:val="none" w:sz="0" w:space="0" w:color="auto"/>
        <w:left w:val="none" w:sz="0" w:space="0" w:color="auto"/>
        <w:bottom w:val="none" w:sz="0" w:space="0" w:color="auto"/>
        <w:right w:val="none" w:sz="0" w:space="0" w:color="auto"/>
      </w:divBdr>
    </w:div>
    <w:div w:id="1724214185">
      <w:bodyDiv w:val="1"/>
      <w:marLeft w:val="0"/>
      <w:marRight w:val="0"/>
      <w:marTop w:val="0"/>
      <w:marBottom w:val="0"/>
      <w:divBdr>
        <w:top w:val="none" w:sz="0" w:space="0" w:color="auto"/>
        <w:left w:val="none" w:sz="0" w:space="0" w:color="auto"/>
        <w:bottom w:val="none" w:sz="0" w:space="0" w:color="auto"/>
        <w:right w:val="none" w:sz="0" w:space="0" w:color="auto"/>
      </w:divBdr>
    </w:div>
    <w:div w:id="1742484283">
      <w:bodyDiv w:val="1"/>
      <w:marLeft w:val="0"/>
      <w:marRight w:val="0"/>
      <w:marTop w:val="0"/>
      <w:marBottom w:val="0"/>
      <w:divBdr>
        <w:top w:val="none" w:sz="0" w:space="0" w:color="auto"/>
        <w:left w:val="none" w:sz="0" w:space="0" w:color="auto"/>
        <w:bottom w:val="none" w:sz="0" w:space="0" w:color="auto"/>
        <w:right w:val="none" w:sz="0" w:space="0" w:color="auto"/>
      </w:divBdr>
    </w:div>
    <w:div w:id="1771316694">
      <w:bodyDiv w:val="1"/>
      <w:marLeft w:val="0"/>
      <w:marRight w:val="0"/>
      <w:marTop w:val="0"/>
      <w:marBottom w:val="0"/>
      <w:divBdr>
        <w:top w:val="none" w:sz="0" w:space="0" w:color="auto"/>
        <w:left w:val="none" w:sz="0" w:space="0" w:color="auto"/>
        <w:bottom w:val="none" w:sz="0" w:space="0" w:color="auto"/>
        <w:right w:val="none" w:sz="0" w:space="0" w:color="auto"/>
      </w:divBdr>
    </w:div>
    <w:div w:id="1817837967">
      <w:bodyDiv w:val="1"/>
      <w:marLeft w:val="0"/>
      <w:marRight w:val="0"/>
      <w:marTop w:val="0"/>
      <w:marBottom w:val="0"/>
      <w:divBdr>
        <w:top w:val="none" w:sz="0" w:space="0" w:color="auto"/>
        <w:left w:val="none" w:sz="0" w:space="0" w:color="auto"/>
        <w:bottom w:val="none" w:sz="0" w:space="0" w:color="auto"/>
        <w:right w:val="none" w:sz="0" w:space="0" w:color="auto"/>
      </w:divBdr>
    </w:div>
    <w:div w:id="1832139056">
      <w:bodyDiv w:val="1"/>
      <w:marLeft w:val="0"/>
      <w:marRight w:val="0"/>
      <w:marTop w:val="0"/>
      <w:marBottom w:val="0"/>
      <w:divBdr>
        <w:top w:val="none" w:sz="0" w:space="0" w:color="auto"/>
        <w:left w:val="none" w:sz="0" w:space="0" w:color="auto"/>
        <w:bottom w:val="none" w:sz="0" w:space="0" w:color="auto"/>
        <w:right w:val="none" w:sz="0" w:space="0" w:color="auto"/>
      </w:divBdr>
    </w:div>
    <w:div w:id="1918130178">
      <w:bodyDiv w:val="1"/>
      <w:marLeft w:val="0"/>
      <w:marRight w:val="0"/>
      <w:marTop w:val="0"/>
      <w:marBottom w:val="0"/>
      <w:divBdr>
        <w:top w:val="none" w:sz="0" w:space="0" w:color="auto"/>
        <w:left w:val="none" w:sz="0" w:space="0" w:color="auto"/>
        <w:bottom w:val="none" w:sz="0" w:space="0" w:color="auto"/>
        <w:right w:val="none" w:sz="0" w:space="0" w:color="auto"/>
      </w:divBdr>
    </w:div>
    <w:div w:id="2017615014">
      <w:bodyDiv w:val="1"/>
      <w:marLeft w:val="0"/>
      <w:marRight w:val="0"/>
      <w:marTop w:val="0"/>
      <w:marBottom w:val="0"/>
      <w:divBdr>
        <w:top w:val="none" w:sz="0" w:space="0" w:color="auto"/>
        <w:left w:val="none" w:sz="0" w:space="0" w:color="auto"/>
        <w:bottom w:val="none" w:sz="0" w:space="0" w:color="auto"/>
        <w:right w:val="none" w:sz="0" w:space="0" w:color="auto"/>
      </w:divBdr>
    </w:div>
    <w:div w:id="2051034292">
      <w:bodyDiv w:val="1"/>
      <w:marLeft w:val="0"/>
      <w:marRight w:val="0"/>
      <w:marTop w:val="0"/>
      <w:marBottom w:val="0"/>
      <w:divBdr>
        <w:top w:val="none" w:sz="0" w:space="0" w:color="auto"/>
        <w:left w:val="none" w:sz="0" w:space="0" w:color="auto"/>
        <w:bottom w:val="none" w:sz="0" w:space="0" w:color="auto"/>
        <w:right w:val="none" w:sz="0" w:space="0" w:color="auto"/>
      </w:divBdr>
    </w:div>
    <w:div w:id="2052654159">
      <w:bodyDiv w:val="1"/>
      <w:marLeft w:val="0"/>
      <w:marRight w:val="0"/>
      <w:marTop w:val="0"/>
      <w:marBottom w:val="0"/>
      <w:divBdr>
        <w:top w:val="none" w:sz="0" w:space="0" w:color="auto"/>
        <w:left w:val="none" w:sz="0" w:space="0" w:color="auto"/>
        <w:bottom w:val="none" w:sz="0" w:space="0" w:color="auto"/>
        <w:right w:val="none" w:sz="0" w:space="0" w:color="auto"/>
      </w:divBdr>
    </w:div>
    <w:div w:id="2140144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18" Type="http://schemas.openxmlformats.org/officeDocument/2006/relationships/customXml" Target="../customXml/item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19" Type="http://schemas.openxmlformats.org/officeDocument/2006/relationships/customXml" Target="../customXml/item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7DFA5BFE931E3488BC57253420081FE" ma:contentTypeVersion="203" ma:contentTypeDescription="A content type to manage public (operations) IDB documents" ma:contentTypeScope="" ma:versionID="507b697fae98c49a2014e9c73404373c">
  <xsd:schema xmlns:xsd="http://www.w3.org/2001/XMLSchema" xmlns:xs="http://www.w3.org/2001/XMLSchema" xmlns:p="http://schemas.microsoft.com/office/2006/metadata/properties" xmlns:ns2="cdc7663a-08f0-4737-9e8c-148ce897a09c" targetNamespace="http://schemas.microsoft.com/office/2006/metadata/properties" ma:root="true" ma:fieldsID="bf58ce8bcb6f32f9f7ce487a03b173d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R-L115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R0002841746</Record_x0020_Number>
    <Key_x0020_Document xmlns="cdc7663a-08f0-4737-9e8c-148ce897a09c">false</Key_x0020_Document>
    <Division_x0020_or_x0020_Unit xmlns="cdc7663a-08f0-4737-9e8c-148ce897a09c">INE/ENE</Division_x0020_or_x0020_Unit>
    <IDBDocs_x0020_Number xmlns="cdc7663a-08f0-4737-9e8c-148ce897a09c" xsi:nil="true"/>
    <Document_x0020_Author xmlns="cdc7663a-08f0-4737-9e8c-148ce897a09c">Aiello, Roberto Gabriel</Document_x0020_Author>
    <_dlc_DocId xmlns="cdc7663a-08f0-4737-9e8c-148ce897a09c">EZSHARE-353762589-29</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TaxCatchAll xmlns="cdc7663a-08f0-4737-9e8c-148ce897a09c">
      <Value>132</Value>
      <Value>24</Value>
      <Value>29</Value>
      <Value>44</Value>
      <Value>1</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PR-L1156</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SECTOR REHABILITATION AND EFFICIENCY</TermName>
          <TermId xmlns="http://schemas.microsoft.com/office/infopath/2007/PartnerControls">bc14044a-5020-4002-b61d-5f3750c96619</TermId>
        </TermInfo>
      </Terms>
    </b2ec7cfb18674cb8803df6b262e8b107>
    <Document_x0020_Language_x0020_IDB xmlns="cdc7663a-08f0-4737-9e8c-148ce897a09c">Spanish</Document_x0020_Language_x0020_IDB>
    <_dlc_DocIdUrl xmlns="cdc7663a-08f0-4737-9e8c-148ce897a09c">
      <Url>https://idbg.sharepoint.com/teams/EZ-PR-LON/PR-L1156/_layouts/15/DocIdRedir.aspx?ID=EZSHARE-353762589-29</Url>
      <Description>EZSHARE-353762589-29</Description>
    </_dlc_DocIdUrl>
    <Phase xmlns="cdc7663a-08f0-4737-9e8c-148ce897a09c" xsi:nil="true"/>
    <Other_x0020_Autho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8.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111590F8-65F1-4DB7-8E14-A5ADF53B2D43}">
  <ds:schemaRefs>
    <ds:schemaRef ds:uri="http://schemas.openxmlformats.org/officeDocument/2006/bibliography"/>
  </ds:schemaRefs>
</ds:datastoreItem>
</file>

<file path=customXml/itemProps2.xml><?xml version="1.0" encoding="utf-8"?>
<ds:datastoreItem xmlns:ds="http://schemas.openxmlformats.org/officeDocument/2006/customXml" ds:itemID="{C7453382-599A-4CB3-B07C-85158A6F4C2E}"/>
</file>

<file path=customXml/itemProps3.xml><?xml version="1.0" encoding="utf-8"?>
<ds:datastoreItem xmlns:ds="http://schemas.openxmlformats.org/officeDocument/2006/customXml" ds:itemID="{26DBE777-2C4D-4A0C-85F5-ABFD2E10A211}"/>
</file>

<file path=customXml/itemProps4.xml><?xml version="1.0" encoding="utf-8"?>
<ds:datastoreItem xmlns:ds="http://schemas.openxmlformats.org/officeDocument/2006/customXml" ds:itemID="{4052CA58-0003-4051-BC65-12880FF6318E}"/>
</file>

<file path=customXml/itemProps5.xml><?xml version="1.0" encoding="utf-8"?>
<ds:datastoreItem xmlns:ds="http://schemas.openxmlformats.org/officeDocument/2006/customXml" ds:itemID="{AFB22C96-1DEB-42A4-8C14-79B83CB232A2}"/>
</file>

<file path=customXml/itemProps6.xml><?xml version="1.0" encoding="utf-8"?>
<ds:datastoreItem xmlns:ds="http://schemas.openxmlformats.org/officeDocument/2006/customXml" ds:itemID="{92E2F8E3-8407-484F-824A-5C4DB3850061}"/>
</file>

<file path=customXml/itemProps7.xml><?xml version="1.0" encoding="utf-8"?>
<ds:datastoreItem xmlns:ds="http://schemas.openxmlformats.org/officeDocument/2006/customXml" ds:itemID="{2883B00E-C323-4B72-AE4E-FEBFE81B3B3E}"/>
</file>

<file path=customXml/itemProps8.xml><?xml version="1.0" encoding="utf-8"?>
<ds:datastoreItem xmlns:ds="http://schemas.openxmlformats.org/officeDocument/2006/customXml" ds:itemID="{53B29E75-F493-4F95-9227-0228CE0A999D}"/>
</file>

<file path=docProps/app.xml><?xml version="1.0" encoding="utf-8"?>
<Properties xmlns="http://schemas.openxmlformats.org/officeDocument/2006/extended-properties" xmlns:vt="http://schemas.openxmlformats.org/officeDocument/2006/docPropsVTypes">
  <Template>Normal.dotm</Template>
  <TotalTime>1</TotalTime>
  <Pages>12</Pages>
  <Words>5039</Words>
  <Characters>28723</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keywords/>
  <cp:lastModifiedBy>Hernandez-Santoyo, Joel</cp:lastModifiedBy>
  <cp:revision>3</cp:revision>
  <cp:lastPrinted>2016-08-19T18:58:00Z</cp:lastPrinted>
  <dcterms:created xsi:type="dcterms:W3CDTF">2018-09-16T15:02:00Z</dcterms:created>
  <dcterms:modified xsi:type="dcterms:W3CDTF">2018-09-16T15:02:00Z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132;#ENERGY SECTOR REHABILITATION AND EFFICIENCY|bc14044a-5020-4002-b61d-5f3750c96619</vt:lpwstr>
  </property>
  <property fmtid="{D5CDD505-2E9C-101B-9397-08002B2CF9AE}" pid="7" name="Country">
    <vt:lpwstr>24;#Paraguay|50282442-27e7-4526-9d04-55bf5da33a10</vt:lpwstr>
  </property>
  <property fmtid="{D5CDD505-2E9C-101B-9397-08002B2CF9AE}" pid="8" name="Fund IDB">
    <vt:lpwstr>29;#ORC|c028a4b2-ad8b-4cf4-9cac-a2ae6a778e23</vt:lpwstr>
  </property>
  <property fmtid="{D5CDD505-2E9C-101B-9397-08002B2CF9AE}" pid="9" name="_dlc_DocIdItemGuid">
    <vt:lpwstr>07e8c183-7ed3-4cfd-a382-55e54b02f54b</vt:lpwstr>
  </property>
  <property fmtid="{D5CDD505-2E9C-101B-9397-08002B2CF9AE}" pid="10" name="Sector IDB">
    <vt:lpwstr>44;#ENERGY|4fed196a-cd0b-4970-87de-42da17f9b203</vt:lpwstr>
  </property>
  <property fmtid="{D5CDD505-2E9C-101B-9397-08002B2CF9AE}" pid="11" name="Function Operations IDB">
    <vt:lpwstr>1;#Project Preparation, Planning and Design|29ca0c72-1fc4-435f-a09c-28585cb5eac9</vt:lpwstr>
  </property>
  <property fmtid="{D5CDD505-2E9C-101B-9397-08002B2CF9AE}" pid="12" name="Disclosure Activity">
    <vt:lpwstr>Loan Proposal</vt:lpwstr>
  </property>
  <property fmtid="{D5CDD505-2E9C-101B-9397-08002B2CF9AE}" pid="13" name="ContentTypeId">
    <vt:lpwstr>0x0101001A458A224826124E8B45B1D613300CFC00B7DFA5BFE931E3488BC57253420081FE</vt:lpwstr>
  </property>
</Properties>
</file>