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48C0A" w14:textId="77777777" w:rsidR="002A0C09" w:rsidRPr="00FD05C9" w:rsidRDefault="002A0C09" w:rsidP="002A0C09">
      <w:pPr>
        <w:tabs>
          <w:tab w:val="left" w:pos="1440"/>
          <w:tab w:val="left" w:pos="3060"/>
        </w:tabs>
        <w:jc w:val="center"/>
        <w:rPr>
          <w:lang w:val="es-ES_tradnl"/>
        </w:rPr>
      </w:pPr>
      <w:r w:rsidRPr="00FD05C9">
        <w:rPr>
          <w:smallCaps/>
          <w:lang w:val="es-ES_tradnl"/>
        </w:rPr>
        <w:t>Documento del Banco Interamericano de Desarrollo</w:t>
      </w:r>
    </w:p>
    <w:p w14:paraId="20BD2860" w14:textId="77777777" w:rsidR="002A0C09" w:rsidRPr="00FD05C9" w:rsidRDefault="002A0C09" w:rsidP="002A0C09">
      <w:pPr>
        <w:tabs>
          <w:tab w:val="left" w:pos="1440"/>
          <w:tab w:val="left" w:pos="3060"/>
        </w:tabs>
        <w:jc w:val="center"/>
        <w:rPr>
          <w:lang w:val="es-ES_tradnl"/>
        </w:rPr>
      </w:pPr>
      <w:bookmarkStart w:id="0" w:name="h.gjdgxs" w:colFirst="0" w:colLast="0"/>
      <w:bookmarkEnd w:id="0"/>
    </w:p>
    <w:p w14:paraId="13C2BB80" w14:textId="77777777" w:rsidR="002A0C09" w:rsidRPr="00FD05C9" w:rsidRDefault="002A0C09" w:rsidP="002A0C09">
      <w:pPr>
        <w:tabs>
          <w:tab w:val="left" w:pos="1440"/>
          <w:tab w:val="left" w:pos="3060"/>
        </w:tabs>
        <w:jc w:val="center"/>
        <w:rPr>
          <w:lang w:val="es-ES_tradnl"/>
        </w:rPr>
      </w:pPr>
    </w:p>
    <w:p w14:paraId="309FE210" w14:textId="30AAF7CC" w:rsidR="008B573A" w:rsidRPr="002242AA" w:rsidRDefault="008B573A" w:rsidP="008B573A">
      <w:pPr>
        <w:tabs>
          <w:tab w:val="left" w:pos="1440"/>
          <w:tab w:val="left" w:pos="3060"/>
        </w:tabs>
        <w:jc w:val="center"/>
        <w:rPr>
          <w:b/>
          <w:smallCaps/>
          <w:sz w:val="28"/>
          <w:lang w:val="es-ES_tradnl"/>
        </w:rPr>
      </w:pPr>
      <w:r>
        <w:rPr>
          <w:b/>
          <w:smallCaps/>
          <w:sz w:val="28"/>
          <w:lang w:val="es-ES_tradnl"/>
        </w:rPr>
        <w:t xml:space="preserve">Paraguay </w:t>
      </w:r>
    </w:p>
    <w:p w14:paraId="00B03B03" w14:textId="719BA18B" w:rsidR="002A0C09" w:rsidRPr="002242AA" w:rsidRDefault="002A0C09" w:rsidP="002A0C09">
      <w:pPr>
        <w:tabs>
          <w:tab w:val="left" w:pos="1440"/>
          <w:tab w:val="left" w:pos="3060"/>
        </w:tabs>
        <w:jc w:val="center"/>
        <w:rPr>
          <w:b/>
          <w:smallCaps/>
          <w:sz w:val="28"/>
          <w:lang w:val="es-ES_tradnl"/>
        </w:rPr>
      </w:pPr>
    </w:p>
    <w:p w14:paraId="03D4823D" w14:textId="77777777" w:rsidR="002A0C09" w:rsidRPr="00FD05C9" w:rsidRDefault="002A0C09" w:rsidP="002A0C09">
      <w:pPr>
        <w:tabs>
          <w:tab w:val="left" w:pos="1440"/>
          <w:tab w:val="left" w:pos="3060"/>
        </w:tabs>
        <w:jc w:val="center"/>
        <w:rPr>
          <w:lang w:val="es-ES_tradnl"/>
        </w:rPr>
      </w:pPr>
    </w:p>
    <w:p w14:paraId="0A950EB8" w14:textId="77777777" w:rsidR="002A0C09" w:rsidRPr="00FD05C9" w:rsidRDefault="002A0C09" w:rsidP="002A0C09">
      <w:pPr>
        <w:tabs>
          <w:tab w:val="left" w:pos="1440"/>
          <w:tab w:val="left" w:pos="3060"/>
        </w:tabs>
        <w:jc w:val="center"/>
        <w:rPr>
          <w:lang w:val="es-ES_tradnl"/>
        </w:rPr>
      </w:pPr>
    </w:p>
    <w:p w14:paraId="13625C6E" w14:textId="77777777" w:rsidR="002A0C09" w:rsidRPr="00FD05C9" w:rsidRDefault="002A0C09" w:rsidP="002A0C09">
      <w:pPr>
        <w:tabs>
          <w:tab w:val="left" w:pos="1440"/>
          <w:tab w:val="left" w:pos="3060"/>
        </w:tabs>
        <w:jc w:val="center"/>
        <w:rPr>
          <w:lang w:val="es-ES_tradnl"/>
        </w:rPr>
      </w:pPr>
    </w:p>
    <w:p w14:paraId="3F80A948" w14:textId="77777777" w:rsidR="002A0C09" w:rsidRPr="00FD05C9" w:rsidRDefault="002A0C09" w:rsidP="002A0C09">
      <w:pPr>
        <w:tabs>
          <w:tab w:val="left" w:pos="1440"/>
          <w:tab w:val="left" w:pos="3060"/>
        </w:tabs>
        <w:jc w:val="center"/>
        <w:rPr>
          <w:lang w:val="es-ES_tradnl"/>
        </w:rPr>
      </w:pPr>
    </w:p>
    <w:p w14:paraId="45EAF977" w14:textId="18BB4BE2" w:rsidR="002A0C09" w:rsidRPr="00046E14" w:rsidRDefault="008B573A" w:rsidP="002A0C09">
      <w:pPr>
        <w:pStyle w:val="Newpage"/>
        <w:rPr>
          <w:rFonts w:ascii="Arial" w:hAnsi="Arial" w:cs="Arial"/>
          <w:b w:val="0"/>
          <w:caps/>
          <w:smallCaps w:val="0"/>
          <w:sz w:val="22"/>
          <w:szCs w:val="22"/>
        </w:rPr>
      </w:pPr>
      <w:r>
        <w:rPr>
          <w:rFonts w:ascii="Arial" w:hAnsi="Arial" w:cs="Arial"/>
          <w:sz w:val="28"/>
          <w:szCs w:val="28"/>
        </w:rPr>
        <w:t xml:space="preserve">Programa de Rehabilitación y </w:t>
      </w:r>
      <w:r w:rsidR="002A0C09" w:rsidRPr="00994CAB">
        <w:rPr>
          <w:rFonts w:ascii="Arial" w:hAnsi="Arial" w:cs="Arial"/>
          <w:sz w:val="28"/>
          <w:szCs w:val="28"/>
        </w:rPr>
        <w:t>Modernización de</w:t>
      </w:r>
      <w:r>
        <w:rPr>
          <w:rFonts w:ascii="Arial" w:hAnsi="Arial" w:cs="Arial"/>
          <w:sz w:val="28"/>
          <w:szCs w:val="28"/>
        </w:rPr>
        <w:t xml:space="preserve"> la Central Hidroeléctrica </w:t>
      </w:r>
      <w:proofErr w:type="spellStart"/>
      <w:r>
        <w:rPr>
          <w:rFonts w:ascii="Arial" w:hAnsi="Arial" w:cs="Arial"/>
          <w:sz w:val="28"/>
          <w:szCs w:val="28"/>
        </w:rPr>
        <w:t>Acaray</w:t>
      </w:r>
      <w:proofErr w:type="spellEnd"/>
      <w:r>
        <w:rPr>
          <w:rFonts w:ascii="Arial" w:hAnsi="Arial" w:cs="Arial"/>
          <w:sz w:val="28"/>
          <w:szCs w:val="28"/>
        </w:rPr>
        <w:t xml:space="preserve"> </w:t>
      </w:r>
    </w:p>
    <w:p w14:paraId="62713321" w14:textId="77777777" w:rsidR="002A0C09" w:rsidRPr="00046E14" w:rsidRDefault="002A0C09" w:rsidP="002A0C09">
      <w:pPr>
        <w:pStyle w:val="Newpage"/>
        <w:rPr>
          <w:rFonts w:ascii="Arial" w:hAnsi="Arial" w:cs="Arial"/>
          <w:b w:val="0"/>
          <w:caps/>
          <w:smallCaps w:val="0"/>
          <w:sz w:val="22"/>
          <w:szCs w:val="22"/>
        </w:rPr>
      </w:pPr>
    </w:p>
    <w:p w14:paraId="2BC35E38" w14:textId="7447EF32" w:rsidR="002A0C09" w:rsidRPr="00046E14" w:rsidRDefault="002A0C09" w:rsidP="002A0C09">
      <w:pPr>
        <w:tabs>
          <w:tab w:val="left" w:pos="1440"/>
          <w:tab w:val="left" w:pos="3060"/>
        </w:tabs>
        <w:jc w:val="center"/>
        <w:rPr>
          <w:b/>
          <w:smallCaps/>
          <w:lang w:val="es-ES"/>
        </w:rPr>
      </w:pPr>
      <w:r w:rsidRPr="00046E14">
        <w:rPr>
          <w:b/>
          <w:smallCaps/>
          <w:lang w:val="es-ES"/>
        </w:rPr>
        <w:t>(</w:t>
      </w:r>
      <w:r w:rsidR="008B573A">
        <w:rPr>
          <w:b/>
          <w:smallCaps/>
          <w:lang w:val="es-ES"/>
        </w:rPr>
        <w:t>PR-L1156</w:t>
      </w:r>
      <w:r w:rsidRPr="00046E14">
        <w:rPr>
          <w:b/>
          <w:smallCaps/>
          <w:lang w:val="es-ES"/>
        </w:rPr>
        <w:t>)</w:t>
      </w:r>
    </w:p>
    <w:p w14:paraId="01024D09" w14:textId="77777777" w:rsidR="002A0C09" w:rsidRPr="00FD05C9" w:rsidRDefault="002A0C09" w:rsidP="002A0C09">
      <w:pPr>
        <w:tabs>
          <w:tab w:val="left" w:pos="1440"/>
          <w:tab w:val="left" w:pos="3060"/>
        </w:tabs>
        <w:jc w:val="center"/>
        <w:rPr>
          <w:lang w:val="es-ES_tradnl"/>
        </w:rPr>
      </w:pPr>
    </w:p>
    <w:p w14:paraId="051E2555" w14:textId="77777777" w:rsidR="002A0C09" w:rsidRPr="00FD05C9" w:rsidRDefault="002A0C09" w:rsidP="002A0C09">
      <w:pPr>
        <w:tabs>
          <w:tab w:val="left" w:pos="1440"/>
          <w:tab w:val="left" w:pos="3060"/>
        </w:tabs>
        <w:jc w:val="center"/>
        <w:rPr>
          <w:lang w:val="es-ES_tradnl"/>
        </w:rPr>
      </w:pPr>
    </w:p>
    <w:p w14:paraId="708AD942" w14:textId="77777777" w:rsidR="002A0C09" w:rsidRPr="00FD05C9" w:rsidRDefault="002A0C09" w:rsidP="002A0C09">
      <w:pPr>
        <w:tabs>
          <w:tab w:val="left" w:pos="1440"/>
          <w:tab w:val="left" w:pos="3060"/>
        </w:tabs>
        <w:jc w:val="center"/>
        <w:rPr>
          <w:lang w:val="es-ES_tradnl"/>
        </w:rPr>
      </w:pPr>
    </w:p>
    <w:p w14:paraId="19BDBFB3" w14:textId="552356BD" w:rsidR="002A0C09" w:rsidRPr="00FD05C9" w:rsidRDefault="00E5039C" w:rsidP="002A0C09">
      <w:pPr>
        <w:tabs>
          <w:tab w:val="left" w:pos="1440"/>
          <w:tab w:val="left" w:pos="3060"/>
        </w:tabs>
        <w:jc w:val="center"/>
        <w:rPr>
          <w:b/>
          <w:smallCaps/>
          <w:lang w:val="es-ES_tradnl"/>
        </w:rPr>
      </w:pPr>
      <w:r>
        <w:rPr>
          <w:b/>
          <w:smallCaps/>
          <w:lang w:val="es-ES_tradnl"/>
        </w:rPr>
        <w:t xml:space="preserve">Anexo Técnico: </w:t>
      </w:r>
      <w:r w:rsidRPr="000831BA">
        <w:rPr>
          <w:b/>
          <w:smallCaps/>
          <w:lang w:val="es-ES_tradnl"/>
        </w:rPr>
        <w:t>Integración Regional</w:t>
      </w:r>
    </w:p>
    <w:p w14:paraId="1F700049" w14:textId="77777777" w:rsidR="002A0C09" w:rsidRPr="00FD05C9" w:rsidRDefault="002A0C09" w:rsidP="002A0C09">
      <w:pPr>
        <w:tabs>
          <w:tab w:val="left" w:pos="1440"/>
          <w:tab w:val="left" w:pos="3060"/>
        </w:tabs>
        <w:jc w:val="center"/>
        <w:rPr>
          <w:b/>
          <w:smallCaps/>
          <w:lang w:val="es-ES_tradnl"/>
        </w:rPr>
      </w:pPr>
    </w:p>
    <w:p w14:paraId="26C7A439" w14:textId="77777777" w:rsidR="002A0C09" w:rsidRPr="00FD05C9" w:rsidRDefault="002A0C09" w:rsidP="002A0C09">
      <w:pPr>
        <w:tabs>
          <w:tab w:val="left" w:pos="1440"/>
          <w:tab w:val="left" w:pos="3060"/>
        </w:tabs>
        <w:jc w:val="center"/>
        <w:rPr>
          <w:b/>
          <w:smallCaps/>
          <w:lang w:val="es-ES_tradnl"/>
        </w:rPr>
      </w:pPr>
    </w:p>
    <w:p w14:paraId="4DBBD0C3" w14:textId="77777777" w:rsidR="002A0C09" w:rsidRPr="00FD05C9" w:rsidRDefault="002A0C09" w:rsidP="002A0C09">
      <w:pPr>
        <w:pStyle w:val="ColorfulList-Accent11"/>
        <w:ind w:left="1080"/>
        <w:jc w:val="center"/>
        <w:rPr>
          <w:rFonts w:ascii="Arial" w:hAnsi="Arial" w:cs="Arial"/>
          <w:smallCaps/>
        </w:rPr>
      </w:pPr>
    </w:p>
    <w:p w14:paraId="39449831" w14:textId="77777777" w:rsidR="002A0C09" w:rsidRPr="00FD05C9" w:rsidRDefault="002A0C09" w:rsidP="002A0C09">
      <w:pPr>
        <w:autoSpaceDE w:val="0"/>
        <w:adjustRightInd w:val="0"/>
        <w:rPr>
          <w:lang w:val="es-ES_tradnl"/>
        </w:rPr>
      </w:pPr>
    </w:p>
    <w:p w14:paraId="178F50FE" w14:textId="77777777" w:rsidR="002A0C09" w:rsidRPr="002A0C09" w:rsidRDefault="002A0C09" w:rsidP="002A0C09">
      <w:pPr>
        <w:pStyle w:val="BodyText"/>
        <w:pBdr>
          <w:top w:val="single" w:sz="4" w:space="1" w:color="auto"/>
          <w:left w:val="single" w:sz="4" w:space="4" w:color="auto"/>
          <w:bottom w:val="single" w:sz="4" w:space="0" w:color="auto"/>
          <w:right w:val="single" w:sz="4" w:space="4" w:color="auto"/>
        </w:pBdr>
        <w:tabs>
          <w:tab w:val="left" w:pos="1440"/>
        </w:tabs>
        <w:rPr>
          <w:rFonts w:cs="Arial"/>
          <w:lang w:val="es-UY"/>
        </w:rPr>
      </w:pPr>
      <w:r w:rsidRPr="002A0C09">
        <w:rPr>
          <w:rFonts w:cs="Arial"/>
          <w:color w:val="000000"/>
          <w:lang w:val="es-UY"/>
        </w:rPr>
        <w:t>El presente documento contiene información confidencial comprendida en una o más de las diez excepciones de la Política de Acceso a Información y, por lo tanto, no se puede divulgar fuera del Banco.</w:t>
      </w:r>
    </w:p>
    <w:p w14:paraId="49597909" w14:textId="47C3724B" w:rsidR="002D1C81" w:rsidRDefault="002D1C81">
      <w:pPr>
        <w:rPr>
          <w:b/>
          <w:u w:val="single"/>
          <w:lang w:val="es-UY"/>
        </w:rPr>
      </w:pPr>
    </w:p>
    <w:p w14:paraId="300474B9" w14:textId="35FEB001" w:rsidR="00E5039C" w:rsidRDefault="00E5039C">
      <w:pPr>
        <w:rPr>
          <w:b/>
          <w:u w:val="single"/>
          <w:lang w:val="es-UY"/>
        </w:rPr>
      </w:pPr>
    </w:p>
    <w:p w14:paraId="06B2E531" w14:textId="180F3F93" w:rsidR="00E5039C" w:rsidRDefault="00E5039C">
      <w:pPr>
        <w:rPr>
          <w:b/>
          <w:u w:val="single"/>
          <w:lang w:val="es-UY"/>
        </w:rPr>
      </w:pPr>
    </w:p>
    <w:p w14:paraId="1C06BBC7" w14:textId="495E7ECF" w:rsidR="00E5039C" w:rsidRDefault="00E5039C">
      <w:pPr>
        <w:rPr>
          <w:b/>
          <w:u w:val="single"/>
          <w:lang w:val="es-UY"/>
        </w:rPr>
      </w:pPr>
    </w:p>
    <w:p w14:paraId="4933A9E9" w14:textId="5E0A19E6" w:rsidR="00E5039C" w:rsidRDefault="00E5039C">
      <w:pPr>
        <w:rPr>
          <w:b/>
          <w:u w:val="single"/>
          <w:lang w:val="es-UY"/>
        </w:rPr>
      </w:pPr>
    </w:p>
    <w:p w14:paraId="35FEDBE0" w14:textId="77777777" w:rsidR="00AF3034" w:rsidRDefault="00E4003A">
      <w:pPr>
        <w:rPr>
          <w:b/>
          <w:u w:val="single"/>
          <w:lang w:val="es-UY"/>
        </w:rPr>
      </w:pPr>
      <w:r>
        <w:rPr>
          <w:b/>
          <w:u w:val="single"/>
          <w:lang w:val="es-UY"/>
        </w:rPr>
        <w:br w:type="page"/>
      </w:r>
    </w:p>
    <w:p w14:paraId="5199D645" w14:textId="77777777" w:rsidR="00AF3034" w:rsidRDefault="00AF3034">
      <w:pPr>
        <w:rPr>
          <w:b/>
          <w:u w:val="single"/>
          <w:lang w:val="es-UY"/>
        </w:rPr>
      </w:pPr>
    </w:p>
    <w:p w14:paraId="4B0ECAF1" w14:textId="4E7053CF" w:rsidR="003F1E74" w:rsidRDefault="003F1E74" w:rsidP="00AF3034">
      <w:pPr>
        <w:jc w:val="center"/>
        <w:rPr>
          <w:noProof/>
        </w:rPr>
      </w:pPr>
      <w:r>
        <w:rPr>
          <w:b/>
          <w:u w:val="single"/>
          <w:lang w:val="es-UY"/>
        </w:rPr>
        <w:t>INDICE</w:t>
      </w:r>
      <w:r w:rsidR="00AF3034">
        <w:rPr>
          <w:b/>
          <w:u w:val="single"/>
          <w:lang w:val="es-UY"/>
        </w:rPr>
        <w:fldChar w:fldCharType="begin"/>
      </w:r>
      <w:r w:rsidR="00AF3034">
        <w:rPr>
          <w:b/>
          <w:u w:val="single"/>
          <w:lang w:val="es-UY"/>
        </w:rPr>
        <w:instrText xml:space="preserve"> TOC \o "1-1" \h \z \u </w:instrText>
      </w:r>
      <w:r w:rsidR="00AF3034">
        <w:rPr>
          <w:b/>
          <w:u w:val="single"/>
          <w:lang w:val="es-UY"/>
        </w:rPr>
        <w:fldChar w:fldCharType="separate"/>
      </w:r>
    </w:p>
    <w:p w14:paraId="118C5340" w14:textId="48FB5E59" w:rsidR="003F1E74" w:rsidRDefault="00B36E9A">
      <w:pPr>
        <w:pStyle w:val="TOC1"/>
        <w:tabs>
          <w:tab w:val="left" w:pos="440"/>
          <w:tab w:val="right" w:leader="dot" w:pos="9350"/>
        </w:tabs>
        <w:rPr>
          <w:rFonts w:asciiTheme="minorHAnsi" w:eastAsiaTheme="minorEastAsia" w:hAnsiTheme="minorHAnsi"/>
          <w:noProof/>
        </w:rPr>
      </w:pPr>
      <w:hyperlink w:anchor="_Toc525050899" w:history="1">
        <w:r w:rsidR="003F1E74" w:rsidRPr="00F654E5">
          <w:rPr>
            <w:rStyle w:val="Hyperlink"/>
            <w:rFonts w:eastAsia="Times New Roman"/>
            <w:noProof/>
          </w:rPr>
          <w:t>A.</w:t>
        </w:r>
        <w:r w:rsidR="003F1E74">
          <w:rPr>
            <w:rFonts w:asciiTheme="minorHAnsi" w:eastAsiaTheme="minorEastAsia" w:hAnsiTheme="minorHAnsi"/>
            <w:noProof/>
          </w:rPr>
          <w:tab/>
        </w:r>
        <w:r w:rsidR="003F1E74" w:rsidRPr="00F654E5">
          <w:rPr>
            <w:rStyle w:val="Hyperlink"/>
            <w:rFonts w:eastAsia="Times New Roman"/>
            <w:noProof/>
          </w:rPr>
          <w:t>Introducción</w:t>
        </w:r>
        <w:r w:rsidR="003F1E74">
          <w:rPr>
            <w:noProof/>
            <w:webHidden/>
          </w:rPr>
          <w:tab/>
        </w:r>
        <w:r w:rsidR="003F1E74">
          <w:rPr>
            <w:noProof/>
            <w:webHidden/>
          </w:rPr>
          <w:fldChar w:fldCharType="begin"/>
        </w:r>
        <w:r w:rsidR="003F1E74">
          <w:rPr>
            <w:noProof/>
            <w:webHidden/>
          </w:rPr>
          <w:instrText xml:space="preserve"> PAGEREF _Toc525050899 \h </w:instrText>
        </w:r>
        <w:r w:rsidR="003F1E74">
          <w:rPr>
            <w:noProof/>
            <w:webHidden/>
          </w:rPr>
        </w:r>
        <w:r w:rsidR="003F1E74">
          <w:rPr>
            <w:noProof/>
            <w:webHidden/>
          </w:rPr>
          <w:fldChar w:fldCharType="separate"/>
        </w:r>
        <w:r w:rsidR="003F1E74">
          <w:rPr>
            <w:noProof/>
            <w:webHidden/>
          </w:rPr>
          <w:t>3</w:t>
        </w:r>
        <w:r w:rsidR="003F1E74">
          <w:rPr>
            <w:noProof/>
            <w:webHidden/>
          </w:rPr>
          <w:fldChar w:fldCharType="end"/>
        </w:r>
      </w:hyperlink>
    </w:p>
    <w:p w14:paraId="4F626D9B" w14:textId="7BDC85F1" w:rsidR="003F1E74" w:rsidRDefault="00B36E9A">
      <w:pPr>
        <w:pStyle w:val="TOC1"/>
        <w:tabs>
          <w:tab w:val="left" w:pos="440"/>
          <w:tab w:val="right" w:leader="dot" w:pos="9350"/>
        </w:tabs>
        <w:rPr>
          <w:rFonts w:asciiTheme="minorHAnsi" w:eastAsiaTheme="minorEastAsia" w:hAnsiTheme="minorHAnsi"/>
          <w:noProof/>
        </w:rPr>
      </w:pPr>
      <w:hyperlink w:anchor="_Toc525050900" w:history="1">
        <w:r w:rsidR="003F1E74" w:rsidRPr="00F654E5">
          <w:rPr>
            <w:rStyle w:val="Hyperlink"/>
            <w:rFonts w:eastAsia="Times New Roman"/>
            <w:noProof/>
          </w:rPr>
          <w:t>B.</w:t>
        </w:r>
        <w:r w:rsidR="003F1E74">
          <w:rPr>
            <w:rFonts w:asciiTheme="minorHAnsi" w:eastAsiaTheme="minorEastAsia" w:hAnsiTheme="minorHAnsi"/>
            <w:noProof/>
          </w:rPr>
          <w:tab/>
        </w:r>
        <w:r w:rsidR="003F1E74" w:rsidRPr="00F654E5">
          <w:rPr>
            <w:rStyle w:val="Hyperlink"/>
            <w:rFonts w:eastAsia="Times New Roman"/>
            <w:noProof/>
          </w:rPr>
          <w:t>Sistema Eléctrico de Paraguay</w:t>
        </w:r>
        <w:r w:rsidR="003F1E74">
          <w:rPr>
            <w:noProof/>
            <w:webHidden/>
          </w:rPr>
          <w:tab/>
        </w:r>
        <w:r w:rsidR="003F1E74">
          <w:rPr>
            <w:noProof/>
            <w:webHidden/>
          </w:rPr>
          <w:fldChar w:fldCharType="begin"/>
        </w:r>
        <w:r w:rsidR="003F1E74">
          <w:rPr>
            <w:noProof/>
            <w:webHidden/>
          </w:rPr>
          <w:instrText xml:space="preserve"> PAGEREF _Toc525050900 \h </w:instrText>
        </w:r>
        <w:r w:rsidR="003F1E74">
          <w:rPr>
            <w:noProof/>
            <w:webHidden/>
          </w:rPr>
        </w:r>
        <w:r w:rsidR="003F1E74">
          <w:rPr>
            <w:noProof/>
            <w:webHidden/>
          </w:rPr>
          <w:fldChar w:fldCharType="separate"/>
        </w:r>
        <w:r w:rsidR="003F1E74">
          <w:rPr>
            <w:noProof/>
            <w:webHidden/>
          </w:rPr>
          <w:t>3</w:t>
        </w:r>
        <w:r w:rsidR="003F1E74">
          <w:rPr>
            <w:noProof/>
            <w:webHidden/>
          </w:rPr>
          <w:fldChar w:fldCharType="end"/>
        </w:r>
      </w:hyperlink>
    </w:p>
    <w:p w14:paraId="0E13A55C" w14:textId="3C1EB03D" w:rsidR="003F1E74" w:rsidRDefault="00B36E9A">
      <w:pPr>
        <w:pStyle w:val="TOC1"/>
        <w:tabs>
          <w:tab w:val="left" w:pos="660"/>
          <w:tab w:val="right" w:leader="dot" w:pos="9350"/>
        </w:tabs>
        <w:rPr>
          <w:rFonts w:asciiTheme="minorHAnsi" w:eastAsiaTheme="minorEastAsia" w:hAnsiTheme="minorHAnsi"/>
          <w:noProof/>
        </w:rPr>
      </w:pPr>
      <w:hyperlink w:anchor="_Toc525050901" w:history="1">
        <w:r w:rsidR="003F1E74" w:rsidRPr="00F654E5">
          <w:rPr>
            <w:rStyle w:val="Hyperlink"/>
            <w:rFonts w:cs="Arial"/>
            <w:noProof/>
            <w:lang w:val="es-ES_tradnl"/>
          </w:rPr>
          <w:t>C.</w:t>
        </w:r>
        <w:r w:rsidR="003F1E74">
          <w:rPr>
            <w:rFonts w:asciiTheme="minorHAnsi" w:eastAsiaTheme="minorEastAsia" w:hAnsiTheme="minorHAnsi"/>
            <w:noProof/>
          </w:rPr>
          <w:tab/>
        </w:r>
        <w:r w:rsidR="003F1E74" w:rsidRPr="00F654E5">
          <w:rPr>
            <w:rStyle w:val="Hyperlink"/>
            <w:noProof/>
            <w:lang w:val="es-ES_tradnl"/>
          </w:rPr>
          <w:t>Central Hidroeléctrica Acaray</w:t>
        </w:r>
        <w:r w:rsidR="003F1E74">
          <w:rPr>
            <w:noProof/>
            <w:webHidden/>
          </w:rPr>
          <w:tab/>
        </w:r>
        <w:r w:rsidR="003F1E74">
          <w:rPr>
            <w:noProof/>
            <w:webHidden/>
          </w:rPr>
          <w:fldChar w:fldCharType="begin"/>
        </w:r>
        <w:r w:rsidR="003F1E74">
          <w:rPr>
            <w:noProof/>
            <w:webHidden/>
          </w:rPr>
          <w:instrText xml:space="preserve"> PAGEREF _Toc525050901 \h </w:instrText>
        </w:r>
        <w:r w:rsidR="003F1E74">
          <w:rPr>
            <w:noProof/>
            <w:webHidden/>
          </w:rPr>
        </w:r>
        <w:r w:rsidR="003F1E74">
          <w:rPr>
            <w:noProof/>
            <w:webHidden/>
          </w:rPr>
          <w:fldChar w:fldCharType="separate"/>
        </w:r>
        <w:r w:rsidR="003F1E74">
          <w:rPr>
            <w:noProof/>
            <w:webHidden/>
          </w:rPr>
          <w:t>5</w:t>
        </w:r>
        <w:r w:rsidR="003F1E74">
          <w:rPr>
            <w:noProof/>
            <w:webHidden/>
          </w:rPr>
          <w:fldChar w:fldCharType="end"/>
        </w:r>
      </w:hyperlink>
    </w:p>
    <w:p w14:paraId="22BB69EE" w14:textId="37693D96" w:rsidR="003F1E74" w:rsidRDefault="00B36E9A">
      <w:pPr>
        <w:pStyle w:val="TOC1"/>
        <w:tabs>
          <w:tab w:val="left" w:pos="660"/>
          <w:tab w:val="right" w:leader="dot" w:pos="9350"/>
        </w:tabs>
        <w:rPr>
          <w:rFonts w:asciiTheme="minorHAnsi" w:eastAsiaTheme="minorEastAsia" w:hAnsiTheme="minorHAnsi"/>
          <w:noProof/>
        </w:rPr>
      </w:pPr>
      <w:hyperlink w:anchor="_Toc525050902" w:history="1">
        <w:r w:rsidR="003F1E74" w:rsidRPr="00F654E5">
          <w:rPr>
            <w:rStyle w:val="Hyperlink"/>
            <w:noProof/>
            <w:lang w:val="es-ES_tradnl"/>
          </w:rPr>
          <w:t>D.</w:t>
        </w:r>
        <w:r w:rsidR="003F1E74">
          <w:rPr>
            <w:rFonts w:asciiTheme="minorHAnsi" w:eastAsiaTheme="minorEastAsia" w:hAnsiTheme="minorHAnsi"/>
            <w:noProof/>
          </w:rPr>
          <w:tab/>
        </w:r>
        <w:r w:rsidR="003F1E74" w:rsidRPr="00F654E5">
          <w:rPr>
            <w:rStyle w:val="Hyperlink"/>
            <w:noProof/>
            <w:lang w:val="es-ES_tradnl"/>
          </w:rPr>
          <w:t>Interconexiones del SIN de Paraguay con Brasil y Argentina. Exportaciones de energía</w:t>
        </w:r>
        <w:r w:rsidR="003F1E74">
          <w:rPr>
            <w:noProof/>
            <w:webHidden/>
          </w:rPr>
          <w:tab/>
        </w:r>
        <w:r w:rsidR="003F1E74">
          <w:rPr>
            <w:noProof/>
            <w:webHidden/>
          </w:rPr>
          <w:fldChar w:fldCharType="begin"/>
        </w:r>
        <w:r w:rsidR="003F1E74">
          <w:rPr>
            <w:noProof/>
            <w:webHidden/>
          </w:rPr>
          <w:instrText xml:space="preserve"> PAGEREF _Toc525050902 \h </w:instrText>
        </w:r>
        <w:r w:rsidR="003F1E74">
          <w:rPr>
            <w:noProof/>
            <w:webHidden/>
          </w:rPr>
        </w:r>
        <w:r w:rsidR="003F1E74">
          <w:rPr>
            <w:noProof/>
            <w:webHidden/>
          </w:rPr>
          <w:fldChar w:fldCharType="separate"/>
        </w:r>
        <w:r w:rsidR="003F1E74">
          <w:rPr>
            <w:noProof/>
            <w:webHidden/>
          </w:rPr>
          <w:t>5</w:t>
        </w:r>
        <w:r w:rsidR="003F1E74">
          <w:rPr>
            <w:noProof/>
            <w:webHidden/>
          </w:rPr>
          <w:fldChar w:fldCharType="end"/>
        </w:r>
      </w:hyperlink>
    </w:p>
    <w:p w14:paraId="0ADB8916" w14:textId="794E5240" w:rsidR="003F1E74" w:rsidRDefault="00B36E9A">
      <w:pPr>
        <w:pStyle w:val="TOC1"/>
        <w:tabs>
          <w:tab w:val="left" w:pos="440"/>
          <w:tab w:val="right" w:leader="dot" w:pos="9350"/>
        </w:tabs>
        <w:rPr>
          <w:rFonts w:asciiTheme="minorHAnsi" w:eastAsiaTheme="minorEastAsia" w:hAnsiTheme="minorHAnsi"/>
          <w:noProof/>
        </w:rPr>
      </w:pPr>
      <w:hyperlink w:anchor="_Toc525050903" w:history="1">
        <w:r w:rsidR="003F1E74" w:rsidRPr="00F654E5">
          <w:rPr>
            <w:rStyle w:val="Hyperlink"/>
            <w:rFonts w:eastAsia="Times New Roman"/>
            <w:noProof/>
            <w:lang w:val="es-ES_tradnl"/>
          </w:rPr>
          <w:t>E.</w:t>
        </w:r>
        <w:r w:rsidR="003F1E74">
          <w:rPr>
            <w:rFonts w:asciiTheme="minorHAnsi" w:eastAsiaTheme="minorEastAsia" w:hAnsiTheme="minorHAnsi"/>
            <w:noProof/>
          </w:rPr>
          <w:tab/>
        </w:r>
        <w:r w:rsidR="003F1E74" w:rsidRPr="00F654E5">
          <w:rPr>
            <w:rStyle w:val="Hyperlink"/>
            <w:rFonts w:eastAsia="Times New Roman"/>
            <w:noProof/>
            <w:lang w:val="es-ES_tradnl"/>
          </w:rPr>
          <w:t>Principales aspectos considerados para la clasificación de PR-L1156 como operación de Integración Regional</w:t>
        </w:r>
        <w:r w:rsidR="003F1E74">
          <w:rPr>
            <w:noProof/>
            <w:webHidden/>
          </w:rPr>
          <w:tab/>
        </w:r>
        <w:r w:rsidR="003F1E74">
          <w:rPr>
            <w:noProof/>
            <w:webHidden/>
          </w:rPr>
          <w:fldChar w:fldCharType="begin"/>
        </w:r>
        <w:r w:rsidR="003F1E74">
          <w:rPr>
            <w:noProof/>
            <w:webHidden/>
          </w:rPr>
          <w:instrText xml:space="preserve"> PAGEREF _Toc525050903 \h </w:instrText>
        </w:r>
        <w:r w:rsidR="003F1E74">
          <w:rPr>
            <w:noProof/>
            <w:webHidden/>
          </w:rPr>
        </w:r>
        <w:r w:rsidR="003F1E74">
          <w:rPr>
            <w:noProof/>
            <w:webHidden/>
          </w:rPr>
          <w:fldChar w:fldCharType="separate"/>
        </w:r>
        <w:r w:rsidR="003F1E74">
          <w:rPr>
            <w:noProof/>
            <w:webHidden/>
          </w:rPr>
          <w:t>7</w:t>
        </w:r>
        <w:r w:rsidR="003F1E74">
          <w:rPr>
            <w:noProof/>
            <w:webHidden/>
          </w:rPr>
          <w:fldChar w:fldCharType="end"/>
        </w:r>
      </w:hyperlink>
    </w:p>
    <w:p w14:paraId="2326B842" w14:textId="5113B8B7" w:rsidR="003F1E74" w:rsidRDefault="00B36E9A">
      <w:pPr>
        <w:pStyle w:val="TOC1"/>
        <w:tabs>
          <w:tab w:val="left" w:pos="440"/>
          <w:tab w:val="right" w:leader="dot" w:pos="9350"/>
        </w:tabs>
        <w:rPr>
          <w:rFonts w:asciiTheme="minorHAnsi" w:eastAsiaTheme="minorEastAsia" w:hAnsiTheme="minorHAnsi"/>
          <w:noProof/>
        </w:rPr>
      </w:pPr>
      <w:hyperlink w:anchor="_Toc525050904" w:history="1">
        <w:r w:rsidR="003F1E74" w:rsidRPr="00F654E5">
          <w:rPr>
            <w:rStyle w:val="Hyperlink"/>
            <w:noProof/>
            <w:lang w:val="es-UY"/>
          </w:rPr>
          <w:t>F.</w:t>
        </w:r>
        <w:r w:rsidR="003F1E74">
          <w:rPr>
            <w:rFonts w:asciiTheme="minorHAnsi" w:eastAsiaTheme="minorEastAsia" w:hAnsiTheme="minorHAnsi"/>
            <w:noProof/>
          </w:rPr>
          <w:tab/>
        </w:r>
        <w:r w:rsidR="003F1E74" w:rsidRPr="00F654E5">
          <w:rPr>
            <w:rStyle w:val="Hyperlink"/>
            <w:noProof/>
            <w:lang w:val="es-UY"/>
          </w:rPr>
          <w:t>Validación de Criterios en el Marco de la Estrategia de Integración</w:t>
        </w:r>
        <w:r w:rsidR="003F1E74">
          <w:rPr>
            <w:noProof/>
            <w:webHidden/>
          </w:rPr>
          <w:tab/>
        </w:r>
        <w:r w:rsidR="003F1E74">
          <w:rPr>
            <w:noProof/>
            <w:webHidden/>
          </w:rPr>
          <w:fldChar w:fldCharType="begin"/>
        </w:r>
        <w:r w:rsidR="003F1E74">
          <w:rPr>
            <w:noProof/>
            <w:webHidden/>
          </w:rPr>
          <w:instrText xml:space="preserve"> PAGEREF _Toc525050904 \h </w:instrText>
        </w:r>
        <w:r w:rsidR="003F1E74">
          <w:rPr>
            <w:noProof/>
            <w:webHidden/>
          </w:rPr>
        </w:r>
        <w:r w:rsidR="003F1E74">
          <w:rPr>
            <w:noProof/>
            <w:webHidden/>
          </w:rPr>
          <w:fldChar w:fldCharType="separate"/>
        </w:r>
        <w:r w:rsidR="003F1E74">
          <w:rPr>
            <w:noProof/>
            <w:webHidden/>
          </w:rPr>
          <w:t>8</w:t>
        </w:r>
        <w:r w:rsidR="003F1E74">
          <w:rPr>
            <w:noProof/>
            <w:webHidden/>
          </w:rPr>
          <w:fldChar w:fldCharType="end"/>
        </w:r>
      </w:hyperlink>
    </w:p>
    <w:p w14:paraId="4490669E" w14:textId="5663BD50" w:rsidR="00E4003A" w:rsidRDefault="00AF3034">
      <w:pPr>
        <w:rPr>
          <w:b/>
          <w:u w:val="single"/>
          <w:lang w:val="es-UY"/>
        </w:rPr>
      </w:pPr>
      <w:r>
        <w:rPr>
          <w:b/>
          <w:u w:val="single"/>
          <w:lang w:val="es-UY"/>
        </w:rPr>
        <w:fldChar w:fldCharType="end"/>
      </w:r>
    </w:p>
    <w:p w14:paraId="3B4F575B" w14:textId="77777777" w:rsidR="00E5039C" w:rsidRDefault="00E5039C">
      <w:pPr>
        <w:rPr>
          <w:b/>
          <w:u w:val="single"/>
          <w:lang w:val="es-UY"/>
        </w:rPr>
      </w:pPr>
    </w:p>
    <w:p w14:paraId="42EE47D9" w14:textId="77777777" w:rsidR="00AF3034" w:rsidRDefault="00AF3034">
      <w:pPr>
        <w:jc w:val="left"/>
        <w:rPr>
          <w:rFonts w:eastAsia="Times New Roman" w:cstheme="majorBidi"/>
          <w:b/>
          <w:szCs w:val="32"/>
        </w:rPr>
      </w:pPr>
      <w:r>
        <w:rPr>
          <w:rFonts w:eastAsia="Times New Roman"/>
        </w:rPr>
        <w:br w:type="page"/>
      </w:r>
    </w:p>
    <w:p w14:paraId="785AB798" w14:textId="456B5D7C" w:rsidR="002D1C81" w:rsidRPr="007C33AD" w:rsidRDefault="00F25F06" w:rsidP="007C33AD">
      <w:pPr>
        <w:pStyle w:val="Heading1"/>
        <w:rPr>
          <w:rFonts w:eastAsia="Times New Roman"/>
        </w:rPr>
      </w:pPr>
      <w:bookmarkStart w:id="1" w:name="_Toc525050899"/>
      <w:r w:rsidRPr="007C33AD">
        <w:rPr>
          <w:rFonts w:eastAsia="Times New Roman"/>
        </w:rPr>
        <w:lastRenderedPageBreak/>
        <w:t>Introducción</w:t>
      </w:r>
      <w:bookmarkEnd w:id="1"/>
    </w:p>
    <w:p w14:paraId="1C589C13" w14:textId="646B1679" w:rsidR="00E5251E" w:rsidRPr="00E5251E" w:rsidRDefault="00422173" w:rsidP="000831BA">
      <w:pPr>
        <w:pStyle w:val="Paragraph"/>
        <w:numPr>
          <w:ilvl w:val="0"/>
          <w:numId w:val="0"/>
        </w:numPr>
        <w:ind w:left="720" w:hanging="720"/>
        <w:rPr>
          <w:rFonts w:eastAsia="MS Mincho"/>
        </w:rPr>
      </w:pPr>
      <w:r>
        <w:rPr>
          <w:rFonts w:eastAsia="MS Mincho"/>
        </w:rPr>
        <w:t>1.1</w:t>
      </w:r>
      <w:r>
        <w:rPr>
          <w:rFonts w:eastAsia="MS Mincho"/>
        </w:rPr>
        <w:tab/>
      </w:r>
      <w:r w:rsidR="00E5251E" w:rsidRPr="00E5251E">
        <w:rPr>
          <w:rFonts w:eastAsia="MS Mincho"/>
        </w:rPr>
        <w:t xml:space="preserve">La Central Hidroeléctrica </w:t>
      </w:r>
      <w:proofErr w:type="spellStart"/>
      <w:r w:rsidR="00E5251E" w:rsidRPr="00E5251E">
        <w:rPr>
          <w:rFonts w:eastAsia="MS Mincho"/>
        </w:rPr>
        <w:t>Acaray</w:t>
      </w:r>
      <w:proofErr w:type="spellEnd"/>
      <w:r w:rsidR="00E5251E" w:rsidRPr="00E5251E">
        <w:rPr>
          <w:rFonts w:eastAsia="MS Mincho"/>
        </w:rPr>
        <w:t xml:space="preserve"> (CHA), con una capacidad de 214 MW, inició su operación en 1968. El BID proporcionó apoyo técnico y financiamiento para la construcción de la central en los años 60 y 70. Desde entonces, la energía generada por la CHA ha sido utilizada para abastecer la demanda de electricidad del mercado paraguayo y, en menor proporción, la de los mercados de Brasil y Argentina en distintos períodos.</w:t>
      </w:r>
    </w:p>
    <w:p w14:paraId="69947FBA" w14:textId="7D8145A8" w:rsidR="001C392D" w:rsidRDefault="00422173" w:rsidP="000831BA">
      <w:pPr>
        <w:pStyle w:val="Paragraph"/>
        <w:numPr>
          <w:ilvl w:val="0"/>
          <w:numId w:val="0"/>
        </w:numPr>
        <w:ind w:left="720" w:hanging="720"/>
        <w:rPr>
          <w:rFonts w:eastAsia="MS Mincho"/>
        </w:rPr>
      </w:pPr>
      <w:r>
        <w:rPr>
          <w:rFonts w:eastAsia="MS Mincho"/>
        </w:rPr>
        <w:t>1.2</w:t>
      </w:r>
      <w:r>
        <w:rPr>
          <w:rFonts w:eastAsia="MS Mincho"/>
        </w:rPr>
        <w:tab/>
      </w:r>
      <w:r w:rsidR="1AE7B4AB" w:rsidRPr="1AE7B4AB">
        <w:rPr>
          <w:rFonts w:eastAsia="MS Mincho"/>
        </w:rPr>
        <w:t xml:space="preserve">En el presente documento se analiza la alineación y contribución del préstamo </w:t>
      </w:r>
      <w:r w:rsidR="008B573A">
        <w:rPr>
          <w:rFonts w:eastAsia="MS Mincho"/>
          <w:i/>
          <w:iCs/>
        </w:rPr>
        <w:t>PR-L1156</w:t>
      </w:r>
      <w:r w:rsidR="1AE7B4AB" w:rsidRPr="1AE7B4AB">
        <w:rPr>
          <w:rFonts w:eastAsia="MS Mincho"/>
          <w:i/>
          <w:iCs/>
        </w:rPr>
        <w:t xml:space="preserve">: </w:t>
      </w:r>
      <w:r w:rsidR="008B573A">
        <w:rPr>
          <w:rFonts w:eastAsia="MS Mincho"/>
          <w:i/>
          <w:iCs/>
        </w:rPr>
        <w:t xml:space="preserve">Programa de Rehabilitación y </w:t>
      </w:r>
      <w:r w:rsidR="1AE7B4AB" w:rsidRPr="1AE7B4AB">
        <w:rPr>
          <w:rFonts w:eastAsia="MS Mincho"/>
          <w:i/>
          <w:iCs/>
        </w:rPr>
        <w:t xml:space="preserve">Modernización </w:t>
      </w:r>
      <w:r w:rsidR="008B573A">
        <w:rPr>
          <w:rFonts w:eastAsia="MS Mincho"/>
          <w:i/>
          <w:iCs/>
        </w:rPr>
        <w:t xml:space="preserve">de la Central Hidroeléctrica </w:t>
      </w:r>
      <w:proofErr w:type="spellStart"/>
      <w:r w:rsidR="008B573A">
        <w:rPr>
          <w:rFonts w:eastAsia="MS Mincho"/>
          <w:i/>
          <w:iCs/>
        </w:rPr>
        <w:t>Acaray</w:t>
      </w:r>
      <w:proofErr w:type="spellEnd"/>
      <w:r w:rsidR="008B573A">
        <w:rPr>
          <w:rFonts w:eastAsia="MS Mincho"/>
          <w:i/>
          <w:iCs/>
        </w:rPr>
        <w:t xml:space="preserve"> </w:t>
      </w:r>
      <w:r w:rsidR="1AE7B4AB" w:rsidRPr="1AE7B4AB">
        <w:rPr>
          <w:rFonts w:eastAsia="MS Mincho"/>
        </w:rPr>
        <w:t xml:space="preserve">exponiendo los argumentos que explican cómo dicha operación contribuye a la integración regional, validando por lo tanto su alineación con el desafío regional de Integración Económica planteado en la Estrategia Institucional del Banco (EIB) 2010-2020 (GN-2788-5). </w:t>
      </w:r>
    </w:p>
    <w:p w14:paraId="2DF5A58B" w14:textId="7B4A0C86" w:rsidR="005C2DC7" w:rsidRPr="00253B8C" w:rsidRDefault="00422173" w:rsidP="000831BA">
      <w:pPr>
        <w:pStyle w:val="Paragraph"/>
        <w:numPr>
          <w:ilvl w:val="0"/>
          <w:numId w:val="0"/>
        </w:numPr>
        <w:ind w:left="720" w:hanging="720"/>
        <w:rPr>
          <w:rFonts w:eastAsia="MS Mincho"/>
        </w:rPr>
      </w:pPr>
      <w:r>
        <w:rPr>
          <w:rFonts w:eastAsia="MS Mincho"/>
        </w:rPr>
        <w:t>1.3</w:t>
      </w:r>
      <w:r>
        <w:rPr>
          <w:rFonts w:eastAsia="MS Mincho"/>
        </w:rPr>
        <w:tab/>
      </w:r>
      <w:r w:rsidR="1AE7B4AB" w:rsidRPr="00253B8C">
        <w:rPr>
          <w:rFonts w:eastAsia="MS Mincho"/>
        </w:rPr>
        <w:t xml:space="preserve">Este anexo técnico comienza con una descripción </w:t>
      </w:r>
      <w:r w:rsidR="008B573A" w:rsidRPr="00253B8C">
        <w:rPr>
          <w:rFonts w:eastAsia="MS Mincho"/>
        </w:rPr>
        <w:t>del sistema eléctrico de Paraguay</w:t>
      </w:r>
      <w:r w:rsidR="00253B8C" w:rsidRPr="00253B8C">
        <w:rPr>
          <w:rFonts w:eastAsia="MS Mincho"/>
        </w:rPr>
        <w:t xml:space="preserve">, de la </w:t>
      </w:r>
      <w:r w:rsidR="00EE57A5">
        <w:rPr>
          <w:rFonts w:eastAsia="MS Mincho"/>
        </w:rPr>
        <w:t>CHA</w:t>
      </w:r>
      <w:r w:rsidR="00253B8C" w:rsidRPr="00253B8C">
        <w:rPr>
          <w:rFonts w:eastAsia="MS Mincho"/>
        </w:rPr>
        <w:t>, única central de propiedad de la ANDE (empresa estatal de energía eléctrica que tiene el monopolio de los segmentos de generación, transmisión y distribución en el país), de las interconexiones con los países vecinos (Brasil y Argentina) y exportaciones de energía eléctrica. F</w:t>
      </w:r>
      <w:r w:rsidR="1AE7B4AB" w:rsidRPr="00253B8C">
        <w:rPr>
          <w:rFonts w:eastAsia="MS Mincho"/>
        </w:rPr>
        <w:t xml:space="preserve">inalmente se procede a establecer las razones para considerar la operación como de Integración Regional y la alineación con la Estrategia Institucional del Banco.  </w:t>
      </w:r>
    </w:p>
    <w:p w14:paraId="28B84A7F" w14:textId="3D21AACF" w:rsidR="00707D6E" w:rsidRPr="007C33AD" w:rsidRDefault="00A67342" w:rsidP="007C33AD">
      <w:pPr>
        <w:pStyle w:val="Heading1"/>
        <w:rPr>
          <w:rFonts w:eastAsia="Times New Roman"/>
        </w:rPr>
      </w:pPr>
      <w:bookmarkStart w:id="2" w:name="_Toc525050900"/>
      <w:bookmarkStart w:id="3" w:name="_Ref519007665"/>
      <w:r w:rsidRPr="007C33AD">
        <w:rPr>
          <w:rFonts w:eastAsia="Times New Roman"/>
        </w:rPr>
        <w:t xml:space="preserve">Sistema </w:t>
      </w:r>
      <w:proofErr w:type="spellStart"/>
      <w:r w:rsidRPr="007C33AD">
        <w:rPr>
          <w:rFonts w:eastAsia="Times New Roman"/>
        </w:rPr>
        <w:t>Eléctrico</w:t>
      </w:r>
      <w:proofErr w:type="spellEnd"/>
      <w:r w:rsidRPr="007C33AD">
        <w:rPr>
          <w:rFonts w:eastAsia="Times New Roman"/>
        </w:rPr>
        <w:t xml:space="preserve"> </w:t>
      </w:r>
      <w:r w:rsidR="008B573A">
        <w:rPr>
          <w:rFonts w:eastAsia="Times New Roman"/>
        </w:rPr>
        <w:t>de Paraguay</w:t>
      </w:r>
      <w:bookmarkEnd w:id="2"/>
      <w:r w:rsidRPr="007C33AD">
        <w:rPr>
          <w:rFonts w:eastAsia="Times New Roman"/>
        </w:rPr>
        <w:t xml:space="preserve"> </w:t>
      </w:r>
    </w:p>
    <w:p w14:paraId="304EEAAC" w14:textId="6D906165" w:rsidR="00A707F5" w:rsidRPr="00FF662B" w:rsidRDefault="00422173" w:rsidP="000831BA">
      <w:pPr>
        <w:pStyle w:val="Paragraph"/>
        <w:numPr>
          <w:ilvl w:val="0"/>
          <w:numId w:val="0"/>
        </w:numPr>
        <w:ind w:left="720" w:hanging="720"/>
      </w:pPr>
      <w:r>
        <w:t>1.4</w:t>
      </w:r>
      <w:r>
        <w:tab/>
      </w:r>
      <w:r w:rsidR="008B573A">
        <w:t xml:space="preserve">Paraguay </w:t>
      </w:r>
      <w:r w:rsidR="00A707F5">
        <w:t xml:space="preserve">tiene una </w:t>
      </w:r>
      <w:r w:rsidR="00A707F5" w:rsidRPr="00FF662B">
        <w:t xml:space="preserve">capacidad de generación eléctrica </w:t>
      </w:r>
      <w:r w:rsidR="00A707F5">
        <w:t xml:space="preserve">propia </w:t>
      </w:r>
      <w:r w:rsidR="00A707F5" w:rsidRPr="00FF662B">
        <w:t>de 8.81</w:t>
      </w:r>
      <w:r w:rsidR="00A707F5">
        <w:t>4</w:t>
      </w:r>
      <w:r w:rsidR="00A707F5" w:rsidRPr="00FF662B">
        <w:t xml:space="preserve"> </w:t>
      </w:r>
      <w:proofErr w:type="spellStart"/>
      <w:r w:rsidR="00A707F5" w:rsidRPr="00FF662B">
        <w:t>MegaVatios</w:t>
      </w:r>
      <w:proofErr w:type="spellEnd"/>
      <w:r w:rsidR="00A707F5" w:rsidRPr="00FF662B">
        <w:t xml:space="preserve"> (MW) frente a una demanda máxima de </w:t>
      </w:r>
      <w:r w:rsidR="00A707F5">
        <w:t>3.135</w:t>
      </w:r>
      <w:r w:rsidR="00A707F5" w:rsidRPr="00FF662B">
        <w:t xml:space="preserve"> MW</w:t>
      </w:r>
      <w:r w:rsidR="00A707F5">
        <w:rPr>
          <w:rStyle w:val="FootnoteReference"/>
          <w:rFonts w:cs="Arial"/>
          <w:szCs w:val="22"/>
        </w:rPr>
        <w:footnoteReference w:id="1"/>
      </w:r>
      <w:r w:rsidR="00A707F5" w:rsidRPr="00FF662B">
        <w:t xml:space="preserve">. Del total de </w:t>
      </w:r>
      <w:r w:rsidR="00A707F5">
        <w:t>esta</w:t>
      </w:r>
      <w:r w:rsidR="00A707F5" w:rsidRPr="00FF662B">
        <w:t xml:space="preserve"> capacidad, 7.000 MW corresponden a Itaipú (central hidroeléctrica binacional con Brasil)</w:t>
      </w:r>
      <w:r w:rsidR="001D41F6">
        <w:rPr>
          <w:rStyle w:val="FootnoteReference"/>
        </w:rPr>
        <w:footnoteReference w:id="2"/>
      </w:r>
      <w:r w:rsidR="00A707F5" w:rsidRPr="00FF662B">
        <w:t xml:space="preserve">, 1.600 MW a </w:t>
      </w:r>
      <w:proofErr w:type="spellStart"/>
      <w:r w:rsidR="00A707F5" w:rsidRPr="00FF662B">
        <w:t>Yacyretá</w:t>
      </w:r>
      <w:proofErr w:type="spellEnd"/>
      <w:r w:rsidR="00A707F5" w:rsidRPr="00FF662B">
        <w:t xml:space="preserve"> (binacional con Argentina)</w:t>
      </w:r>
      <w:r w:rsidR="00A707F5" w:rsidRPr="00EC1F49">
        <w:rPr>
          <w:vertAlign w:val="superscript"/>
        </w:rPr>
        <w:footnoteReference w:id="3"/>
      </w:r>
      <w:r w:rsidR="00A707F5" w:rsidRPr="00FF662B">
        <w:t xml:space="preserve"> y </w:t>
      </w:r>
      <w:r w:rsidR="00A707F5">
        <w:t>214</w:t>
      </w:r>
      <w:r w:rsidR="00A707F5" w:rsidRPr="00FF662B">
        <w:t xml:space="preserve"> MW de la Central Hidroeléctrica </w:t>
      </w:r>
      <w:proofErr w:type="spellStart"/>
      <w:r w:rsidR="00A707F5" w:rsidRPr="00FF662B">
        <w:t>Acaray</w:t>
      </w:r>
      <w:proofErr w:type="spellEnd"/>
      <w:r w:rsidR="00A707F5" w:rsidRPr="00FF662B">
        <w:t xml:space="preserve"> (CHA). Prácticamente el 100% de la electricidad que consume el país es hidroeléctrica</w:t>
      </w:r>
      <w:r w:rsidR="00A707F5">
        <w:t>,</w:t>
      </w:r>
      <w:r w:rsidR="00A707F5" w:rsidRPr="00FF662B">
        <w:t xml:space="preserve"> que por definición es renovable</w:t>
      </w:r>
      <w:r w:rsidR="00A707F5">
        <w:rPr>
          <w:rStyle w:val="FootnoteReference"/>
          <w:rFonts w:cs="Arial"/>
          <w:szCs w:val="22"/>
        </w:rPr>
        <w:footnoteReference w:id="4"/>
      </w:r>
      <w:r w:rsidR="00A707F5" w:rsidRPr="00FF662B">
        <w:t xml:space="preserve">. </w:t>
      </w:r>
      <w:r w:rsidR="00A707F5">
        <w:t xml:space="preserve">El </w:t>
      </w:r>
      <w:r w:rsidR="00A707F5" w:rsidRPr="00FF662B">
        <w:t xml:space="preserve">Sistema Interconectado Nacional (SIN) </w:t>
      </w:r>
      <w:r w:rsidR="00253B8C">
        <w:t xml:space="preserve">de Paraguay </w:t>
      </w:r>
      <w:r w:rsidR="00A707F5" w:rsidRPr="00FF662B">
        <w:t>se abastece en 7</w:t>
      </w:r>
      <w:r w:rsidR="00A707F5">
        <w:t>3</w:t>
      </w:r>
      <w:r w:rsidR="00A707F5" w:rsidRPr="00FF662B">
        <w:t>,</w:t>
      </w:r>
      <w:r w:rsidR="00A707F5">
        <w:t>2</w:t>
      </w:r>
      <w:r w:rsidR="00A707F5" w:rsidRPr="00FF662B">
        <w:t xml:space="preserve">% de Itaipú, 20,7% de </w:t>
      </w:r>
      <w:proofErr w:type="spellStart"/>
      <w:r w:rsidR="00A707F5" w:rsidRPr="00FF662B">
        <w:t>Yacyretá</w:t>
      </w:r>
      <w:proofErr w:type="spellEnd"/>
      <w:r w:rsidR="00A707F5" w:rsidRPr="00FF662B">
        <w:t xml:space="preserve"> y 6,</w:t>
      </w:r>
      <w:r w:rsidR="00A707F5">
        <w:t>1</w:t>
      </w:r>
      <w:r w:rsidR="00A707F5" w:rsidRPr="00FF662B">
        <w:t xml:space="preserve">% de </w:t>
      </w:r>
      <w:proofErr w:type="spellStart"/>
      <w:r w:rsidR="00A707F5" w:rsidRPr="00FF662B">
        <w:t>Acaray</w:t>
      </w:r>
      <w:proofErr w:type="spellEnd"/>
      <w:r w:rsidR="00A707F5">
        <w:t xml:space="preserve"> (201</w:t>
      </w:r>
      <w:r w:rsidR="000F7A0E">
        <w:t>6</w:t>
      </w:r>
      <w:r w:rsidR="00A707F5">
        <w:t>)</w:t>
      </w:r>
      <w:r w:rsidR="00A707F5" w:rsidRPr="00EC1F49">
        <w:rPr>
          <w:vertAlign w:val="superscript"/>
        </w:rPr>
        <w:footnoteReference w:id="5"/>
      </w:r>
      <w:r w:rsidR="00A707F5" w:rsidRPr="00FF662B">
        <w:t>.</w:t>
      </w:r>
      <w:r w:rsidR="00950F9F">
        <w:t xml:space="preserve"> Considerando la demanda máxima actual, Paraguay tiene más de 5.000MW de capacidad de generación excedente que exporta a Argentina y Brasil</w:t>
      </w:r>
      <w:r w:rsidR="00950F9F">
        <w:rPr>
          <w:rStyle w:val="FootnoteReference"/>
        </w:rPr>
        <w:footnoteReference w:id="6"/>
      </w:r>
      <w:r w:rsidR="00950F9F">
        <w:t xml:space="preserve">. </w:t>
      </w:r>
    </w:p>
    <w:p w14:paraId="5E8D8300" w14:textId="62CF7873" w:rsidR="00A707F5" w:rsidRPr="00EC1F49" w:rsidRDefault="00422173" w:rsidP="000831BA">
      <w:pPr>
        <w:pStyle w:val="Paragraph"/>
        <w:numPr>
          <w:ilvl w:val="0"/>
          <w:numId w:val="0"/>
        </w:numPr>
        <w:ind w:left="720" w:hanging="720"/>
      </w:pPr>
      <w:r>
        <w:t>1.5</w:t>
      </w:r>
      <w:r>
        <w:tab/>
      </w:r>
      <w:r w:rsidR="00A707F5">
        <w:t xml:space="preserve">La </w:t>
      </w:r>
      <w:r w:rsidR="00A707F5" w:rsidRPr="00EC1F49">
        <w:t xml:space="preserve">demanda eléctrica se concentra </w:t>
      </w:r>
      <w:r w:rsidR="00A707F5">
        <w:t xml:space="preserve">mayoritariamente </w:t>
      </w:r>
      <w:r w:rsidR="00A707F5" w:rsidRPr="00EC1F49">
        <w:t>en los clientes residenciales (44%)</w:t>
      </w:r>
      <w:r w:rsidR="00A707F5">
        <w:t xml:space="preserve">, mientras </w:t>
      </w:r>
      <w:r w:rsidR="00253B8C">
        <w:t xml:space="preserve">que </w:t>
      </w:r>
      <w:r w:rsidR="00A707F5">
        <w:t>e</w:t>
      </w:r>
      <w:r w:rsidR="00A707F5" w:rsidRPr="00EC1F49">
        <w:t xml:space="preserve">l resto se distribuye entre </w:t>
      </w:r>
      <w:r w:rsidR="00253B8C">
        <w:t xml:space="preserve">clientes </w:t>
      </w:r>
      <w:r w:rsidR="00A707F5" w:rsidRPr="00EC1F49">
        <w:t>industriales</w:t>
      </w:r>
      <w:r w:rsidR="00A707F5">
        <w:t>,</w:t>
      </w:r>
      <w:r w:rsidR="00A707F5" w:rsidRPr="00EC1F49">
        <w:t xml:space="preserve"> comerciales</w:t>
      </w:r>
      <w:r w:rsidR="00D848A8">
        <w:t>,</w:t>
      </w:r>
      <w:r w:rsidR="00A707F5" w:rsidRPr="00EC1F49">
        <w:t xml:space="preserve"> gubernamentales y alumbrado público. La demanda anual de energía</w:t>
      </w:r>
      <w:r w:rsidR="00A707F5">
        <w:t xml:space="preserve"> en </w:t>
      </w:r>
      <w:r w:rsidR="00A707F5" w:rsidRPr="00260524">
        <w:t>201</w:t>
      </w:r>
      <w:r w:rsidR="00A707F5">
        <w:t>7</w:t>
      </w:r>
      <w:r w:rsidR="00A707F5" w:rsidRPr="00260524">
        <w:t xml:space="preserve"> fue de </w:t>
      </w:r>
      <w:r w:rsidR="00A707F5">
        <w:t>15.575</w:t>
      </w:r>
      <w:r w:rsidR="00A707F5" w:rsidRPr="00260524">
        <w:t xml:space="preserve"> Gigavatios hora (GWh)</w:t>
      </w:r>
      <w:r w:rsidR="00A707F5" w:rsidRPr="00EC1F49">
        <w:t xml:space="preserve"> registrando un crecimiento promedio anual de </w:t>
      </w:r>
      <w:r w:rsidR="00A707F5">
        <w:t>5,2</w:t>
      </w:r>
      <w:r w:rsidR="00A707F5" w:rsidRPr="00EC1F49">
        <w:t xml:space="preserve">% en los últimos cinco años. La demanda máxima de potencia </w:t>
      </w:r>
      <w:r w:rsidR="00A707F5">
        <w:t xml:space="preserve">se </w:t>
      </w:r>
      <w:r w:rsidR="00A707F5" w:rsidRPr="00EC1F49">
        <w:t xml:space="preserve">ha incrementado en un promedio </w:t>
      </w:r>
      <w:r w:rsidR="00A707F5" w:rsidRPr="00EC1F49">
        <w:lastRenderedPageBreak/>
        <w:t xml:space="preserve">anual de </w:t>
      </w:r>
      <w:r w:rsidR="00A707F5">
        <w:t>5,6</w:t>
      </w:r>
      <w:r w:rsidR="00A707F5" w:rsidRPr="00EC1F49">
        <w:t>%</w:t>
      </w:r>
      <w:r w:rsidR="00A707F5" w:rsidRPr="00EC1F49">
        <w:rPr>
          <w:vertAlign w:val="superscript"/>
        </w:rPr>
        <w:footnoteReference w:id="7"/>
      </w:r>
      <w:r w:rsidR="00A707F5" w:rsidRPr="00EC1F49">
        <w:t xml:space="preserve">. El nivel de pérdidas eléctricas es elevado </w:t>
      </w:r>
      <w:r w:rsidR="00A707F5">
        <w:t>registrando</w:t>
      </w:r>
      <w:r w:rsidR="00A707F5" w:rsidRPr="00EC1F49">
        <w:t xml:space="preserve"> 25,</w:t>
      </w:r>
      <w:r w:rsidR="00A707F5">
        <w:t>6</w:t>
      </w:r>
      <w:r w:rsidR="00A707F5" w:rsidRPr="00EC1F49">
        <w:t>% (201</w:t>
      </w:r>
      <w:r w:rsidR="00A707F5">
        <w:t>7</w:t>
      </w:r>
      <w:r w:rsidR="00A707F5" w:rsidRPr="00EC1F49">
        <w:t>)</w:t>
      </w:r>
      <w:r w:rsidR="00A707F5" w:rsidRPr="00EC1F49">
        <w:rPr>
          <w:vertAlign w:val="superscript"/>
        </w:rPr>
        <w:footnoteReference w:id="8"/>
      </w:r>
      <w:r w:rsidR="00A707F5" w:rsidRPr="00EC1F49">
        <w:t xml:space="preserve"> estimándose que un tercio de estas son de carácter no-técnico</w:t>
      </w:r>
      <w:r w:rsidR="00A707F5" w:rsidRPr="00EC1F49">
        <w:rPr>
          <w:vertAlign w:val="superscript"/>
        </w:rPr>
        <w:footnoteReference w:id="9"/>
      </w:r>
      <w:r w:rsidR="00A707F5" w:rsidRPr="00EC1F49">
        <w:t>.</w:t>
      </w:r>
      <w:r w:rsidR="00A707F5">
        <w:t xml:space="preserve"> El país presenta una cobertura eléctrica elevada del 99,1% (99,6% en áreas urbanas y 96.0% en rurales).</w:t>
      </w:r>
    </w:p>
    <w:p w14:paraId="7281CEB0" w14:textId="5CDF8F89" w:rsidR="008B573A" w:rsidRDefault="00422173" w:rsidP="000831BA">
      <w:pPr>
        <w:pStyle w:val="Paragraph"/>
        <w:numPr>
          <w:ilvl w:val="0"/>
          <w:numId w:val="0"/>
        </w:numPr>
        <w:ind w:left="720" w:hanging="720"/>
      </w:pPr>
      <w:r>
        <w:t>1.6</w:t>
      </w:r>
      <w:r>
        <w:tab/>
      </w:r>
      <w:r w:rsidR="00A12B51">
        <w:t xml:space="preserve">La infraestructura del sistema de transmisión de la ANDE está conformada por líneas y subestaciones que posibilitan el transporte y la transformación de la energía eléctrica de las centrales de generación, Itaipú, </w:t>
      </w:r>
      <w:proofErr w:type="spellStart"/>
      <w:r w:rsidR="00A12B51">
        <w:t>Yacyretá</w:t>
      </w:r>
      <w:proofErr w:type="spellEnd"/>
      <w:r w:rsidR="00A12B51">
        <w:t xml:space="preserve"> y </w:t>
      </w:r>
      <w:proofErr w:type="spellStart"/>
      <w:r w:rsidR="00A12B51">
        <w:t>Acaray</w:t>
      </w:r>
      <w:proofErr w:type="spellEnd"/>
      <w:r w:rsidR="00A12B51">
        <w:t xml:space="preserve">, hasta los centros de consumo. La infraestructura incluye 364 Km de líneas en 500kV, 6.628 Km en 220 kV y 1.353 Km en 66 kV y cuenta con 89 subestaciones de transformación.  </w:t>
      </w:r>
    </w:p>
    <w:p w14:paraId="43E9DB08" w14:textId="4CBCC2A9" w:rsidR="005D7870" w:rsidRPr="00F37F3D" w:rsidRDefault="00A12B51" w:rsidP="000831BA">
      <w:pPr>
        <w:pStyle w:val="Paragraph"/>
        <w:numPr>
          <w:ilvl w:val="0"/>
          <w:numId w:val="0"/>
        </w:numPr>
        <w:tabs>
          <w:tab w:val="num" w:pos="1800"/>
        </w:tabs>
        <w:ind w:left="720"/>
        <w:jc w:val="center"/>
        <w:rPr>
          <w:rFonts w:cs="Arial"/>
        </w:rPr>
      </w:pPr>
      <w:r>
        <w:rPr>
          <w:noProof/>
        </w:rPr>
        <w:drawing>
          <wp:inline distT="0" distB="0" distL="0" distR="0" wp14:anchorId="0084B1E1" wp14:editId="1A7852E9">
            <wp:extent cx="4141680" cy="52792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160057" cy="5302663"/>
                    </a:xfrm>
                    <a:prstGeom prst="rect">
                      <a:avLst/>
                    </a:prstGeom>
                  </pic:spPr>
                </pic:pic>
              </a:graphicData>
            </a:graphic>
          </wp:inline>
        </w:drawing>
      </w:r>
    </w:p>
    <w:p w14:paraId="7D615EC1" w14:textId="63263037" w:rsidR="00640AD1" w:rsidRPr="00F37F3D" w:rsidRDefault="008C1AB3" w:rsidP="008C1AB3">
      <w:pPr>
        <w:pStyle w:val="Figure"/>
      </w:pPr>
      <w:bookmarkStart w:id="5" w:name="_Ref521937171"/>
      <w:r w:rsidRPr="00943529">
        <w:rPr>
          <w:lang w:val="pt-BR"/>
        </w:rPr>
        <w:t xml:space="preserve">Sistema Interconectado Nacional </w:t>
      </w:r>
      <w:r w:rsidR="008B573A" w:rsidRPr="00943529">
        <w:rPr>
          <w:lang w:val="pt-BR"/>
        </w:rPr>
        <w:t>de Paraguay</w:t>
      </w:r>
      <w:r w:rsidRPr="00943529">
        <w:rPr>
          <w:lang w:val="pt-BR"/>
        </w:rPr>
        <w:t xml:space="preserve">. </w:t>
      </w:r>
      <w:r w:rsidR="00640AD1" w:rsidRPr="00F37F3D">
        <w:t xml:space="preserve">Fuente: </w:t>
      </w:r>
      <w:r w:rsidR="008B573A">
        <w:t>ANDE</w:t>
      </w:r>
      <w:r>
        <w:t>.</w:t>
      </w:r>
      <w:bookmarkEnd w:id="5"/>
    </w:p>
    <w:p w14:paraId="6F54A95A" w14:textId="77777777" w:rsidR="008C1AB3" w:rsidRDefault="008C1AB3" w:rsidP="008C1AB3">
      <w:pPr>
        <w:pStyle w:val="Paragraph"/>
        <w:numPr>
          <w:ilvl w:val="0"/>
          <w:numId w:val="0"/>
        </w:numPr>
        <w:tabs>
          <w:tab w:val="num" w:pos="1800"/>
        </w:tabs>
        <w:ind w:left="720"/>
        <w:rPr>
          <w:rFonts w:cs="Arial"/>
          <w:szCs w:val="22"/>
        </w:rPr>
      </w:pPr>
    </w:p>
    <w:p w14:paraId="35ECDD11" w14:textId="77777777" w:rsidR="00A12B51" w:rsidRPr="00A12B51" w:rsidRDefault="00A12B51" w:rsidP="007C33AD">
      <w:pPr>
        <w:pStyle w:val="Heading1"/>
        <w:rPr>
          <w:rFonts w:cs="Arial"/>
          <w:szCs w:val="22"/>
          <w:lang w:val="es-ES_tradnl"/>
        </w:rPr>
      </w:pPr>
      <w:bookmarkStart w:id="6" w:name="_Toc525050901"/>
      <w:bookmarkEnd w:id="3"/>
      <w:r>
        <w:rPr>
          <w:lang w:val="es-ES_tradnl"/>
        </w:rPr>
        <w:lastRenderedPageBreak/>
        <w:t xml:space="preserve">Central Hidroeléctrica </w:t>
      </w:r>
      <w:proofErr w:type="spellStart"/>
      <w:r>
        <w:rPr>
          <w:lang w:val="es-ES_tradnl"/>
        </w:rPr>
        <w:t>Acaray</w:t>
      </w:r>
      <w:bookmarkEnd w:id="6"/>
      <w:proofErr w:type="spellEnd"/>
      <w:r>
        <w:rPr>
          <w:lang w:val="es-ES_tradnl"/>
        </w:rPr>
        <w:t xml:space="preserve"> </w:t>
      </w:r>
    </w:p>
    <w:p w14:paraId="7E50BF19" w14:textId="5CF6EB84" w:rsidR="00A12B51" w:rsidRPr="00A12B51" w:rsidRDefault="00422173" w:rsidP="000831BA">
      <w:pPr>
        <w:pStyle w:val="Paragraph"/>
        <w:numPr>
          <w:ilvl w:val="0"/>
          <w:numId w:val="0"/>
        </w:numPr>
        <w:ind w:left="720" w:hanging="720"/>
      </w:pPr>
      <w:r>
        <w:t>1.7</w:t>
      </w:r>
      <w:r>
        <w:tab/>
      </w:r>
      <w:r w:rsidR="00A12B51" w:rsidRPr="00A12B51">
        <w:t xml:space="preserve">La CHA está ubicada sobre el Río </w:t>
      </w:r>
      <w:proofErr w:type="spellStart"/>
      <w:r w:rsidR="00A12B51" w:rsidRPr="00A12B51">
        <w:t>Acaray</w:t>
      </w:r>
      <w:proofErr w:type="spellEnd"/>
      <w:r w:rsidR="00A12B51" w:rsidRPr="00A12B51">
        <w:t xml:space="preserve"> próximo a Ciudad del Este (a 330 kilómetros (km) al Este de Asunción) y fue construida con el apoyo del BID en las décadas de los 60 y 70. Cuenta con dos casas de máquinas. La Casa de Máquinas I opera desde 1968 con dos grupos de turbogeneradores tipo Francis de 47 MW de potencia nominal cada uno (denominados Grupo 1 y Grupo 2). La Casa de Máquinas II opera desde 1977, y cuenta con dos grupos de turbogeneradores tipo Francis de 60 MW de potencia nominal cada uno (Grupo 3 y Grupo 4). El caudal del río es regulado a través de dos embalses, la presa de </w:t>
      </w:r>
      <w:proofErr w:type="spellStart"/>
      <w:r w:rsidR="00A12B51" w:rsidRPr="00A12B51">
        <w:t>Acaray</w:t>
      </w:r>
      <w:proofErr w:type="spellEnd"/>
      <w:r w:rsidR="00A12B51" w:rsidRPr="00A12B51">
        <w:t xml:space="preserve"> (próximo a la central) y la represa de </w:t>
      </w:r>
      <w:proofErr w:type="spellStart"/>
      <w:r w:rsidR="00A12B51" w:rsidRPr="00A12B51">
        <w:t>Yguazú</w:t>
      </w:r>
      <w:proofErr w:type="spellEnd"/>
      <w:r w:rsidR="00A12B51" w:rsidRPr="00A12B51">
        <w:t xml:space="preserve"> (a 100 km río arriba de la central). </w:t>
      </w:r>
      <w:r w:rsidR="00253B8C">
        <w:t xml:space="preserve">La presa </w:t>
      </w:r>
      <w:r w:rsidR="00A12B51" w:rsidRPr="00A12B51">
        <w:t xml:space="preserve">de </w:t>
      </w:r>
      <w:proofErr w:type="spellStart"/>
      <w:r w:rsidR="00A12B51" w:rsidRPr="00A12B51">
        <w:t>Acaray</w:t>
      </w:r>
      <w:proofErr w:type="spellEnd"/>
      <w:r w:rsidR="00A12B51" w:rsidRPr="00A12B51">
        <w:t xml:space="preserve"> tiene una </w:t>
      </w:r>
      <w:r w:rsidR="005C6939">
        <w:t xml:space="preserve">estructura </w:t>
      </w:r>
      <w:r w:rsidR="00A12B51" w:rsidRPr="00A12B51">
        <w:t xml:space="preserve">de hormigón de 154 metros (m) de longitud complementado con una presa de tierra de 420 m y cuenta con siete vertederos con compuertas radiales. </w:t>
      </w:r>
      <w:r w:rsidR="005C6939">
        <w:t xml:space="preserve">La presa de </w:t>
      </w:r>
      <w:r w:rsidR="00A12B51" w:rsidRPr="00A12B51">
        <w:t xml:space="preserve">regulación de </w:t>
      </w:r>
      <w:proofErr w:type="spellStart"/>
      <w:r w:rsidR="00A12B51" w:rsidRPr="00A12B51">
        <w:t>Yguazú</w:t>
      </w:r>
      <w:proofErr w:type="spellEnd"/>
      <w:r w:rsidR="00A12B51" w:rsidRPr="00A12B51">
        <w:t xml:space="preserve"> cuenta con dos vertederos con compuertas radiales y un vertedero abierto. La CHA cuenta con una subestación con seis transformadores de potencia monofásicos de 25 Mega Volt Amperio (MVA) cada uno. </w:t>
      </w:r>
    </w:p>
    <w:p w14:paraId="2A0856B9" w14:textId="60FA7F00" w:rsidR="00A12B51" w:rsidRPr="00A12B51" w:rsidRDefault="00A12B51" w:rsidP="00A12B51">
      <w:pPr>
        <w:pStyle w:val="Heading1"/>
        <w:rPr>
          <w:lang w:val="es-ES_tradnl"/>
        </w:rPr>
      </w:pPr>
      <w:bookmarkStart w:id="7" w:name="_Toc525050902"/>
      <w:bookmarkStart w:id="8" w:name="_Ref519008122"/>
      <w:r w:rsidRPr="00A12B51">
        <w:rPr>
          <w:lang w:val="es-ES_tradnl"/>
        </w:rPr>
        <w:t>Interconexiones del SIN de Paraguay con Brasil y Argentina</w:t>
      </w:r>
      <w:r w:rsidR="00FB099A">
        <w:rPr>
          <w:lang w:val="es-ES_tradnl"/>
        </w:rPr>
        <w:t>. Exportaciones de energía</w:t>
      </w:r>
      <w:bookmarkEnd w:id="7"/>
      <w:r w:rsidRPr="00A12B51">
        <w:rPr>
          <w:lang w:val="es-ES_tradnl"/>
        </w:rPr>
        <w:t xml:space="preserve"> </w:t>
      </w:r>
    </w:p>
    <w:p w14:paraId="4182C4B7" w14:textId="33C6EDFC" w:rsidR="00AE36A1" w:rsidRDefault="00422173" w:rsidP="000831BA">
      <w:pPr>
        <w:pStyle w:val="Paragraph"/>
        <w:numPr>
          <w:ilvl w:val="0"/>
          <w:numId w:val="0"/>
        </w:numPr>
        <w:tabs>
          <w:tab w:val="num" w:pos="1800"/>
        </w:tabs>
        <w:ind w:left="720" w:hanging="720"/>
        <w:rPr>
          <w:rFonts w:cs="Arial"/>
        </w:rPr>
      </w:pPr>
      <w:r>
        <w:rPr>
          <w:rFonts w:cs="Arial"/>
        </w:rPr>
        <w:t>1.8</w:t>
      </w:r>
      <w:r>
        <w:rPr>
          <w:rFonts w:cs="Arial"/>
        </w:rPr>
        <w:tab/>
      </w:r>
      <w:r w:rsidR="00A12B51">
        <w:rPr>
          <w:rFonts w:cs="Arial"/>
        </w:rPr>
        <w:t xml:space="preserve">Paraguay tiene varias interconexiones </w:t>
      </w:r>
      <w:r w:rsidR="005C6939">
        <w:rPr>
          <w:rFonts w:cs="Arial"/>
        </w:rPr>
        <w:t xml:space="preserve">eléctricas </w:t>
      </w:r>
      <w:r w:rsidR="00A12B51">
        <w:rPr>
          <w:rFonts w:cs="Arial"/>
        </w:rPr>
        <w:t xml:space="preserve">con Brasil y Argentina. Algunas han dejado de operar y otras se encuentran habilitadas. Es importante destacar que Paraguay (al igual que Argentina) opera con una frecuencia de 50 Hz y el Brasil con 60 Hz. Por ello, para el intercambio energético de Paraguay con Brasil </w:t>
      </w:r>
      <w:r w:rsidR="000F7A0E">
        <w:rPr>
          <w:rFonts w:cs="Arial"/>
        </w:rPr>
        <w:t xml:space="preserve">además de líneas de transmisión, </w:t>
      </w:r>
      <w:r w:rsidR="00A12B51">
        <w:rPr>
          <w:rFonts w:cs="Arial"/>
        </w:rPr>
        <w:t>se requiere</w:t>
      </w:r>
      <w:r w:rsidR="000F7A0E">
        <w:rPr>
          <w:rFonts w:cs="Arial"/>
        </w:rPr>
        <w:t xml:space="preserve">n </w:t>
      </w:r>
      <w:r w:rsidR="005C6939">
        <w:rPr>
          <w:rFonts w:cs="Arial"/>
        </w:rPr>
        <w:t>estaciones conversoras de frecuencia</w:t>
      </w:r>
      <w:r w:rsidR="000F7A0E">
        <w:rPr>
          <w:rFonts w:cs="Arial"/>
        </w:rPr>
        <w:t xml:space="preserve"> cuyos costos de inversión suelen ser significativos</w:t>
      </w:r>
      <w:r w:rsidR="00A12B51">
        <w:rPr>
          <w:rFonts w:cs="Arial"/>
        </w:rPr>
        <w:t>.</w:t>
      </w:r>
      <w:r w:rsidR="005C6939">
        <w:rPr>
          <w:rFonts w:cs="Arial"/>
        </w:rPr>
        <w:t xml:space="preserve"> </w:t>
      </w:r>
      <w:r w:rsidR="00A12B51">
        <w:rPr>
          <w:rFonts w:cs="Arial"/>
        </w:rPr>
        <w:t xml:space="preserve"> </w:t>
      </w:r>
    </w:p>
    <w:p w14:paraId="70773C06" w14:textId="07B61ED8" w:rsidR="00A12B51" w:rsidRDefault="00422173" w:rsidP="000831BA">
      <w:pPr>
        <w:pStyle w:val="Paragraph"/>
        <w:numPr>
          <w:ilvl w:val="0"/>
          <w:numId w:val="0"/>
        </w:numPr>
        <w:ind w:left="720" w:hanging="720"/>
        <w:rPr>
          <w:rFonts w:cs="Arial"/>
        </w:rPr>
      </w:pPr>
      <w:r>
        <w:rPr>
          <w:rFonts w:cs="Arial"/>
        </w:rPr>
        <w:t>1.9</w:t>
      </w:r>
      <w:r>
        <w:rPr>
          <w:rFonts w:cs="Arial"/>
        </w:rPr>
        <w:tab/>
      </w:r>
      <w:r w:rsidR="00504683">
        <w:rPr>
          <w:rFonts w:cs="Arial"/>
        </w:rPr>
        <w:t xml:space="preserve">La </w:t>
      </w:r>
      <w:r w:rsidR="0054712D">
        <w:rPr>
          <w:rFonts w:cs="Arial"/>
        </w:rPr>
        <w:t xml:space="preserve">ANDE </w:t>
      </w:r>
      <w:r w:rsidR="00A12B51" w:rsidRPr="00A12B51">
        <w:rPr>
          <w:rFonts w:cs="Arial"/>
        </w:rPr>
        <w:t xml:space="preserve">ha comercializado o comercia </w:t>
      </w:r>
      <w:r w:rsidR="0054712D">
        <w:rPr>
          <w:rFonts w:cs="Arial"/>
        </w:rPr>
        <w:t xml:space="preserve">la </w:t>
      </w:r>
      <w:r w:rsidR="00A12B51" w:rsidRPr="00A12B51">
        <w:rPr>
          <w:rFonts w:cs="Arial"/>
        </w:rPr>
        <w:t xml:space="preserve">energía </w:t>
      </w:r>
      <w:r w:rsidR="0054712D">
        <w:rPr>
          <w:rFonts w:cs="Arial"/>
        </w:rPr>
        <w:t xml:space="preserve">generada por la CHA </w:t>
      </w:r>
      <w:r w:rsidR="00A12B51" w:rsidRPr="00A12B51">
        <w:rPr>
          <w:rFonts w:cs="Arial"/>
        </w:rPr>
        <w:t xml:space="preserve">con las siguientes empresas </w:t>
      </w:r>
      <w:r w:rsidR="0054712D">
        <w:rPr>
          <w:rFonts w:cs="Arial"/>
        </w:rPr>
        <w:t xml:space="preserve">de Argentina y Brasil: </w:t>
      </w:r>
      <w:r w:rsidR="00A12B51" w:rsidRPr="00A12B51">
        <w:rPr>
          <w:rFonts w:cs="Arial"/>
        </w:rPr>
        <w:t>(a) EMSA (Electricidad de Misiones S</w:t>
      </w:r>
      <w:r w:rsidR="00504683">
        <w:rPr>
          <w:rFonts w:cs="Arial"/>
        </w:rPr>
        <w:t>.</w:t>
      </w:r>
      <w:r w:rsidR="00A12B51" w:rsidRPr="00A12B51">
        <w:rPr>
          <w:rFonts w:cs="Arial"/>
        </w:rPr>
        <w:t>A</w:t>
      </w:r>
      <w:r w:rsidR="00504683">
        <w:rPr>
          <w:rFonts w:cs="Arial"/>
        </w:rPr>
        <w:t>.</w:t>
      </w:r>
      <w:r w:rsidR="00A12B51" w:rsidRPr="00A12B51">
        <w:rPr>
          <w:rFonts w:cs="Arial"/>
        </w:rPr>
        <w:t>, Argentina) con dos conexiones, una entre la localidad de Carlos Antonio López y El Dorado en 132 kV, en operación, y otra entre Encarnación y Posadas en 33 kV, actualmente desactivada; (b) COPEL (Compañía Paranaense de Electricidad, Brasil), mediante una interconexión en 220/138 kV desactivada en 2009 debido a fallas y obsolescencia del convertidor de frecuencia</w:t>
      </w:r>
      <w:r w:rsidR="001F37A2">
        <w:rPr>
          <w:rStyle w:val="FootnoteReference"/>
          <w:rFonts w:cs="Arial"/>
        </w:rPr>
        <w:footnoteReference w:id="10"/>
      </w:r>
      <w:r w:rsidR="00A12B51" w:rsidRPr="00A12B51">
        <w:rPr>
          <w:rFonts w:cs="Arial"/>
        </w:rPr>
        <w:t>; (c) ENERSUL (Empresa Energética de Mato Grosso do Sul, Brasil) en Amambay en 23/34 kV, actualmente desactivada</w:t>
      </w:r>
      <w:r w:rsidR="007F58C3">
        <w:rPr>
          <w:rStyle w:val="FootnoteReference"/>
          <w:rFonts w:cs="Arial"/>
        </w:rPr>
        <w:footnoteReference w:id="11"/>
      </w:r>
      <w:r w:rsidR="00A12B51" w:rsidRPr="00A12B51">
        <w:rPr>
          <w:rFonts w:cs="Arial"/>
        </w:rPr>
        <w:t>, y (d) EDEFOR (Electricidad de Formosa, Argentina), en Clorinda, a través de una línea de transmisión de 220 kV con Puerto Mariscal, en operación</w:t>
      </w:r>
      <w:r w:rsidR="000F7A0E">
        <w:rPr>
          <w:rFonts w:cs="Arial"/>
        </w:rPr>
        <w:t xml:space="preserve"> (conexión Guarambaré – Clorinda)</w:t>
      </w:r>
      <w:r w:rsidR="00A12B51" w:rsidRPr="00A12B51">
        <w:rPr>
          <w:rFonts w:cs="Arial"/>
        </w:rPr>
        <w:t xml:space="preserve">. Actualmente, las interconexiones con Argentina en Misiones (El Dorado) y Formosa operan </w:t>
      </w:r>
      <w:r w:rsidR="000F7A0E">
        <w:rPr>
          <w:rFonts w:cs="Arial"/>
        </w:rPr>
        <w:t xml:space="preserve">también </w:t>
      </w:r>
      <w:r w:rsidR="00A12B51" w:rsidRPr="00A12B51">
        <w:rPr>
          <w:rFonts w:cs="Arial"/>
        </w:rPr>
        <w:t>para apoyo mutuo en situaciones de emergencia. Esta prevista una nueva interconexión en 220 kV entre las ciudades de Encarnación, Itapúa en Paraguay y Posadas en Misiones, Argentina.</w:t>
      </w:r>
    </w:p>
    <w:p w14:paraId="6DCC37DF" w14:textId="0C5E4A5D" w:rsidR="001D41F6" w:rsidRDefault="001D41F6" w:rsidP="001D41F6">
      <w:pPr>
        <w:pStyle w:val="Paragraph"/>
        <w:numPr>
          <w:ilvl w:val="0"/>
          <w:numId w:val="0"/>
        </w:numPr>
        <w:ind w:left="720"/>
        <w:rPr>
          <w:rFonts w:cs="Arial"/>
        </w:rPr>
      </w:pPr>
    </w:p>
    <w:p w14:paraId="6181390D" w14:textId="5A61894E" w:rsidR="001D41F6" w:rsidRDefault="00963926" w:rsidP="00963926">
      <w:pPr>
        <w:pStyle w:val="Paragraph"/>
        <w:numPr>
          <w:ilvl w:val="0"/>
          <w:numId w:val="0"/>
        </w:numPr>
        <w:ind w:left="720"/>
        <w:jc w:val="center"/>
        <w:rPr>
          <w:rFonts w:cs="Arial"/>
        </w:rPr>
      </w:pPr>
      <w:r>
        <w:rPr>
          <w:rFonts w:cs="Arial"/>
          <w:noProof/>
        </w:rPr>
        <w:lastRenderedPageBreak/>
        <w:drawing>
          <wp:inline distT="0" distB="0" distL="0" distR="0" wp14:anchorId="06DD2F91" wp14:editId="7F70F8E9">
            <wp:extent cx="4315968" cy="3625248"/>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42235" cy="3647311"/>
                    </a:xfrm>
                    <a:prstGeom prst="rect">
                      <a:avLst/>
                    </a:prstGeom>
                    <a:noFill/>
                    <a:ln>
                      <a:noFill/>
                    </a:ln>
                  </pic:spPr>
                </pic:pic>
              </a:graphicData>
            </a:graphic>
          </wp:inline>
        </w:drawing>
      </w:r>
    </w:p>
    <w:p w14:paraId="43D2C5CA" w14:textId="2D158E13" w:rsidR="001D41F6" w:rsidRDefault="001D41F6" w:rsidP="001D41F6">
      <w:pPr>
        <w:pStyle w:val="Paragraph"/>
        <w:numPr>
          <w:ilvl w:val="0"/>
          <w:numId w:val="0"/>
        </w:numPr>
        <w:ind w:left="720"/>
        <w:rPr>
          <w:rFonts w:cs="Arial"/>
          <w:sz w:val="18"/>
          <w:szCs w:val="18"/>
        </w:rPr>
      </w:pPr>
      <w:r w:rsidRPr="001D41F6">
        <w:rPr>
          <w:rFonts w:cs="Arial"/>
          <w:sz w:val="18"/>
          <w:szCs w:val="18"/>
        </w:rPr>
        <w:t>Figura 2. Puntos de interconexión del sistema interconectado nacional con Brasil y Argentina.</w:t>
      </w:r>
    </w:p>
    <w:p w14:paraId="2EF82800" w14:textId="77777777" w:rsidR="001D41F6" w:rsidRPr="001D41F6" w:rsidRDefault="001D41F6" w:rsidP="001D41F6">
      <w:pPr>
        <w:pStyle w:val="Paragraph"/>
        <w:numPr>
          <w:ilvl w:val="0"/>
          <w:numId w:val="0"/>
        </w:numPr>
        <w:ind w:left="720"/>
        <w:rPr>
          <w:rFonts w:cs="Arial"/>
          <w:sz w:val="18"/>
          <w:szCs w:val="18"/>
        </w:rPr>
      </w:pPr>
    </w:p>
    <w:p w14:paraId="6871C147" w14:textId="4CCEC16A" w:rsidR="000F7A93" w:rsidRPr="00B81B25" w:rsidRDefault="00422173" w:rsidP="000831BA">
      <w:pPr>
        <w:pStyle w:val="Paragraph"/>
        <w:numPr>
          <w:ilvl w:val="0"/>
          <w:numId w:val="0"/>
        </w:numPr>
        <w:ind w:left="720" w:hanging="720"/>
        <w:rPr>
          <w:rFonts w:cs="Arial"/>
        </w:rPr>
      </w:pPr>
      <w:r>
        <w:t>1.10</w:t>
      </w:r>
      <w:r>
        <w:tab/>
      </w:r>
      <w:r w:rsidR="00504683">
        <w:t xml:space="preserve">La </w:t>
      </w:r>
      <w:r w:rsidR="000F7A93" w:rsidRPr="000F7A93">
        <w:t xml:space="preserve">ANDE ha venido exportando energía de la CHA a Brasil y Argentina a través de </w:t>
      </w:r>
      <w:r w:rsidR="003F1E74">
        <w:t>est</w:t>
      </w:r>
      <w:r w:rsidR="000F7A93" w:rsidRPr="000F7A93">
        <w:t>as interconexiones</w:t>
      </w:r>
      <w:r w:rsidR="003F1E74">
        <w:t xml:space="preserve"> por mucho tiempo. </w:t>
      </w:r>
      <w:r w:rsidR="00B81B25" w:rsidRPr="00B81B25">
        <w:rPr>
          <w:rFonts w:cs="Arial"/>
        </w:rPr>
        <w:t xml:space="preserve">La interconexión entre la subestación de </w:t>
      </w:r>
      <w:r w:rsidR="00B81B25">
        <w:rPr>
          <w:rFonts w:cs="Arial"/>
        </w:rPr>
        <w:t xml:space="preserve">la CHA </w:t>
      </w:r>
      <w:r w:rsidR="00B81B25" w:rsidRPr="00B81B25">
        <w:rPr>
          <w:rFonts w:cs="Arial"/>
        </w:rPr>
        <w:t xml:space="preserve">con la red del Brasil </w:t>
      </w:r>
      <w:r w:rsidR="00B81B25">
        <w:rPr>
          <w:rFonts w:cs="Arial"/>
        </w:rPr>
        <w:t xml:space="preserve">que fue </w:t>
      </w:r>
      <w:r w:rsidR="00B81B25" w:rsidRPr="00B81B25">
        <w:rPr>
          <w:rFonts w:cs="Arial"/>
        </w:rPr>
        <w:t>completada junto con la construcción de la Casa de Máquinas II de la central en los años 70, fue la primera interconexión eléctrica internacional de la región.</w:t>
      </w:r>
      <w:r w:rsidR="00B81B25">
        <w:rPr>
          <w:rFonts w:cs="Arial"/>
        </w:rPr>
        <w:t xml:space="preserve"> </w:t>
      </w:r>
      <w:r w:rsidR="000F7A93" w:rsidRPr="00B81B25">
        <w:rPr>
          <w:rFonts w:cs="Arial"/>
        </w:rPr>
        <w:t>En los últimos años</w:t>
      </w:r>
      <w:r w:rsidR="003F1E74" w:rsidRPr="00B81B25">
        <w:rPr>
          <w:rFonts w:cs="Arial"/>
        </w:rPr>
        <w:t xml:space="preserve">, debido a la desactivación de las interconexiones con Brasil (en particular </w:t>
      </w:r>
      <w:r w:rsidR="000C0E20" w:rsidRPr="00B81B25">
        <w:rPr>
          <w:rFonts w:cs="Arial"/>
        </w:rPr>
        <w:t xml:space="preserve">por </w:t>
      </w:r>
      <w:r w:rsidR="003F1E74" w:rsidRPr="00B81B25">
        <w:rPr>
          <w:rFonts w:cs="Arial"/>
        </w:rPr>
        <w:t>averías en las estaciones conversoras),</w:t>
      </w:r>
      <w:r w:rsidR="000F7A93" w:rsidRPr="00B81B25">
        <w:rPr>
          <w:rFonts w:cs="Arial"/>
        </w:rPr>
        <w:t xml:space="preserve"> </w:t>
      </w:r>
      <w:r w:rsidR="003F1E74" w:rsidRPr="00B81B25">
        <w:rPr>
          <w:rFonts w:cs="Arial"/>
        </w:rPr>
        <w:t xml:space="preserve">y la menor necesidad de energía en la Provincia de Formosa (Argentina) </w:t>
      </w:r>
      <w:r w:rsidR="000F7A93" w:rsidRPr="00B81B25">
        <w:rPr>
          <w:rFonts w:cs="Arial"/>
        </w:rPr>
        <w:t xml:space="preserve">las exportaciones </w:t>
      </w:r>
      <w:r w:rsidR="003F1E74" w:rsidRPr="001F37A2">
        <w:rPr>
          <w:rFonts w:cs="Arial"/>
        </w:rPr>
        <w:t xml:space="preserve">de ANDE </w:t>
      </w:r>
      <w:r w:rsidR="000F7A93" w:rsidRPr="001F37A2">
        <w:rPr>
          <w:rFonts w:cs="Arial"/>
        </w:rPr>
        <w:t>se han concentrado en Argentina a través de la subestación de C</w:t>
      </w:r>
      <w:r w:rsidR="000F7A93" w:rsidRPr="007F58C3">
        <w:rPr>
          <w:rFonts w:cs="Arial"/>
        </w:rPr>
        <w:t xml:space="preserve">arlos Antonio López </w:t>
      </w:r>
      <w:r w:rsidR="00A257B4" w:rsidRPr="007F58C3">
        <w:rPr>
          <w:rFonts w:cs="Arial"/>
        </w:rPr>
        <w:t xml:space="preserve">(ubicado al Este del país, sobre el Río Paraná) </w:t>
      </w:r>
      <w:r w:rsidR="000F7A93" w:rsidRPr="00703BE2">
        <w:rPr>
          <w:rFonts w:cs="Arial"/>
        </w:rPr>
        <w:t xml:space="preserve">y El Dorado </w:t>
      </w:r>
      <w:r w:rsidR="00A257B4" w:rsidRPr="00703BE2">
        <w:rPr>
          <w:rFonts w:cs="Arial"/>
        </w:rPr>
        <w:t>(Provincia de Misiones, Argentina)</w:t>
      </w:r>
      <w:r w:rsidR="000F7A93" w:rsidRPr="00703BE2">
        <w:rPr>
          <w:rFonts w:cs="Arial"/>
        </w:rPr>
        <w:t xml:space="preserve">. El volumen de las exportaciones de energía eléctrica de ANDE en los últimos 20 años ha oscilado entre un máximo de 788.067 </w:t>
      </w:r>
      <w:proofErr w:type="spellStart"/>
      <w:r w:rsidR="000F7A93" w:rsidRPr="00703BE2">
        <w:rPr>
          <w:rFonts w:cs="Arial"/>
        </w:rPr>
        <w:t>MWh</w:t>
      </w:r>
      <w:proofErr w:type="spellEnd"/>
      <w:r w:rsidR="000F7A93" w:rsidRPr="00703BE2">
        <w:rPr>
          <w:rFonts w:cs="Arial"/>
        </w:rPr>
        <w:t xml:space="preserve"> (2006) a un m</w:t>
      </w:r>
      <w:r w:rsidR="000F7A93" w:rsidRPr="00254580">
        <w:rPr>
          <w:rFonts w:cs="Arial"/>
        </w:rPr>
        <w:t xml:space="preserve">ínimo de 73.025 </w:t>
      </w:r>
      <w:proofErr w:type="spellStart"/>
      <w:r w:rsidR="000F7A93" w:rsidRPr="00254580">
        <w:rPr>
          <w:rFonts w:cs="Arial"/>
        </w:rPr>
        <w:t>MWh</w:t>
      </w:r>
      <w:proofErr w:type="spellEnd"/>
      <w:r w:rsidR="000F7A93" w:rsidRPr="00254580">
        <w:rPr>
          <w:rFonts w:cs="Arial"/>
        </w:rPr>
        <w:t xml:space="preserve"> (2017)</w:t>
      </w:r>
      <w:r w:rsidR="00B81B25">
        <w:rPr>
          <w:rFonts w:cs="Arial"/>
        </w:rPr>
        <w:t>.</w:t>
      </w:r>
      <w:r w:rsidR="000F7A93" w:rsidRPr="00B81B25">
        <w:rPr>
          <w:rFonts w:cs="Arial"/>
        </w:rPr>
        <w:t xml:space="preserve"> </w:t>
      </w:r>
      <w:r w:rsidR="00B81B25">
        <w:rPr>
          <w:rFonts w:cs="Arial"/>
        </w:rPr>
        <w:t>El</w:t>
      </w:r>
      <w:r w:rsidR="000F7A93" w:rsidRPr="00B81B25">
        <w:rPr>
          <w:rFonts w:cs="Arial"/>
        </w:rPr>
        <w:t xml:space="preserve"> promedio en el período 2013 – 2017 fue de </w:t>
      </w:r>
      <w:r w:rsidR="00B81B25">
        <w:rPr>
          <w:rFonts w:cs="Arial"/>
        </w:rPr>
        <w:t>115.683</w:t>
      </w:r>
      <w:r w:rsidR="000F7A93" w:rsidRPr="00B81B25">
        <w:rPr>
          <w:rFonts w:cs="Arial"/>
        </w:rPr>
        <w:t xml:space="preserve"> </w:t>
      </w:r>
      <w:proofErr w:type="spellStart"/>
      <w:r w:rsidR="000F7A93" w:rsidRPr="00B81B25">
        <w:rPr>
          <w:rFonts w:cs="Arial"/>
        </w:rPr>
        <w:t>MWh</w:t>
      </w:r>
      <w:proofErr w:type="spellEnd"/>
      <w:r w:rsidR="000F7A93" w:rsidRPr="00B81B25">
        <w:rPr>
          <w:rFonts w:cs="Arial"/>
        </w:rPr>
        <w:t>/año.</w:t>
      </w:r>
      <w:r w:rsidR="00B81B25">
        <w:rPr>
          <w:rFonts w:cs="Arial"/>
        </w:rPr>
        <w:t xml:space="preserve"> </w:t>
      </w:r>
      <w:r w:rsidR="00380806">
        <w:rPr>
          <w:rFonts w:cs="Arial"/>
        </w:rPr>
        <w:t xml:space="preserve">Los ingresos por exportaciones de </w:t>
      </w:r>
      <w:r w:rsidR="00892D34">
        <w:rPr>
          <w:rFonts w:cs="Arial"/>
        </w:rPr>
        <w:t xml:space="preserve">la </w:t>
      </w:r>
      <w:r w:rsidR="00380806">
        <w:rPr>
          <w:rFonts w:cs="Arial"/>
        </w:rPr>
        <w:t xml:space="preserve">ANDE </w:t>
      </w:r>
      <w:r w:rsidR="005514B9">
        <w:rPr>
          <w:rFonts w:cs="Arial"/>
        </w:rPr>
        <w:t xml:space="preserve">ascendieron a </w:t>
      </w:r>
      <w:r w:rsidR="00254580">
        <w:rPr>
          <w:rFonts w:cs="Arial"/>
        </w:rPr>
        <w:t>US$7</w:t>
      </w:r>
      <w:r w:rsidR="005514B9">
        <w:rPr>
          <w:rFonts w:cs="Arial"/>
        </w:rPr>
        <w:t>4</w:t>
      </w:r>
      <w:r w:rsidR="002E5683">
        <w:rPr>
          <w:rFonts w:cs="Arial"/>
        </w:rPr>
        <w:t>,</w:t>
      </w:r>
      <w:r w:rsidR="005514B9">
        <w:rPr>
          <w:rFonts w:cs="Arial"/>
        </w:rPr>
        <w:t>6</w:t>
      </w:r>
      <w:r w:rsidR="00254580">
        <w:rPr>
          <w:rFonts w:cs="Arial"/>
        </w:rPr>
        <w:t xml:space="preserve"> millones en </w:t>
      </w:r>
      <w:r w:rsidR="005514B9">
        <w:rPr>
          <w:rFonts w:cs="Arial"/>
        </w:rPr>
        <w:t xml:space="preserve">el período </w:t>
      </w:r>
      <w:r w:rsidR="00254580">
        <w:rPr>
          <w:rFonts w:cs="Arial"/>
        </w:rPr>
        <w:t>2013-2017</w:t>
      </w:r>
      <w:r w:rsidR="005514B9">
        <w:rPr>
          <w:rFonts w:cs="Arial"/>
        </w:rPr>
        <w:t xml:space="preserve"> (promedio de US$14.9 millones anuales</w:t>
      </w:r>
      <w:r w:rsidR="00254580">
        <w:rPr>
          <w:rFonts w:cs="Arial"/>
        </w:rPr>
        <w:t>)</w:t>
      </w:r>
      <w:r w:rsidR="00254580">
        <w:rPr>
          <w:rStyle w:val="FootnoteReference"/>
          <w:rFonts w:cs="Arial"/>
        </w:rPr>
        <w:footnoteReference w:id="12"/>
      </w:r>
      <w:r w:rsidR="00254580">
        <w:rPr>
          <w:rFonts w:cs="Arial"/>
        </w:rPr>
        <w:t xml:space="preserve">. </w:t>
      </w:r>
      <w:r w:rsidR="00B81B25">
        <w:rPr>
          <w:rFonts w:cs="Arial"/>
        </w:rPr>
        <w:t>Dado que no existe un mercado regional de energía</w:t>
      </w:r>
      <w:r w:rsidR="005514B9">
        <w:rPr>
          <w:rFonts w:cs="Arial"/>
        </w:rPr>
        <w:t>,</w:t>
      </w:r>
      <w:r w:rsidR="00B81B25">
        <w:rPr>
          <w:rFonts w:cs="Arial"/>
        </w:rPr>
        <w:t xml:space="preserve"> las transacciones, incluyendo los volúmenes, modalidad de contratación</w:t>
      </w:r>
      <w:r w:rsidR="007B018F">
        <w:rPr>
          <w:rFonts w:cs="Arial"/>
        </w:rPr>
        <w:t xml:space="preserve">, condiciones técnicas y económicas </w:t>
      </w:r>
      <w:r w:rsidR="00B81B25">
        <w:rPr>
          <w:rFonts w:cs="Arial"/>
        </w:rPr>
        <w:t xml:space="preserve">de </w:t>
      </w:r>
      <w:r w:rsidR="005514B9">
        <w:rPr>
          <w:rFonts w:cs="Arial"/>
        </w:rPr>
        <w:t xml:space="preserve">las exportaciones </w:t>
      </w:r>
      <w:r w:rsidR="00B81B25">
        <w:rPr>
          <w:rFonts w:cs="Arial"/>
        </w:rPr>
        <w:t xml:space="preserve">se negocian y acuerdan entre los países y los actores involucrados (empresas comercializadoras y distribuidoras de energía) </w:t>
      </w:r>
      <w:proofErr w:type="gramStart"/>
      <w:r w:rsidR="00B81B25">
        <w:rPr>
          <w:rFonts w:cs="Arial"/>
        </w:rPr>
        <w:t>de acuerdo a</w:t>
      </w:r>
      <w:proofErr w:type="gramEnd"/>
      <w:r w:rsidR="00B81B25">
        <w:rPr>
          <w:rFonts w:cs="Arial"/>
        </w:rPr>
        <w:t xml:space="preserve"> las condiciones del mercado</w:t>
      </w:r>
      <w:r w:rsidR="005514B9">
        <w:rPr>
          <w:rFonts w:cs="Arial"/>
        </w:rPr>
        <w:t xml:space="preserve"> vigentes al momento de las negociaciones</w:t>
      </w:r>
      <w:r w:rsidR="00B81B25">
        <w:rPr>
          <w:rFonts w:cs="Arial"/>
        </w:rPr>
        <w:t>.</w:t>
      </w:r>
    </w:p>
    <w:p w14:paraId="3068CE16" w14:textId="69ACFF62" w:rsidR="00575EB9" w:rsidRDefault="00575EB9" w:rsidP="00153BD3">
      <w:pPr>
        <w:pStyle w:val="Chapter"/>
        <w:numPr>
          <w:ilvl w:val="0"/>
          <w:numId w:val="0"/>
        </w:numPr>
        <w:ind w:left="1440"/>
        <w:jc w:val="both"/>
      </w:pPr>
    </w:p>
    <w:p w14:paraId="2ACFF20F" w14:textId="592FC65C" w:rsidR="00575EB9" w:rsidRDefault="002808AF" w:rsidP="00575EB9">
      <w:pPr>
        <w:rPr>
          <w:lang w:val="es-ES_tradnl"/>
        </w:rPr>
      </w:pPr>
      <w:r>
        <w:rPr>
          <w:noProof/>
        </w:rPr>
        <w:lastRenderedPageBreak/>
        <w:drawing>
          <wp:inline distT="0" distB="0" distL="0" distR="0" wp14:anchorId="18D99336" wp14:editId="6B4D1949">
            <wp:extent cx="6254262" cy="49345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60901" cy="4939824"/>
                    </a:xfrm>
                    <a:prstGeom prst="rect">
                      <a:avLst/>
                    </a:prstGeom>
                  </pic:spPr>
                </pic:pic>
              </a:graphicData>
            </a:graphic>
          </wp:inline>
        </w:drawing>
      </w:r>
    </w:p>
    <w:p w14:paraId="7DC32879" w14:textId="2C811A46" w:rsidR="00575EB9" w:rsidRDefault="00892D34" w:rsidP="002808AF">
      <w:pPr>
        <w:ind w:firstLine="720"/>
        <w:rPr>
          <w:sz w:val="18"/>
          <w:szCs w:val="18"/>
          <w:lang w:val="es-ES_tradnl"/>
        </w:rPr>
      </w:pPr>
      <w:r>
        <w:rPr>
          <w:sz w:val="18"/>
          <w:szCs w:val="18"/>
          <w:lang w:val="es-ES_tradnl"/>
        </w:rPr>
        <w:t>Cuadro 1</w:t>
      </w:r>
      <w:r w:rsidR="00153BD3" w:rsidRPr="00153BD3">
        <w:rPr>
          <w:sz w:val="18"/>
          <w:szCs w:val="18"/>
          <w:lang w:val="es-ES_tradnl"/>
        </w:rPr>
        <w:t>. Origen y destino de la energía eléctrica. Exportaciones. Fuente: ANDE</w:t>
      </w:r>
      <w:r>
        <w:rPr>
          <w:sz w:val="18"/>
          <w:szCs w:val="18"/>
          <w:lang w:val="es-ES_tradnl"/>
        </w:rPr>
        <w:t>.</w:t>
      </w:r>
      <w:r w:rsidR="00153BD3" w:rsidRPr="00153BD3">
        <w:rPr>
          <w:sz w:val="18"/>
          <w:szCs w:val="18"/>
          <w:lang w:val="es-ES_tradnl"/>
        </w:rPr>
        <w:t xml:space="preserve"> </w:t>
      </w:r>
    </w:p>
    <w:p w14:paraId="6F79E56A" w14:textId="77777777" w:rsidR="00066164" w:rsidRPr="00153BD3" w:rsidRDefault="00066164" w:rsidP="002808AF">
      <w:pPr>
        <w:ind w:firstLine="720"/>
        <w:rPr>
          <w:sz w:val="18"/>
          <w:szCs w:val="18"/>
          <w:lang w:val="es-ES_tradnl"/>
        </w:rPr>
      </w:pPr>
    </w:p>
    <w:p w14:paraId="29F9D445" w14:textId="11A42AB3" w:rsidR="000F7A93" w:rsidRPr="000F7A93" w:rsidRDefault="00422173" w:rsidP="000831BA">
      <w:pPr>
        <w:pStyle w:val="Paragraph"/>
        <w:numPr>
          <w:ilvl w:val="0"/>
          <w:numId w:val="0"/>
        </w:numPr>
        <w:ind w:left="720" w:hanging="720"/>
        <w:rPr>
          <w:rFonts w:cs="Arial"/>
        </w:rPr>
      </w:pPr>
      <w:r>
        <w:rPr>
          <w:rFonts w:cs="Arial"/>
        </w:rPr>
        <w:t>1.11</w:t>
      </w:r>
      <w:r>
        <w:rPr>
          <w:rFonts w:cs="Arial"/>
        </w:rPr>
        <w:tab/>
      </w:r>
      <w:r w:rsidR="000F7A93" w:rsidRPr="000F7A93">
        <w:rPr>
          <w:rFonts w:cs="Arial"/>
        </w:rPr>
        <w:t xml:space="preserve">Las exportaciones vía </w:t>
      </w:r>
      <w:r w:rsidR="00A257B4">
        <w:rPr>
          <w:rFonts w:cs="Arial"/>
        </w:rPr>
        <w:t xml:space="preserve">la subestación de </w:t>
      </w:r>
      <w:r w:rsidR="000F7A93" w:rsidRPr="000F7A93">
        <w:rPr>
          <w:rFonts w:cs="Arial"/>
        </w:rPr>
        <w:t xml:space="preserve">Carlos Antonio López </w:t>
      </w:r>
      <w:r w:rsidR="00CA3B42">
        <w:rPr>
          <w:rFonts w:cs="Arial"/>
        </w:rPr>
        <w:t xml:space="preserve">(Paraguay) </w:t>
      </w:r>
      <w:r w:rsidR="000F7A93" w:rsidRPr="000F7A93">
        <w:rPr>
          <w:rFonts w:cs="Arial"/>
        </w:rPr>
        <w:t xml:space="preserve">y El Dorado </w:t>
      </w:r>
      <w:r w:rsidR="00CA3B42">
        <w:rPr>
          <w:rFonts w:cs="Arial"/>
        </w:rPr>
        <w:t xml:space="preserve">(Argentina) están </w:t>
      </w:r>
      <w:r w:rsidR="000F7A93" w:rsidRPr="000F7A93">
        <w:rPr>
          <w:rFonts w:cs="Arial"/>
        </w:rPr>
        <w:t xml:space="preserve">dirigidas a satisfacer la demanda de la Provincia de Misiones de Argentina. Las exportaciones vía </w:t>
      </w:r>
      <w:r w:rsidR="000C0E20">
        <w:rPr>
          <w:rFonts w:cs="Arial"/>
        </w:rPr>
        <w:t xml:space="preserve">Guarambaré (Paraguay) – Clorinda (Argentina) </w:t>
      </w:r>
      <w:r w:rsidR="000F7A93" w:rsidRPr="000F7A93">
        <w:rPr>
          <w:rFonts w:cs="Arial"/>
        </w:rPr>
        <w:t>fueron dirigidas a satisfacer la demanda a la Provincia de Formosa (Norte de Argentina)</w:t>
      </w:r>
      <w:r w:rsidR="00575EB9">
        <w:rPr>
          <w:rFonts w:cs="Arial"/>
        </w:rPr>
        <w:t xml:space="preserve">. </w:t>
      </w:r>
      <w:r w:rsidR="000F7A93" w:rsidRPr="000F7A93">
        <w:rPr>
          <w:rFonts w:cs="Arial"/>
        </w:rPr>
        <w:t xml:space="preserve">ANDE ha </w:t>
      </w:r>
      <w:r w:rsidR="000C0E20">
        <w:rPr>
          <w:rFonts w:cs="Arial"/>
        </w:rPr>
        <w:t xml:space="preserve">venido </w:t>
      </w:r>
      <w:r w:rsidR="000F7A93" w:rsidRPr="000F7A93">
        <w:rPr>
          <w:rFonts w:cs="Arial"/>
        </w:rPr>
        <w:t>exporta</w:t>
      </w:r>
      <w:r w:rsidR="000C0E20">
        <w:rPr>
          <w:rFonts w:cs="Arial"/>
        </w:rPr>
        <w:t>n</w:t>
      </w:r>
      <w:r w:rsidR="000F7A93" w:rsidRPr="000F7A93">
        <w:rPr>
          <w:rFonts w:cs="Arial"/>
        </w:rPr>
        <w:t>do aproximadamente el 10.9% de la energía generada por la CHA (promedio 2013-2017).</w:t>
      </w:r>
      <w:r w:rsidR="00A257B4">
        <w:rPr>
          <w:rFonts w:cs="Arial"/>
        </w:rPr>
        <w:t xml:space="preserve"> Las exportaciones a Argentina se </w:t>
      </w:r>
      <w:r w:rsidR="00943529">
        <w:rPr>
          <w:rFonts w:cs="Arial"/>
        </w:rPr>
        <w:t xml:space="preserve">han venido realizado bajo acuerdos </w:t>
      </w:r>
      <w:r w:rsidR="00A257B4">
        <w:rPr>
          <w:rFonts w:cs="Arial"/>
        </w:rPr>
        <w:t>entre ANDE y EBISA (</w:t>
      </w:r>
      <w:r w:rsidR="00BC228A">
        <w:rPr>
          <w:rFonts w:cs="Arial"/>
        </w:rPr>
        <w:t>Emprendimientos Binacionales</w:t>
      </w:r>
      <w:r w:rsidR="00892D34">
        <w:rPr>
          <w:rFonts w:cs="Arial"/>
        </w:rPr>
        <w:t>,</w:t>
      </w:r>
      <w:r w:rsidR="00BC228A">
        <w:rPr>
          <w:rFonts w:cs="Arial"/>
        </w:rPr>
        <w:t xml:space="preserve"> S</w:t>
      </w:r>
      <w:r w:rsidR="00892D34">
        <w:rPr>
          <w:rFonts w:cs="Arial"/>
        </w:rPr>
        <w:t>.</w:t>
      </w:r>
      <w:r w:rsidR="00BC228A">
        <w:rPr>
          <w:rFonts w:cs="Arial"/>
        </w:rPr>
        <w:t>A</w:t>
      </w:r>
      <w:r w:rsidR="00892D34">
        <w:rPr>
          <w:rFonts w:cs="Arial"/>
        </w:rPr>
        <w:t>.</w:t>
      </w:r>
      <w:r w:rsidR="00BC228A">
        <w:rPr>
          <w:rFonts w:cs="Arial"/>
        </w:rPr>
        <w:t>)</w:t>
      </w:r>
      <w:r w:rsidR="00943529">
        <w:rPr>
          <w:rFonts w:cs="Arial"/>
        </w:rPr>
        <w:t xml:space="preserve"> bajo diversas modalidades y condiciones</w:t>
      </w:r>
      <w:r w:rsidR="000C0E20">
        <w:rPr>
          <w:rFonts w:cs="Arial"/>
        </w:rPr>
        <w:t xml:space="preserve"> negociadas entre las partes</w:t>
      </w:r>
      <w:r w:rsidR="00A257B4">
        <w:rPr>
          <w:rStyle w:val="FootnoteReference"/>
          <w:rFonts w:cs="Arial"/>
        </w:rPr>
        <w:footnoteReference w:id="13"/>
      </w:r>
      <w:r w:rsidR="00A257B4">
        <w:rPr>
          <w:rFonts w:cs="Arial"/>
        </w:rPr>
        <w:t xml:space="preserve">. </w:t>
      </w:r>
      <w:r w:rsidR="000F7A93" w:rsidRPr="000F7A93">
        <w:rPr>
          <w:rFonts w:cs="Arial"/>
        </w:rPr>
        <w:t xml:space="preserve">  </w:t>
      </w:r>
    </w:p>
    <w:bookmarkEnd w:id="8"/>
    <w:p w14:paraId="13C1B5AD" w14:textId="77777777" w:rsidR="00A51B30" w:rsidRDefault="00A51B30" w:rsidP="00A51B30">
      <w:pPr>
        <w:pStyle w:val="Figure"/>
        <w:numPr>
          <w:ilvl w:val="0"/>
          <w:numId w:val="0"/>
        </w:numPr>
        <w:ind w:left="1440"/>
        <w:jc w:val="both"/>
      </w:pPr>
    </w:p>
    <w:p w14:paraId="6C652357" w14:textId="143DC2E2" w:rsidR="002C62D5" w:rsidRPr="00EB76C2" w:rsidRDefault="00EB76C2" w:rsidP="00BA49FD">
      <w:pPr>
        <w:pStyle w:val="Heading1"/>
        <w:rPr>
          <w:rFonts w:eastAsia="Times New Roman"/>
          <w:lang w:val="es-ES_tradnl"/>
        </w:rPr>
      </w:pPr>
      <w:bookmarkStart w:id="9" w:name="_Toc525050903"/>
      <w:r w:rsidRPr="00EB76C2">
        <w:rPr>
          <w:rFonts w:eastAsia="Times New Roman"/>
          <w:lang w:val="es-ES_tradnl"/>
        </w:rPr>
        <w:lastRenderedPageBreak/>
        <w:t xml:space="preserve">Principales aspectos considerados para la clasificación de </w:t>
      </w:r>
      <w:r w:rsidR="00575EB9">
        <w:rPr>
          <w:rFonts w:eastAsia="Times New Roman"/>
          <w:lang w:val="es-ES_tradnl"/>
        </w:rPr>
        <w:t>PR-L1156</w:t>
      </w:r>
      <w:r w:rsidRPr="00EB76C2">
        <w:rPr>
          <w:rFonts w:eastAsia="Times New Roman"/>
          <w:lang w:val="es-ES_tradnl"/>
        </w:rPr>
        <w:t xml:space="preserve"> como operación de </w:t>
      </w:r>
      <w:r w:rsidR="00575EB9">
        <w:rPr>
          <w:rFonts w:eastAsia="Times New Roman"/>
          <w:lang w:val="es-ES_tradnl"/>
        </w:rPr>
        <w:t>I</w:t>
      </w:r>
      <w:r w:rsidRPr="00EB76C2">
        <w:rPr>
          <w:rFonts w:eastAsia="Times New Roman"/>
          <w:lang w:val="es-ES_tradnl"/>
        </w:rPr>
        <w:t xml:space="preserve">ntegración </w:t>
      </w:r>
      <w:r w:rsidR="00575EB9">
        <w:rPr>
          <w:rFonts w:eastAsia="Times New Roman"/>
          <w:lang w:val="es-ES_tradnl"/>
        </w:rPr>
        <w:t>R</w:t>
      </w:r>
      <w:r w:rsidRPr="00EB76C2">
        <w:rPr>
          <w:rFonts w:eastAsia="Times New Roman"/>
          <w:lang w:val="es-ES_tradnl"/>
        </w:rPr>
        <w:t>egional</w:t>
      </w:r>
      <w:bookmarkEnd w:id="9"/>
    </w:p>
    <w:p w14:paraId="05A69EC7" w14:textId="73CFECAF" w:rsidR="00D848A8" w:rsidRPr="00D848A8" w:rsidRDefault="00422173" w:rsidP="000831BA">
      <w:pPr>
        <w:pStyle w:val="Paragraph"/>
        <w:numPr>
          <w:ilvl w:val="0"/>
          <w:numId w:val="0"/>
        </w:numPr>
        <w:ind w:left="720" w:hanging="720"/>
        <w:rPr>
          <w:rFonts w:cs="Arial"/>
        </w:rPr>
      </w:pPr>
      <w:r>
        <w:rPr>
          <w:rFonts w:cs="Arial"/>
        </w:rPr>
        <w:t>1.12</w:t>
      </w:r>
      <w:r>
        <w:rPr>
          <w:rFonts w:cs="Arial"/>
        </w:rPr>
        <w:tab/>
      </w:r>
      <w:r w:rsidR="00D848A8" w:rsidRPr="00D848A8">
        <w:rPr>
          <w:rFonts w:cs="Arial"/>
        </w:rPr>
        <w:t xml:space="preserve">Paraguay tiene el 50% de la capacidad instalada de las centrales binacionales Itaipú con Brasil (7.000 MW de los 14.000 MW </w:t>
      </w:r>
      <w:r w:rsidR="000F7A93">
        <w:rPr>
          <w:rFonts w:cs="Arial"/>
        </w:rPr>
        <w:t xml:space="preserve">de capacidad instalada total </w:t>
      </w:r>
      <w:r w:rsidR="00D848A8" w:rsidRPr="00D848A8">
        <w:rPr>
          <w:rFonts w:cs="Arial"/>
        </w:rPr>
        <w:t xml:space="preserve">que tiene la central) y de </w:t>
      </w:r>
      <w:proofErr w:type="spellStart"/>
      <w:r w:rsidR="00D848A8" w:rsidRPr="00D848A8">
        <w:rPr>
          <w:rFonts w:cs="Arial"/>
        </w:rPr>
        <w:t>Yacyretá</w:t>
      </w:r>
      <w:proofErr w:type="spellEnd"/>
      <w:r w:rsidR="00D848A8" w:rsidRPr="00D848A8">
        <w:rPr>
          <w:rFonts w:cs="Arial"/>
        </w:rPr>
        <w:t xml:space="preserve"> con Argentina (1.600 MW de los 3.200 MW que tiene la central). </w:t>
      </w:r>
      <w:r w:rsidR="00F058D0">
        <w:rPr>
          <w:rFonts w:cs="Arial"/>
        </w:rPr>
        <w:t xml:space="preserve">Sin embargo, </w:t>
      </w:r>
      <w:r w:rsidR="00D848A8" w:rsidRPr="00D848A8">
        <w:rPr>
          <w:rFonts w:cs="Arial"/>
        </w:rPr>
        <w:t>Paraguay consume solo una parte de</w:t>
      </w:r>
      <w:r w:rsidR="00F058D0">
        <w:rPr>
          <w:rFonts w:cs="Arial"/>
        </w:rPr>
        <w:t>l</w:t>
      </w:r>
      <w:r w:rsidR="00D848A8" w:rsidRPr="00D848A8">
        <w:rPr>
          <w:rFonts w:cs="Arial"/>
        </w:rPr>
        <w:t xml:space="preserve"> 50% que le corresponde </w:t>
      </w:r>
      <w:r w:rsidR="00F058D0">
        <w:rPr>
          <w:rFonts w:cs="Arial"/>
        </w:rPr>
        <w:t>en</w:t>
      </w:r>
      <w:r w:rsidR="00D848A8" w:rsidRPr="00D848A8">
        <w:rPr>
          <w:rFonts w:cs="Arial"/>
        </w:rPr>
        <w:t xml:space="preserve"> cada central binacional</w:t>
      </w:r>
      <w:r w:rsidR="000F7A93">
        <w:rPr>
          <w:rFonts w:cs="Arial"/>
        </w:rPr>
        <w:t xml:space="preserve"> (proporcionalmente co</w:t>
      </w:r>
      <w:r w:rsidR="00F058D0">
        <w:rPr>
          <w:rFonts w:cs="Arial"/>
        </w:rPr>
        <w:t>mpra</w:t>
      </w:r>
      <w:r w:rsidR="000F7A93">
        <w:rPr>
          <w:rFonts w:cs="Arial"/>
        </w:rPr>
        <w:t xml:space="preserve"> más de Itaipú que de </w:t>
      </w:r>
      <w:proofErr w:type="spellStart"/>
      <w:r w:rsidR="000F7A93">
        <w:rPr>
          <w:rFonts w:cs="Arial"/>
        </w:rPr>
        <w:t>Yacyretá</w:t>
      </w:r>
      <w:proofErr w:type="spellEnd"/>
      <w:r w:rsidR="000F7A93">
        <w:rPr>
          <w:rFonts w:cs="Arial"/>
        </w:rPr>
        <w:t>)</w:t>
      </w:r>
      <w:r w:rsidR="00D848A8" w:rsidRPr="00D848A8">
        <w:rPr>
          <w:rFonts w:cs="Arial"/>
        </w:rPr>
        <w:t>. La energía que Paraguay no consume</w:t>
      </w:r>
      <w:r w:rsidR="000F7A93">
        <w:rPr>
          <w:rFonts w:cs="Arial"/>
        </w:rPr>
        <w:t>,</w:t>
      </w:r>
      <w:r w:rsidR="00D848A8" w:rsidRPr="00D848A8">
        <w:rPr>
          <w:rFonts w:cs="Arial"/>
        </w:rPr>
        <w:t xml:space="preserve"> la exporta al país socio en cada central. </w:t>
      </w:r>
      <w:r w:rsidR="00EA206B">
        <w:rPr>
          <w:rFonts w:cs="Arial"/>
        </w:rPr>
        <w:t>De acuerdo con</w:t>
      </w:r>
      <w:r w:rsidR="000F7A93">
        <w:rPr>
          <w:rFonts w:cs="Arial"/>
        </w:rPr>
        <w:t xml:space="preserve"> los respectivos tratados, esa energía no consumida no puede ser exportada </w:t>
      </w:r>
      <w:r w:rsidR="00F058D0">
        <w:rPr>
          <w:rFonts w:cs="Arial"/>
        </w:rPr>
        <w:t xml:space="preserve">por Paraguay </w:t>
      </w:r>
      <w:r w:rsidR="000F7A93">
        <w:rPr>
          <w:rFonts w:cs="Arial"/>
        </w:rPr>
        <w:t xml:space="preserve">a otros países que no sea el país socio en cada emprendimiento. </w:t>
      </w:r>
      <w:r w:rsidR="00D848A8" w:rsidRPr="00D848A8">
        <w:rPr>
          <w:rFonts w:cs="Arial"/>
        </w:rPr>
        <w:t xml:space="preserve">En rigor, se trata de una </w:t>
      </w:r>
      <w:r w:rsidR="000F7A93">
        <w:rPr>
          <w:rFonts w:cs="Arial"/>
        </w:rPr>
        <w:t>“</w:t>
      </w:r>
      <w:r w:rsidR="00D848A8" w:rsidRPr="00D848A8">
        <w:rPr>
          <w:rFonts w:cs="Arial"/>
        </w:rPr>
        <w:t>cesión</w:t>
      </w:r>
      <w:r w:rsidR="000F7A93">
        <w:rPr>
          <w:rFonts w:cs="Arial"/>
        </w:rPr>
        <w:t>”</w:t>
      </w:r>
      <w:r w:rsidR="00D848A8" w:rsidRPr="00D848A8">
        <w:rPr>
          <w:rFonts w:cs="Arial"/>
        </w:rPr>
        <w:t xml:space="preserve"> de la energía en los términos comerciales pactados en los respectivos acuerdos por lo cual el pago que recibe es </w:t>
      </w:r>
      <w:r w:rsidR="000F7A93">
        <w:rPr>
          <w:rFonts w:cs="Arial"/>
        </w:rPr>
        <w:t xml:space="preserve">sustancialmente </w:t>
      </w:r>
      <w:r w:rsidR="00D848A8" w:rsidRPr="00D848A8">
        <w:rPr>
          <w:rFonts w:cs="Arial"/>
        </w:rPr>
        <w:t>menor a los precios de mercado de la energía en los respectivos países</w:t>
      </w:r>
      <w:r w:rsidR="00F058D0">
        <w:rPr>
          <w:rStyle w:val="FootnoteReference"/>
          <w:rFonts w:cs="Arial"/>
        </w:rPr>
        <w:footnoteReference w:id="14"/>
      </w:r>
      <w:r w:rsidR="00D848A8" w:rsidRPr="00D848A8">
        <w:rPr>
          <w:rFonts w:cs="Arial"/>
        </w:rPr>
        <w:t xml:space="preserve">. En este marco, la única energía que </w:t>
      </w:r>
      <w:r w:rsidR="00D848A8">
        <w:rPr>
          <w:rFonts w:cs="Arial"/>
        </w:rPr>
        <w:t xml:space="preserve">el país </w:t>
      </w:r>
      <w:r w:rsidR="00D848A8" w:rsidRPr="00D848A8">
        <w:rPr>
          <w:rFonts w:cs="Arial"/>
        </w:rPr>
        <w:t xml:space="preserve">exporta </w:t>
      </w:r>
      <w:r w:rsidR="00D848A8">
        <w:rPr>
          <w:rFonts w:cs="Arial"/>
        </w:rPr>
        <w:t xml:space="preserve">genuinamente </w:t>
      </w:r>
      <w:r w:rsidR="00D848A8" w:rsidRPr="00D848A8">
        <w:rPr>
          <w:rFonts w:cs="Arial"/>
        </w:rPr>
        <w:t xml:space="preserve">es la de la CHA, ya que es la única central de propiedad 100% del Paraguay. </w:t>
      </w:r>
      <w:r w:rsidR="000F7A93">
        <w:rPr>
          <w:rFonts w:cs="Arial"/>
        </w:rPr>
        <w:t>De allí la enorme importancia de la CHA.</w:t>
      </w:r>
      <w:r w:rsidR="00D848A8" w:rsidRPr="00D848A8">
        <w:rPr>
          <w:rFonts w:cs="Arial"/>
        </w:rPr>
        <w:t xml:space="preserve"> </w:t>
      </w:r>
    </w:p>
    <w:p w14:paraId="3351746D" w14:textId="63E55697" w:rsidR="00CB0489" w:rsidRDefault="00422173" w:rsidP="000831BA">
      <w:pPr>
        <w:pStyle w:val="Paragraph"/>
        <w:numPr>
          <w:ilvl w:val="0"/>
          <w:numId w:val="0"/>
        </w:numPr>
        <w:ind w:left="720" w:hanging="720"/>
      </w:pPr>
      <w:r>
        <w:t>1.13</w:t>
      </w:r>
      <w:r>
        <w:tab/>
      </w:r>
      <w:r w:rsidR="1AE7B4AB" w:rsidRPr="00CB0489">
        <w:t xml:space="preserve">La operación </w:t>
      </w:r>
      <w:r w:rsidR="009A1099">
        <w:t>PR-L1156</w:t>
      </w:r>
      <w:r w:rsidR="005E5496">
        <w:t xml:space="preserve">, Programa de Rehabilitación y Modernización de la Central Hidroeléctrica </w:t>
      </w:r>
      <w:proofErr w:type="spellStart"/>
      <w:r w:rsidR="005E5496">
        <w:t>Acaray</w:t>
      </w:r>
      <w:proofErr w:type="spellEnd"/>
      <w:r w:rsidR="00993CEE" w:rsidRPr="00CB0489">
        <w:t>,</w:t>
      </w:r>
      <w:r w:rsidR="1AE7B4AB" w:rsidRPr="00CB0489">
        <w:t xml:space="preserve"> tiene como objetivo general</w:t>
      </w:r>
      <w:bookmarkStart w:id="10" w:name="_Hlk520881032"/>
      <w:r w:rsidR="00952384" w:rsidRPr="00CB0489">
        <w:t xml:space="preserve"> </w:t>
      </w:r>
      <w:bookmarkEnd w:id="10"/>
      <w:r w:rsidR="001D5038" w:rsidRPr="00CB0489">
        <w:t>la de “</w:t>
      </w:r>
      <w:r w:rsidR="003D1C15" w:rsidRPr="003D1C15">
        <w:rPr>
          <w:rFonts w:cs="Arial"/>
          <w:i/>
        </w:rPr>
        <w:t xml:space="preserve">contribuir a la modernización del sector eléctrico de Paraguay a través del financiamiento de inversiones de rehabilitación de infraestructura eléctrica de la Administración Nacional de Electricidad (ANDE). El objetivo específico es apoyar a la ANDE a rehabilitar y modernizar la Central Hidroeléctrica </w:t>
      </w:r>
      <w:proofErr w:type="spellStart"/>
      <w:r w:rsidR="003D1C15" w:rsidRPr="003D1C15">
        <w:rPr>
          <w:rFonts w:cs="Arial"/>
          <w:i/>
        </w:rPr>
        <w:t>Acaray</w:t>
      </w:r>
      <w:proofErr w:type="spellEnd"/>
      <w:r w:rsidR="003D1C15" w:rsidRPr="003D1C15">
        <w:rPr>
          <w:rFonts w:cs="Arial"/>
          <w:i/>
        </w:rPr>
        <w:t xml:space="preserve"> para contribuir a: (i) la extensión de la vida útil de la </w:t>
      </w:r>
      <w:proofErr w:type="gramStart"/>
      <w:r w:rsidR="003D1C15" w:rsidRPr="003D1C15">
        <w:rPr>
          <w:rFonts w:cs="Arial"/>
          <w:i/>
        </w:rPr>
        <w:t>central;  (</w:t>
      </w:r>
      <w:proofErr w:type="gramEnd"/>
      <w:r w:rsidR="003D1C15" w:rsidRPr="003D1C15">
        <w:rPr>
          <w:rFonts w:cs="Arial"/>
          <w:i/>
        </w:rPr>
        <w:t>ii) mejorar la disponibilidad y confiabilidad de la central; y (iii) dar continuidad a los beneficios que brinda actualmente la central.</w:t>
      </w:r>
      <w:r w:rsidR="001D5038" w:rsidRPr="00CB0489">
        <w:rPr>
          <w:i/>
        </w:rPr>
        <w:t>”</w:t>
      </w:r>
      <w:r w:rsidR="001D5038" w:rsidRPr="00CB0489">
        <w:t>.</w:t>
      </w:r>
      <w:r w:rsidR="00CB0489" w:rsidRPr="00CB0489">
        <w:t xml:space="preserve"> </w:t>
      </w:r>
      <w:r w:rsidR="001D5038" w:rsidRPr="00CB0489">
        <w:t xml:space="preserve">Se plantea un préstamo de inversión con garantía soberana para apoyar un plan de inversiones de corto plazo de la CHA cuya ejecución se estima en seis años, por un monto total de US$137.5 millones, de los cuales US$125 millones corresponden a Capital Ordinario del Banco y US$12,5 millones de contrapartida local. </w:t>
      </w:r>
    </w:p>
    <w:p w14:paraId="5AB1BD7D" w14:textId="360C6F51" w:rsidR="00CB0489" w:rsidRDefault="1AE7B4AB" w:rsidP="000831BA">
      <w:pPr>
        <w:pStyle w:val="Paragraph"/>
        <w:numPr>
          <w:ilvl w:val="1"/>
          <w:numId w:val="39"/>
        </w:numPr>
        <w:tabs>
          <w:tab w:val="num" w:pos="1746"/>
        </w:tabs>
        <w:ind w:left="720" w:hanging="720"/>
        <w:rPr>
          <w:rFonts w:cs="Arial"/>
        </w:rPr>
      </w:pPr>
      <w:bookmarkStart w:id="11" w:name="_GoBack"/>
      <w:bookmarkEnd w:id="11"/>
      <w:r w:rsidRPr="00CB0489">
        <w:rPr>
          <w:rFonts w:cs="Arial"/>
        </w:rPr>
        <w:t xml:space="preserve">El </w:t>
      </w:r>
      <w:r w:rsidR="00F058D0">
        <w:rPr>
          <w:rFonts w:cs="Arial"/>
        </w:rPr>
        <w:t>prog</w:t>
      </w:r>
      <w:r w:rsidR="000831BA">
        <w:rPr>
          <w:rFonts w:cs="Arial"/>
        </w:rPr>
        <w:t>r</w:t>
      </w:r>
      <w:r w:rsidR="00F058D0">
        <w:rPr>
          <w:rFonts w:cs="Arial"/>
        </w:rPr>
        <w:t>ama PR-L1156</w:t>
      </w:r>
      <w:r w:rsidRPr="00CB0489">
        <w:rPr>
          <w:rFonts w:cs="Arial"/>
        </w:rPr>
        <w:t xml:space="preserve"> contribuye a la integración regional mediante la modernización de la </w:t>
      </w:r>
      <w:r w:rsidR="00CB0489">
        <w:rPr>
          <w:rFonts w:cs="Arial"/>
        </w:rPr>
        <w:t xml:space="preserve">única central hidroeléctrica propia de la ANDE que históricamente ha venido </w:t>
      </w:r>
      <w:r w:rsidR="00CB0489">
        <w:rPr>
          <w:rFonts w:cs="Arial"/>
        </w:rPr>
        <w:lastRenderedPageBreak/>
        <w:t xml:space="preserve">exportando energía eléctrica a Brasil y Argentina. </w:t>
      </w:r>
      <w:r w:rsidR="00943529">
        <w:rPr>
          <w:rFonts w:cs="Arial"/>
        </w:rPr>
        <w:t xml:space="preserve">Las exportaciones de energía de la CHA han contribuido </w:t>
      </w:r>
      <w:r w:rsidR="00F058D0">
        <w:rPr>
          <w:rFonts w:cs="Arial"/>
        </w:rPr>
        <w:t xml:space="preserve">fundamentalmente </w:t>
      </w:r>
      <w:r w:rsidR="00943529">
        <w:rPr>
          <w:rFonts w:cs="Arial"/>
        </w:rPr>
        <w:t xml:space="preserve">a satisfacer la demanda </w:t>
      </w:r>
      <w:r w:rsidR="00F058D0">
        <w:rPr>
          <w:rFonts w:cs="Arial"/>
        </w:rPr>
        <w:t xml:space="preserve">y seguridad de suministro eléctrico </w:t>
      </w:r>
      <w:r w:rsidR="00943529">
        <w:rPr>
          <w:rFonts w:cs="Arial"/>
        </w:rPr>
        <w:t xml:space="preserve">en </w:t>
      </w:r>
      <w:r w:rsidR="00F058D0">
        <w:rPr>
          <w:rFonts w:cs="Arial"/>
        </w:rPr>
        <w:t xml:space="preserve">los Estados y Provincias </w:t>
      </w:r>
      <w:r w:rsidR="00943529">
        <w:rPr>
          <w:rFonts w:cs="Arial"/>
        </w:rPr>
        <w:t xml:space="preserve">fronterizas de Argentina y Brasil con el territorio de Paraguay. </w:t>
      </w:r>
    </w:p>
    <w:p w14:paraId="61DB5893" w14:textId="77777777" w:rsidR="00B244A9" w:rsidRPr="000F0D30" w:rsidRDefault="00B244A9" w:rsidP="00BA49FD">
      <w:pPr>
        <w:pStyle w:val="Heading1"/>
        <w:rPr>
          <w:lang w:val="es-UY"/>
        </w:rPr>
      </w:pPr>
      <w:bookmarkStart w:id="12" w:name="_Toc525050904"/>
      <w:r w:rsidRPr="000F0D30">
        <w:rPr>
          <w:lang w:val="es-UY"/>
        </w:rPr>
        <w:t>Validación de Criterios en el Marco de la Estrategia de Integración</w:t>
      </w:r>
      <w:bookmarkEnd w:id="12"/>
    </w:p>
    <w:p w14:paraId="2FD05437" w14:textId="61C6CD0B" w:rsidR="00CB0489" w:rsidRPr="000831BA" w:rsidRDefault="1AE7B4AB" w:rsidP="000831BA">
      <w:pPr>
        <w:pStyle w:val="Paragraph"/>
        <w:numPr>
          <w:ilvl w:val="1"/>
          <w:numId w:val="39"/>
        </w:numPr>
        <w:ind w:left="720" w:hanging="720"/>
        <w:rPr>
          <w:rFonts w:eastAsia="MS Mincho" w:cs="Arial"/>
          <w:lang w:eastAsia="ja-JP"/>
        </w:rPr>
      </w:pPr>
      <w:r w:rsidRPr="00892D34">
        <w:rPr>
          <w:rFonts w:cs="Arial"/>
        </w:rPr>
        <w:t xml:space="preserve">La operación </w:t>
      </w:r>
      <w:r w:rsidR="00CB0489" w:rsidRPr="00892D34">
        <w:rPr>
          <w:rFonts w:cs="Arial"/>
        </w:rPr>
        <w:t>PR-L1156</w:t>
      </w:r>
      <w:r w:rsidRPr="00892D34">
        <w:rPr>
          <w:rFonts w:cs="Arial"/>
        </w:rPr>
        <w:t xml:space="preserve"> está alineada estratégicamente con el </w:t>
      </w:r>
      <w:r w:rsidRPr="00892D34">
        <w:rPr>
          <w:rFonts w:cs="Arial"/>
          <w:b/>
        </w:rPr>
        <w:t>Desafío Regional de Integración Económica incluido en la Estrategia Institucional del Banco 2010-2020 (GN-2788-5)</w:t>
      </w:r>
      <w:r w:rsidRPr="00892D34">
        <w:rPr>
          <w:rFonts w:cs="Arial"/>
        </w:rPr>
        <w:t xml:space="preserve"> al incluir en su lógica vertical el objetivo de reforzar la infraestructura</w:t>
      </w:r>
      <w:r w:rsidR="00CB0489" w:rsidRPr="000831BA">
        <w:rPr>
          <w:rFonts w:cs="Arial"/>
        </w:rPr>
        <w:t xml:space="preserve"> de generación eléctrica de la ANDE. Según el diagnóstico técnico, debido a la obsolescencia de la </w:t>
      </w:r>
      <w:r w:rsidR="00C552F7" w:rsidRPr="000831BA">
        <w:rPr>
          <w:rFonts w:cs="Arial"/>
        </w:rPr>
        <w:t>central</w:t>
      </w:r>
      <w:r w:rsidR="00CB0489" w:rsidRPr="000831BA">
        <w:rPr>
          <w:rFonts w:cs="Arial"/>
        </w:rPr>
        <w:t xml:space="preserve">, si no se realizan las inversiones de rehabilitación planteadas en el programa, los Grupos 1 y 2 de la </w:t>
      </w:r>
      <w:r w:rsidR="00C552F7" w:rsidRPr="000831BA">
        <w:rPr>
          <w:rFonts w:cs="Arial"/>
        </w:rPr>
        <w:t>CHA</w:t>
      </w:r>
      <w:r w:rsidR="00CB0489" w:rsidRPr="000831BA">
        <w:rPr>
          <w:rFonts w:cs="Arial"/>
        </w:rPr>
        <w:t xml:space="preserve"> dejarían de operar en los años 2023 y 2025</w:t>
      </w:r>
      <w:r w:rsidR="00C552F7" w:rsidRPr="000831BA">
        <w:rPr>
          <w:rFonts w:cs="Arial"/>
        </w:rPr>
        <w:t xml:space="preserve"> respectivamente</w:t>
      </w:r>
      <w:r w:rsidR="00CB0489" w:rsidRPr="000831BA">
        <w:rPr>
          <w:rFonts w:cs="Arial"/>
        </w:rPr>
        <w:t>. Asimismo, los Grupos 3 y 4, aunque están en mejores condiciones</w:t>
      </w:r>
      <w:r w:rsidR="00C552F7" w:rsidRPr="000831BA">
        <w:rPr>
          <w:rFonts w:cs="Arial"/>
        </w:rPr>
        <w:t xml:space="preserve"> porque se le están haciendo algunas mejoras actualmente (intervenciones en los generadores)</w:t>
      </w:r>
      <w:r w:rsidR="00CB0489" w:rsidRPr="000831BA">
        <w:rPr>
          <w:rFonts w:cs="Arial"/>
        </w:rPr>
        <w:t xml:space="preserve">, irían disminuyendo en su capacidad de generación y disponibilidad si no se realizan las inversiones planteadas en el programa. En definitiva, si no se realizan las </w:t>
      </w:r>
      <w:r w:rsidR="00C552F7" w:rsidRPr="000831BA">
        <w:rPr>
          <w:rFonts w:cs="Arial"/>
        </w:rPr>
        <w:t xml:space="preserve">mejoras </w:t>
      </w:r>
      <w:r w:rsidR="00CB0489" w:rsidRPr="000831BA">
        <w:rPr>
          <w:rFonts w:cs="Arial"/>
        </w:rPr>
        <w:t>planteadas en el programa PR-L1156</w:t>
      </w:r>
      <w:r w:rsidR="00C552F7" w:rsidRPr="000831BA">
        <w:rPr>
          <w:rFonts w:cs="Arial"/>
        </w:rPr>
        <w:t>,</w:t>
      </w:r>
      <w:r w:rsidR="00CB0489" w:rsidRPr="000831BA">
        <w:rPr>
          <w:rFonts w:cs="Arial"/>
        </w:rPr>
        <w:t xml:space="preserve"> </w:t>
      </w:r>
      <w:r w:rsidR="00C552F7" w:rsidRPr="000831BA">
        <w:rPr>
          <w:rFonts w:cs="Arial"/>
        </w:rPr>
        <w:t xml:space="preserve">en el futuro la central no podría </w:t>
      </w:r>
      <w:r w:rsidR="00CB0489" w:rsidRPr="000831BA">
        <w:rPr>
          <w:rFonts w:cs="Arial"/>
        </w:rPr>
        <w:t xml:space="preserve">continuar exportando energía </w:t>
      </w:r>
      <w:r w:rsidR="00C552F7" w:rsidRPr="000831BA">
        <w:rPr>
          <w:rFonts w:cs="Arial"/>
        </w:rPr>
        <w:t>como lo ha venido haciendo históricamente</w:t>
      </w:r>
      <w:r w:rsidR="00CB0489" w:rsidRPr="000831BA">
        <w:rPr>
          <w:rFonts w:cs="Arial"/>
        </w:rPr>
        <w:t xml:space="preserve">. </w:t>
      </w:r>
    </w:p>
    <w:p w14:paraId="23CA2A45" w14:textId="77777777" w:rsidR="00CB0489" w:rsidRPr="000831BA" w:rsidRDefault="1AE7B4AB" w:rsidP="000831BA">
      <w:pPr>
        <w:pStyle w:val="Paragraph"/>
        <w:numPr>
          <w:ilvl w:val="1"/>
          <w:numId w:val="39"/>
        </w:numPr>
        <w:tabs>
          <w:tab w:val="num" w:pos="1746"/>
        </w:tabs>
        <w:ind w:left="720" w:hanging="720"/>
        <w:rPr>
          <w:rFonts w:eastAsia="MS Mincho" w:cs="Arial"/>
          <w:lang w:eastAsia="ja-JP"/>
        </w:rPr>
      </w:pPr>
      <w:r w:rsidRPr="000831BA">
        <w:rPr>
          <w:rFonts w:cs="Arial"/>
        </w:rPr>
        <w:t>La Matriz de Resultados plasma esta lógica a través</w:t>
      </w:r>
      <w:r w:rsidRPr="000831BA">
        <w:rPr>
          <w:rFonts w:eastAsia="MS Mincho" w:cs="Arial"/>
          <w:lang w:eastAsia="ja-JP"/>
        </w:rPr>
        <w:t xml:space="preserve"> </w:t>
      </w:r>
      <w:r w:rsidR="00C87614" w:rsidRPr="000831BA">
        <w:rPr>
          <w:rFonts w:eastAsia="MS Mincho" w:cs="Arial"/>
          <w:lang w:eastAsia="ja-JP"/>
        </w:rPr>
        <w:t>de sus indicadores de resultado</w:t>
      </w:r>
      <w:r w:rsidR="00362C9E" w:rsidRPr="000831BA">
        <w:rPr>
          <w:rFonts w:eastAsia="MS Mincho" w:cs="Arial"/>
          <w:lang w:eastAsia="ja-JP"/>
        </w:rPr>
        <w:t xml:space="preserve"> </w:t>
      </w:r>
      <w:r w:rsidR="00CB0489" w:rsidRPr="000831BA">
        <w:rPr>
          <w:rFonts w:eastAsia="MS Mincho" w:cs="Arial"/>
          <w:lang w:eastAsia="ja-JP"/>
        </w:rPr>
        <w:t xml:space="preserve">incluyendo la disponibilidad operativa, indisponibilidad forzada y exportación de energía. </w:t>
      </w:r>
    </w:p>
    <w:p w14:paraId="1FB82898" w14:textId="1C2E64C6" w:rsidR="00D80B0B" w:rsidRPr="000831BA" w:rsidRDefault="1AE7B4AB" w:rsidP="000831BA">
      <w:pPr>
        <w:pStyle w:val="Paragraph"/>
        <w:numPr>
          <w:ilvl w:val="1"/>
          <w:numId w:val="39"/>
        </w:numPr>
        <w:tabs>
          <w:tab w:val="num" w:pos="1746"/>
        </w:tabs>
        <w:ind w:left="720" w:hanging="720"/>
        <w:rPr>
          <w:rFonts w:eastAsia="MS Mincho" w:cs="Arial"/>
          <w:lang w:eastAsia="ja-JP"/>
        </w:rPr>
      </w:pPr>
      <w:r w:rsidRPr="000831BA">
        <w:rPr>
          <w:rFonts w:eastAsia="MS Mincho" w:cs="Arial"/>
          <w:lang w:eastAsia="ja-JP"/>
        </w:rPr>
        <w:t xml:space="preserve">Adicionalmente, el proyecto tiene carácter de regional </w:t>
      </w:r>
      <w:r w:rsidR="006B282C" w:rsidRPr="000831BA">
        <w:rPr>
          <w:rFonts w:eastAsia="MS Mincho" w:cs="Arial"/>
          <w:lang w:eastAsia="ja-JP"/>
        </w:rPr>
        <w:t>de acuerdo con</w:t>
      </w:r>
      <w:r w:rsidRPr="000831BA">
        <w:rPr>
          <w:rFonts w:eastAsia="MS Mincho" w:cs="Arial"/>
          <w:lang w:eastAsia="ja-JP"/>
        </w:rPr>
        <w:t xml:space="preserve"> la </w:t>
      </w:r>
      <w:r w:rsidRPr="000831BA">
        <w:rPr>
          <w:rFonts w:eastAsia="MS Mincho" w:cs="Arial"/>
          <w:b/>
          <w:lang w:eastAsia="ja-JP"/>
        </w:rPr>
        <w:t>Estrategia Sectorial de Apoyo a la Integración Competitiva Regional y Global (GN-2565-4)</w:t>
      </w:r>
      <w:r w:rsidRPr="000831BA">
        <w:rPr>
          <w:rFonts w:eastAsia="MS Mincho" w:cs="Arial"/>
          <w:lang w:eastAsia="ja-JP"/>
        </w:rPr>
        <w:t xml:space="preserve">. Una operación de integración regional se clasifica como tal en la medida en la que atiende </w:t>
      </w:r>
      <w:r w:rsidR="00C552F7" w:rsidRPr="000831BA">
        <w:rPr>
          <w:rFonts w:eastAsia="MS Mincho" w:cs="Arial"/>
          <w:lang w:eastAsia="ja-JP"/>
        </w:rPr>
        <w:t xml:space="preserve">al menos a alguno </w:t>
      </w:r>
      <w:r w:rsidRPr="000831BA">
        <w:rPr>
          <w:rFonts w:eastAsia="MS Mincho" w:cs="Arial"/>
          <w:lang w:eastAsia="ja-JP"/>
        </w:rPr>
        <w:t xml:space="preserve">de los </w:t>
      </w:r>
      <w:r w:rsidR="00C552F7" w:rsidRPr="000831BA">
        <w:rPr>
          <w:rFonts w:eastAsia="MS Mincho" w:cs="Arial"/>
          <w:lang w:eastAsia="ja-JP"/>
        </w:rPr>
        <w:t xml:space="preserve">siguientes </w:t>
      </w:r>
      <w:r w:rsidRPr="000831BA">
        <w:rPr>
          <w:rFonts w:eastAsia="MS Mincho" w:cs="Arial"/>
          <w:lang w:eastAsia="ja-JP"/>
        </w:rPr>
        <w:t xml:space="preserve">cuatro criterios </w:t>
      </w:r>
      <w:r w:rsidR="00C552F7" w:rsidRPr="000831BA">
        <w:rPr>
          <w:rFonts w:eastAsia="MS Mincho" w:cs="Arial"/>
          <w:lang w:eastAsia="ja-JP"/>
        </w:rPr>
        <w:t>(</w:t>
      </w:r>
      <w:r w:rsidRPr="000831BA">
        <w:rPr>
          <w:rFonts w:eastAsia="MS Mincho" w:cs="Arial"/>
          <w:lang w:eastAsia="ja-JP"/>
        </w:rPr>
        <w:t>no son mutuamente excluyentes entre sí</w:t>
      </w:r>
      <w:r w:rsidR="00C552F7" w:rsidRPr="000831BA">
        <w:rPr>
          <w:rFonts w:eastAsia="MS Mincho" w:cs="Arial"/>
          <w:lang w:eastAsia="ja-JP"/>
        </w:rPr>
        <w:t>)</w:t>
      </w:r>
      <w:r w:rsidRPr="000831BA">
        <w:rPr>
          <w:rFonts w:eastAsia="MS Mincho" w:cs="Arial"/>
          <w:lang w:eastAsia="ja-JP"/>
        </w:rPr>
        <w:t>: (i) Focalización multinacional; (ii) Subsidiariedad nacional; (iii) Adicionalidad regional y; (iv) Compensación de fallas de coordinación.</w:t>
      </w:r>
    </w:p>
    <w:p w14:paraId="7E3A1E23" w14:textId="3ADCD3ED" w:rsidR="00DC41AC" w:rsidRPr="000831BA" w:rsidRDefault="1AE7B4AB" w:rsidP="000831BA">
      <w:pPr>
        <w:pStyle w:val="Paragraph"/>
        <w:numPr>
          <w:ilvl w:val="1"/>
          <w:numId w:val="39"/>
        </w:numPr>
        <w:tabs>
          <w:tab w:val="num" w:pos="1746"/>
        </w:tabs>
        <w:ind w:left="720" w:hanging="720"/>
        <w:rPr>
          <w:rFonts w:eastAsia="MS Mincho" w:cs="Arial"/>
          <w:lang w:eastAsia="ja-JP"/>
        </w:rPr>
      </w:pPr>
      <w:r w:rsidRPr="000831BA">
        <w:rPr>
          <w:rFonts w:eastAsia="MS Mincho" w:cs="Arial"/>
          <w:lang w:eastAsia="ja-JP"/>
        </w:rPr>
        <w:t>Con base en el alcance del programa expuesto, se evidencia que esta operación contribuye con la Focalización multinacional – proyectos que contribuyen de manera directa o indirecta con una mayor inserción regional o global o a la promoción de la acción colectiva y la cooperación.</w:t>
      </w:r>
    </w:p>
    <w:p w14:paraId="148B4E96" w14:textId="1D5E5FCD" w:rsidR="00656047" w:rsidRPr="000831BA" w:rsidRDefault="1AE7B4AB" w:rsidP="000831BA">
      <w:pPr>
        <w:pStyle w:val="Paragraph"/>
        <w:numPr>
          <w:ilvl w:val="1"/>
          <w:numId w:val="39"/>
        </w:numPr>
        <w:tabs>
          <w:tab w:val="num" w:pos="1746"/>
        </w:tabs>
        <w:ind w:left="720" w:hanging="720"/>
        <w:rPr>
          <w:rFonts w:eastAsia="MS Mincho" w:cs="Arial"/>
          <w:lang w:eastAsia="ja-JP"/>
        </w:rPr>
      </w:pPr>
      <w:r w:rsidRPr="000831BA">
        <w:rPr>
          <w:rFonts w:eastAsia="MS Mincho" w:cs="Arial"/>
          <w:lang w:eastAsia="ja-JP"/>
        </w:rPr>
        <w:t xml:space="preserve">El Componente I del proyecto se encuentra alineado con la Focalización Multinacional ya que contempla el financiamiento para la modernización de </w:t>
      </w:r>
      <w:r w:rsidR="00BA2B2F" w:rsidRPr="000831BA">
        <w:rPr>
          <w:rFonts w:eastAsia="MS Mincho" w:cs="Arial"/>
          <w:lang w:eastAsia="ja-JP"/>
        </w:rPr>
        <w:t xml:space="preserve">una </w:t>
      </w:r>
      <w:r w:rsidRPr="000831BA">
        <w:rPr>
          <w:rFonts w:eastAsia="MS Mincho" w:cs="Arial"/>
          <w:lang w:eastAsia="ja-JP"/>
        </w:rPr>
        <w:t xml:space="preserve">infraestructura que contribuye a mantener y garantizar </w:t>
      </w:r>
      <w:r w:rsidR="00656047" w:rsidRPr="000831BA">
        <w:rPr>
          <w:rFonts w:eastAsia="MS Mincho" w:cs="Arial"/>
          <w:lang w:eastAsia="ja-JP"/>
        </w:rPr>
        <w:t xml:space="preserve">que continúen las exportaciones de energía propia de la ANDE a los países vecinos, especialmente a Argentina. </w:t>
      </w:r>
    </w:p>
    <w:p w14:paraId="2E92A2AD" w14:textId="2BB18322" w:rsidR="00C15A32" w:rsidRPr="000831BA" w:rsidRDefault="00656047" w:rsidP="000831BA">
      <w:pPr>
        <w:pStyle w:val="Paragraph"/>
        <w:numPr>
          <w:ilvl w:val="1"/>
          <w:numId w:val="39"/>
        </w:numPr>
        <w:tabs>
          <w:tab w:val="num" w:pos="1746"/>
        </w:tabs>
        <w:ind w:left="720" w:hanging="720"/>
        <w:rPr>
          <w:rFonts w:eastAsia="MS Mincho" w:cs="Arial"/>
          <w:lang w:eastAsia="ja-JP"/>
        </w:rPr>
      </w:pPr>
      <w:r w:rsidRPr="000831BA">
        <w:rPr>
          <w:rFonts w:eastAsia="MS Mincho" w:cs="Arial"/>
          <w:lang w:eastAsia="ja-JP"/>
        </w:rPr>
        <w:t xml:space="preserve">Por último, </w:t>
      </w:r>
      <w:r w:rsidR="1AE7B4AB" w:rsidRPr="000831BA">
        <w:rPr>
          <w:rFonts w:eastAsia="MS Mincho" w:cs="Arial"/>
          <w:lang w:eastAsia="ja-JP"/>
        </w:rPr>
        <w:t xml:space="preserve">las actividades que apoyan la integración y cooperación regional, globales y regionales se pueden clasificar en tres grandes ámbitos principales: (i) Infraestructura; (ii) Fortalecimiento institucional y desarrollo de la capacidad y; (iii) Cooperación funcional y bienes públicos regionales. </w:t>
      </w:r>
      <w:r w:rsidRPr="000831BA">
        <w:rPr>
          <w:rFonts w:eastAsia="MS Mincho" w:cs="Arial"/>
          <w:lang w:eastAsia="ja-JP"/>
        </w:rPr>
        <w:t xml:space="preserve">El Componente I del programa PR-L1156 </w:t>
      </w:r>
      <w:r w:rsidR="1AE7B4AB" w:rsidRPr="000831BA">
        <w:rPr>
          <w:rFonts w:eastAsia="MS Mincho" w:cs="Arial"/>
          <w:lang w:eastAsia="ja-JP"/>
        </w:rPr>
        <w:t>clasifica dentro del ámbito de Infraestructura.</w:t>
      </w:r>
    </w:p>
    <w:p w14:paraId="72361582" w14:textId="77777777" w:rsidR="00455A09" w:rsidRPr="004D50B6" w:rsidRDefault="00455A09" w:rsidP="000831BA">
      <w:pPr>
        <w:rPr>
          <w:lang w:val="es-UY"/>
        </w:rPr>
      </w:pPr>
    </w:p>
    <w:sectPr w:rsidR="00455A09" w:rsidRPr="004D50B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B5D30" w14:textId="77777777" w:rsidR="00A403D5" w:rsidRDefault="00A403D5" w:rsidP="00E21CD3">
      <w:pPr>
        <w:spacing w:after="0" w:line="240" w:lineRule="auto"/>
      </w:pPr>
      <w:r>
        <w:separator/>
      </w:r>
    </w:p>
  </w:endnote>
  <w:endnote w:type="continuationSeparator" w:id="0">
    <w:p w14:paraId="4F226F53" w14:textId="77777777" w:rsidR="00A403D5" w:rsidRDefault="00A403D5" w:rsidP="00E2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657992"/>
      <w:docPartObj>
        <w:docPartGallery w:val="Page Numbers (Bottom of Page)"/>
        <w:docPartUnique/>
      </w:docPartObj>
    </w:sdtPr>
    <w:sdtEndPr>
      <w:rPr>
        <w:noProof/>
      </w:rPr>
    </w:sdtEndPr>
    <w:sdtContent>
      <w:p w14:paraId="08F5E2BE" w14:textId="434C1C45" w:rsidR="00AE36A1" w:rsidRDefault="00AE36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8DF551" w14:textId="77777777" w:rsidR="00AE36A1" w:rsidRDefault="00AE36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A06F1" w14:textId="77777777" w:rsidR="00A403D5" w:rsidRDefault="00A403D5" w:rsidP="00E21CD3">
      <w:pPr>
        <w:spacing w:after="0" w:line="240" w:lineRule="auto"/>
      </w:pPr>
      <w:r>
        <w:separator/>
      </w:r>
    </w:p>
  </w:footnote>
  <w:footnote w:type="continuationSeparator" w:id="0">
    <w:p w14:paraId="40AB984F" w14:textId="77777777" w:rsidR="00A403D5" w:rsidRDefault="00A403D5" w:rsidP="00E21CD3">
      <w:pPr>
        <w:spacing w:after="0" w:line="240" w:lineRule="auto"/>
      </w:pPr>
      <w:r>
        <w:continuationSeparator/>
      </w:r>
    </w:p>
  </w:footnote>
  <w:footnote w:id="1">
    <w:p w14:paraId="75E791E1" w14:textId="77777777" w:rsidR="00A707F5" w:rsidRPr="00584277" w:rsidRDefault="00A707F5" w:rsidP="00A707F5">
      <w:pPr>
        <w:pStyle w:val="FootnoteText"/>
        <w:ind w:left="180" w:hanging="180"/>
        <w:rPr>
          <w:rFonts w:ascii="Arial" w:hAnsi="Arial" w:cs="Arial"/>
          <w:sz w:val="18"/>
          <w:szCs w:val="18"/>
        </w:rPr>
      </w:pPr>
      <w:r w:rsidRPr="00584277">
        <w:rPr>
          <w:rStyle w:val="FootnoteReference"/>
          <w:rFonts w:ascii="Arial" w:hAnsi="Arial" w:cs="Arial"/>
          <w:sz w:val="18"/>
          <w:szCs w:val="18"/>
        </w:rPr>
        <w:footnoteRef/>
      </w:r>
      <w:r w:rsidRPr="00584277">
        <w:rPr>
          <w:rFonts w:ascii="Arial" w:hAnsi="Arial" w:cs="Arial"/>
          <w:sz w:val="18"/>
          <w:szCs w:val="18"/>
        </w:rPr>
        <w:t xml:space="preserve"> </w:t>
      </w:r>
      <w:r w:rsidRPr="00584277">
        <w:rPr>
          <w:rFonts w:ascii="Arial" w:hAnsi="Arial" w:cs="Arial"/>
          <w:sz w:val="18"/>
          <w:szCs w:val="18"/>
        </w:rPr>
        <w:tab/>
      </w:r>
      <w:bookmarkStart w:id="4" w:name="_Hlk524755963"/>
      <w:r>
        <w:rPr>
          <w:rFonts w:ascii="Arial" w:hAnsi="Arial" w:cs="Arial"/>
          <w:sz w:val="18"/>
          <w:szCs w:val="18"/>
        </w:rPr>
        <w:fldChar w:fldCharType="begin"/>
      </w:r>
      <w:r>
        <w:rPr>
          <w:rFonts w:ascii="Arial" w:hAnsi="Arial" w:cs="Arial"/>
          <w:sz w:val="18"/>
          <w:szCs w:val="18"/>
        </w:rPr>
        <w:instrText>HYPERLINK "http://idbdocs.iadb.org/wsdocs/getDocument.aspx?DOCNUM=EZSHARE-353762589-36"</w:instrText>
      </w:r>
      <w:r>
        <w:rPr>
          <w:rFonts w:ascii="Arial" w:hAnsi="Arial" w:cs="Arial"/>
          <w:sz w:val="18"/>
          <w:szCs w:val="18"/>
        </w:rPr>
        <w:fldChar w:fldCharType="separate"/>
      </w:r>
      <w:r w:rsidRPr="00584277">
        <w:rPr>
          <w:rStyle w:val="Hyperlink"/>
          <w:rFonts w:ascii="Arial" w:hAnsi="Arial" w:cs="Arial"/>
          <w:sz w:val="18"/>
          <w:szCs w:val="18"/>
        </w:rPr>
        <w:t>Memoria Anual 2017, ANDE.</w:t>
      </w:r>
      <w:r>
        <w:rPr>
          <w:rFonts w:ascii="Arial" w:hAnsi="Arial" w:cs="Arial"/>
          <w:sz w:val="18"/>
          <w:szCs w:val="18"/>
        </w:rPr>
        <w:fldChar w:fldCharType="end"/>
      </w:r>
      <w:bookmarkEnd w:id="4"/>
      <w:r w:rsidRPr="00584277">
        <w:rPr>
          <w:rFonts w:ascii="Arial" w:hAnsi="Arial" w:cs="Arial"/>
          <w:sz w:val="18"/>
          <w:szCs w:val="18"/>
        </w:rPr>
        <w:t xml:space="preserve"> </w:t>
      </w:r>
    </w:p>
  </w:footnote>
  <w:footnote w:id="2">
    <w:p w14:paraId="73F48B9E" w14:textId="48E4F8A7" w:rsidR="001D41F6" w:rsidRPr="001D41F6" w:rsidRDefault="001D41F6">
      <w:pPr>
        <w:pStyle w:val="FootnoteText"/>
      </w:pPr>
      <w:r>
        <w:rPr>
          <w:rStyle w:val="FootnoteReference"/>
        </w:rPr>
        <w:footnoteRef/>
      </w:r>
      <w:r w:rsidRPr="001D41F6">
        <w:t xml:space="preserve"> </w:t>
      </w:r>
      <w:r w:rsidRPr="001D41F6">
        <w:rPr>
          <w:rFonts w:ascii="Arial" w:hAnsi="Arial" w:cs="Arial"/>
          <w:sz w:val="18"/>
          <w:szCs w:val="18"/>
        </w:rPr>
        <w:t xml:space="preserve">Itaipú: 7.000MW corresponde a capacidad instalada nominal, 6.300 capacidad neta disponible. </w:t>
      </w:r>
    </w:p>
  </w:footnote>
  <w:footnote w:id="3">
    <w:p w14:paraId="4FD460BE" w14:textId="0B93B77D" w:rsidR="00A707F5" w:rsidRPr="00EB377B" w:rsidRDefault="00A707F5" w:rsidP="00A707F5">
      <w:pPr>
        <w:pStyle w:val="FootnoteText"/>
        <w:ind w:left="180" w:hanging="180"/>
        <w:rPr>
          <w:rFonts w:ascii="Arial" w:hAnsi="Arial" w:cs="Arial"/>
          <w:sz w:val="18"/>
          <w:szCs w:val="18"/>
        </w:rPr>
      </w:pPr>
      <w:r w:rsidRPr="00EB377B">
        <w:rPr>
          <w:rStyle w:val="FootnoteReference"/>
          <w:rFonts w:ascii="Arial" w:hAnsi="Arial" w:cs="Arial"/>
          <w:sz w:val="18"/>
          <w:szCs w:val="18"/>
        </w:rPr>
        <w:footnoteRef/>
      </w:r>
      <w:r w:rsidRPr="00EB377B">
        <w:rPr>
          <w:rFonts w:ascii="Arial" w:hAnsi="Arial" w:cs="Arial"/>
          <w:sz w:val="18"/>
          <w:szCs w:val="18"/>
        </w:rPr>
        <w:t xml:space="preserve"> </w:t>
      </w:r>
      <w:r w:rsidRPr="00EB377B">
        <w:rPr>
          <w:rFonts w:ascii="Arial" w:hAnsi="Arial" w:cs="Arial"/>
          <w:sz w:val="18"/>
          <w:szCs w:val="18"/>
        </w:rPr>
        <w:tab/>
      </w:r>
      <w:r w:rsidR="001D41F6">
        <w:rPr>
          <w:rFonts w:ascii="Arial" w:hAnsi="Arial" w:cs="Arial"/>
          <w:sz w:val="18"/>
          <w:szCs w:val="18"/>
        </w:rPr>
        <w:t xml:space="preserve">Estos valores corresponden al </w:t>
      </w:r>
      <w:r w:rsidRPr="00EB377B">
        <w:rPr>
          <w:rFonts w:ascii="Arial" w:hAnsi="Arial" w:cs="Arial"/>
          <w:sz w:val="18"/>
          <w:szCs w:val="18"/>
        </w:rPr>
        <w:t xml:space="preserve">50% de la capacidad instalada de las centrales binacionales (14.000 MW de Itaipú y 3.200 MW de </w:t>
      </w:r>
      <w:proofErr w:type="spellStart"/>
      <w:r w:rsidRPr="00EB377B">
        <w:rPr>
          <w:rFonts w:ascii="Arial" w:hAnsi="Arial" w:cs="Arial"/>
          <w:sz w:val="18"/>
          <w:szCs w:val="18"/>
        </w:rPr>
        <w:t>Yacyretá</w:t>
      </w:r>
      <w:proofErr w:type="spellEnd"/>
      <w:r w:rsidRPr="00EB377B">
        <w:rPr>
          <w:rFonts w:ascii="Arial" w:hAnsi="Arial" w:cs="Arial"/>
          <w:sz w:val="18"/>
          <w:szCs w:val="18"/>
        </w:rPr>
        <w:t>).</w:t>
      </w:r>
    </w:p>
  </w:footnote>
  <w:footnote w:id="4">
    <w:p w14:paraId="21904A8B" w14:textId="77777777" w:rsidR="00A707F5" w:rsidRPr="00584277" w:rsidRDefault="00A707F5" w:rsidP="00A707F5">
      <w:pPr>
        <w:pStyle w:val="FootnoteText"/>
        <w:ind w:left="180" w:hanging="180"/>
        <w:rPr>
          <w:rFonts w:ascii="Arial" w:hAnsi="Arial" w:cs="Arial"/>
          <w:sz w:val="18"/>
          <w:szCs w:val="18"/>
        </w:rPr>
      </w:pPr>
      <w:r w:rsidRPr="00584277">
        <w:rPr>
          <w:rStyle w:val="FootnoteReference"/>
          <w:rFonts w:ascii="Arial" w:hAnsi="Arial" w:cs="Arial"/>
          <w:sz w:val="18"/>
          <w:szCs w:val="18"/>
        </w:rPr>
        <w:footnoteRef/>
      </w:r>
      <w:r w:rsidRPr="00584277">
        <w:rPr>
          <w:rFonts w:ascii="Arial" w:hAnsi="Arial" w:cs="Arial"/>
          <w:sz w:val="18"/>
          <w:szCs w:val="18"/>
        </w:rPr>
        <w:t xml:space="preserve"> </w:t>
      </w:r>
      <w:r w:rsidRPr="00584277">
        <w:rPr>
          <w:rFonts w:ascii="Arial" w:hAnsi="Arial" w:cs="Arial"/>
          <w:sz w:val="18"/>
          <w:szCs w:val="18"/>
        </w:rPr>
        <w:tab/>
        <w:t>ANDE tiene algunos sistemas aislados muy pequeños como el de Bahía Negra (0.2 MW), al Norte del país, que aún funcionan con generación a diésel.</w:t>
      </w:r>
    </w:p>
  </w:footnote>
  <w:footnote w:id="5">
    <w:p w14:paraId="37887117" w14:textId="77777777" w:rsidR="00A707F5" w:rsidRPr="00EB377B" w:rsidRDefault="00A707F5" w:rsidP="00A707F5">
      <w:pPr>
        <w:pStyle w:val="FootnoteText"/>
        <w:ind w:left="180" w:hanging="180"/>
        <w:rPr>
          <w:rFonts w:ascii="Arial" w:hAnsi="Arial" w:cs="Arial"/>
          <w:sz w:val="18"/>
          <w:szCs w:val="18"/>
        </w:rPr>
      </w:pPr>
      <w:r w:rsidRPr="00EB377B">
        <w:rPr>
          <w:rStyle w:val="FootnoteReference"/>
          <w:rFonts w:ascii="Arial" w:hAnsi="Arial" w:cs="Arial"/>
          <w:sz w:val="18"/>
          <w:szCs w:val="18"/>
        </w:rPr>
        <w:footnoteRef/>
      </w:r>
      <w:r w:rsidRPr="00EB377B">
        <w:rPr>
          <w:rFonts w:ascii="Arial" w:hAnsi="Arial" w:cs="Arial"/>
          <w:sz w:val="18"/>
          <w:szCs w:val="18"/>
        </w:rPr>
        <w:t xml:space="preserve"> </w:t>
      </w:r>
      <w:r w:rsidRPr="00EB377B">
        <w:rPr>
          <w:rFonts w:ascii="Arial" w:hAnsi="Arial" w:cs="Arial"/>
          <w:sz w:val="18"/>
          <w:szCs w:val="18"/>
        </w:rPr>
        <w:tab/>
        <w:t xml:space="preserve">En la oferta bruta de energía primaria, incluido el 50% de la energía de Itaipú y </w:t>
      </w:r>
      <w:proofErr w:type="spellStart"/>
      <w:r w:rsidRPr="00EB377B">
        <w:rPr>
          <w:rFonts w:ascii="Arial" w:hAnsi="Arial" w:cs="Arial"/>
          <w:sz w:val="18"/>
          <w:szCs w:val="18"/>
        </w:rPr>
        <w:t>Yacyretá</w:t>
      </w:r>
      <w:proofErr w:type="spellEnd"/>
      <w:r w:rsidRPr="00EB377B">
        <w:rPr>
          <w:rFonts w:ascii="Arial" w:hAnsi="Arial" w:cs="Arial"/>
          <w:sz w:val="18"/>
          <w:szCs w:val="18"/>
        </w:rPr>
        <w:t>, la hidroenergía representa 56%. Sin embargo, visto desde la demanda interna de energía, el 43% corresponde a biomasa</w:t>
      </w:r>
      <w:r w:rsidRPr="00E3741E">
        <w:rPr>
          <w:rFonts w:ascii="Arial" w:hAnsi="Arial" w:cs="Arial"/>
          <w:sz w:val="18"/>
          <w:szCs w:val="18"/>
        </w:rPr>
        <w:t xml:space="preserve">, 39% a derivados de petróleo y electricidad </w:t>
      </w:r>
      <w:r w:rsidRPr="00BA114E">
        <w:rPr>
          <w:rFonts w:ascii="Arial" w:hAnsi="Arial" w:cs="Arial"/>
          <w:sz w:val="18"/>
          <w:szCs w:val="18"/>
        </w:rPr>
        <w:t xml:space="preserve">solo el 18%. </w:t>
      </w:r>
      <w:hyperlink r:id="rId1" w:history="1">
        <w:r w:rsidRPr="00584277">
          <w:rPr>
            <w:rStyle w:val="Hyperlink"/>
            <w:rFonts w:ascii="Arial" w:hAnsi="Arial" w:cs="Arial"/>
            <w:sz w:val="18"/>
            <w:szCs w:val="18"/>
          </w:rPr>
          <w:t>Balance Energético Nacional 2016, Viceministerio de Minas y Energía, septiembre 2017.</w:t>
        </w:r>
      </w:hyperlink>
    </w:p>
  </w:footnote>
  <w:footnote w:id="6">
    <w:p w14:paraId="0FB08CF8" w14:textId="1ECE1B06" w:rsidR="00950F9F" w:rsidRPr="003F1E74" w:rsidRDefault="00950F9F">
      <w:pPr>
        <w:pStyle w:val="FootnoteText"/>
        <w:rPr>
          <w:rFonts w:ascii="Arial" w:hAnsi="Arial" w:cs="Arial"/>
          <w:sz w:val="18"/>
          <w:szCs w:val="18"/>
        </w:rPr>
      </w:pPr>
      <w:r>
        <w:rPr>
          <w:rStyle w:val="FootnoteReference"/>
        </w:rPr>
        <w:footnoteRef/>
      </w:r>
      <w:r w:rsidRPr="00950F9F">
        <w:t xml:space="preserve"> </w:t>
      </w:r>
      <w:r w:rsidRPr="003F1E74">
        <w:rPr>
          <w:rFonts w:ascii="Arial" w:hAnsi="Arial" w:cs="Arial"/>
          <w:sz w:val="18"/>
          <w:szCs w:val="18"/>
        </w:rPr>
        <w:t xml:space="preserve">Considerando el crecimiento de la demanda proyectada se estima que Paraguay estaría consumiendo el 50% de la energía disponible de Itaipú y </w:t>
      </w:r>
      <w:proofErr w:type="spellStart"/>
      <w:r w:rsidRPr="003F1E74">
        <w:rPr>
          <w:rFonts w:ascii="Arial" w:hAnsi="Arial" w:cs="Arial"/>
          <w:sz w:val="18"/>
          <w:szCs w:val="18"/>
        </w:rPr>
        <w:t>Yacyretá</w:t>
      </w:r>
      <w:proofErr w:type="spellEnd"/>
      <w:r w:rsidRPr="003F1E74">
        <w:rPr>
          <w:rFonts w:ascii="Arial" w:hAnsi="Arial" w:cs="Arial"/>
          <w:sz w:val="18"/>
          <w:szCs w:val="18"/>
        </w:rPr>
        <w:t xml:space="preserve"> hasta aproximadamente el 2030. </w:t>
      </w:r>
    </w:p>
  </w:footnote>
  <w:footnote w:id="7">
    <w:p w14:paraId="08675AD9" w14:textId="77777777" w:rsidR="00A707F5" w:rsidRPr="00943529" w:rsidRDefault="00A707F5" w:rsidP="00A707F5">
      <w:pPr>
        <w:pStyle w:val="FootnoteText"/>
        <w:tabs>
          <w:tab w:val="left" w:pos="180"/>
          <w:tab w:val="left" w:pos="270"/>
          <w:tab w:val="left" w:pos="630"/>
        </w:tabs>
        <w:ind w:left="180" w:hanging="180"/>
        <w:rPr>
          <w:rFonts w:ascii="Arial" w:hAnsi="Arial" w:cs="Arial"/>
          <w:sz w:val="18"/>
          <w:szCs w:val="18"/>
        </w:rPr>
      </w:pPr>
      <w:r w:rsidRPr="00EB377B">
        <w:rPr>
          <w:rStyle w:val="FootnoteReference"/>
          <w:rFonts w:ascii="Arial" w:hAnsi="Arial" w:cs="Arial"/>
          <w:sz w:val="18"/>
          <w:szCs w:val="18"/>
        </w:rPr>
        <w:footnoteRef/>
      </w:r>
      <w:r w:rsidRPr="00943529">
        <w:rPr>
          <w:rFonts w:ascii="Arial" w:hAnsi="Arial" w:cs="Arial"/>
          <w:sz w:val="18"/>
          <w:szCs w:val="18"/>
        </w:rPr>
        <w:t xml:space="preserve"> </w:t>
      </w:r>
      <w:r w:rsidRPr="00943529">
        <w:rPr>
          <w:rFonts w:ascii="Arial" w:hAnsi="Arial" w:cs="Arial"/>
          <w:sz w:val="18"/>
          <w:szCs w:val="18"/>
        </w:rPr>
        <w:tab/>
      </w:r>
      <w:hyperlink r:id="rId2" w:history="1">
        <w:r w:rsidRPr="00943529">
          <w:rPr>
            <w:rStyle w:val="Hyperlink"/>
            <w:rFonts w:ascii="Arial" w:hAnsi="Arial" w:cs="Arial"/>
            <w:sz w:val="18"/>
            <w:szCs w:val="18"/>
          </w:rPr>
          <w:t>Memoria Anual 2017, ANDE.</w:t>
        </w:r>
      </w:hyperlink>
    </w:p>
  </w:footnote>
  <w:footnote w:id="8">
    <w:p w14:paraId="0014E1FF" w14:textId="77777777" w:rsidR="00A707F5" w:rsidRPr="00EB377B" w:rsidRDefault="00A707F5" w:rsidP="00A707F5">
      <w:pPr>
        <w:pStyle w:val="FootnoteText"/>
        <w:tabs>
          <w:tab w:val="left" w:pos="180"/>
          <w:tab w:val="left" w:pos="270"/>
          <w:tab w:val="left" w:pos="630"/>
        </w:tabs>
        <w:ind w:left="180" w:hanging="180"/>
        <w:rPr>
          <w:rFonts w:ascii="Arial" w:hAnsi="Arial" w:cs="Arial"/>
          <w:sz w:val="18"/>
          <w:szCs w:val="18"/>
        </w:rPr>
      </w:pPr>
      <w:r w:rsidRPr="00EB377B">
        <w:rPr>
          <w:rStyle w:val="FootnoteReference"/>
          <w:rFonts w:ascii="Arial" w:hAnsi="Arial" w:cs="Arial"/>
          <w:sz w:val="18"/>
          <w:szCs w:val="18"/>
        </w:rPr>
        <w:footnoteRef/>
      </w:r>
      <w:r w:rsidRPr="00EB377B">
        <w:rPr>
          <w:rFonts w:ascii="Arial" w:hAnsi="Arial" w:cs="Arial"/>
          <w:sz w:val="18"/>
          <w:szCs w:val="18"/>
        </w:rPr>
        <w:t xml:space="preserve"> </w:t>
      </w:r>
      <w:r w:rsidRPr="00EB377B">
        <w:rPr>
          <w:rFonts w:ascii="Arial" w:hAnsi="Arial" w:cs="Arial"/>
          <w:sz w:val="18"/>
          <w:szCs w:val="18"/>
        </w:rPr>
        <w:tab/>
        <w:t xml:space="preserve">El promedio de las pérdidas eléctricas en la región es de 17%, </w:t>
      </w:r>
      <w:hyperlink r:id="rId3" w:history="1">
        <w:r w:rsidRPr="00584277">
          <w:rPr>
            <w:rStyle w:val="Hyperlink"/>
            <w:rFonts w:ascii="Arial" w:hAnsi="Arial" w:cs="Arial"/>
            <w:sz w:val="18"/>
            <w:szCs w:val="18"/>
          </w:rPr>
          <w:t>Informe Estadístico 2016 OLADE</w:t>
        </w:r>
      </w:hyperlink>
      <w:r w:rsidRPr="00EB377B">
        <w:rPr>
          <w:rFonts w:ascii="Arial" w:hAnsi="Arial" w:cs="Arial"/>
          <w:sz w:val="18"/>
          <w:szCs w:val="18"/>
        </w:rPr>
        <w:t>.</w:t>
      </w:r>
    </w:p>
  </w:footnote>
  <w:footnote w:id="9">
    <w:p w14:paraId="3C2E98BA" w14:textId="77777777" w:rsidR="00A707F5" w:rsidRPr="00584277" w:rsidRDefault="00A707F5" w:rsidP="00A707F5">
      <w:pPr>
        <w:pStyle w:val="FootnoteText"/>
        <w:tabs>
          <w:tab w:val="left" w:pos="180"/>
          <w:tab w:val="left" w:pos="270"/>
          <w:tab w:val="left" w:pos="630"/>
        </w:tabs>
        <w:ind w:left="180" w:hanging="180"/>
        <w:rPr>
          <w:rFonts w:ascii="Arial" w:hAnsi="Arial" w:cs="Arial"/>
          <w:sz w:val="18"/>
          <w:szCs w:val="18"/>
        </w:rPr>
      </w:pPr>
      <w:r w:rsidRPr="00EB377B">
        <w:rPr>
          <w:rStyle w:val="FootnoteReference"/>
          <w:rFonts w:ascii="Arial" w:hAnsi="Arial" w:cs="Arial"/>
          <w:sz w:val="18"/>
          <w:szCs w:val="18"/>
        </w:rPr>
        <w:footnoteRef/>
      </w:r>
      <w:r w:rsidRPr="00EB377B">
        <w:rPr>
          <w:rFonts w:ascii="Arial" w:hAnsi="Arial" w:cs="Arial"/>
          <w:sz w:val="18"/>
          <w:szCs w:val="18"/>
        </w:rPr>
        <w:t xml:space="preserve"> </w:t>
      </w:r>
      <w:r w:rsidRPr="00EB377B">
        <w:rPr>
          <w:rFonts w:ascii="Arial" w:hAnsi="Arial" w:cs="Arial"/>
          <w:sz w:val="18"/>
          <w:szCs w:val="18"/>
        </w:rPr>
        <w:tab/>
        <w:t xml:space="preserve">De esta cifra, 5.7% corresponden a pérdidas en transmisión y 19.9% a distribución. El Banco ha apoyado acciones para reducir las pérdidas eléctricas que estaban en </w:t>
      </w:r>
      <w:r w:rsidRPr="00E3741E">
        <w:rPr>
          <w:rFonts w:ascii="Arial" w:hAnsi="Arial" w:cs="Arial"/>
          <w:sz w:val="18"/>
          <w:szCs w:val="18"/>
        </w:rPr>
        <w:t>32,6% en el 200</w:t>
      </w:r>
      <w:r w:rsidRPr="00BA114E">
        <w:rPr>
          <w:rFonts w:ascii="Arial" w:hAnsi="Arial" w:cs="Arial"/>
          <w:sz w:val="18"/>
          <w:szCs w:val="18"/>
        </w:rPr>
        <w:t>7 cuando se inició la Fase I del Programa Multifase (1835/OC-PR)</w:t>
      </w:r>
      <w:r w:rsidRPr="00946667">
        <w:rPr>
          <w:rFonts w:ascii="Arial" w:hAnsi="Arial" w:cs="Arial"/>
          <w:sz w:val="18"/>
          <w:szCs w:val="18"/>
        </w:rPr>
        <w:t xml:space="preserve">; adicionalmente, con la Fase II del Programa (2891/OC-PR) se </w:t>
      </w:r>
      <w:r w:rsidRPr="00CB615D">
        <w:rPr>
          <w:rFonts w:ascii="Arial" w:hAnsi="Arial" w:cs="Arial"/>
          <w:sz w:val="18"/>
          <w:szCs w:val="18"/>
        </w:rPr>
        <w:t>ha logr</w:t>
      </w:r>
      <w:r w:rsidRPr="00584277">
        <w:rPr>
          <w:rFonts w:ascii="Arial" w:hAnsi="Arial" w:cs="Arial"/>
          <w:sz w:val="18"/>
          <w:szCs w:val="18"/>
        </w:rPr>
        <w:t>ado reducir a los niveles actuales.</w:t>
      </w:r>
    </w:p>
  </w:footnote>
  <w:footnote w:id="10">
    <w:p w14:paraId="4320EE75" w14:textId="4C6A7F96" w:rsidR="001F37A2" w:rsidRPr="000831BA" w:rsidRDefault="001F37A2" w:rsidP="000831BA">
      <w:pPr>
        <w:pStyle w:val="FootnoteText"/>
        <w:tabs>
          <w:tab w:val="left" w:pos="270"/>
        </w:tabs>
        <w:rPr>
          <w:rFonts w:ascii="Arial" w:hAnsi="Arial" w:cs="Arial"/>
          <w:sz w:val="18"/>
        </w:rPr>
      </w:pPr>
      <w:r w:rsidRPr="000831BA">
        <w:rPr>
          <w:rStyle w:val="FootnoteReference"/>
          <w:rFonts w:ascii="Arial" w:hAnsi="Arial" w:cs="Arial"/>
          <w:sz w:val="18"/>
        </w:rPr>
        <w:footnoteRef/>
      </w:r>
      <w:r w:rsidRPr="000831BA">
        <w:rPr>
          <w:rFonts w:ascii="Arial" w:hAnsi="Arial" w:cs="Arial"/>
          <w:sz w:val="18"/>
        </w:rPr>
        <w:t xml:space="preserve"> </w:t>
      </w:r>
      <w:r w:rsidR="00504683">
        <w:rPr>
          <w:rFonts w:ascii="Arial" w:hAnsi="Arial" w:cs="Arial"/>
          <w:sz w:val="18"/>
        </w:rPr>
        <w:tab/>
      </w:r>
      <w:r w:rsidR="00812589" w:rsidRPr="000831BA">
        <w:rPr>
          <w:rFonts w:ascii="Arial" w:hAnsi="Arial" w:cs="Arial"/>
          <w:sz w:val="18"/>
        </w:rPr>
        <w:t>El costo de la rehabilitación de la estación conversora es relativamente elevado del orden de US$5</w:t>
      </w:r>
      <w:r w:rsidR="007F58C3" w:rsidRPr="000831BA">
        <w:rPr>
          <w:rFonts w:ascii="Arial" w:hAnsi="Arial" w:cs="Arial"/>
          <w:sz w:val="18"/>
        </w:rPr>
        <w:t>0 millones para 100</w:t>
      </w:r>
      <w:r w:rsidR="00812589" w:rsidRPr="000831BA">
        <w:rPr>
          <w:rFonts w:ascii="Arial" w:hAnsi="Arial" w:cs="Arial"/>
          <w:sz w:val="18"/>
        </w:rPr>
        <w:t xml:space="preserve">MW. </w:t>
      </w:r>
    </w:p>
  </w:footnote>
  <w:footnote w:id="11">
    <w:p w14:paraId="6E489615" w14:textId="7171C49B" w:rsidR="007F58C3" w:rsidRPr="007F58C3" w:rsidRDefault="007F58C3" w:rsidP="000831BA">
      <w:pPr>
        <w:pStyle w:val="FootnoteText"/>
        <w:tabs>
          <w:tab w:val="left" w:pos="270"/>
        </w:tabs>
      </w:pPr>
      <w:r w:rsidRPr="000831BA">
        <w:rPr>
          <w:rStyle w:val="FootnoteReference"/>
          <w:rFonts w:ascii="Arial" w:hAnsi="Arial" w:cs="Arial"/>
          <w:sz w:val="18"/>
        </w:rPr>
        <w:footnoteRef/>
      </w:r>
      <w:r w:rsidRPr="000831BA">
        <w:rPr>
          <w:rFonts w:ascii="Arial" w:hAnsi="Arial" w:cs="Arial"/>
          <w:sz w:val="18"/>
        </w:rPr>
        <w:t xml:space="preserve"> </w:t>
      </w:r>
      <w:r w:rsidR="00504683">
        <w:rPr>
          <w:rFonts w:ascii="Arial" w:hAnsi="Arial" w:cs="Arial"/>
          <w:sz w:val="18"/>
        </w:rPr>
        <w:tab/>
      </w:r>
      <w:r w:rsidRPr="000831BA">
        <w:rPr>
          <w:rFonts w:ascii="Arial" w:hAnsi="Arial" w:cs="Arial"/>
          <w:sz w:val="18"/>
        </w:rPr>
        <w:t>Esta es una interconexión con una capacidad muy limitada de intercambio (3 MW).</w:t>
      </w:r>
      <w:r w:rsidRPr="000831BA">
        <w:rPr>
          <w:sz w:val="18"/>
        </w:rPr>
        <w:t xml:space="preserve"> </w:t>
      </w:r>
    </w:p>
  </w:footnote>
  <w:footnote w:id="12">
    <w:p w14:paraId="716A3756" w14:textId="39D29257" w:rsidR="00254580" w:rsidRPr="000831BA" w:rsidRDefault="00254580" w:rsidP="000831BA">
      <w:pPr>
        <w:pStyle w:val="FootnoteText"/>
        <w:tabs>
          <w:tab w:val="left" w:pos="270"/>
        </w:tabs>
        <w:rPr>
          <w:rFonts w:ascii="Arial" w:hAnsi="Arial" w:cs="Arial"/>
        </w:rPr>
      </w:pPr>
      <w:r w:rsidRPr="000831BA">
        <w:rPr>
          <w:rStyle w:val="FootnoteReference"/>
          <w:rFonts w:ascii="Arial" w:hAnsi="Arial" w:cs="Arial"/>
          <w:sz w:val="18"/>
        </w:rPr>
        <w:footnoteRef/>
      </w:r>
      <w:r w:rsidRPr="000831BA">
        <w:rPr>
          <w:rFonts w:ascii="Arial" w:hAnsi="Arial" w:cs="Arial"/>
          <w:sz w:val="18"/>
        </w:rPr>
        <w:t xml:space="preserve"> </w:t>
      </w:r>
      <w:r w:rsidR="00504683" w:rsidRPr="000831BA">
        <w:rPr>
          <w:rFonts w:ascii="Arial" w:hAnsi="Arial" w:cs="Arial"/>
          <w:sz w:val="18"/>
        </w:rPr>
        <w:tab/>
      </w:r>
      <w:r w:rsidRPr="000831BA">
        <w:rPr>
          <w:rFonts w:ascii="Arial" w:hAnsi="Arial" w:cs="Arial"/>
          <w:sz w:val="18"/>
        </w:rPr>
        <w:t>FUENTE: Compilación Estadística 1997-2017, ANDE.</w:t>
      </w:r>
    </w:p>
  </w:footnote>
  <w:footnote w:id="13">
    <w:p w14:paraId="454C5E3A" w14:textId="302B9947" w:rsidR="00A257B4" w:rsidRPr="003F1E74" w:rsidRDefault="00A257B4" w:rsidP="000831BA">
      <w:pPr>
        <w:pStyle w:val="FootnoteText"/>
        <w:tabs>
          <w:tab w:val="left" w:pos="270"/>
        </w:tabs>
        <w:ind w:left="270" w:hanging="270"/>
        <w:rPr>
          <w:rFonts w:ascii="Arial" w:hAnsi="Arial" w:cs="Arial"/>
          <w:sz w:val="18"/>
          <w:szCs w:val="18"/>
        </w:rPr>
      </w:pPr>
      <w:r w:rsidRPr="003F1E74">
        <w:rPr>
          <w:rStyle w:val="FootnoteReference"/>
          <w:rFonts w:ascii="Arial" w:hAnsi="Arial" w:cs="Arial"/>
          <w:sz w:val="18"/>
          <w:szCs w:val="18"/>
        </w:rPr>
        <w:footnoteRef/>
      </w:r>
      <w:r w:rsidRPr="003F1E74">
        <w:rPr>
          <w:rFonts w:ascii="Arial" w:hAnsi="Arial" w:cs="Arial"/>
          <w:sz w:val="18"/>
          <w:szCs w:val="18"/>
        </w:rPr>
        <w:t xml:space="preserve"> </w:t>
      </w:r>
      <w:r w:rsidR="00892D34">
        <w:rPr>
          <w:rFonts w:ascii="Arial" w:hAnsi="Arial" w:cs="Arial"/>
          <w:sz w:val="18"/>
          <w:szCs w:val="18"/>
        </w:rPr>
        <w:tab/>
      </w:r>
      <w:r w:rsidR="00943529" w:rsidRPr="00943529">
        <w:rPr>
          <w:rFonts w:ascii="Arial" w:hAnsi="Arial" w:cs="Arial"/>
          <w:sz w:val="18"/>
          <w:szCs w:val="18"/>
        </w:rPr>
        <w:t xml:space="preserve">EBISA es una empresa estatal de Argentina que tiene a cargo la comercialización internacional de energía eléctrica, incluyendo la generada por las centrales de </w:t>
      </w:r>
      <w:proofErr w:type="spellStart"/>
      <w:r w:rsidR="00943529" w:rsidRPr="00943529">
        <w:rPr>
          <w:rFonts w:ascii="Arial" w:hAnsi="Arial" w:cs="Arial"/>
          <w:sz w:val="18"/>
          <w:szCs w:val="18"/>
        </w:rPr>
        <w:t>Yacyretá</w:t>
      </w:r>
      <w:proofErr w:type="spellEnd"/>
      <w:r w:rsidR="00943529" w:rsidRPr="00943529">
        <w:rPr>
          <w:rFonts w:ascii="Arial" w:hAnsi="Arial" w:cs="Arial"/>
          <w:sz w:val="18"/>
          <w:szCs w:val="18"/>
        </w:rPr>
        <w:t xml:space="preserve"> con Paraguay, Salto Grande </w:t>
      </w:r>
      <w:r w:rsidR="000C0E20">
        <w:rPr>
          <w:rFonts w:ascii="Arial" w:hAnsi="Arial" w:cs="Arial"/>
          <w:sz w:val="18"/>
          <w:szCs w:val="18"/>
        </w:rPr>
        <w:t xml:space="preserve">(central hidroeléctrica binacional de Argentina </w:t>
      </w:r>
      <w:r w:rsidR="00943529" w:rsidRPr="00943529">
        <w:rPr>
          <w:rFonts w:ascii="Arial" w:hAnsi="Arial" w:cs="Arial"/>
          <w:sz w:val="18"/>
          <w:szCs w:val="18"/>
        </w:rPr>
        <w:t>con Uruguay</w:t>
      </w:r>
      <w:r w:rsidR="000C0E20">
        <w:rPr>
          <w:rFonts w:ascii="Arial" w:hAnsi="Arial" w:cs="Arial"/>
          <w:sz w:val="18"/>
          <w:szCs w:val="18"/>
        </w:rPr>
        <w:t>)</w:t>
      </w:r>
      <w:r w:rsidR="00943529" w:rsidRPr="00943529">
        <w:rPr>
          <w:rFonts w:ascii="Arial" w:hAnsi="Arial" w:cs="Arial"/>
          <w:sz w:val="18"/>
          <w:szCs w:val="18"/>
        </w:rPr>
        <w:t xml:space="preserve"> y la energía de las centrales nucleares de Argentina</w:t>
      </w:r>
      <w:r w:rsidR="00943529">
        <w:rPr>
          <w:rFonts w:ascii="Arial" w:hAnsi="Arial" w:cs="Arial"/>
          <w:sz w:val="18"/>
          <w:szCs w:val="18"/>
        </w:rPr>
        <w:t xml:space="preserve">. </w:t>
      </w:r>
      <w:r w:rsidRPr="003F1E74">
        <w:rPr>
          <w:rFonts w:ascii="Arial" w:hAnsi="Arial" w:cs="Arial"/>
          <w:sz w:val="18"/>
          <w:szCs w:val="18"/>
        </w:rPr>
        <w:t>Actualmente EBISA está en proceso de fusión con ENARSA (</w:t>
      </w:r>
      <w:r w:rsidR="00BC228A" w:rsidRPr="003F1E74">
        <w:rPr>
          <w:rFonts w:ascii="Arial" w:hAnsi="Arial" w:cs="Arial"/>
          <w:sz w:val="18"/>
          <w:szCs w:val="18"/>
        </w:rPr>
        <w:t>Energía Argentina</w:t>
      </w:r>
      <w:r w:rsidR="00892D34">
        <w:rPr>
          <w:rFonts w:ascii="Arial" w:hAnsi="Arial" w:cs="Arial"/>
          <w:sz w:val="18"/>
          <w:szCs w:val="18"/>
        </w:rPr>
        <w:t>,</w:t>
      </w:r>
      <w:r w:rsidR="00BC228A" w:rsidRPr="003F1E74">
        <w:rPr>
          <w:rFonts w:ascii="Arial" w:hAnsi="Arial" w:cs="Arial"/>
          <w:sz w:val="18"/>
          <w:szCs w:val="18"/>
        </w:rPr>
        <w:t xml:space="preserve"> S</w:t>
      </w:r>
      <w:r w:rsidR="00892D34">
        <w:rPr>
          <w:rFonts w:ascii="Arial" w:hAnsi="Arial" w:cs="Arial"/>
          <w:sz w:val="18"/>
          <w:szCs w:val="18"/>
        </w:rPr>
        <w:t>.</w:t>
      </w:r>
      <w:r w:rsidR="00BC228A" w:rsidRPr="003F1E74">
        <w:rPr>
          <w:rFonts w:ascii="Arial" w:hAnsi="Arial" w:cs="Arial"/>
          <w:sz w:val="18"/>
          <w:szCs w:val="18"/>
        </w:rPr>
        <w:t>A</w:t>
      </w:r>
      <w:r w:rsidR="00892D34">
        <w:rPr>
          <w:rFonts w:ascii="Arial" w:hAnsi="Arial" w:cs="Arial"/>
          <w:sz w:val="18"/>
          <w:szCs w:val="18"/>
        </w:rPr>
        <w:t>.</w:t>
      </w:r>
      <w:r w:rsidR="00CA3B42" w:rsidRPr="003F1E74">
        <w:rPr>
          <w:rFonts w:ascii="Arial" w:hAnsi="Arial" w:cs="Arial"/>
          <w:sz w:val="18"/>
          <w:szCs w:val="18"/>
        </w:rPr>
        <w:t>, empresa estatal de energía</w:t>
      </w:r>
      <w:r w:rsidR="00BC228A" w:rsidRPr="003F1E74">
        <w:rPr>
          <w:rFonts w:ascii="Arial" w:hAnsi="Arial" w:cs="Arial"/>
          <w:sz w:val="18"/>
          <w:szCs w:val="18"/>
        </w:rPr>
        <w:t>)</w:t>
      </w:r>
      <w:r w:rsidR="00CA3B42" w:rsidRPr="003F1E74">
        <w:rPr>
          <w:rFonts w:ascii="Arial" w:hAnsi="Arial" w:cs="Arial"/>
          <w:sz w:val="18"/>
          <w:szCs w:val="18"/>
        </w:rPr>
        <w:t xml:space="preserve"> creándose la empresa IEA SA (Integración Energética Argentina</w:t>
      </w:r>
      <w:r w:rsidR="00892D34">
        <w:rPr>
          <w:rFonts w:ascii="Arial" w:hAnsi="Arial" w:cs="Arial"/>
          <w:sz w:val="18"/>
          <w:szCs w:val="18"/>
        </w:rPr>
        <w:t>,</w:t>
      </w:r>
      <w:r w:rsidR="00CA3B42" w:rsidRPr="003F1E74">
        <w:rPr>
          <w:rFonts w:ascii="Arial" w:hAnsi="Arial" w:cs="Arial"/>
          <w:sz w:val="18"/>
          <w:szCs w:val="18"/>
        </w:rPr>
        <w:t xml:space="preserve"> S</w:t>
      </w:r>
      <w:r w:rsidR="00892D34">
        <w:rPr>
          <w:rFonts w:ascii="Arial" w:hAnsi="Arial" w:cs="Arial"/>
          <w:sz w:val="18"/>
          <w:szCs w:val="18"/>
        </w:rPr>
        <w:t>.</w:t>
      </w:r>
      <w:r w:rsidR="00CA3B42" w:rsidRPr="003F1E74">
        <w:rPr>
          <w:rFonts w:ascii="Arial" w:hAnsi="Arial" w:cs="Arial"/>
          <w:sz w:val="18"/>
          <w:szCs w:val="18"/>
        </w:rPr>
        <w:t>A</w:t>
      </w:r>
      <w:r w:rsidR="00892D34">
        <w:rPr>
          <w:rFonts w:ascii="Arial" w:hAnsi="Arial" w:cs="Arial"/>
          <w:sz w:val="18"/>
          <w:szCs w:val="18"/>
        </w:rPr>
        <w:t>.</w:t>
      </w:r>
      <w:r w:rsidR="00CA3B42" w:rsidRPr="003F1E74">
        <w:rPr>
          <w:rFonts w:ascii="Arial" w:hAnsi="Arial" w:cs="Arial"/>
          <w:sz w:val="18"/>
          <w:szCs w:val="18"/>
        </w:rPr>
        <w:t>).</w:t>
      </w:r>
    </w:p>
  </w:footnote>
  <w:footnote w:id="14">
    <w:p w14:paraId="0B2B7789" w14:textId="7B09EE81" w:rsidR="00F058D0" w:rsidRPr="000831BA" w:rsidRDefault="00F058D0" w:rsidP="000831BA">
      <w:pPr>
        <w:pStyle w:val="FootnoteText"/>
        <w:tabs>
          <w:tab w:val="left" w:pos="270"/>
        </w:tabs>
        <w:rPr>
          <w:rFonts w:ascii="Arial" w:hAnsi="Arial" w:cs="Arial"/>
        </w:rPr>
      </w:pPr>
      <w:r w:rsidRPr="000831BA">
        <w:rPr>
          <w:rStyle w:val="FootnoteReference"/>
          <w:rFonts w:ascii="Arial" w:hAnsi="Arial" w:cs="Arial"/>
          <w:sz w:val="18"/>
        </w:rPr>
        <w:footnoteRef/>
      </w:r>
      <w:r w:rsidRPr="000831BA">
        <w:rPr>
          <w:rFonts w:ascii="Arial" w:hAnsi="Arial" w:cs="Arial"/>
          <w:sz w:val="18"/>
        </w:rPr>
        <w:t xml:space="preserve"> </w:t>
      </w:r>
      <w:r w:rsidR="00892D34" w:rsidRPr="000831BA">
        <w:rPr>
          <w:rFonts w:ascii="Arial" w:hAnsi="Arial" w:cs="Arial"/>
          <w:sz w:val="18"/>
        </w:rPr>
        <w:tab/>
      </w:r>
      <w:r w:rsidRPr="000831BA">
        <w:rPr>
          <w:rFonts w:ascii="Arial" w:hAnsi="Arial" w:cs="Arial"/>
          <w:sz w:val="18"/>
        </w:rPr>
        <w:t>El costo de la cesión de energía está en el orden de US$10/</w:t>
      </w:r>
      <w:proofErr w:type="spellStart"/>
      <w:r w:rsidRPr="000831BA">
        <w:rPr>
          <w:rFonts w:ascii="Arial" w:hAnsi="Arial" w:cs="Arial"/>
          <w:sz w:val="18"/>
        </w:rPr>
        <w:t>MWh</w:t>
      </w:r>
      <w:proofErr w:type="spellEnd"/>
      <w:r w:rsidRPr="000831BA">
        <w:rPr>
          <w:rFonts w:ascii="Arial" w:hAnsi="Arial" w:cs="Arial"/>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32C5B"/>
    <w:multiLevelType w:val="hybridMultilevel"/>
    <w:tmpl w:val="FD868AF2"/>
    <w:lvl w:ilvl="0" w:tplc="0966D47E">
      <w:start w:val="1"/>
      <w:numFmt w:val="decimal"/>
      <w:pStyle w:val="Figure"/>
      <w:lvlText w:val="Figura %1."/>
      <w:lvlJc w:val="left"/>
      <w:pPr>
        <w:ind w:left="1440" w:hanging="360"/>
      </w:pPr>
      <w:rPr>
        <w:rFonts w:hint="default"/>
        <w:sz w:val="1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59B4991"/>
    <w:multiLevelType w:val="multilevel"/>
    <w:tmpl w:val="51128C0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656"/>
        </w:tabs>
        <w:ind w:left="1656"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3A867190"/>
    <w:multiLevelType w:val="multilevel"/>
    <w:tmpl w:val="FEDCE99A"/>
    <w:lvl w:ilvl="0">
      <w:start w:val="1"/>
      <w:numFmt w:val="decimal"/>
      <w:lvlText w:val="%1"/>
      <w:lvlJc w:val="left"/>
      <w:pPr>
        <w:ind w:left="420" w:hanging="420"/>
      </w:pPr>
      <w:rPr>
        <w:rFonts w:hint="default"/>
      </w:rPr>
    </w:lvl>
    <w:lvl w:ilvl="1">
      <w:start w:val="14"/>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1770B0F"/>
    <w:multiLevelType w:val="hybridMultilevel"/>
    <w:tmpl w:val="FC9C7A72"/>
    <w:lvl w:ilvl="0" w:tplc="C8AE5C82">
      <w:start w:val="1"/>
      <w:numFmt w:val="bullet"/>
      <w:lvlText w:val="•"/>
      <w:lvlJc w:val="left"/>
      <w:pPr>
        <w:tabs>
          <w:tab w:val="num" w:pos="720"/>
        </w:tabs>
        <w:ind w:left="720" w:hanging="360"/>
      </w:pPr>
      <w:rPr>
        <w:rFonts w:ascii="Arial" w:hAnsi="Arial" w:hint="default"/>
      </w:rPr>
    </w:lvl>
    <w:lvl w:ilvl="1" w:tplc="6FF8FFAE" w:tentative="1">
      <w:start w:val="1"/>
      <w:numFmt w:val="bullet"/>
      <w:lvlText w:val="•"/>
      <w:lvlJc w:val="left"/>
      <w:pPr>
        <w:tabs>
          <w:tab w:val="num" w:pos="1440"/>
        </w:tabs>
        <w:ind w:left="1440" w:hanging="360"/>
      </w:pPr>
      <w:rPr>
        <w:rFonts w:ascii="Arial" w:hAnsi="Arial" w:hint="default"/>
      </w:rPr>
    </w:lvl>
    <w:lvl w:ilvl="2" w:tplc="3DECEF4C" w:tentative="1">
      <w:start w:val="1"/>
      <w:numFmt w:val="bullet"/>
      <w:lvlText w:val="•"/>
      <w:lvlJc w:val="left"/>
      <w:pPr>
        <w:tabs>
          <w:tab w:val="num" w:pos="2160"/>
        </w:tabs>
        <w:ind w:left="2160" w:hanging="360"/>
      </w:pPr>
      <w:rPr>
        <w:rFonts w:ascii="Arial" w:hAnsi="Arial" w:hint="default"/>
      </w:rPr>
    </w:lvl>
    <w:lvl w:ilvl="3" w:tplc="CB227008" w:tentative="1">
      <w:start w:val="1"/>
      <w:numFmt w:val="bullet"/>
      <w:lvlText w:val="•"/>
      <w:lvlJc w:val="left"/>
      <w:pPr>
        <w:tabs>
          <w:tab w:val="num" w:pos="2880"/>
        </w:tabs>
        <w:ind w:left="2880" w:hanging="360"/>
      </w:pPr>
      <w:rPr>
        <w:rFonts w:ascii="Arial" w:hAnsi="Arial" w:hint="default"/>
      </w:rPr>
    </w:lvl>
    <w:lvl w:ilvl="4" w:tplc="4A389AE4" w:tentative="1">
      <w:start w:val="1"/>
      <w:numFmt w:val="bullet"/>
      <w:lvlText w:val="•"/>
      <w:lvlJc w:val="left"/>
      <w:pPr>
        <w:tabs>
          <w:tab w:val="num" w:pos="3600"/>
        </w:tabs>
        <w:ind w:left="3600" w:hanging="360"/>
      </w:pPr>
      <w:rPr>
        <w:rFonts w:ascii="Arial" w:hAnsi="Arial" w:hint="default"/>
      </w:rPr>
    </w:lvl>
    <w:lvl w:ilvl="5" w:tplc="A04AB378" w:tentative="1">
      <w:start w:val="1"/>
      <w:numFmt w:val="bullet"/>
      <w:lvlText w:val="•"/>
      <w:lvlJc w:val="left"/>
      <w:pPr>
        <w:tabs>
          <w:tab w:val="num" w:pos="4320"/>
        </w:tabs>
        <w:ind w:left="4320" w:hanging="360"/>
      </w:pPr>
      <w:rPr>
        <w:rFonts w:ascii="Arial" w:hAnsi="Arial" w:hint="default"/>
      </w:rPr>
    </w:lvl>
    <w:lvl w:ilvl="6" w:tplc="8CD2C70A" w:tentative="1">
      <w:start w:val="1"/>
      <w:numFmt w:val="bullet"/>
      <w:lvlText w:val="•"/>
      <w:lvlJc w:val="left"/>
      <w:pPr>
        <w:tabs>
          <w:tab w:val="num" w:pos="5040"/>
        </w:tabs>
        <w:ind w:left="5040" w:hanging="360"/>
      </w:pPr>
      <w:rPr>
        <w:rFonts w:ascii="Arial" w:hAnsi="Arial" w:hint="default"/>
      </w:rPr>
    </w:lvl>
    <w:lvl w:ilvl="7" w:tplc="68C019E0" w:tentative="1">
      <w:start w:val="1"/>
      <w:numFmt w:val="bullet"/>
      <w:lvlText w:val="•"/>
      <w:lvlJc w:val="left"/>
      <w:pPr>
        <w:tabs>
          <w:tab w:val="num" w:pos="5760"/>
        </w:tabs>
        <w:ind w:left="5760" w:hanging="360"/>
      </w:pPr>
      <w:rPr>
        <w:rFonts w:ascii="Arial" w:hAnsi="Arial" w:hint="default"/>
      </w:rPr>
    </w:lvl>
    <w:lvl w:ilvl="8" w:tplc="E8102A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3D56863"/>
    <w:multiLevelType w:val="hybridMultilevel"/>
    <w:tmpl w:val="A8FA172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8B2D68"/>
    <w:multiLevelType w:val="hybridMultilevel"/>
    <w:tmpl w:val="559E291E"/>
    <w:lvl w:ilvl="0" w:tplc="F64A323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9905A8"/>
    <w:multiLevelType w:val="multilevel"/>
    <w:tmpl w:val="45BA801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1746"/>
        </w:tabs>
        <w:ind w:left="1746" w:hanging="1296"/>
      </w:pPr>
      <w:rPr>
        <w:b w:val="0"/>
        <w:i w:val="0"/>
        <w:sz w:val="22"/>
        <w:szCs w:val="22"/>
        <w:lang w:val="en-U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7" w15:restartNumberingAfterBreak="0">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8" w15:restartNumberingAfterBreak="0">
    <w:nsid w:val="77CE71BE"/>
    <w:multiLevelType w:val="hybridMultilevel"/>
    <w:tmpl w:val="9E86187C"/>
    <w:lvl w:ilvl="0" w:tplc="329CF1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FE6232"/>
    <w:multiLevelType w:val="hybridMultilevel"/>
    <w:tmpl w:val="D86E9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6"/>
  </w:num>
  <w:num w:numId="4">
    <w:abstractNumId w:val="0"/>
  </w:num>
  <w:num w:numId="5">
    <w:abstractNumId w:val="6"/>
  </w:num>
  <w:num w:numId="6">
    <w:abstractNumId w:val="6"/>
  </w:num>
  <w:num w:numId="7">
    <w:abstractNumId w:val="0"/>
    <w:lvlOverride w:ilvl="0">
      <w:startOverride w:val="1"/>
    </w:lvlOverride>
  </w:num>
  <w:num w:numId="8">
    <w:abstractNumId w:val="0"/>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7"/>
  </w:num>
  <w:num w:numId="19">
    <w:abstractNumId w:val="6"/>
  </w:num>
  <w:num w:numId="20">
    <w:abstractNumId w:val="6"/>
  </w:num>
  <w:num w:numId="21">
    <w:abstractNumId w:val="6"/>
  </w:num>
  <w:num w:numId="22">
    <w:abstractNumId w:val="6"/>
  </w:num>
  <w:num w:numId="23">
    <w:abstractNumId w:val="6"/>
  </w:num>
  <w:num w:numId="24">
    <w:abstractNumId w:val="3"/>
  </w:num>
  <w:num w:numId="25">
    <w:abstractNumId w:val="6"/>
  </w:num>
  <w:num w:numId="26">
    <w:abstractNumId w:val="6"/>
  </w:num>
  <w:num w:numId="27">
    <w:abstractNumId w:val="6"/>
  </w:num>
  <w:num w:numId="28">
    <w:abstractNumId w:val="6"/>
  </w:num>
  <w:num w:numId="29">
    <w:abstractNumId w:val="9"/>
  </w:num>
  <w:num w:numId="30">
    <w:abstractNumId w:val="5"/>
  </w:num>
  <w:num w:numId="31">
    <w:abstractNumId w:val="5"/>
  </w:num>
  <w:num w:numId="32">
    <w:abstractNumId w:val="0"/>
    <w:lvlOverride w:ilvl="0">
      <w:startOverride w:val="1"/>
    </w:lvlOverride>
  </w:num>
  <w:num w:numId="33">
    <w:abstractNumId w:val="5"/>
  </w:num>
  <w:num w:numId="34">
    <w:abstractNumId w:val="0"/>
  </w:num>
  <w:num w:numId="35">
    <w:abstractNumId w:val="0"/>
  </w:num>
  <w:num w:numId="36">
    <w:abstractNumId w:val="0"/>
    <w:lvlOverride w:ilvl="0">
      <w:startOverride w:val="1"/>
    </w:lvlOverride>
  </w:num>
  <w:num w:numId="37">
    <w:abstractNumId w:val="0"/>
    <w:lvlOverride w:ilvl="0">
      <w:startOverride w:val="1"/>
    </w:lvlOverride>
  </w:num>
  <w:num w:numId="38">
    <w:abstractNumId w:val="1"/>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CD3"/>
    <w:rsid w:val="00012089"/>
    <w:rsid w:val="000134F8"/>
    <w:rsid w:val="00021038"/>
    <w:rsid w:val="0002335E"/>
    <w:rsid w:val="0005159B"/>
    <w:rsid w:val="00052174"/>
    <w:rsid w:val="00066164"/>
    <w:rsid w:val="000831BA"/>
    <w:rsid w:val="00083450"/>
    <w:rsid w:val="00087713"/>
    <w:rsid w:val="00095F4D"/>
    <w:rsid w:val="000A33E9"/>
    <w:rsid w:val="000A4A9F"/>
    <w:rsid w:val="000C0E20"/>
    <w:rsid w:val="000D5146"/>
    <w:rsid w:val="000F0D30"/>
    <w:rsid w:val="000F7A0E"/>
    <w:rsid w:val="000F7A93"/>
    <w:rsid w:val="00102174"/>
    <w:rsid w:val="001029B5"/>
    <w:rsid w:val="00104710"/>
    <w:rsid w:val="001101A5"/>
    <w:rsid w:val="0011603A"/>
    <w:rsid w:val="00117476"/>
    <w:rsid w:val="00127D52"/>
    <w:rsid w:val="00134AAF"/>
    <w:rsid w:val="00137E54"/>
    <w:rsid w:val="0014453B"/>
    <w:rsid w:val="00153138"/>
    <w:rsid w:val="00153BD3"/>
    <w:rsid w:val="00154320"/>
    <w:rsid w:val="00154DAD"/>
    <w:rsid w:val="001655D0"/>
    <w:rsid w:val="00185359"/>
    <w:rsid w:val="001C392D"/>
    <w:rsid w:val="001D41F6"/>
    <w:rsid w:val="001D4E73"/>
    <w:rsid w:val="001D5038"/>
    <w:rsid w:val="001E5C35"/>
    <w:rsid w:val="001F37A2"/>
    <w:rsid w:val="002014F8"/>
    <w:rsid w:val="00207113"/>
    <w:rsid w:val="0021246C"/>
    <w:rsid w:val="00212F48"/>
    <w:rsid w:val="002153E6"/>
    <w:rsid w:val="00217E33"/>
    <w:rsid w:val="00237488"/>
    <w:rsid w:val="00244711"/>
    <w:rsid w:val="00253B8C"/>
    <w:rsid w:val="00254580"/>
    <w:rsid w:val="00266102"/>
    <w:rsid w:val="00267375"/>
    <w:rsid w:val="002808AF"/>
    <w:rsid w:val="002A0C09"/>
    <w:rsid w:val="002A54C6"/>
    <w:rsid w:val="002B227E"/>
    <w:rsid w:val="002B40FD"/>
    <w:rsid w:val="002C62D5"/>
    <w:rsid w:val="002D1C81"/>
    <w:rsid w:val="002E5683"/>
    <w:rsid w:val="003011B5"/>
    <w:rsid w:val="00301CBA"/>
    <w:rsid w:val="00317AC5"/>
    <w:rsid w:val="00326EA4"/>
    <w:rsid w:val="00343E91"/>
    <w:rsid w:val="00362C9E"/>
    <w:rsid w:val="003662AC"/>
    <w:rsid w:val="00380806"/>
    <w:rsid w:val="00386B04"/>
    <w:rsid w:val="00387D2D"/>
    <w:rsid w:val="003A0588"/>
    <w:rsid w:val="003A2FB7"/>
    <w:rsid w:val="003A4FCA"/>
    <w:rsid w:val="003B4BCA"/>
    <w:rsid w:val="003C0AF8"/>
    <w:rsid w:val="003D1C15"/>
    <w:rsid w:val="003F1E74"/>
    <w:rsid w:val="00422173"/>
    <w:rsid w:val="00426DB6"/>
    <w:rsid w:val="00455A09"/>
    <w:rsid w:val="004617BC"/>
    <w:rsid w:val="00463587"/>
    <w:rsid w:val="00473074"/>
    <w:rsid w:val="0049011C"/>
    <w:rsid w:val="00492AE7"/>
    <w:rsid w:val="004C7219"/>
    <w:rsid w:val="004D50B6"/>
    <w:rsid w:val="004F0B47"/>
    <w:rsid w:val="00504683"/>
    <w:rsid w:val="00505185"/>
    <w:rsid w:val="0051040E"/>
    <w:rsid w:val="00510873"/>
    <w:rsid w:val="00514EF5"/>
    <w:rsid w:val="00516CFF"/>
    <w:rsid w:val="00536BEC"/>
    <w:rsid w:val="005461C6"/>
    <w:rsid w:val="0054712D"/>
    <w:rsid w:val="005514B9"/>
    <w:rsid w:val="00563A12"/>
    <w:rsid w:val="00565CBE"/>
    <w:rsid w:val="00572F2C"/>
    <w:rsid w:val="00575EB9"/>
    <w:rsid w:val="00581BCC"/>
    <w:rsid w:val="00586616"/>
    <w:rsid w:val="005871AB"/>
    <w:rsid w:val="00592831"/>
    <w:rsid w:val="005B4EA8"/>
    <w:rsid w:val="005B744D"/>
    <w:rsid w:val="005B76FC"/>
    <w:rsid w:val="005C1564"/>
    <w:rsid w:val="005C2DC7"/>
    <w:rsid w:val="005C3806"/>
    <w:rsid w:val="005C6939"/>
    <w:rsid w:val="005D1D45"/>
    <w:rsid w:val="005D7195"/>
    <w:rsid w:val="005D7870"/>
    <w:rsid w:val="005E1837"/>
    <w:rsid w:val="005E5496"/>
    <w:rsid w:val="00612FA8"/>
    <w:rsid w:val="00620E2E"/>
    <w:rsid w:val="00631D8C"/>
    <w:rsid w:val="00640AD1"/>
    <w:rsid w:val="00651744"/>
    <w:rsid w:val="00656047"/>
    <w:rsid w:val="00671597"/>
    <w:rsid w:val="006B282C"/>
    <w:rsid w:val="006C3787"/>
    <w:rsid w:val="006C3A00"/>
    <w:rsid w:val="00702852"/>
    <w:rsid w:val="00703BE2"/>
    <w:rsid w:val="0070599F"/>
    <w:rsid w:val="00707483"/>
    <w:rsid w:val="00707D6E"/>
    <w:rsid w:val="00720611"/>
    <w:rsid w:val="007367FF"/>
    <w:rsid w:val="00743B36"/>
    <w:rsid w:val="00745229"/>
    <w:rsid w:val="00755440"/>
    <w:rsid w:val="00764637"/>
    <w:rsid w:val="00773964"/>
    <w:rsid w:val="007A2C3E"/>
    <w:rsid w:val="007A5280"/>
    <w:rsid w:val="007B018F"/>
    <w:rsid w:val="007B588D"/>
    <w:rsid w:val="007C33AD"/>
    <w:rsid w:val="007E0C57"/>
    <w:rsid w:val="007F58C3"/>
    <w:rsid w:val="0080019A"/>
    <w:rsid w:val="00810F40"/>
    <w:rsid w:val="00812589"/>
    <w:rsid w:val="008209BE"/>
    <w:rsid w:val="00821F77"/>
    <w:rsid w:val="00830B91"/>
    <w:rsid w:val="008335C2"/>
    <w:rsid w:val="008477D3"/>
    <w:rsid w:val="008647D6"/>
    <w:rsid w:val="00865151"/>
    <w:rsid w:val="00892D34"/>
    <w:rsid w:val="008A02ED"/>
    <w:rsid w:val="008A7A90"/>
    <w:rsid w:val="008B573A"/>
    <w:rsid w:val="008B6D5A"/>
    <w:rsid w:val="008C0602"/>
    <w:rsid w:val="008C1AB3"/>
    <w:rsid w:val="008C5677"/>
    <w:rsid w:val="008E0D52"/>
    <w:rsid w:val="008F6332"/>
    <w:rsid w:val="008F6A23"/>
    <w:rsid w:val="00906B3B"/>
    <w:rsid w:val="00922E3F"/>
    <w:rsid w:val="009251A4"/>
    <w:rsid w:val="00943529"/>
    <w:rsid w:val="0094387F"/>
    <w:rsid w:val="00950F9F"/>
    <w:rsid w:val="00952384"/>
    <w:rsid w:val="0095784C"/>
    <w:rsid w:val="00963926"/>
    <w:rsid w:val="00964AC4"/>
    <w:rsid w:val="00966867"/>
    <w:rsid w:val="00967999"/>
    <w:rsid w:val="00993CEE"/>
    <w:rsid w:val="009A1099"/>
    <w:rsid w:val="009C0E93"/>
    <w:rsid w:val="009C1AB0"/>
    <w:rsid w:val="009D0254"/>
    <w:rsid w:val="009D6297"/>
    <w:rsid w:val="009F662F"/>
    <w:rsid w:val="00A01EDC"/>
    <w:rsid w:val="00A029BD"/>
    <w:rsid w:val="00A05F94"/>
    <w:rsid w:val="00A12B51"/>
    <w:rsid w:val="00A211E7"/>
    <w:rsid w:val="00A24591"/>
    <w:rsid w:val="00A257B4"/>
    <w:rsid w:val="00A27D85"/>
    <w:rsid w:val="00A403D5"/>
    <w:rsid w:val="00A437C5"/>
    <w:rsid w:val="00A438EB"/>
    <w:rsid w:val="00A50800"/>
    <w:rsid w:val="00A51B30"/>
    <w:rsid w:val="00A67342"/>
    <w:rsid w:val="00A707F5"/>
    <w:rsid w:val="00A75738"/>
    <w:rsid w:val="00A86235"/>
    <w:rsid w:val="00A928D4"/>
    <w:rsid w:val="00A93A3A"/>
    <w:rsid w:val="00A96ED2"/>
    <w:rsid w:val="00A97D27"/>
    <w:rsid w:val="00AC5DAB"/>
    <w:rsid w:val="00AD4A46"/>
    <w:rsid w:val="00AD5E5C"/>
    <w:rsid w:val="00AE36A1"/>
    <w:rsid w:val="00AE7A83"/>
    <w:rsid w:val="00AE7BCF"/>
    <w:rsid w:val="00AF3034"/>
    <w:rsid w:val="00AF4582"/>
    <w:rsid w:val="00AF7B44"/>
    <w:rsid w:val="00B0601C"/>
    <w:rsid w:val="00B12A18"/>
    <w:rsid w:val="00B244A9"/>
    <w:rsid w:val="00B36E9A"/>
    <w:rsid w:val="00B51058"/>
    <w:rsid w:val="00B519F9"/>
    <w:rsid w:val="00B800B9"/>
    <w:rsid w:val="00B81B25"/>
    <w:rsid w:val="00B920EF"/>
    <w:rsid w:val="00B95F45"/>
    <w:rsid w:val="00B9707A"/>
    <w:rsid w:val="00B97501"/>
    <w:rsid w:val="00BA2B2F"/>
    <w:rsid w:val="00BA3533"/>
    <w:rsid w:val="00BA49FD"/>
    <w:rsid w:val="00BA6D36"/>
    <w:rsid w:val="00BC228A"/>
    <w:rsid w:val="00BC6423"/>
    <w:rsid w:val="00BC774F"/>
    <w:rsid w:val="00BF2D72"/>
    <w:rsid w:val="00BF5084"/>
    <w:rsid w:val="00C03EBC"/>
    <w:rsid w:val="00C15A32"/>
    <w:rsid w:val="00C16AF8"/>
    <w:rsid w:val="00C34921"/>
    <w:rsid w:val="00C552F7"/>
    <w:rsid w:val="00C84107"/>
    <w:rsid w:val="00C84FBE"/>
    <w:rsid w:val="00C87614"/>
    <w:rsid w:val="00C957DC"/>
    <w:rsid w:val="00C967E6"/>
    <w:rsid w:val="00CA3B42"/>
    <w:rsid w:val="00CA79B8"/>
    <w:rsid w:val="00CB0489"/>
    <w:rsid w:val="00CB37A5"/>
    <w:rsid w:val="00CC2ADD"/>
    <w:rsid w:val="00CC3661"/>
    <w:rsid w:val="00CC4F04"/>
    <w:rsid w:val="00CD0ED1"/>
    <w:rsid w:val="00CF1E56"/>
    <w:rsid w:val="00CF3146"/>
    <w:rsid w:val="00D05CCC"/>
    <w:rsid w:val="00D17023"/>
    <w:rsid w:val="00D20054"/>
    <w:rsid w:val="00D24FAF"/>
    <w:rsid w:val="00D36336"/>
    <w:rsid w:val="00D37F8F"/>
    <w:rsid w:val="00D408F7"/>
    <w:rsid w:val="00D45C2C"/>
    <w:rsid w:val="00D8055B"/>
    <w:rsid w:val="00D805A7"/>
    <w:rsid w:val="00D80B0B"/>
    <w:rsid w:val="00D80FC0"/>
    <w:rsid w:val="00D82580"/>
    <w:rsid w:val="00D848A8"/>
    <w:rsid w:val="00DC2140"/>
    <w:rsid w:val="00DC2148"/>
    <w:rsid w:val="00DC41AC"/>
    <w:rsid w:val="00DD280B"/>
    <w:rsid w:val="00DD7B19"/>
    <w:rsid w:val="00DF198F"/>
    <w:rsid w:val="00DF1FBE"/>
    <w:rsid w:val="00E00CC1"/>
    <w:rsid w:val="00E21CD3"/>
    <w:rsid w:val="00E4003A"/>
    <w:rsid w:val="00E5039C"/>
    <w:rsid w:val="00E5251E"/>
    <w:rsid w:val="00E63635"/>
    <w:rsid w:val="00E67133"/>
    <w:rsid w:val="00E751B2"/>
    <w:rsid w:val="00E76F3F"/>
    <w:rsid w:val="00E77EF1"/>
    <w:rsid w:val="00E9170C"/>
    <w:rsid w:val="00E9383E"/>
    <w:rsid w:val="00EA206B"/>
    <w:rsid w:val="00EA3E89"/>
    <w:rsid w:val="00EB76C2"/>
    <w:rsid w:val="00ED5A67"/>
    <w:rsid w:val="00EE57A5"/>
    <w:rsid w:val="00EE6107"/>
    <w:rsid w:val="00EF2E83"/>
    <w:rsid w:val="00EF4CC1"/>
    <w:rsid w:val="00F02039"/>
    <w:rsid w:val="00F0249A"/>
    <w:rsid w:val="00F058D0"/>
    <w:rsid w:val="00F17E31"/>
    <w:rsid w:val="00F25F06"/>
    <w:rsid w:val="00F32A33"/>
    <w:rsid w:val="00F33D42"/>
    <w:rsid w:val="00F37F3D"/>
    <w:rsid w:val="00F4332E"/>
    <w:rsid w:val="00F4786F"/>
    <w:rsid w:val="00F479C2"/>
    <w:rsid w:val="00F60ED4"/>
    <w:rsid w:val="00F6644D"/>
    <w:rsid w:val="00F716B3"/>
    <w:rsid w:val="00F91086"/>
    <w:rsid w:val="00F97241"/>
    <w:rsid w:val="00FB099A"/>
    <w:rsid w:val="00FB42F3"/>
    <w:rsid w:val="00FB7390"/>
    <w:rsid w:val="00FE57A2"/>
    <w:rsid w:val="00FE6118"/>
    <w:rsid w:val="00FF029E"/>
    <w:rsid w:val="00FF36EE"/>
    <w:rsid w:val="1AE7B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3416"/>
  <w15:chartTrackingRefBased/>
  <w15:docId w15:val="{2B29717B-F006-42A7-AA02-C70BF7CBA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03A"/>
    <w:pPr>
      <w:jc w:val="both"/>
    </w:pPr>
    <w:rPr>
      <w:rFonts w:ascii="Arial" w:hAnsi="Arial"/>
    </w:rPr>
  </w:style>
  <w:style w:type="paragraph" w:styleId="Heading1">
    <w:name w:val="heading 1"/>
    <w:basedOn w:val="Normal"/>
    <w:next w:val="Normal"/>
    <w:link w:val="Heading1Char"/>
    <w:uiPriority w:val="9"/>
    <w:qFormat/>
    <w:rsid w:val="007C33AD"/>
    <w:pPr>
      <w:keepNext/>
      <w:keepLines/>
      <w:numPr>
        <w:numId w:val="30"/>
      </w:numPr>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1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CD3"/>
  </w:style>
  <w:style w:type="paragraph" w:styleId="Footer">
    <w:name w:val="footer"/>
    <w:basedOn w:val="Normal"/>
    <w:link w:val="FooterChar"/>
    <w:uiPriority w:val="99"/>
    <w:unhideWhenUsed/>
    <w:rsid w:val="00E21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CD3"/>
  </w:style>
  <w:style w:type="paragraph" w:styleId="ListParagraph">
    <w:name w:val="List Paragraph"/>
    <w:basedOn w:val="Normal"/>
    <w:uiPriority w:val="34"/>
    <w:qFormat/>
    <w:rsid w:val="00E21CD3"/>
    <w:pPr>
      <w:ind w:left="720"/>
      <w:contextualSpacing/>
    </w:pPr>
  </w:style>
  <w:style w:type="paragraph" w:customStyle="1" w:styleId="Chapter">
    <w:name w:val="Chapter"/>
    <w:basedOn w:val="Normal"/>
    <w:next w:val="Normal"/>
    <w:rsid w:val="00A67342"/>
    <w:pPr>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qFormat/>
    <w:rsid w:val="00AF3034"/>
    <w:pPr>
      <w:numPr>
        <w:ilvl w:val="1"/>
        <w:numId w:val="2"/>
      </w:numPr>
      <w:spacing w:before="120" w:line="240" w:lineRule="auto"/>
      <w:ind w:left="720" w:hanging="720"/>
      <w:outlineLvl w:val="1"/>
    </w:pPr>
    <w:rPr>
      <w:rFonts w:eastAsia="Times New Roman" w:cs="Times New Roman"/>
      <w:szCs w:val="20"/>
      <w:lang w:val="es-ES_tradnl"/>
    </w:rPr>
  </w:style>
  <w:style w:type="paragraph" w:customStyle="1" w:styleId="subpar">
    <w:name w:val="subpar"/>
    <w:basedOn w:val="BodyTextIndent3"/>
    <w:rsid w:val="00A67342"/>
    <w:pPr>
      <w:numPr>
        <w:ilvl w:val="2"/>
        <w:numId w:val="2"/>
      </w:numPr>
      <w:tabs>
        <w:tab w:val="clear" w:pos="2304"/>
        <w:tab w:val="num" w:pos="360"/>
      </w:tabs>
      <w:spacing w:before="120" w:line="240" w:lineRule="auto"/>
      <w:ind w:left="864" w:firstLine="0"/>
      <w:outlineLvl w:val="2"/>
    </w:pPr>
    <w:rPr>
      <w:rFonts w:ascii="Times New Roman" w:eastAsia="Times New Roman" w:hAnsi="Times New Roman" w:cs="Times New Roman"/>
      <w:sz w:val="24"/>
      <w:lang w:val="es-ES_tradnl"/>
    </w:rPr>
  </w:style>
  <w:style w:type="paragraph" w:customStyle="1" w:styleId="SubSubPar">
    <w:name w:val="SubSubPar"/>
    <w:basedOn w:val="subpar"/>
    <w:rsid w:val="00A67342"/>
    <w:pPr>
      <w:numPr>
        <w:ilvl w:val="3"/>
      </w:numPr>
      <w:tabs>
        <w:tab w:val="clear" w:pos="2736"/>
        <w:tab w:val="left" w:pos="0"/>
        <w:tab w:val="num" w:pos="360"/>
        <w:tab w:val="num" w:pos="1296"/>
      </w:tabs>
      <w:ind w:left="1296"/>
    </w:pPr>
  </w:style>
  <w:style w:type="character" w:styleId="Hyperlink">
    <w:name w:val="Hyperlink"/>
    <w:uiPriority w:val="99"/>
    <w:rsid w:val="00A67342"/>
    <w:rPr>
      <w:color w:val="0000FF"/>
      <w:u w:val="single"/>
    </w:rPr>
  </w:style>
  <w:style w:type="paragraph" w:styleId="FootnoteText">
    <w:name w:val="footnote text"/>
    <w:aliases w:val="fn,Texto de rodapé,nota_rodapé,nota de rodapé,Geneva 9,Font: Geneva 9,Boston 10,f,footnote,single space,FOOTNOTES,footnote text,Footnote Text Char Char,foottextfr,foottextf,Footnote Text arial11"/>
    <w:basedOn w:val="Normal"/>
    <w:link w:val="FootnoteTextChar"/>
    <w:rsid w:val="00A67342"/>
    <w:pPr>
      <w:spacing w:after="0" w:line="240" w:lineRule="auto"/>
    </w:pPr>
    <w:rPr>
      <w:rFonts w:ascii="Times New Roman" w:eastAsia="Times New Roman" w:hAnsi="Times New Roman" w:cs="Times New Roman"/>
      <w:sz w:val="20"/>
      <w:szCs w:val="20"/>
      <w:lang w:val="es-ES_tradnl"/>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Footnote Text Char Char Char,foottextfr Char"/>
    <w:basedOn w:val="DefaultParagraphFont"/>
    <w:link w:val="FootnoteText"/>
    <w:rsid w:val="00A67342"/>
    <w:rPr>
      <w:rFonts w:ascii="Times New Roman" w:eastAsia="Times New Roman" w:hAnsi="Times New Roman" w:cs="Times New Roman"/>
      <w:sz w:val="20"/>
      <w:szCs w:val="20"/>
      <w:lang w:val="es-ES_tradnl"/>
    </w:rPr>
  </w:style>
  <w:style w:type="character" w:styleId="FootnoteReference">
    <w:name w:val="footnote reference"/>
    <w:aliases w:val="FC,16 Point,Superscript 6 Point,Footnote Referencefr,Footnote Referencef,Style 24,F1,Footnote Referencefra,de nota al pie,(Ref. de nota al pie),referencia nota al pie,Ref. de nota al pi,Ref,o,ftref,Fußnotenzeichen DISS"/>
    <w:uiPriority w:val="99"/>
    <w:rsid w:val="00A67342"/>
    <w:rPr>
      <w:vertAlign w:val="superscript"/>
    </w:rPr>
  </w:style>
  <w:style w:type="paragraph" w:styleId="BodyTextIndent">
    <w:name w:val="Body Text Indent"/>
    <w:basedOn w:val="Normal"/>
    <w:link w:val="BodyTextIndentChar"/>
    <w:uiPriority w:val="99"/>
    <w:semiHidden/>
    <w:unhideWhenUsed/>
    <w:rsid w:val="00A67342"/>
    <w:pPr>
      <w:spacing w:after="120"/>
      <w:ind w:left="360"/>
    </w:pPr>
  </w:style>
  <w:style w:type="character" w:customStyle="1" w:styleId="BodyTextIndentChar">
    <w:name w:val="Body Text Indent Char"/>
    <w:basedOn w:val="DefaultParagraphFont"/>
    <w:link w:val="BodyTextIndent"/>
    <w:uiPriority w:val="99"/>
    <w:semiHidden/>
    <w:rsid w:val="00A67342"/>
  </w:style>
  <w:style w:type="paragraph" w:styleId="BodyTextIndent3">
    <w:name w:val="Body Text Indent 3"/>
    <w:basedOn w:val="Normal"/>
    <w:link w:val="BodyTextIndent3Char"/>
    <w:uiPriority w:val="99"/>
    <w:semiHidden/>
    <w:unhideWhenUsed/>
    <w:rsid w:val="00A6734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67342"/>
    <w:rPr>
      <w:sz w:val="16"/>
      <w:szCs w:val="16"/>
    </w:rPr>
  </w:style>
  <w:style w:type="paragraph" w:customStyle="1" w:styleId="Figure">
    <w:name w:val="Figure"/>
    <w:basedOn w:val="Paragraph"/>
    <w:qFormat/>
    <w:rsid w:val="0014453B"/>
    <w:pPr>
      <w:numPr>
        <w:ilvl w:val="0"/>
        <w:numId w:val="4"/>
      </w:numPr>
      <w:jc w:val="center"/>
    </w:pPr>
    <w:rPr>
      <w:rFonts w:cs="Arial"/>
      <w:sz w:val="18"/>
      <w:szCs w:val="22"/>
    </w:rPr>
  </w:style>
  <w:style w:type="character" w:styleId="CommentReference">
    <w:name w:val="annotation reference"/>
    <w:basedOn w:val="DefaultParagraphFont"/>
    <w:uiPriority w:val="99"/>
    <w:semiHidden/>
    <w:unhideWhenUsed/>
    <w:rsid w:val="00BC6423"/>
    <w:rPr>
      <w:sz w:val="16"/>
      <w:szCs w:val="16"/>
    </w:rPr>
  </w:style>
  <w:style w:type="paragraph" w:styleId="CommentText">
    <w:name w:val="annotation text"/>
    <w:basedOn w:val="Normal"/>
    <w:link w:val="CommentTextChar"/>
    <w:uiPriority w:val="99"/>
    <w:semiHidden/>
    <w:unhideWhenUsed/>
    <w:rsid w:val="00BC6423"/>
    <w:pPr>
      <w:spacing w:line="240" w:lineRule="auto"/>
    </w:pPr>
    <w:rPr>
      <w:sz w:val="20"/>
      <w:szCs w:val="20"/>
    </w:rPr>
  </w:style>
  <w:style w:type="character" w:customStyle="1" w:styleId="CommentTextChar">
    <w:name w:val="Comment Text Char"/>
    <w:basedOn w:val="DefaultParagraphFont"/>
    <w:link w:val="CommentText"/>
    <w:uiPriority w:val="99"/>
    <w:semiHidden/>
    <w:rsid w:val="00BC6423"/>
    <w:rPr>
      <w:sz w:val="20"/>
      <w:szCs w:val="20"/>
    </w:rPr>
  </w:style>
  <w:style w:type="paragraph" w:styleId="CommentSubject">
    <w:name w:val="annotation subject"/>
    <w:basedOn w:val="CommentText"/>
    <w:next w:val="CommentText"/>
    <w:link w:val="CommentSubjectChar"/>
    <w:uiPriority w:val="99"/>
    <w:semiHidden/>
    <w:unhideWhenUsed/>
    <w:rsid w:val="00BC6423"/>
    <w:rPr>
      <w:b/>
      <w:bCs/>
    </w:rPr>
  </w:style>
  <w:style w:type="character" w:customStyle="1" w:styleId="CommentSubjectChar">
    <w:name w:val="Comment Subject Char"/>
    <w:basedOn w:val="CommentTextChar"/>
    <w:link w:val="CommentSubject"/>
    <w:uiPriority w:val="99"/>
    <w:semiHidden/>
    <w:rsid w:val="00BC6423"/>
    <w:rPr>
      <w:b/>
      <w:bCs/>
      <w:sz w:val="20"/>
      <w:szCs w:val="20"/>
    </w:rPr>
  </w:style>
  <w:style w:type="paragraph" w:styleId="BalloonText">
    <w:name w:val="Balloon Text"/>
    <w:basedOn w:val="Normal"/>
    <w:link w:val="BalloonTextChar"/>
    <w:uiPriority w:val="99"/>
    <w:semiHidden/>
    <w:unhideWhenUsed/>
    <w:rsid w:val="00BC64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423"/>
    <w:rPr>
      <w:rFonts w:ascii="Segoe UI" w:hAnsi="Segoe UI" w:cs="Segoe UI"/>
      <w:sz w:val="18"/>
      <w:szCs w:val="18"/>
    </w:rPr>
  </w:style>
  <w:style w:type="paragraph" w:styleId="BodyText">
    <w:name w:val="Body Text"/>
    <w:basedOn w:val="Normal"/>
    <w:link w:val="BodyTextChar"/>
    <w:uiPriority w:val="99"/>
    <w:semiHidden/>
    <w:unhideWhenUsed/>
    <w:rsid w:val="002A0C09"/>
    <w:pPr>
      <w:spacing w:after="120"/>
    </w:pPr>
  </w:style>
  <w:style w:type="character" w:customStyle="1" w:styleId="BodyTextChar">
    <w:name w:val="Body Text Char"/>
    <w:basedOn w:val="DefaultParagraphFont"/>
    <w:link w:val="BodyText"/>
    <w:uiPriority w:val="99"/>
    <w:semiHidden/>
    <w:rsid w:val="002A0C09"/>
  </w:style>
  <w:style w:type="paragraph" w:customStyle="1" w:styleId="ColorfulList-Accent11">
    <w:name w:val="Colorful List - Accent 11"/>
    <w:basedOn w:val="Normal"/>
    <w:uiPriority w:val="34"/>
    <w:qFormat/>
    <w:rsid w:val="002A0C09"/>
    <w:pPr>
      <w:suppressAutoHyphens/>
      <w:autoSpaceDN w:val="0"/>
      <w:spacing w:before="120" w:after="120" w:line="240" w:lineRule="auto"/>
      <w:ind w:left="720"/>
      <w:textAlignment w:val="baseline"/>
    </w:pPr>
    <w:rPr>
      <w:rFonts w:ascii="Calibri" w:eastAsia="Calibri" w:hAnsi="Calibri" w:cs="Times New Roman"/>
      <w:lang w:val="es-ES_tradnl"/>
    </w:rPr>
  </w:style>
  <w:style w:type="paragraph" w:customStyle="1" w:styleId="Newpage">
    <w:name w:val="Newpage"/>
    <w:basedOn w:val="Chapter"/>
    <w:rsid w:val="002A0C09"/>
    <w:pPr>
      <w:keepNext/>
      <w:numPr>
        <w:numId w:val="0"/>
      </w:numPr>
      <w:tabs>
        <w:tab w:val="clear" w:pos="1440"/>
        <w:tab w:val="left" w:pos="3060"/>
      </w:tabs>
      <w:spacing w:after="0"/>
    </w:pPr>
    <w:rPr>
      <w:lang w:val="es-ES"/>
    </w:rPr>
  </w:style>
  <w:style w:type="character" w:customStyle="1" w:styleId="Heading1Char">
    <w:name w:val="Heading 1 Char"/>
    <w:basedOn w:val="DefaultParagraphFont"/>
    <w:link w:val="Heading1"/>
    <w:uiPriority w:val="9"/>
    <w:rsid w:val="007C33AD"/>
    <w:rPr>
      <w:rFonts w:ascii="Arial" w:eastAsiaTheme="majorEastAsia" w:hAnsi="Arial" w:cstheme="majorBidi"/>
      <w:b/>
      <w:szCs w:val="32"/>
    </w:rPr>
  </w:style>
  <w:style w:type="paragraph" w:styleId="TOCHeading">
    <w:name w:val="TOC Heading"/>
    <w:basedOn w:val="Heading1"/>
    <w:next w:val="Normal"/>
    <w:uiPriority w:val="39"/>
    <w:unhideWhenUsed/>
    <w:qFormat/>
    <w:rsid w:val="00E4003A"/>
    <w:pPr>
      <w:numPr>
        <w:numId w:val="0"/>
      </w:num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E4003A"/>
    <w:pPr>
      <w:spacing w:after="100"/>
    </w:pPr>
  </w:style>
  <w:style w:type="paragraph" w:styleId="TOC2">
    <w:name w:val="toc 2"/>
    <w:basedOn w:val="Normal"/>
    <w:next w:val="Normal"/>
    <w:autoRedefine/>
    <w:uiPriority w:val="39"/>
    <w:unhideWhenUsed/>
    <w:rsid w:val="00E4003A"/>
    <w:pPr>
      <w:spacing w:after="100"/>
      <w:ind w:left="220"/>
    </w:pPr>
  </w:style>
  <w:style w:type="character" w:customStyle="1" w:styleId="normaltextrun">
    <w:name w:val="normaltextrun"/>
    <w:basedOn w:val="DefaultParagraphFont"/>
    <w:rsid w:val="000A4A9F"/>
  </w:style>
  <w:style w:type="character" w:customStyle="1" w:styleId="eop">
    <w:name w:val="eop"/>
    <w:basedOn w:val="DefaultParagraphFont"/>
    <w:rsid w:val="000A4A9F"/>
  </w:style>
  <w:style w:type="character" w:customStyle="1" w:styleId="spellingerror">
    <w:name w:val="spellingerror"/>
    <w:basedOn w:val="DefaultParagraphFont"/>
    <w:rsid w:val="000A4A9F"/>
  </w:style>
  <w:style w:type="character" w:styleId="UnresolvedMention">
    <w:name w:val="Unresolved Mention"/>
    <w:basedOn w:val="DefaultParagraphFont"/>
    <w:uiPriority w:val="99"/>
    <w:semiHidden/>
    <w:unhideWhenUsed/>
    <w:rsid w:val="008F6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9002">
      <w:bodyDiv w:val="1"/>
      <w:marLeft w:val="0"/>
      <w:marRight w:val="0"/>
      <w:marTop w:val="0"/>
      <w:marBottom w:val="0"/>
      <w:divBdr>
        <w:top w:val="none" w:sz="0" w:space="0" w:color="auto"/>
        <w:left w:val="none" w:sz="0" w:space="0" w:color="auto"/>
        <w:bottom w:val="none" w:sz="0" w:space="0" w:color="auto"/>
        <w:right w:val="none" w:sz="0" w:space="0" w:color="auto"/>
      </w:divBdr>
      <w:divsChild>
        <w:div w:id="1563517400">
          <w:marLeft w:val="360"/>
          <w:marRight w:val="0"/>
          <w:marTop w:val="0"/>
          <w:marBottom w:val="0"/>
          <w:divBdr>
            <w:top w:val="none" w:sz="0" w:space="0" w:color="auto"/>
            <w:left w:val="none" w:sz="0" w:space="0" w:color="auto"/>
            <w:bottom w:val="none" w:sz="0" w:space="0" w:color="auto"/>
            <w:right w:val="none" w:sz="0" w:space="0" w:color="auto"/>
          </w:divBdr>
        </w:div>
      </w:divsChild>
    </w:div>
    <w:div w:id="1058866467">
      <w:bodyDiv w:val="1"/>
      <w:marLeft w:val="0"/>
      <w:marRight w:val="0"/>
      <w:marTop w:val="0"/>
      <w:marBottom w:val="0"/>
      <w:divBdr>
        <w:top w:val="none" w:sz="0" w:space="0" w:color="auto"/>
        <w:left w:val="none" w:sz="0" w:space="0" w:color="auto"/>
        <w:bottom w:val="none" w:sz="0" w:space="0" w:color="auto"/>
        <w:right w:val="none" w:sz="0" w:space="0" w:color="auto"/>
      </w:divBdr>
    </w:div>
    <w:div w:id="1407999575">
      <w:bodyDiv w:val="1"/>
      <w:marLeft w:val="0"/>
      <w:marRight w:val="0"/>
      <w:marTop w:val="0"/>
      <w:marBottom w:val="0"/>
      <w:divBdr>
        <w:top w:val="none" w:sz="0" w:space="0" w:color="auto"/>
        <w:left w:val="none" w:sz="0" w:space="0" w:color="auto"/>
        <w:bottom w:val="none" w:sz="0" w:space="0" w:color="auto"/>
        <w:right w:val="none" w:sz="0" w:space="0" w:color="auto"/>
      </w:divBdr>
      <w:divsChild>
        <w:div w:id="1079446318">
          <w:marLeft w:val="0"/>
          <w:marRight w:val="0"/>
          <w:marTop w:val="0"/>
          <w:marBottom w:val="0"/>
          <w:divBdr>
            <w:top w:val="none" w:sz="0" w:space="0" w:color="auto"/>
            <w:left w:val="none" w:sz="0" w:space="0" w:color="auto"/>
            <w:bottom w:val="none" w:sz="0" w:space="0" w:color="auto"/>
            <w:right w:val="none" w:sz="0" w:space="0" w:color="auto"/>
          </w:divBdr>
          <w:divsChild>
            <w:div w:id="1220438148">
              <w:marLeft w:val="0"/>
              <w:marRight w:val="0"/>
              <w:marTop w:val="0"/>
              <w:marBottom w:val="0"/>
              <w:divBdr>
                <w:top w:val="none" w:sz="0" w:space="0" w:color="auto"/>
                <w:left w:val="none" w:sz="0" w:space="0" w:color="auto"/>
                <w:bottom w:val="none" w:sz="0" w:space="0" w:color="auto"/>
                <w:right w:val="none" w:sz="0" w:space="0" w:color="auto"/>
              </w:divBdr>
            </w:div>
          </w:divsChild>
        </w:div>
        <w:div w:id="1769931694">
          <w:marLeft w:val="0"/>
          <w:marRight w:val="0"/>
          <w:marTop w:val="0"/>
          <w:marBottom w:val="0"/>
          <w:divBdr>
            <w:top w:val="none" w:sz="0" w:space="0" w:color="auto"/>
            <w:left w:val="none" w:sz="0" w:space="0" w:color="auto"/>
            <w:bottom w:val="none" w:sz="0" w:space="0" w:color="auto"/>
            <w:right w:val="none" w:sz="0" w:space="0" w:color="auto"/>
          </w:divBdr>
          <w:divsChild>
            <w:div w:id="1559243048">
              <w:marLeft w:val="0"/>
              <w:marRight w:val="0"/>
              <w:marTop w:val="0"/>
              <w:marBottom w:val="0"/>
              <w:divBdr>
                <w:top w:val="none" w:sz="0" w:space="0" w:color="auto"/>
                <w:left w:val="none" w:sz="0" w:space="0" w:color="auto"/>
                <w:bottom w:val="none" w:sz="0" w:space="0" w:color="auto"/>
                <w:right w:val="none" w:sz="0" w:space="0" w:color="auto"/>
              </w:divBdr>
            </w:div>
          </w:divsChild>
        </w:div>
        <w:div w:id="289942821">
          <w:marLeft w:val="0"/>
          <w:marRight w:val="0"/>
          <w:marTop w:val="0"/>
          <w:marBottom w:val="0"/>
          <w:divBdr>
            <w:top w:val="none" w:sz="0" w:space="0" w:color="auto"/>
            <w:left w:val="none" w:sz="0" w:space="0" w:color="auto"/>
            <w:bottom w:val="none" w:sz="0" w:space="0" w:color="auto"/>
            <w:right w:val="none" w:sz="0" w:space="0" w:color="auto"/>
          </w:divBdr>
          <w:divsChild>
            <w:div w:id="1151676073">
              <w:marLeft w:val="0"/>
              <w:marRight w:val="0"/>
              <w:marTop w:val="0"/>
              <w:marBottom w:val="0"/>
              <w:divBdr>
                <w:top w:val="none" w:sz="0" w:space="0" w:color="auto"/>
                <w:left w:val="none" w:sz="0" w:space="0" w:color="auto"/>
                <w:bottom w:val="none" w:sz="0" w:space="0" w:color="auto"/>
                <w:right w:val="none" w:sz="0" w:space="0" w:color="auto"/>
              </w:divBdr>
            </w:div>
          </w:divsChild>
        </w:div>
        <w:div w:id="13309218">
          <w:marLeft w:val="0"/>
          <w:marRight w:val="0"/>
          <w:marTop w:val="0"/>
          <w:marBottom w:val="0"/>
          <w:divBdr>
            <w:top w:val="none" w:sz="0" w:space="0" w:color="auto"/>
            <w:left w:val="none" w:sz="0" w:space="0" w:color="auto"/>
            <w:bottom w:val="none" w:sz="0" w:space="0" w:color="auto"/>
            <w:right w:val="none" w:sz="0" w:space="0" w:color="auto"/>
          </w:divBdr>
          <w:divsChild>
            <w:div w:id="1983804934">
              <w:marLeft w:val="0"/>
              <w:marRight w:val="0"/>
              <w:marTop w:val="0"/>
              <w:marBottom w:val="0"/>
              <w:divBdr>
                <w:top w:val="none" w:sz="0" w:space="0" w:color="auto"/>
                <w:left w:val="none" w:sz="0" w:space="0" w:color="auto"/>
                <w:bottom w:val="none" w:sz="0" w:space="0" w:color="auto"/>
                <w:right w:val="none" w:sz="0" w:space="0" w:color="auto"/>
              </w:divBdr>
            </w:div>
          </w:divsChild>
        </w:div>
        <w:div w:id="1613239979">
          <w:marLeft w:val="0"/>
          <w:marRight w:val="0"/>
          <w:marTop w:val="0"/>
          <w:marBottom w:val="0"/>
          <w:divBdr>
            <w:top w:val="none" w:sz="0" w:space="0" w:color="auto"/>
            <w:left w:val="none" w:sz="0" w:space="0" w:color="auto"/>
            <w:bottom w:val="none" w:sz="0" w:space="0" w:color="auto"/>
            <w:right w:val="none" w:sz="0" w:space="0" w:color="auto"/>
          </w:divBdr>
          <w:divsChild>
            <w:div w:id="911741382">
              <w:marLeft w:val="0"/>
              <w:marRight w:val="0"/>
              <w:marTop w:val="0"/>
              <w:marBottom w:val="0"/>
              <w:divBdr>
                <w:top w:val="none" w:sz="0" w:space="0" w:color="auto"/>
                <w:left w:val="none" w:sz="0" w:space="0" w:color="auto"/>
                <w:bottom w:val="none" w:sz="0" w:space="0" w:color="auto"/>
                <w:right w:val="none" w:sz="0" w:space="0" w:color="auto"/>
              </w:divBdr>
            </w:div>
          </w:divsChild>
        </w:div>
        <w:div w:id="2063676919">
          <w:marLeft w:val="0"/>
          <w:marRight w:val="0"/>
          <w:marTop w:val="0"/>
          <w:marBottom w:val="0"/>
          <w:divBdr>
            <w:top w:val="none" w:sz="0" w:space="0" w:color="auto"/>
            <w:left w:val="none" w:sz="0" w:space="0" w:color="auto"/>
            <w:bottom w:val="none" w:sz="0" w:space="0" w:color="auto"/>
            <w:right w:val="none" w:sz="0" w:space="0" w:color="auto"/>
          </w:divBdr>
          <w:divsChild>
            <w:div w:id="1027026663">
              <w:marLeft w:val="0"/>
              <w:marRight w:val="0"/>
              <w:marTop w:val="0"/>
              <w:marBottom w:val="0"/>
              <w:divBdr>
                <w:top w:val="none" w:sz="0" w:space="0" w:color="auto"/>
                <w:left w:val="none" w:sz="0" w:space="0" w:color="auto"/>
                <w:bottom w:val="none" w:sz="0" w:space="0" w:color="auto"/>
                <w:right w:val="none" w:sz="0" w:space="0" w:color="auto"/>
              </w:divBdr>
            </w:div>
          </w:divsChild>
        </w:div>
        <w:div w:id="1538423330">
          <w:marLeft w:val="0"/>
          <w:marRight w:val="0"/>
          <w:marTop w:val="0"/>
          <w:marBottom w:val="0"/>
          <w:divBdr>
            <w:top w:val="none" w:sz="0" w:space="0" w:color="auto"/>
            <w:left w:val="none" w:sz="0" w:space="0" w:color="auto"/>
            <w:bottom w:val="none" w:sz="0" w:space="0" w:color="auto"/>
            <w:right w:val="none" w:sz="0" w:space="0" w:color="auto"/>
          </w:divBdr>
          <w:divsChild>
            <w:div w:id="1328362312">
              <w:marLeft w:val="0"/>
              <w:marRight w:val="0"/>
              <w:marTop w:val="0"/>
              <w:marBottom w:val="0"/>
              <w:divBdr>
                <w:top w:val="none" w:sz="0" w:space="0" w:color="auto"/>
                <w:left w:val="none" w:sz="0" w:space="0" w:color="auto"/>
                <w:bottom w:val="none" w:sz="0" w:space="0" w:color="auto"/>
                <w:right w:val="none" w:sz="0" w:space="0" w:color="auto"/>
              </w:divBdr>
            </w:div>
          </w:divsChild>
        </w:div>
        <w:div w:id="538317030">
          <w:marLeft w:val="0"/>
          <w:marRight w:val="0"/>
          <w:marTop w:val="0"/>
          <w:marBottom w:val="0"/>
          <w:divBdr>
            <w:top w:val="none" w:sz="0" w:space="0" w:color="auto"/>
            <w:left w:val="none" w:sz="0" w:space="0" w:color="auto"/>
            <w:bottom w:val="none" w:sz="0" w:space="0" w:color="auto"/>
            <w:right w:val="none" w:sz="0" w:space="0" w:color="auto"/>
          </w:divBdr>
          <w:divsChild>
            <w:div w:id="123817460">
              <w:marLeft w:val="0"/>
              <w:marRight w:val="0"/>
              <w:marTop w:val="0"/>
              <w:marBottom w:val="0"/>
              <w:divBdr>
                <w:top w:val="none" w:sz="0" w:space="0" w:color="auto"/>
                <w:left w:val="none" w:sz="0" w:space="0" w:color="auto"/>
                <w:bottom w:val="none" w:sz="0" w:space="0" w:color="auto"/>
                <w:right w:val="none" w:sz="0" w:space="0" w:color="auto"/>
              </w:divBdr>
            </w:div>
          </w:divsChild>
        </w:div>
        <w:div w:id="251739918">
          <w:marLeft w:val="0"/>
          <w:marRight w:val="0"/>
          <w:marTop w:val="0"/>
          <w:marBottom w:val="0"/>
          <w:divBdr>
            <w:top w:val="none" w:sz="0" w:space="0" w:color="auto"/>
            <w:left w:val="none" w:sz="0" w:space="0" w:color="auto"/>
            <w:bottom w:val="none" w:sz="0" w:space="0" w:color="auto"/>
            <w:right w:val="none" w:sz="0" w:space="0" w:color="auto"/>
          </w:divBdr>
          <w:divsChild>
            <w:div w:id="1167096130">
              <w:marLeft w:val="0"/>
              <w:marRight w:val="0"/>
              <w:marTop w:val="0"/>
              <w:marBottom w:val="0"/>
              <w:divBdr>
                <w:top w:val="none" w:sz="0" w:space="0" w:color="auto"/>
                <w:left w:val="none" w:sz="0" w:space="0" w:color="auto"/>
                <w:bottom w:val="none" w:sz="0" w:space="0" w:color="auto"/>
                <w:right w:val="none" w:sz="0" w:space="0" w:color="auto"/>
              </w:divBdr>
            </w:div>
          </w:divsChild>
        </w:div>
        <w:div w:id="1860270097">
          <w:marLeft w:val="0"/>
          <w:marRight w:val="0"/>
          <w:marTop w:val="0"/>
          <w:marBottom w:val="0"/>
          <w:divBdr>
            <w:top w:val="none" w:sz="0" w:space="0" w:color="auto"/>
            <w:left w:val="none" w:sz="0" w:space="0" w:color="auto"/>
            <w:bottom w:val="none" w:sz="0" w:space="0" w:color="auto"/>
            <w:right w:val="none" w:sz="0" w:space="0" w:color="auto"/>
          </w:divBdr>
          <w:divsChild>
            <w:div w:id="411390521">
              <w:marLeft w:val="0"/>
              <w:marRight w:val="0"/>
              <w:marTop w:val="0"/>
              <w:marBottom w:val="0"/>
              <w:divBdr>
                <w:top w:val="none" w:sz="0" w:space="0" w:color="auto"/>
                <w:left w:val="none" w:sz="0" w:space="0" w:color="auto"/>
                <w:bottom w:val="none" w:sz="0" w:space="0" w:color="auto"/>
                <w:right w:val="none" w:sz="0" w:space="0" w:color="auto"/>
              </w:divBdr>
            </w:div>
          </w:divsChild>
        </w:div>
        <w:div w:id="1670593833">
          <w:marLeft w:val="0"/>
          <w:marRight w:val="0"/>
          <w:marTop w:val="0"/>
          <w:marBottom w:val="0"/>
          <w:divBdr>
            <w:top w:val="none" w:sz="0" w:space="0" w:color="auto"/>
            <w:left w:val="none" w:sz="0" w:space="0" w:color="auto"/>
            <w:bottom w:val="none" w:sz="0" w:space="0" w:color="auto"/>
            <w:right w:val="none" w:sz="0" w:space="0" w:color="auto"/>
          </w:divBdr>
          <w:divsChild>
            <w:div w:id="1517429355">
              <w:marLeft w:val="0"/>
              <w:marRight w:val="0"/>
              <w:marTop w:val="0"/>
              <w:marBottom w:val="0"/>
              <w:divBdr>
                <w:top w:val="none" w:sz="0" w:space="0" w:color="auto"/>
                <w:left w:val="none" w:sz="0" w:space="0" w:color="auto"/>
                <w:bottom w:val="none" w:sz="0" w:space="0" w:color="auto"/>
                <w:right w:val="none" w:sz="0" w:space="0" w:color="auto"/>
              </w:divBdr>
            </w:div>
            <w:div w:id="1791125577">
              <w:marLeft w:val="0"/>
              <w:marRight w:val="0"/>
              <w:marTop w:val="0"/>
              <w:marBottom w:val="0"/>
              <w:divBdr>
                <w:top w:val="none" w:sz="0" w:space="0" w:color="auto"/>
                <w:left w:val="none" w:sz="0" w:space="0" w:color="auto"/>
                <w:bottom w:val="none" w:sz="0" w:space="0" w:color="auto"/>
                <w:right w:val="none" w:sz="0" w:space="0" w:color="auto"/>
              </w:divBdr>
            </w:div>
          </w:divsChild>
        </w:div>
        <w:div w:id="474177495">
          <w:marLeft w:val="0"/>
          <w:marRight w:val="0"/>
          <w:marTop w:val="0"/>
          <w:marBottom w:val="0"/>
          <w:divBdr>
            <w:top w:val="none" w:sz="0" w:space="0" w:color="auto"/>
            <w:left w:val="none" w:sz="0" w:space="0" w:color="auto"/>
            <w:bottom w:val="none" w:sz="0" w:space="0" w:color="auto"/>
            <w:right w:val="none" w:sz="0" w:space="0" w:color="auto"/>
          </w:divBdr>
          <w:divsChild>
            <w:div w:id="1746872327">
              <w:marLeft w:val="0"/>
              <w:marRight w:val="0"/>
              <w:marTop w:val="0"/>
              <w:marBottom w:val="0"/>
              <w:divBdr>
                <w:top w:val="none" w:sz="0" w:space="0" w:color="auto"/>
                <w:left w:val="none" w:sz="0" w:space="0" w:color="auto"/>
                <w:bottom w:val="none" w:sz="0" w:space="0" w:color="auto"/>
                <w:right w:val="none" w:sz="0" w:space="0" w:color="auto"/>
              </w:divBdr>
            </w:div>
          </w:divsChild>
        </w:div>
        <w:div w:id="1042023698">
          <w:marLeft w:val="0"/>
          <w:marRight w:val="0"/>
          <w:marTop w:val="0"/>
          <w:marBottom w:val="0"/>
          <w:divBdr>
            <w:top w:val="none" w:sz="0" w:space="0" w:color="auto"/>
            <w:left w:val="none" w:sz="0" w:space="0" w:color="auto"/>
            <w:bottom w:val="none" w:sz="0" w:space="0" w:color="auto"/>
            <w:right w:val="none" w:sz="0" w:space="0" w:color="auto"/>
          </w:divBdr>
          <w:divsChild>
            <w:div w:id="1309364581">
              <w:marLeft w:val="0"/>
              <w:marRight w:val="0"/>
              <w:marTop w:val="0"/>
              <w:marBottom w:val="0"/>
              <w:divBdr>
                <w:top w:val="none" w:sz="0" w:space="0" w:color="auto"/>
                <w:left w:val="none" w:sz="0" w:space="0" w:color="auto"/>
                <w:bottom w:val="none" w:sz="0" w:space="0" w:color="auto"/>
                <w:right w:val="none" w:sz="0" w:space="0" w:color="auto"/>
              </w:divBdr>
            </w:div>
          </w:divsChild>
        </w:div>
        <w:div w:id="595871361">
          <w:marLeft w:val="0"/>
          <w:marRight w:val="0"/>
          <w:marTop w:val="0"/>
          <w:marBottom w:val="0"/>
          <w:divBdr>
            <w:top w:val="none" w:sz="0" w:space="0" w:color="auto"/>
            <w:left w:val="none" w:sz="0" w:space="0" w:color="auto"/>
            <w:bottom w:val="none" w:sz="0" w:space="0" w:color="auto"/>
            <w:right w:val="none" w:sz="0" w:space="0" w:color="auto"/>
          </w:divBdr>
          <w:divsChild>
            <w:div w:id="37248598">
              <w:marLeft w:val="0"/>
              <w:marRight w:val="0"/>
              <w:marTop w:val="0"/>
              <w:marBottom w:val="0"/>
              <w:divBdr>
                <w:top w:val="none" w:sz="0" w:space="0" w:color="auto"/>
                <w:left w:val="none" w:sz="0" w:space="0" w:color="auto"/>
                <w:bottom w:val="none" w:sz="0" w:space="0" w:color="auto"/>
                <w:right w:val="none" w:sz="0" w:space="0" w:color="auto"/>
              </w:divBdr>
            </w:div>
          </w:divsChild>
        </w:div>
        <w:div w:id="200483342">
          <w:marLeft w:val="0"/>
          <w:marRight w:val="0"/>
          <w:marTop w:val="0"/>
          <w:marBottom w:val="0"/>
          <w:divBdr>
            <w:top w:val="none" w:sz="0" w:space="0" w:color="auto"/>
            <w:left w:val="none" w:sz="0" w:space="0" w:color="auto"/>
            <w:bottom w:val="none" w:sz="0" w:space="0" w:color="auto"/>
            <w:right w:val="none" w:sz="0" w:space="0" w:color="auto"/>
          </w:divBdr>
          <w:divsChild>
            <w:div w:id="1606889038">
              <w:marLeft w:val="0"/>
              <w:marRight w:val="0"/>
              <w:marTop w:val="0"/>
              <w:marBottom w:val="0"/>
              <w:divBdr>
                <w:top w:val="none" w:sz="0" w:space="0" w:color="auto"/>
                <w:left w:val="none" w:sz="0" w:space="0" w:color="auto"/>
                <w:bottom w:val="none" w:sz="0" w:space="0" w:color="auto"/>
                <w:right w:val="none" w:sz="0" w:space="0" w:color="auto"/>
              </w:divBdr>
            </w:div>
          </w:divsChild>
        </w:div>
        <w:div w:id="471288170">
          <w:marLeft w:val="0"/>
          <w:marRight w:val="0"/>
          <w:marTop w:val="0"/>
          <w:marBottom w:val="0"/>
          <w:divBdr>
            <w:top w:val="none" w:sz="0" w:space="0" w:color="auto"/>
            <w:left w:val="none" w:sz="0" w:space="0" w:color="auto"/>
            <w:bottom w:val="none" w:sz="0" w:space="0" w:color="auto"/>
            <w:right w:val="none" w:sz="0" w:space="0" w:color="auto"/>
          </w:divBdr>
          <w:divsChild>
            <w:div w:id="33891958">
              <w:marLeft w:val="0"/>
              <w:marRight w:val="0"/>
              <w:marTop w:val="0"/>
              <w:marBottom w:val="0"/>
              <w:divBdr>
                <w:top w:val="none" w:sz="0" w:space="0" w:color="auto"/>
                <w:left w:val="none" w:sz="0" w:space="0" w:color="auto"/>
                <w:bottom w:val="none" w:sz="0" w:space="0" w:color="auto"/>
                <w:right w:val="none" w:sz="0" w:space="0" w:color="auto"/>
              </w:divBdr>
            </w:div>
          </w:divsChild>
        </w:div>
        <w:div w:id="592663582">
          <w:marLeft w:val="0"/>
          <w:marRight w:val="0"/>
          <w:marTop w:val="0"/>
          <w:marBottom w:val="0"/>
          <w:divBdr>
            <w:top w:val="none" w:sz="0" w:space="0" w:color="auto"/>
            <w:left w:val="none" w:sz="0" w:space="0" w:color="auto"/>
            <w:bottom w:val="none" w:sz="0" w:space="0" w:color="auto"/>
            <w:right w:val="none" w:sz="0" w:space="0" w:color="auto"/>
          </w:divBdr>
          <w:divsChild>
            <w:div w:id="1945531588">
              <w:marLeft w:val="0"/>
              <w:marRight w:val="0"/>
              <w:marTop w:val="0"/>
              <w:marBottom w:val="0"/>
              <w:divBdr>
                <w:top w:val="none" w:sz="0" w:space="0" w:color="auto"/>
                <w:left w:val="none" w:sz="0" w:space="0" w:color="auto"/>
                <w:bottom w:val="none" w:sz="0" w:space="0" w:color="auto"/>
                <w:right w:val="none" w:sz="0" w:space="0" w:color="auto"/>
              </w:divBdr>
            </w:div>
          </w:divsChild>
        </w:div>
        <w:div w:id="298417916">
          <w:marLeft w:val="0"/>
          <w:marRight w:val="0"/>
          <w:marTop w:val="0"/>
          <w:marBottom w:val="0"/>
          <w:divBdr>
            <w:top w:val="none" w:sz="0" w:space="0" w:color="auto"/>
            <w:left w:val="none" w:sz="0" w:space="0" w:color="auto"/>
            <w:bottom w:val="none" w:sz="0" w:space="0" w:color="auto"/>
            <w:right w:val="none" w:sz="0" w:space="0" w:color="auto"/>
          </w:divBdr>
          <w:divsChild>
            <w:div w:id="480149083">
              <w:marLeft w:val="0"/>
              <w:marRight w:val="0"/>
              <w:marTop w:val="0"/>
              <w:marBottom w:val="0"/>
              <w:divBdr>
                <w:top w:val="none" w:sz="0" w:space="0" w:color="auto"/>
                <w:left w:val="none" w:sz="0" w:space="0" w:color="auto"/>
                <w:bottom w:val="none" w:sz="0" w:space="0" w:color="auto"/>
                <w:right w:val="none" w:sz="0" w:space="0" w:color="auto"/>
              </w:divBdr>
            </w:div>
          </w:divsChild>
        </w:div>
        <w:div w:id="1605335539">
          <w:marLeft w:val="0"/>
          <w:marRight w:val="0"/>
          <w:marTop w:val="0"/>
          <w:marBottom w:val="0"/>
          <w:divBdr>
            <w:top w:val="none" w:sz="0" w:space="0" w:color="auto"/>
            <w:left w:val="none" w:sz="0" w:space="0" w:color="auto"/>
            <w:bottom w:val="none" w:sz="0" w:space="0" w:color="auto"/>
            <w:right w:val="none" w:sz="0" w:space="0" w:color="auto"/>
          </w:divBdr>
          <w:divsChild>
            <w:div w:id="744188140">
              <w:marLeft w:val="0"/>
              <w:marRight w:val="0"/>
              <w:marTop w:val="0"/>
              <w:marBottom w:val="0"/>
              <w:divBdr>
                <w:top w:val="none" w:sz="0" w:space="0" w:color="auto"/>
                <w:left w:val="none" w:sz="0" w:space="0" w:color="auto"/>
                <w:bottom w:val="none" w:sz="0" w:space="0" w:color="auto"/>
                <w:right w:val="none" w:sz="0" w:space="0" w:color="auto"/>
              </w:divBdr>
            </w:div>
          </w:divsChild>
        </w:div>
        <w:div w:id="1398867428">
          <w:marLeft w:val="0"/>
          <w:marRight w:val="0"/>
          <w:marTop w:val="0"/>
          <w:marBottom w:val="0"/>
          <w:divBdr>
            <w:top w:val="none" w:sz="0" w:space="0" w:color="auto"/>
            <w:left w:val="none" w:sz="0" w:space="0" w:color="auto"/>
            <w:bottom w:val="none" w:sz="0" w:space="0" w:color="auto"/>
            <w:right w:val="none" w:sz="0" w:space="0" w:color="auto"/>
          </w:divBdr>
          <w:divsChild>
            <w:div w:id="2097676447">
              <w:marLeft w:val="0"/>
              <w:marRight w:val="0"/>
              <w:marTop w:val="0"/>
              <w:marBottom w:val="0"/>
              <w:divBdr>
                <w:top w:val="none" w:sz="0" w:space="0" w:color="auto"/>
                <w:left w:val="none" w:sz="0" w:space="0" w:color="auto"/>
                <w:bottom w:val="none" w:sz="0" w:space="0" w:color="auto"/>
                <w:right w:val="none" w:sz="0" w:space="0" w:color="auto"/>
              </w:divBdr>
            </w:div>
          </w:divsChild>
        </w:div>
        <w:div w:id="1956254030">
          <w:marLeft w:val="0"/>
          <w:marRight w:val="0"/>
          <w:marTop w:val="0"/>
          <w:marBottom w:val="0"/>
          <w:divBdr>
            <w:top w:val="none" w:sz="0" w:space="0" w:color="auto"/>
            <w:left w:val="none" w:sz="0" w:space="0" w:color="auto"/>
            <w:bottom w:val="none" w:sz="0" w:space="0" w:color="auto"/>
            <w:right w:val="none" w:sz="0" w:space="0" w:color="auto"/>
          </w:divBdr>
          <w:divsChild>
            <w:div w:id="153108381">
              <w:marLeft w:val="0"/>
              <w:marRight w:val="0"/>
              <w:marTop w:val="0"/>
              <w:marBottom w:val="0"/>
              <w:divBdr>
                <w:top w:val="none" w:sz="0" w:space="0" w:color="auto"/>
                <w:left w:val="none" w:sz="0" w:space="0" w:color="auto"/>
                <w:bottom w:val="none" w:sz="0" w:space="0" w:color="auto"/>
                <w:right w:val="none" w:sz="0" w:space="0" w:color="auto"/>
              </w:divBdr>
            </w:div>
          </w:divsChild>
        </w:div>
        <w:div w:id="568422500">
          <w:marLeft w:val="0"/>
          <w:marRight w:val="0"/>
          <w:marTop w:val="0"/>
          <w:marBottom w:val="0"/>
          <w:divBdr>
            <w:top w:val="none" w:sz="0" w:space="0" w:color="auto"/>
            <w:left w:val="none" w:sz="0" w:space="0" w:color="auto"/>
            <w:bottom w:val="none" w:sz="0" w:space="0" w:color="auto"/>
            <w:right w:val="none" w:sz="0" w:space="0" w:color="auto"/>
          </w:divBdr>
          <w:divsChild>
            <w:div w:id="1945569955">
              <w:marLeft w:val="0"/>
              <w:marRight w:val="0"/>
              <w:marTop w:val="0"/>
              <w:marBottom w:val="0"/>
              <w:divBdr>
                <w:top w:val="none" w:sz="0" w:space="0" w:color="auto"/>
                <w:left w:val="none" w:sz="0" w:space="0" w:color="auto"/>
                <w:bottom w:val="none" w:sz="0" w:space="0" w:color="auto"/>
                <w:right w:val="none" w:sz="0" w:space="0" w:color="auto"/>
              </w:divBdr>
            </w:div>
          </w:divsChild>
        </w:div>
        <w:div w:id="1077559117">
          <w:marLeft w:val="0"/>
          <w:marRight w:val="0"/>
          <w:marTop w:val="0"/>
          <w:marBottom w:val="0"/>
          <w:divBdr>
            <w:top w:val="none" w:sz="0" w:space="0" w:color="auto"/>
            <w:left w:val="none" w:sz="0" w:space="0" w:color="auto"/>
            <w:bottom w:val="none" w:sz="0" w:space="0" w:color="auto"/>
            <w:right w:val="none" w:sz="0" w:space="0" w:color="auto"/>
          </w:divBdr>
          <w:divsChild>
            <w:div w:id="1427919659">
              <w:marLeft w:val="0"/>
              <w:marRight w:val="0"/>
              <w:marTop w:val="0"/>
              <w:marBottom w:val="0"/>
              <w:divBdr>
                <w:top w:val="none" w:sz="0" w:space="0" w:color="auto"/>
                <w:left w:val="none" w:sz="0" w:space="0" w:color="auto"/>
                <w:bottom w:val="none" w:sz="0" w:space="0" w:color="auto"/>
                <w:right w:val="none" w:sz="0" w:space="0" w:color="auto"/>
              </w:divBdr>
            </w:div>
          </w:divsChild>
        </w:div>
        <w:div w:id="2127388943">
          <w:marLeft w:val="0"/>
          <w:marRight w:val="0"/>
          <w:marTop w:val="0"/>
          <w:marBottom w:val="0"/>
          <w:divBdr>
            <w:top w:val="none" w:sz="0" w:space="0" w:color="auto"/>
            <w:left w:val="none" w:sz="0" w:space="0" w:color="auto"/>
            <w:bottom w:val="none" w:sz="0" w:space="0" w:color="auto"/>
            <w:right w:val="none" w:sz="0" w:space="0" w:color="auto"/>
          </w:divBdr>
          <w:divsChild>
            <w:div w:id="351031698">
              <w:marLeft w:val="0"/>
              <w:marRight w:val="0"/>
              <w:marTop w:val="0"/>
              <w:marBottom w:val="0"/>
              <w:divBdr>
                <w:top w:val="none" w:sz="0" w:space="0" w:color="auto"/>
                <w:left w:val="none" w:sz="0" w:space="0" w:color="auto"/>
                <w:bottom w:val="none" w:sz="0" w:space="0" w:color="auto"/>
                <w:right w:val="none" w:sz="0" w:space="0" w:color="auto"/>
              </w:divBdr>
            </w:div>
          </w:divsChild>
        </w:div>
        <w:div w:id="1460026295">
          <w:marLeft w:val="0"/>
          <w:marRight w:val="0"/>
          <w:marTop w:val="0"/>
          <w:marBottom w:val="0"/>
          <w:divBdr>
            <w:top w:val="none" w:sz="0" w:space="0" w:color="auto"/>
            <w:left w:val="none" w:sz="0" w:space="0" w:color="auto"/>
            <w:bottom w:val="none" w:sz="0" w:space="0" w:color="auto"/>
            <w:right w:val="none" w:sz="0" w:space="0" w:color="auto"/>
          </w:divBdr>
          <w:divsChild>
            <w:div w:id="514854048">
              <w:marLeft w:val="0"/>
              <w:marRight w:val="0"/>
              <w:marTop w:val="0"/>
              <w:marBottom w:val="0"/>
              <w:divBdr>
                <w:top w:val="none" w:sz="0" w:space="0" w:color="auto"/>
                <w:left w:val="none" w:sz="0" w:space="0" w:color="auto"/>
                <w:bottom w:val="none" w:sz="0" w:space="0" w:color="auto"/>
                <w:right w:val="none" w:sz="0" w:space="0" w:color="auto"/>
              </w:divBdr>
            </w:div>
          </w:divsChild>
        </w:div>
        <w:div w:id="1375740722">
          <w:marLeft w:val="0"/>
          <w:marRight w:val="0"/>
          <w:marTop w:val="0"/>
          <w:marBottom w:val="0"/>
          <w:divBdr>
            <w:top w:val="none" w:sz="0" w:space="0" w:color="auto"/>
            <w:left w:val="none" w:sz="0" w:space="0" w:color="auto"/>
            <w:bottom w:val="none" w:sz="0" w:space="0" w:color="auto"/>
            <w:right w:val="none" w:sz="0" w:space="0" w:color="auto"/>
          </w:divBdr>
          <w:divsChild>
            <w:div w:id="1978946234">
              <w:marLeft w:val="0"/>
              <w:marRight w:val="0"/>
              <w:marTop w:val="0"/>
              <w:marBottom w:val="0"/>
              <w:divBdr>
                <w:top w:val="none" w:sz="0" w:space="0" w:color="auto"/>
                <w:left w:val="none" w:sz="0" w:space="0" w:color="auto"/>
                <w:bottom w:val="none" w:sz="0" w:space="0" w:color="auto"/>
                <w:right w:val="none" w:sz="0" w:space="0" w:color="auto"/>
              </w:divBdr>
            </w:div>
          </w:divsChild>
        </w:div>
        <w:div w:id="1323001513">
          <w:marLeft w:val="0"/>
          <w:marRight w:val="0"/>
          <w:marTop w:val="0"/>
          <w:marBottom w:val="0"/>
          <w:divBdr>
            <w:top w:val="none" w:sz="0" w:space="0" w:color="auto"/>
            <w:left w:val="none" w:sz="0" w:space="0" w:color="auto"/>
            <w:bottom w:val="none" w:sz="0" w:space="0" w:color="auto"/>
            <w:right w:val="none" w:sz="0" w:space="0" w:color="auto"/>
          </w:divBdr>
          <w:divsChild>
            <w:div w:id="1206065813">
              <w:marLeft w:val="0"/>
              <w:marRight w:val="0"/>
              <w:marTop w:val="0"/>
              <w:marBottom w:val="0"/>
              <w:divBdr>
                <w:top w:val="none" w:sz="0" w:space="0" w:color="auto"/>
                <w:left w:val="none" w:sz="0" w:space="0" w:color="auto"/>
                <w:bottom w:val="none" w:sz="0" w:space="0" w:color="auto"/>
                <w:right w:val="none" w:sz="0" w:space="0" w:color="auto"/>
              </w:divBdr>
            </w:div>
          </w:divsChild>
        </w:div>
        <w:div w:id="101728587">
          <w:marLeft w:val="0"/>
          <w:marRight w:val="0"/>
          <w:marTop w:val="0"/>
          <w:marBottom w:val="0"/>
          <w:divBdr>
            <w:top w:val="none" w:sz="0" w:space="0" w:color="auto"/>
            <w:left w:val="none" w:sz="0" w:space="0" w:color="auto"/>
            <w:bottom w:val="none" w:sz="0" w:space="0" w:color="auto"/>
            <w:right w:val="none" w:sz="0" w:space="0" w:color="auto"/>
          </w:divBdr>
          <w:divsChild>
            <w:div w:id="348919012">
              <w:marLeft w:val="0"/>
              <w:marRight w:val="0"/>
              <w:marTop w:val="0"/>
              <w:marBottom w:val="0"/>
              <w:divBdr>
                <w:top w:val="none" w:sz="0" w:space="0" w:color="auto"/>
                <w:left w:val="none" w:sz="0" w:space="0" w:color="auto"/>
                <w:bottom w:val="none" w:sz="0" w:space="0" w:color="auto"/>
                <w:right w:val="none" w:sz="0" w:space="0" w:color="auto"/>
              </w:divBdr>
            </w:div>
          </w:divsChild>
        </w:div>
        <w:div w:id="115027226">
          <w:marLeft w:val="0"/>
          <w:marRight w:val="0"/>
          <w:marTop w:val="0"/>
          <w:marBottom w:val="0"/>
          <w:divBdr>
            <w:top w:val="none" w:sz="0" w:space="0" w:color="auto"/>
            <w:left w:val="none" w:sz="0" w:space="0" w:color="auto"/>
            <w:bottom w:val="none" w:sz="0" w:space="0" w:color="auto"/>
            <w:right w:val="none" w:sz="0" w:space="0" w:color="auto"/>
          </w:divBdr>
          <w:divsChild>
            <w:div w:id="1698311098">
              <w:marLeft w:val="0"/>
              <w:marRight w:val="0"/>
              <w:marTop w:val="0"/>
              <w:marBottom w:val="0"/>
              <w:divBdr>
                <w:top w:val="none" w:sz="0" w:space="0" w:color="auto"/>
                <w:left w:val="none" w:sz="0" w:space="0" w:color="auto"/>
                <w:bottom w:val="none" w:sz="0" w:space="0" w:color="auto"/>
                <w:right w:val="none" w:sz="0" w:space="0" w:color="auto"/>
              </w:divBdr>
            </w:div>
          </w:divsChild>
        </w:div>
        <w:div w:id="1684824024">
          <w:marLeft w:val="0"/>
          <w:marRight w:val="0"/>
          <w:marTop w:val="0"/>
          <w:marBottom w:val="0"/>
          <w:divBdr>
            <w:top w:val="none" w:sz="0" w:space="0" w:color="auto"/>
            <w:left w:val="none" w:sz="0" w:space="0" w:color="auto"/>
            <w:bottom w:val="none" w:sz="0" w:space="0" w:color="auto"/>
            <w:right w:val="none" w:sz="0" w:space="0" w:color="auto"/>
          </w:divBdr>
          <w:divsChild>
            <w:div w:id="1155492884">
              <w:marLeft w:val="0"/>
              <w:marRight w:val="0"/>
              <w:marTop w:val="0"/>
              <w:marBottom w:val="0"/>
              <w:divBdr>
                <w:top w:val="none" w:sz="0" w:space="0" w:color="auto"/>
                <w:left w:val="none" w:sz="0" w:space="0" w:color="auto"/>
                <w:bottom w:val="none" w:sz="0" w:space="0" w:color="auto"/>
                <w:right w:val="none" w:sz="0" w:space="0" w:color="auto"/>
              </w:divBdr>
            </w:div>
          </w:divsChild>
        </w:div>
        <w:div w:id="635181963">
          <w:marLeft w:val="0"/>
          <w:marRight w:val="0"/>
          <w:marTop w:val="0"/>
          <w:marBottom w:val="0"/>
          <w:divBdr>
            <w:top w:val="none" w:sz="0" w:space="0" w:color="auto"/>
            <w:left w:val="none" w:sz="0" w:space="0" w:color="auto"/>
            <w:bottom w:val="none" w:sz="0" w:space="0" w:color="auto"/>
            <w:right w:val="none" w:sz="0" w:space="0" w:color="auto"/>
          </w:divBdr>
          <w:divsChild>
            <w:div w:id="324237865">
              <w:marLeft w:val="0"/>
              <w:marRight w:val="0"/>
              <w:marTop w:val="0"/>
              <w:marBottom w:val="0"/>
              <w:divBdr>
                <w:top w:val="none" w:sz="0" w:space="0" w:color="auto"/>
                <w:left w:val="none" w:sz="0" w:space="0" w:color="auto"/>
                <w:bottom w:val="none" w:sz="0" w:space="0" w:color="auto"/>
                <w:right w:val="none" w:sz="0" w:space="0" w:color="auto"/>
              </w:divBdr>
            </w:div>
          </w:divsChild>
        </w:div>
        <w:div w:id="1596864885">
          <w:marLeft w:val="0"/>
          <w:marRight w:val="0"/>
          <w:marTop w:val="0"/>
          <w:marBottom w:val="0"/>
          <w:divBdr>
            <w:top w:val="none" w:sz="0" w:space="0" w:color="auto"/>
            <w:left w:val="none" w:sz="0" w:space="0" w:color="auto"/>
            <w:bottom w:val="none" w:sz="0" w:space="0" w:color="auto"/>
            <w:right w:val="none" w:sz="0" w:space="0" w:color="auto"/>
          </w:divBdr>
          <w:divsChild>
            <w:div w:id="922760348">
              <w:marLeft w:val="0"/>
              <w:marRight w:val="0"/>
              <w:marTop w:val="0"/>
              <w:marBottom w:val="0"/>
              <w:divBdr>
                <w:top w:val="none" w:sz="0" w:space="0" w:color="auto"/>
                <w:left w:val="none" w:sz="0" w:space="0" w:color="auto"/>
                <w:bottom w:val="none" w:sz="0" w:space="0" w:color="auto"/>
                <w:right w:val="none" w:sz="0" w:space="0" w:color="auto"/>
              </w:divBdr>
            </w:div>
          </w:divsChild>
        </w:div>
        <w:div w:id="350570007">
          <w:marLeft w:val="0"/>
          <w:marRight w:val="0"/>
          <w:marTop w:val="0"/>
          <w:marBottom w:val="0"/>
          <w:divBdr>
            <w:top w:val="none" w:sz="0" w:space="0" w:color="auto"/>
            <w:left w:val="none" w:sz="0" w:space="0" w:color="auto"/>
            <w:bottom w:val="none" w:sz="0" w:space="0" w:color="auto"/>
            <w:right w:val="none" w:sz="0" w:space="0" w:color="auto"/>
          </w:divBdr>
          <w:divsChild>
            <w:div w:id="1447312575">
              <w:marLeft w:val="0"/>
              <w:marRight w:val="0"/>
              <w:marTop w:val="0"/>
              <w:marBottom w:val="0"/>
              <w:divBdr>
                <w:top w:val="none" w:sz="0" w:space="0" w:color="auto"/>
                <w:left w:val="none" w:sz="0" w:space="0" w:color="auto"/>
                <w:bottom w:val="none" w:sz="0" w:space="0" w:color="auto"/>
                <w:right w:val="none" w:sz="0" w:space="0" w:color="auto"/>
              </w:divBdr>
            </w:div>
          </w:divsChild>
        </w:div>
        <w:div w:id="657877401">
          <w:marLeft w:val="0"/>
          <w:marRight w:val="0"/>
          <w:marTop w:val="0"/>
          <w:marBottom w:val="0"/>
          <w:divBdr>
            <w:top w:val="none" w:sz="0" w:space="0" w:color="auto"/>
            <w:left w:val="none" w:sz="0" w:space="0" w:color="auto"/>
            <w:bottom w:val="none" w:sz="0" w:space="0" w:color="auto"/>
            <w:right w:val="none" w:sz="0" w:space="0" w:color="auto"/>
          </w:divBdr>
          <w:divsChild>
            <w:div w:id="2132283030">
              <w:marLeft w:val="0"/>
              <w:marRight w:val="0"/>
              <w:marTop w:val="0"/>
              <w:marBottom w:val="0"/>
              <w:divBdr>
                <w:top w:val="none" w:sz="0" w:space="0" w:color="auto"/>
                <w:left w:val="none" w:sz="0" w:space="0" w:color="auto"/>
                <w:bottom w:val="none" w:sz="0" w:space="0" w:color="auto"/>
                <w:right w:val="none" w:sz="0" w:space="0" w:color="auto"/>
              </w:divBdr>
            </w:div>
          </w:divsChild>
        </w:div>
        <w:div w:id="2036924429">
          <w:marLeft w:val="0"/>
          <w:marRight w:val="0"/>
          <w:marTop w:val="0"/>
          <w:marBottom w:val="0"/>
          <w:divBdr>
            <w:top w:val="none" w:sz="0" w:space="0" w:color="auto"/>
            <w:left w:val="none" w:sz="0" w:space="0" w:color="auto"/>
            <w:bottom w:val="none" w:sz="0" w:space="0" w:color="auto"/>
            <w:right w:val="none" w:sz="0" w:space="0" w:color="auto"/>
          </w:divBdr>
          <w:divsChild>
            <w:div w:id="736590226">
              <w:marLeft w:val="0"/>
              <w:marRight w:val="0"/>
              <w:marTop w:val="0"/>
              <w:marBottom w:val="0"/>
              <w:divBdr>
                <w:top w:val="none" w:sz="0" w:space="0" w:color="auto"/>
                <w:left w:val="none" w:sz="0" w:space="0" w:color="auto"/>
                <w:bottom w:val="none" w:sz="0" w:space="0" w:color="auto"/>
                <w:right w:val="none" w:sz="0" w:space="0" w:color="auto"/>
              </w:divBdr>
            </w:div>
          </w:divsChild>
        </w:div>
        <w:div w:id="663434471">
          <w:marLeft w:val="0"/>
          <w:marRight w:val="0"/>
          <w:marTop w:val="0"/>
          <w:marBottom w:val="0"/>
          <w:divBdr>
            <w:top w:val="none" w:sz="0" w:space="0" w:color="auto"/>
            <w:left w:val="none" w:sz="0" w:space="0" w:color="auto"/>
            <w:bottom w:val="none" w:sz="0" w:space="0" w:color="auto"/>
            <w:right w:val="none" w:sz="0" w:space="0" w:color="auto"/>
          </w:divBdr>
          <w:divsChild>
            <w:div w:id="1838033567">
              <w:marLeft w:val="0"/>
              <w:marRight w:val="0"/>
              <w:marTop w:val="0"/>
              <w:marBottom w:val="0"/>
              <w:divBdr>
                <w:top w:val="none" w:sz="0" w:space="0" w:color="auto"/>
                <w:left w:val="none" w:sz="0" w:space="0" w:color="auto"/>
                <w:bottom w:val="none" w:sz="0" w:space="0" w:color="auto"/>
                <w:right w:val="none" w:sz="0" w:space="0" w:color="auto"/>
              </w:divBdr>
            </w:div>
          </w:divsChild>
        </w:div>
        <w:div w:id="716199917">
          <w:marLeft w:val="0"/>
          <w:marRight w:val="0"/>
          <w:marTop w:val="0"/>
          <w:marBottom w:val="0"/>
          <w:divBdr>
            <w:top w:val="none" w:sz="0" w:space="0" w:color="auto"/>
            <w:left w:val="none" w:sz="0" w:space="0" w:color="auto"/>
            <w:bottom w:val="none" w:sz="0" w:space="0" w:color="auto"/>
            <w:right w:val="none" w:sz="0" w:space="0" w:color="auto"/>
          </w:divBdr>
          <w:divsChild>
            <w:div w:id="623730836">
              <w:marLeft w:val="0"/>
              <w:marRight w:val="0"/>
              <w:marTop w:val="0"/>
              <w:marBottom w:val="0"/>
              <w:divBdr>
                <w:top w:val="none" w:sz="0" w:space="0" w:color="auto"/>
                <w:left w:val="none" w:sz="0" w:space="0" w:color="auto"/>
                <w:bottom w:val="none" w:sz="0" w:space="0" w:color="auto"/>
                <w:right w:val="none" w:sz="0" w:space="0" w:color="auto"/>
              </w:divBdr>
            </w:div>
          </w:divsChild>
        </w:div>
        <w:div w:id="1125154279">
          <w:marLeft w:val="0"/>
          <w:marRight w:val="0"/>
          <w:marTop w:val="0"/>
          <w:marBottom w:val="0"/>
          <w:divBdr>
            <w:top w:val="none" w:sz="0" w:space="0" w:color="auto"/>
            <w:left w:val="none" w:sz="0" w:space="0" w:color="auto"/>
            <w:bottom w:val="none" w:sz="0" w:space="0" w:color="auto"/>
            <w:right w:val="none" w:sz="0" w:space="0" w:color="auto"/>
          </w:divBdr>
          <w:divsChild>
            <w:div w:id="1071540660">
              <w:marLeft w:val="0"/>
              <w:marRight w:val="0"/>
              <w:marTop w:val="0"/>
              <w:marBottom w:val="0"/>
              <w:divBdr>
                <w:top w:val="none" w:sz="0" w:space="0" w:color="auto"/>
                <w:left w:val="none" w:sz="0" w:space="0" w:color="auto"/>
                <w:bottom w:val="none" w:sz="0" w:space="0" w:color="auto"/>
                <w:right w:val="none" w:sz="0" w:space="0" w:color="auto"/>
              </w:divBdr>
            </w:div>
          </w:divsChild>
        </w:div>
        <w:div w:id="1737169457">
          <w:marLeft w:val="0"/>
          <w:marRight w:val="0"/>
          <w:marTop w:val="0"/>
          <w:marBottom w:val="0"/>
          <w:divBdr>
            <w:top w:val="none" w:sz="0" w:space="0" w:color="auto"/>
            <w:left w:val="none" w:sz="0" w:space="0" w:color="auto"/>
            <w:bottom w:val="none" w:sz="0" w:space="0" w:color="auto"/>
            <w:right w:val="none" w:sz="0" w:space="0" w:color="auto"/>
          </w:divBdr>
          <w:divsChild>
            <w:div w:id="1068576967">
              <w:marLeft w:val="0"/>
              <w:marRight w:val="0"/>
              <w:marTop w:val="0"/>
              <w:marBottom w:val="0"/>
              <w:divBdr>
                <w:top w:val="none" w:sz="0" w:space="0" w:color="auto"/>
                <w:left w:val="none" w:sz="0" w:space="0" w:color="auto"/>
                <w:bottom w:val="none" w:sz="0" w:space="0" w:color="auto"/>
                <w:right w:val="none" w:sz="0" w:space="0" w:color="auto"/>
              </w:divBdr>
            </w:div>
          </w:divsChild>
        </w:div>
        <w:div w:id="133720186">
          <w:marLeft w:val="0"/>
          <w:marRight w:val="0"/>
          <w:marTop w:val="0"/>
          <w:marBottom w:val="0"/>
          <w:divBdr>
            <w:top w:val="none" w:sz="0" w:space="0" w:color="auto"/>
            <w:left w:val="none" w:sz="0" w:space="0" w:color="auto"/>
            <w:bottom w:val="none" w:sz="0" w:space="0" w:color="auto"/>
            <w:right w:val="none" w:sz="0" w:space="0" w:color="auto"/>
          </w:divBdr>
          <w:divsChild>
            <w:div w:id="1724593843">
              <w:marLeft w:val="0"/>
              <w:marRight w:val="0"/>
              <w:marTop w:val="0"/>
              <w:marBottom w:val="0"/>
              <w:divBdr>
                <w:top w:val="none" w:sz="0" w:space="0" w:color="auto"/>
                <w:left w:val="none" w:sz="0" w:space="0" w:color="auto"/>
                <w:bottom w:val="none" w:sz="0" w:space="0" w:color="auto"/>
                <w:right w:val="none" w:sz="0" w:space="0" w:color="auto"/>
              </w:divBdr>
            </w:div>
          </w:divsChild>
        </w:div>
        <w:div w:id="1421946166">
          <w:marLeft w:val="0"/>
          <w:marRight w:val="0"/>
          <w:marTop w:val="0"/>
          <w:marBottom w:val="0"/>
          <w:divBdr>
            <w:top w:val="none" w:sz="0" w:space="0" w:color="auto"/>
            <w:left w:val="none" w:sz="0" w:space="0" w:color="auto"/>
            <w:bottom w:val="none" w:sz="0" w:space="0" w:color="auto"/>
            <w:right w:val="none" w:sz="0" w:space="0" w:color="auto"/>
          </w:divBdr>
          <w:divsChild>
            <w:div w:id="1139610674">
              <w:marLeft w:val="0"/>
              <w:marRight w:val="0"/>
              <w:marTop w:val="0"/>
              <w:marBottom w:val="0"/>
              <w:divBdr>
                <w:top w:val="none" w:sz="0" w:space="0" w:color="auto"/>
                <w:left w:val="none" w:sz="0" w:space="0" w:color="auto"/>
                <w:bottom w:val="none" w:sz="0" w:space="0" w:color="auto"/>
                <w:right w:val="none" w:sz="0" w:space="0" w:color="auto"/>
              </w:divBdr>
            </w:div>
          </w:divsChild>
        </w:div>
        <w:div w:id="718405707">
          <w:marLeft w:val="0"/>
          <w:marRight w:val="0"/>
          <w:marTop w:val="0"/>
          <w:marBottom w:val="0"/>
          <w:divBdr>
            <w:top w:val="none" w:sz="0" w:space="0" w:color="auto"/>
            <w:left w:val="none" w:sz="0" w:space="0" w:color="auto"/>
            <w:bottom w:val="none" w:sz="0" w:space="0" w:color="auto"/>
            <w:right w:val="none" w:sz="0" w:space="0" w:color="auto"/>
          </w:divBdr>
          <w:divsChild>
            <w:div w:id="1996914685">
              <w:marLeft w:val="0"/>
              <w:marRight w:val="0"/>
              <w:marTop w:val="0"/>
              <w:marBottom w:val="0"/>
              <w:divBdr>
                <w:top w:val="none" w:sz="0" w:space="0" w:color="auto"/>
                <w:left w:val="none" w:sz="0" w:space="0" w:color="auto"/>
                <w:bottom w:val="none" w:sz="0" w:space="0" w:color="auto"/>
                <w:right w:val="none" w:sz="0" w:space="0" w:color="auto"/>
              </w:divBdr>
            </w:div>
          </w:divsChild>
        </w:div>
        <w:div w:id="891845996">
          <w:marLeft w:val="0"/>
          <w:marRight w:val="0"/>
          <w:marTop w:val="0"/>
          <w:marBottom w:val="0"/>
          <w:divBdr>
            <w:top w:val="none" w:sz="0" w:space="0" w:color="auto"/>
            <w:left w:val="none" w:sz="0" w:space="0" w:color="auto"/>
            <w:bottom w:val="none" w:sz="0" w:space="0" w:color="auto"/>
            <w:right w:val="none" w:sz="0" w:space="0" w:color="auto"/>
          </w:divBdr>
          <w:divsChild>
            <w:div w:id="1160927076">
              <w:marLeft w:val="0"/>
              <w:marRight w:val="0"/>
              <w:marTop w:val="0"/>
              <w:marBottom w:val="0"/>
              <w:divBdr>
                <w:top w:val="none" w:sz="0" w:space="0" w:color="auto"/>
                <w:left w:val="none" w:sz="0" w:space="0" w:color="auto"/>
                <w:bottom w:val="none" w:sz="0" w:space="0" w:color="auto"/>
                <w:right w:val="none" w:sz="0" w:space="0" w:color="auto"/>
              </w:divBdr>
            </w:div>
          </w:divsChild>
        </w:div>
        <w:div w:id="1504583820">
          <w:marLeft w:val="0"/>
          <w:marRight w:val="0"/>
          <w:marTop w:val="0"/>
          <w:marBottom w:val="0"/>
          <w:divBdr>
            <w:top w:val="none" w:sz="0" w:space="0" w:color="auto"/>
            <w:left w:val="none" w:sz="0" w:space="0" w:color="auto"/>
            <w:bottom w:val="none" w:sz="0" w:space="0" w:color="auto"/>
            <w:right w:val="none" w:sz="0" w:space="0" w:color="auto"/>
          </w:divBdr>
          <w:divsChild>
            <w:div w:id="852495536">
              <w:marLeft w:val="0"/>
              <w:marRight w:val="0"/>
              <w:marTop w:val="0"/>
              <w:marBottom w:val="0"/>
              <w:divBdr>
                <w:top w:val="none" w:sz="0" w:space="0" w:color="auto"/>
                <w:left w:val="none" w:sz="0" w:space="0" w:color="auto"/>
                <w:bottom w:val="none" w:sz="0" w:space="0" w:color="auto"/>
                <w:right w:val="none" w:sz="0" w:space="0" w:color="auto"/>
              </w:divBdr>
            </w:div>
          </w:divsChild>
        </w:div>
        <w:div w:id="149366258">
          <w:marLeft w:val="0"/>
          <w:marRight w:val="0"/>
          <w:marTop w:val="0"/>
          <w:marBottom w:val="0"/>
          <w:divBdr>
            <w:top w:val="none" w:sz="0" w:space="0" w:color="auto"/>
            <w:left w:val="none" w:sz="0" w:space="0" w:color="auto"/>
            <w:bottom w:val="none" w:sz="0" w:space="0" w:color="auto"/>
            <w:right w:val="none" w:sz="0" w:space="0" w:color="auto"/>
          </w:divBdr>
          <w:divsChild>
            <w:div w:id="717514132">
              <w:marLeft w:val="0"/>
              <w:marRight w:val="0"/>
              <w:marTop w:val="0"/>
              <w:marBottom w:val="0"/>
              <w:divBdr>
                <w:top w:val="none" w:sz="0" w:space="0" w:color="auto"/>
                <w:left w:val="none" w:sz="0" w:space="0" w:color="auto"/>
                <w:bottom w:val="none" w:sz="0" w:space="0" w:color="auto"/>
                <w:right w:val="none" w:sz="0" w:space="0" w:color="auto"/>
              </w:divBdr>
            </w:div>
          </w:divsChild>
        </w:div>
        <w:div w:id="1332101450">
          <w:marLeft w:val="0"/>
          <w:marRight w:val="0"/>
          <w:marTop w:val="0"/>
          <w:marBottom w:val="0"/>
          <w:divBdr>
            <w:top w:val="none" w:sz="0" w:space="0" w:color="auto"/>
            <w:left w:val="none" w:sz="0" w:space="0" w:color="auto"/>
            <w:bottom w:val="none" w:sz="0" w:space="0" w:color="auto"/>
            <w:right w:val="none" w:sz="0" w:space="0" w:color="auto"/>
          </w:divBdr>
          <w:divsChild>
            <w:div w:id="1161391497">
              <w:marLeft w:val="0"/>
              <w:marRight w:val="0"/>
              <w:marTop w:val="0"/>
              <w:marBottom w:val="0"/>
              <w:divBdr>
                <w:top w:val="none" w:sz="0" w:space="0" w:color="auto"/>
                <w:left w:val="none" w:sz="0" w:space="0" w:color="auto"/>
                <w:bottom w:val="none" w:sz="0" w:space="0" w:color="auto"/>
                <w:right w:val="none" w:sz="0" w:space="0" w:color="auto"/>
              </w:divBdr>
            </w:div>
          </w:divsChild>
        </w:div>
        <w:div w:id="1799378259">
          <w:marLeft w:val="0"/>
          <w:marRight w:val="0"/>
          <w:marTop w:val="0"/>
          <w:marBottom w:val="0"/>
          <w:divBdr>
            <w:top w:val="none" w:sz="0" w:space="0" w:color="auto"/>
            <w:left w:val="none" w:sz="0" w:space="0" w:color="auto"/>
            <w:bottom w:val="none" w:sz="0" w:space="0" w:color="auto"/>
            <w:right w:val="none" w:sz="0" w:space="0" w:color="auto"/>
          </w:divBdr>
          <w:divsChild>
            <w:div w:id="1100369154">
              <w:marLeft w:val="0"/>
              <w:marRight w:val="0"/>
              <w:marTop w:val="0"/>
              <w:marBottom w:val="0"/>
              <w:divBdr>
                <w:top w:val="none" w:sz="0" w:space="0" w:color="auto"/>
                <w:left w:val="none" w:sz="0" w:space="0" w:color="auto"/>
                <w:bottom w:val="none" w:sz="0" w:space="0" w:color="auto"/>
                <w:right w:val="none" w:sz="0" w:space="0" w:color="auto"/>
              </w:divBdr>
            </w:div>
          </w:divsChild>
        </w:div>
        <w:div w:id="1477994655">
          <w:marLeft w:val="0"/>
          <w:marRight w:val="0"/>
          <w:marTop w:val="0"/>
          <w:marBottom w:val="0"/>
          <w:divBdr>
            <w:top w:val="none" w:sz="0" w:space="0" w:color="auto"/>
            <w:left w:val="none" w:sz="0" w:space="0" w:color="auto"/>
            <w:bottom w:val="none" w:sz="0" w:space="0" w:color="auto"/>
            <w:right w:val="none" w:sz="0" w:space="0" w:color="auto"/>
          </w:divBdr>
          <w:divsChild>
            <w:div w:id="1837183499">
              <w:marLeft w:val="0"/>
              <w:marRight w:val="0"/>
              <w:marTop w:val="0"/>
              <w:marBottom w:val="0"/>
              <w:divBdr>
                <w:top w:val="none" w:sz="0" w:space="0" w:color="auto"/>
                <w:left w:val="none" w:sz="0" w:space="0" w:color="auto"/>
                <w:bottom w:val="none" w:sz="0" w:space="0" w:color="auto"/>
                <w:right w:val="none" w:sz="0" w:space="0" w:color="auto"/>
              </w:divBdr>
            </w:div>
          </w:divsChild>
        </w:div>
        <w:div w:id="1054886638">
          <w:marLeft w:val="0"/>
          <w:marRight w:val="0"/>
          <w:marTop w:val="0"/>
          <w:marBottom w:val="0"/>
          <w:divBdr>
            <w:top w:val="none" w:sz="0" w:space="0" w:color="auto"/>
            <w:left w:val="none" w:sz="0" w:space="0" w:color="auto"/>
            <w:bottom w:val="none" w:sz="0" w:space="0" w:color="auto"/>
            <w:right w:val="none" w:sz="0" w:space="0" w:color="auto"/>
          </w:divBdr>
          <w:divsChild>
            <w:div w:id="1179809952">
              <w:marLeft w:val="0"/>
              <w:marRight w:val="0"/>
              <w:marTop w:val="0"/>
              <w:marBottom w:val="0"/>
              <w:divBdr>
                <w:top w:val="none" w:sz="0" w:space="0" w:color="auto"/>
                <w:left w:val="none" w:sz="0" w:space="0" w:color="auto"/>
                <w:bottom w:val="none" w:sz="0" w:space="0" w:color="auto"/>
                <w:right w:val="none" w:sz="0" w:space="0" w:color="auto"/>
              </w:divBdr>
            </w:div>
          </w:divsChild>
        </w:div>
        <w:div w:id="890771260">
          <w:marLeft w:val="0"/>
          <w:marRight w:val="0"/>
          <w:marTop w:val="0"/>
          <w:marBottom w:val="0"/>
          <w:divBdr>
            <w:top w:val="none" w:sz="0" w:space="0" w:color="auto"/>
            <w:left w:val="none" w:sz="0" w:space="0" w:color="auto"/>
            <w:bottom w:val="none" w:sz="0" w:space="0" w:color="auto"/>
            <w:right w:val="none" w:sz="0" w:space="0" w:color="auto"/>
          </w:divBdr>
          <w:divsChild>
            <w:div w:id="1001347126">
              <w:marLeft w:val="0"/>
              <w:marRight w:val="0"/>
              <w:marTop w:val="0"/>
              <w:marBottom w:val="0"/>
              <w:divBdr>
                <w:top w:val="none" w:sz="0" w:space="0" w:color="auto"/>
                <w:left w:val="none" w:sz="0" w:space="0" w:color="auto"/>
                <w:bottom w:val="none" w:sz="0" w:space="0" w:color="auto"/>
                <w:right w:val="none" w:sz="0" w:space="0" w:color="auto"/>
              </w:divBdr>
            </w:div>
          </w:divsChild>
        </w:div>
        <w:div w:id="199784960">
          <w:marLeft w:val="0"/>
          <w:marRight w:val="0"/>
          <w:marTop w:val="0"/>
          <w:marBottom w:val="0"/>
          <w:divBdr>
            <w:top w:val="none" w:sz="0" w:space="0" w:color="auto"/>
            <w:left w:val="none" w:sz="0" w:space="0" w:color="auto"/>
            <w:bottom w:val="none" w:sz="0" w:space="0" w:color="auto"/>
            <w:right w:val="none" w:sz="0" w:space="0" w:color="auto"/>
          </w:divBdr>
          <w:divsChild>
            <w:div w:id="1786384055">
              <w:marLeft w:val="0"/>
              <w:marRight w:val="0"/>
              <w:marTop w:val="0"/>
              <w:marBottom w:val="0"/>
              <w:divBdr>
                <w:top w:val="none" w:sz="0" w:space="0" w:color="auto"/>
                <w:left w:val="none" w:sz="0" w:space="0" w:color="auto"/>
                <w:bottom w:val="none" w:sz="0" w:space="0" w:color="auto"/>
                <w:right w:val="none" w:sz="0" w:space="0" w:color="auto"/>
              </w:divBdr>
            </w:div>
          </w:divsChild>
        </w:div>
        <w:div w:id="1418017881">
          <w:marLeft w:val="0"/>
          <w:marRight w:val="0"/>
          <w:marTop w:val="0"/>
          <w:marBottom w:val="0"/>
          <w:divBdr>
            <w:top w:val="none" w:sz="0" w:space="0" w:color="auto"/>
            <w:left w:val="none" w:sz="0" w:space="0" w:color="auto"/>
            <w:bottom w:val="none" w:sz="0" w:space="0" w:color="auto"/>
            <w:right w:val="none" w:sz="0" w:space="0" w:color="auto"/>
          </w:divBdr>
          <w:divsChild>
            <w:div w:id="283079640">
              <w:marLeft w:val="0"/>
              <w:marRight w:val="0"/>
              <w:marTop w:val="0"/>
              <w:marBottom w:val="0"/>
              <w:divBdr>
                <w:top w:val="none" w:sz="0" w:space="0" w:color="auto"/>
                <w:left w:val="none" w:sz="0" w:space="0" w:color="auto"/>
                <w:bottom w:val="none" w:sz="0" w:space="0" w:color="auto"/>
                <w:right w:val="none" w:sz="0" w:space="0" w:color="auto"/>
              </w:divBdr>
            </w:div>
          </w:divsChild>
        </w:div>
        <w:div w:id="870806263">
          <w:marLeft w:val="0"/>
          <w:marRight w:val="0"/>
          <w:marTop w:val="0"/>
          <w:marBottom w:val="0"/>
          <w:divBdr>
            <w:top w:val="none" w:sz="0" w:space="0" w:color="auto"/>
            <w:left w:val="none" w:sz="0" w:space="0" w:color="auto"/>
            <w:bottom w:val="none" w:sz="0" w:space="0" w:color="auto"/>
            <w:right w:val="none" w:sz="0" w:space="0" w:color="auto"/>
          </w:divBdr>
          <w:divsChild>
            <w:div w:id="726535210">
              <w:marLeft w:val="0"/>
              <w:marRight w:val="0"/>
              <w:marTop w:val="0"/>
              <w:marBottom w:val="0"/>
              <w:divBdr>
                <w:top w:val="none" w:sz="0" w:space="0" w:color="auto"/>
                <w:left w:val="none" w:sz="0" w:space="0" w:color="auto"/>
                <w:bottom w:val="none" w:sz="0" w:space="0" w:color="auto"/>
                <w:right w:val="none" w:sz="0" w:space="0" w:color="auto"/>
              </w:divBdr>
            </w:div>
          </w:divsChild>
        </w:div>
        <w:div w:id="773092640">
          <w:marLeft w:val="0"/>
          <w:marRight w:val="0"/>
          <w:marTop w:val="0"/>
          <w:marBottom w:val="0"/>
          <w:divBdr>
            <w:top w:val="none" w:sz="0" w:space="0" w:color="auto"/>
            <w:left w:val="none" w:sz="0" w:space="0" w:color="auto"/>
            <w:bottom w:val="none" w:sz="0" w:space="0" w:color="auto"/>
            <w:right w:val="none" w:sz="0" w:space="0" w:color="auto"/>
          </w:divBdr>
          <w:divsChild>
            <w:div w:id="252981803">
              <w:marLeft w:val="0"/>
              <w:marRight w:val="0"/>
              <w:marTop w:val="0"/>
              <w:marBottom w:val="0"/>
              <w:divBdr>
                <w:top w:val="none" w:sz="0" w:space="0" w:color="auto"/>
                <w:left w:val="none" w:sz="0" w:space="0" w:color="auto"/>
                <w:bottom w:val="none" w:sz="0" w:space="0" w:color="auto"/>
                <w:right w:val="none" w:sz="0" w:space="0" w:color="auto"/>
              </w:divBdr>
            </w:div>
          </w:divsChild>
        </w:div>
        <w:div w:id="1957129517">
          <w:marLeft w:val="0"/>
          <w:marRight w:val="0"/>
          <w:marTop w:val="0"/>
          <w:marBottom w:val="0"/>
          <w:divBdr>
            <w:top w:val="none" w:sz="0" w:space="0" w:color="auto"/>
            <w:left w:val="none" w:sz="0" w:space="0" w:color="auto"/>
            <w:bottom w:val="none" w:sz="0" w:space="0" w:color="auto"/>
            <w:right w:val="none" w:sz="0" w:space="0" w:color="auto"/>
          </w:divBdr>
          <w:divsChild>
            <w:div w:id="88359490">
              <w:marLeft w:val="0"/>
              <w:marRight w:val="0"/>
              <w:marTop w:val="0"/>
              <w:marBottom w:val="0"/>
              <w:divBdr>
                <w:top w:val="none" w:sz="0" w:space="0" w:color="auto"/>
                <w:left w:val="none" w:sz="0" w:space="0" w:color="auto"/>
                <w:bottom w:val="none" w:sz="0" w:space="0" w:color="auto"/>
                <w:right w:val="none" w:sz="0" w:space="0" w:color="auto"/>
              </w:divBdr>
            </w:div>
          </w:divsChild>
        </w:div>
        <w:div w:id="1939559438">
          <w:marLeft w:val="0"/>
          <w:marRight w:val="0"/>
          <w:marTop w:val="0"/>
          <w:marBottom w:val="0"/>
          <w:divBdr>
            <w:top w:val="none" w:sz="0" w:space="0" w:color="auto"/>
            <w:left w:val="none" w:sz="0" w:space="0" w:color="auto"/>
            <w:bottom w:val="none" w:sz="0" w:space="0" w:color="auto"/>
            <w:right w:val="none" w:sz="0" w:space="0" w:color="auto"/>
          </w:divBdr>
          <w:divsChild>
            <w:div w:id="1969046399">
              <w:marLeft w:val="0"/>
              <w:marRight w:val="0"/>
              <w:marTop w:val="0"/>
              <w:marBottom w:val="0"/>
              <w:divBdr>
                <w:top w:val="none" w:sz="0" w:space="0" w:color="auto"/>
                <w:left w:val="none" w:sz="0" w:space="0" w:color="auto"/>
                <w:bottom w:val="none" w:sz="0" w:space="0" w:color="auto"/>
                <w:right w:val="none" w:sz="0" w:space="0" w:color="auto"/>
              </w:divBdr>
            </w:div>
          </w:divsChild>
        </w:div>
        <w:div w:id="112019691">
          <w:marLeft w:val="0"/>
          <w:marRight w:val="0"/>
          <w:marTop w:val="0"/>
          <w:marBottom w:val="0"/>
          <w:divBdr>
            <w:top w:val="none" w:sz="0" w:space="0" w:color="auto"/>
            <w:left w:val="none" w:sz="0" w:space="0" w:color="auto"/>
            <w:bottom w:val="none" w:sz="0" w:space="0" w:color="auto"/>
            <w:right w:val="none" w:sz="0" w:space="0" w:color="auto"/>
          </w:divBdr>
          <w:divsChild>
            <w:div w:id="10442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customXml" Target="../customXml/item8.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olade.org/publicaciones/informe-estadistica-energeticas-2016/" TargetMode="External"/><Relationship Id="rId2" Type="http://schemas.openxmlformats.org/officeDocument/2006/relationships/hyperlink" Target="http://idbdocs.iadb.org/wsdocs/getDocument.aspx?DOCNUM=EZSHARE-353762589-36" TargetMode="External"/><Relationship Id="rId1" Type="http://schemas.openxmlformats.org/officeDocument/2006/relationships/hyperlink" Target="https://idbg.sharepoint.com/teams/EZ-PR-LON/PR-L1156/_layouts/15/DocIdRedir.aspx?ID=EZSHARE-35376258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R0002440327</Record_x0020_Number>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Correa Poseiro, Cecilia</Document_x0020_Author>
    <_dlc_DocId xmlns="cdc7663a-08f0-4737-9e8c-148ce897a09c">EZSHARE-353762589-41</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132</Value>
      <Value>24</Value>
      <Value>29</Value>
      <Value>44</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PR-L1156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Document_x0020_Language_x0020_IDB xmlns="cdc7663a-08f0-4737-9e8c-148ce897a09c">Spanish</Document_x0020_Language_x0020_IDB>
    <_dlc_DocIdUrl xmlns="cdc7663a-08f0-4737-9e8c-148ce897a09c">
      <Url>https://idbg.sharepoint.com/teams/EZ-PR-LON/PR-L1156/_layouts/15/DocIdRedir.aspx?ID=EZSHARE-353762589-41</Url>
      <Description>EZSHARE-353762589-41</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DFA5BFE931E3488BC57253420081FE" ma:contentTypeVersion="203" ma:contentTypeDescription="A content type to manage public (operations) IDB documents" ma:contentTypeScope="" ma:versionID="507b697fae98c49a2014e9c73404373c">
  <xsd:schema xmlns:xsd="http://www.w3.org/2001/XMLSchema" xmlns:xs="http://www.w3.org/2001/XMLSchema" xmlns:p="http://schemas.microsoft.com/office/2006/metadata/properties" xmlns:ns2="cdc7663a-08f0-4737-9e8c-148ce897a09c" targetNamespace="http://schemas.microsoft.com/office/2006/metadata/properties" ma:root="true" ma:fieldsID="bf58ce8bcb6f32f9f7ce487a03b173d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C4E62DA-9D45-4A23-BE06-8725DB66886E}">
  <ds:schemaRefs>
    <ds:schemaRef ds:uri="http://schemas.microsoft.com/sharepoint/v3/contenttype/forms/url"/>
  </ds:schemaRefs>
</ds:datastoreItem>
</file>

<file path=customXml/itemProps2.xml><?xml version="1.0" encoding="utf-8"?>
<ds:datastoreItem xmlns:ds="http://schemas.openxmlformats.org/officeDocument/2006/customXml" ds:itemID="{D630D020-F97D-4561-B1F1-5E4379F3A37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9A8C8C8A-B5DD-402F-BA34-F7EBA57A6C51}"/>
</file>

<file path=customXml/itemProps4.xml><?xml version="1.0" encoding="utf-8"?>
<ds:datastoreItem xmlns:ds="http://schemas.openxmlformats.org/officeDocument/2006/customXml" ds:itemID="{71BA43A5-AEBB-4AE2-87EC-81F225C43D05}">
  <ds:schemaRefs>
    <ds:schemaRef ds:uri="http://schemas.microsoft.com/sharepoint/events"/>
  </ds:schemaRefs>
</ds:datastoreItem>
</file>

<file path=customXml/itemProps5.xml><?xml version="1.0" encoding="utf-8"?>
<ds:datastoreItem xmlns:ds="http://schemas.openxmlformats.org/officeDocument/2006/customXml" ds:itemID="{4ECEB7CA-48B4-4100-BCD4-5126F1C4BCFE}">
  <ds:schemaRefs>
    <ds:schemaRef ds:uri="http://schemas.microsoft.com/sharepoint/v3/contenttype/forms"/>
  </ds:schemaRefs>
</ds:datastoreItem>
</file>

<file path=customXml/itemProps6.xml><?xml version="1.0" encoding="utf-8"?>
<ds:datastoreItem xmlns:ds="http://schemas.openxmlformats.org/officeDocument/2006/customXml" ds:itemID="{30C93943-FA97-4FE8-9D5C-92C560AC20E4}"/>
</file>

<file path=customXml/itemProps7.xml><?xml version="1.0" encoding="utf-8"?>
<ds:datastoreItem xmlns:ds="http://schemas.openxmlformats.org/officeDocument/2006/customXml" ds:itemID="{6F452AF9-B123-4655-9966-C2634CB35224}">
  <ds:schemaRefs>
    <ds:schemaRef ds:uri="http://schemas.openxmlformats.org/officeDocument/2006/bibliography"/>
  </ds:schemaRefs>
</ds:datastoreItem>
</file>

<file path=customXml/itemProps8.xml><?xml version="1.0" encoding="utf-8"?>
<ds:datastoreItem xmlns:ds="http://schemas.openxmlformats.org/officeDocument/2006/customXml" ds:itemID="{E081AE8F-8B1F-4BDE-85B7-7187DA0CDDA5}"/>
</file>

<file path=docProps/app.xml><?xml version="1.0" encoding="utf-8"?>
<Properties xmlns="http://schemas.openxmlformats.org/officeDocument/2006/extended-properties" xmlns:vt="http://schemas.openxmlformats.org/officeDocument/2006/docPropsVTypes">
  <Template>Normal.dotm</Template>
  <TotalTime>8</TotalTime>
  <Pages>9</Pages>
  <Words>2233</Words>
  <Characters>12731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Correa Poseiro, Cecilia</dc:creator>
  <cp:keywords/>
  <dc:description/>
  <cp:lastModifiedBy>Suber, Stephanie Anne</cp:lastModifiedBy>
  <cp:revision>7</cp:revision>
  <dcterms:created xsi:type="dcterms:W3CDTF">2018-09-19T21:52:00Z</dcterms:created>
  <dcterms:modified xsi:type="dcterms:W3CDTF">2018-10-30T20:01:00Z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132;#ENERGY SECTOR REHABILITATION AND EFFICIENCY|bc14044a-5020-4002-b61d-5f3750c96619</vt:lpwstr>
  </property>
  <property fmtid="{D5CDD505-2E9C-101B-9397-08002B2CF9AE}" pid="7" name="Country">
    <vt:lpwstr>24;#Paraguay|50282442-27e7-4526-9d04-55bf5da33a10</vt:lpwstr>
  </property>
  <property fmtid="{D5CDD505-2E9C-101B-9397-08002B2CF9AE}" pid="8" name="Fund IDB">
    <vt:lpwstr>29;#ORC|c028a4b2-ad8b-4cf4-9cac-a2ae6a778e23</vt:lpwstr>
  </property>
  <property fmtid="{D5CDD505-2E9C-101B-9397-08002B2CF9AE}" pid="9" name="_dlc_DocIdItemGuid">
    <vt:lpwstr>c60abc74-f32e-48e0-952f-5678c275f0c3</vt:lpwstr>
  </property>
  <property fmtid="{D5CDD505-2E9C-101B-9397-08002B2CF9AE}" pid="10" name="Sector IDB">
    <vt:lpwstr>44;#ENERGY|4fed196a-cd0b-4970-87de-42da17f9b203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0x0101001A458A224826124E8B45B1D613300CFC00B7DFA5BFE931E3488BC57253420081FE</vt:lpwstr>
  </property>
</Properties>
</file>