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7.xml" ContentType="application/vnd.openxmlformats-officedocument.customXmlProperties+xml"/>
  <Override PartName="/word/fontTable.xml" ContentType="application/vnd.openxmlformats-officedocument.wordprocessingml.fontTable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11FE7" w14:textId="059E4CA7" w:rsidR="00F77237" w:rsidRPr="00EF0E04" w:rsidRDefault="005B16CD" w:rsidP="007E77F3">
      <w:pPr>
        <w:pStyle w:val="Heading1"/>
        <w:jc w:val="center"/>
        <w:rPr>
          <w:b/>
          <w:lang w:val="pt-BR"/>
        </w:rPr>
      </w:pPr>
      <w:r w:rsidRPr="00EF0E04">
        <w:rPr>
          <w:b/>
          <w:lang w:val="pt-BR"/>
        </w:rPr>
        <w:t xml:space="preserve">Documento de </w:t>
      </w:r>
      <w:r w:rsidR="003B1A28" w:rsidRPr="00EF0E04">
        <w:rPr>
          <w:b/>
          <w:lang w:val="pt-BR"/>
        </w:rPr>
        <w:t xml:space="preserve">Cambio </w:t>
      </w:r>
      <w:r w:rsidR="007E77F3" w:rsidRPr="00EF0E04">
        <w:rPr>
          <w:b/>
          <w:lang w:val="pt-BR"/>
        </w:rPr>
        <w:t>Climático</w:t>
      </w:r>
      <w:r w:rsidR="00947E5F" w:rsidRPr="00EF0E04">
        <w:rPr>
          <w:b/>
          <w:lang w:val="pt-BR"/>
        </w:rPr>
        <w:t xml:space="preserve"> </w:t>
      </w:r>
      <w:r w:rsidR="00541C50" w:rsidRPr="00EF0E04">
        <w:rPr>
          <w:b/>
          <w:lang w:val="pt-BR"/>
        </w:rPr>
        <w:t>–</w:t>
      </w:r>
      <w:r w:rsidR="00947E5F" w:rsidRPr="00EF0E04">
        <w:rPr>
          <w:b/>
          <w:lang w:val="pt-BR"/>
        </w:rPr>
        <w:t xml:space="preserve"> </w:t>
      </w:r>
      <w:r w:rsidR="00541C50" w:rsidRPr="00EF0E04">
        <w:rPr>
          <w:b/>
          <w:lang w:val="pt-BR"/>
        </w:rPr>
        <w:t>PR-L1156</w:t>
      </w:r>
    </w:p>
    <w:p w14:paraId="61E1CCAA" w14:textId="77777777" w:rsidR="003B1A28" w:rsidRPr="00EF0E04" w:rsidRDefault="003B1A28" w:rsidP="00EB64C8">
      <w:pPr>
        <w:pStyle w:val="Heading2"/>
        <w:jc w:val="both"/>
        <w:rPr>
          <w:lang w:val="pt-BR"/>
        </w:rPr>
      </w:pPr>
    </w:p>
    <w:p w14:paraId="2E757764" w14:textId="0BBA9EE5" w:rsidR="009950BA" w:rsidRDefault="00FF58C5" w:rsidP="0035289B">
      <w:pPr>
        <w:jc w:val="both"/>
        <w:rPr>
          <w:lang w:val="es-ES_tradnl"/>
        </w:rPr>
      </w:pPr>
      <w:r>
        <w:rPr>
          <w:lang w:val="es-ES_tradnl"/>
        </w:rPr>
        <w:t xml:space="preserve">La operación </w:t>
      </w:r>
      <w:r w:rsidR="00270E3D">
        <w:rPr>
          <w:lang w:val="es-ES_tradnl"/>
        </w:rPr>
        <w:t xml:space="preserve">“Programa de </w:t>
      </w:r>
      <w:r w:rsidR="005B16CD">
        <w:rPr>
          <w:lang w:val="es-ES_tradnl"/>
        </w:rPr>
        <w:t>R</w:t>
      </w:r>
      <w:r w:rsidR="00541C50">
        <w:rPr>
          <w:lang w:val="es-ES_tradnl"/>
        </w:rPr>
        <w:t xml:space="preserve">ehabilitación y </w:t>
      </w:r>
      <w:r w:rsidR="005B16CD">
        <w:rPr>
          <w:lang w:val="es-ES_tradnl"/>
        </w:rPr>
        <w:t>M</w:t>
      </w:r>
      <w:r w:rsidR="00541C50">
        <w:rPr>
          <w:lang w:val="es-ES_tradnl"/>
        </w:rPr>
        <w:t xml:space="preserve">odernización de la </w:t>
      </w:r>
      <w:r w:rsidR="005B16CD">
        <w:rPr>
          <w:lang w:val="es-ES_tradnl"/>
        </w:rPr>
        <w:t>C</w:t>
      </w:r>
      <w:r w:rsidR="00541C50">
        <w:rPr>
          <w:lang w:val="es-ES_tradnl"/>
        </w:rPr>
        <w:t xml:space="preserve">entral </w:t>
      </w:r>
      <w:r w:rsidR="005B16CD">
        <w:rPr>
          <w:lang w:val="es-ES_tradnl"/>
        </w:rPr>
        <w:t>H</w:t>
      </w:r>
      <w:r w:rsidR="00541C50">
        <w:rPr>
          <w:lang w:val="es-ES_tradnl"/>
        </w:rPr>
        <w:t xml:space="preserve">idroeléctrica </w:t>
      </w:r>
      <w:proofErr w:type="spellStart"/>
      <w:r w:rsidR="00541C50">
        <w:rPr>
          <w:lang w:val="es-ES_tradnl"/>
        </w:rPr>
        <w:t>Acaray</w:t>
      </w:r>
      <w:proofErr w:type="spellEnd"/>
      <w:r w:rsidR="00541C50">
        <w:rPr>
          <w:lang w:val="es-ES_tradnl"/>
        </w:rPr>
        <w:t xml:space="preserve">” tiene </w:t>
      </w:r>
      <w:r w:rsidR="009950BA">
        <w:rPr>
          <w:lang w:val="es-ES_tradnl"/>
        </w:rPr>
        <w:t xml:space="preserve">por objetivo </w:t>
      </w:r>
      <w:r w:rsidR="00541C50" w:rsidRPr="00541C50">
        <w:rPr>
          <w:lang w:val="es-ES_tradnl"/>
        </w:rPr>
        <w:t xml:space="preserve">contribuir a la modernización del sector eléctrico de Paraguay a través del financiamiento de inversiones de rehabilitación de infraestructura eléctrica de la ANDE. El objetivo específico es apoyar a la ANDE a rehabilitar y modernizar la Central Hidroeléctrica </w:t>
      </w:r>
      <w:proofErr w:type="spellStart"/>
      <w:r w:rsidR="00541C50" w:rsidRPr="00541C50">
        <w:rPr>
          <w:lang w:val="es-ES_tradnl"/>
        </w:rPr>
        <w:t>Acaray</w:t>
      </w:r>
      <w:proofErr w:type="spellEnd"/>
      <w:r w:rsidR="00541C50" w:rsidRPr="00541C50">
        <w:rPr>
          <w:lang w:val="es-ES_tradnl"/>
        </w:rPr>
        <w:t xml:space="preserve"> para contribuir a: (i) la extensión de su vida útil; (</w:t>
      </w:r>
      <w:proofErr w:type="spellStart"/>
      <w:r w:rsidR="00541C50" w:rsidRPr="00541C50">
        <w:rPr>
          <w:lang w:val="es-ES_tradnl"/>
        </w:rPr>
        <w:t>ii</w:t>
      </w:r>
      <w:proofErr w:type="spellEnd"/>
      <w:r w:rsidR="00541C50" w:rsidRPr="00541C50">
        <w:rPr>
          <w:lang w:val="es-ES_tradnl"/>
        </w:rPr>
        <w:t>) mejorar su disponibilidad y confiabilidad; e (</w:t>
      </w:r>
      <w:proofErr w:type="spellStart"/>
      <w:r w:rsidR="00541C50" w:rsidRPr="00541C50">
        <w:rPr>
          <w:lang w:val="es-ES_tradnl"/>
        </w:rPr>
        <w:t>iii</w:t>
      </w:r>
      <w:proofErr w:type="spellEnd"/>
      <w:r w:rsidR="00541C50" w:rsidRPr="00541C50">
        <w:rPr>
          <w:lang w:val="es-ES_tradnl"/>
        </w:rPr>
        <w:t>) incrementar su capacidad de generación.</w:t>
      </w:r>
    </w:p>
    <w:p w14:paraId="6B7204CD" w14:textId="0ECF001E" w:rsidR="009950BA" w:rsidRDefault="009950BA" w:rsidP="0035289B">
      <w:pPr>
        <w:jc w:val="both"/>
        <w:rPr>
          <w:lang w:val="es-ES_tradnl"/>
        </w:rPr>
      </w:pPr>
      <w:r>
        <w:rPr>
          <w:lang w:val="es-ES_tradnl"/>
        </w:rPr>
        <w:t xml:space="preserve">El sector energético es fundamental en el desarrollo y planificación de políticas </w:t>
      </w:r>
      <w:r w:rsidR="00485A95">
        <w:rPr>
          <w:lang w:val="es-ES_tradnl"/>
        </w:rPr>
        <w:t>públicas</w:t>
      </w:r>
      <w:r>
        <w:rPr>
          <w:lang w:val="es-ES_tradnl"/>
        </w:rPr>
        <w:t xml:space="preserve"> bajas en carbono y resilientes, pavimentando las bases de un desarrollo acorde a las metas del Acuerdo de Paris</w:t>
      </w:r>
      <w:r w:rsidR="008A0ECB">
        <w:rPr>
          <w:lang w:val="es-ES_tradnl"/>
        </w:rPr>
        <w:t xml:space="preserve"> (COP21)</w:t>
      </w:r>
      <w:r>
        <w:rPr>
          <w:lang w:val="es-ES_tradnl"/>
        </w:rPr>
        <w:t>.</w:t>
      </w:r>
    </w:p>
    <w:p w14:paraId="102F25A3" w14:textId="31084A43" w:rsidR="00B14420" w:rsidRDefault="009950BA" w:rsidP="0035289B">
      <w:pPr>
        <w:jc w:val="both"/>
        <w:rPr>
          <w:lang w:val="es-ES_tradnl"/>
        </w:rPr>
      </w:pPr>
      <w:r>
        <w:rPr>
          <w:lang w:val="es-ES_tradnl"/>
        </w:rPr>
        <w:t>En este contexto y con base a los objetivos del préstamo, e</w:t>
      </w:r>
      <w:r w:rsidR="00B14420">
        <w:rPr>
          <w:lang w:val="es-ES_tradnl"/>
        </w:rPr>
        <w:t>ste anexo busca describir el</w:t>
      </w:r>
      <w:r w:rsidR="001D7DFF">
        <w:rPr>
          <w:lang w:val="es-ES_tradnl"/>
        </w:rPr>
        <w:t xml:space="preserve"> potencial de cambio climático de </w:t>
      </w:r>
      <w:r w:rsidR="00B14420">
        <w:rPr>
          <w:lang w:val="es-ES_tradnl"/>
        </w:rPr>
        <w:t xml:space="preserve">la operación </w:t>
      </w:r>
      <w:r w:rsidR="00541C50">
        <w:rPr>
          <w:lang w:val="es-ES_tradnl"/>
        </w:rPr>
        <w:t>PR-L1156</w:t>
      </w:r>
      <w:r w:rsidR="00FF58C5">
        <w:rPr>
          <w:lang w:val="es-ES_tradnl"/>
        </w:rPr>
        <w:t xml:space="preserve"> </w:t>
      </w:r>
      <w:r w:rsidR="001D7DFF">
        <w:rPr>
          <w:lang w:val="es-ES_tradnl"/>
        </w:rPr>
        <w:t xml:space="preserve">dadas </w:t>
      </w:r>
      <w:r w:rsidR="00EC4A74">
        <w:rPr>
          <w:lang w:val="es-ES_tradnl"/>
        </w:rPr>
        <w:t>las oportunidades de mitigación y adaptación</w:t>
      </w:r>
      <w:r w:rsidR="001D7DFF">
        <w:rPr>
          <w:lang w:val="es-ES_tradnl"/>
        </w:rPr>
        <w:t xml:space="preserve"> que se </w:t>
      </w:r>
      <w:r>
        <w:rPr>
          <w:lang w:val="es-ES_tradnl"/>
        </w:rPr>
        <w:t xml:space="preserve">han identificado en </w:t>
      </w:r>
      <w:r w:rsidR="00541C50">
        <w:rPr>
          <w:lang w:val="es-ES_tradnl"/>
        </w:rPr>
        <w:t>Paraguay.</w:t>
      </w:r>
    </w:p>
    <w:p w14:paraId="7BC386BF" w14:textId="77777777" w:rsidR="001D7DFF" w:rsidRPr="00270E49" w:rsidRDefault="001D7DFF" w:rsidP="0035289B">
      <w:pPr>
        <w:jc w:val="both"/>
        <w:rPr>
          <w:lang w:val="es-ES_tradnl"/>
        </w:rPr>
      </w:pPr>
    </w:p>
    <w:p w14:paraId="171557DB" w14:textId="5815912A" w:rsidR="001D7DFF" w:rsidRPr="00EF0E04" w:rsidRDefault="001D7DFF" w:rsidP="00280956">
      <w:pPr>
        <w:pStyle w:val="Heading2"/>
        <w:rPr>
          <w:rStyle w:val="Hyperlink"/>
          <w:b/>
          <w:color w:val="2F5496" w:themeColor="accent1" w:themeShade="BF"/>
          <w:u w:val="none"/>
        </w:rPr>
      </w:pPr>
      <w:r w:rsidRPr="00EF0E04">
        <w:rPr>
          <w:rStyle w:val="Hyperlink"/>
          <w:b/>
          <w:color w:val="2F5496" w:themeColor="accent1" w:themeShade="BF"/>
          <w:u w:val="none"/>
        </w:rPr>
        <w:t xml:space="preserve">Contexto nacional en materia de Cambio </w:t>
      </w:r>
      <w:r w:rsidR="00485A95" w:rsidRPr="00EF0E04">
        <w:rPr>
          <w:rStyle w:val="Hyperlink"/>
          <w:b/>
          <w:color w:val="2F5496" w:themeColor="accent1" w:themeShade="BF"/>
          <w:u w:val="none"/>
        </w:rPr>
        <w:t>Climático</w:t>
      </w:r>
    </w:p>
    <w:p w14:paraId="28D839D0" w14:textId="77777777" w:rsidR="001D7DFF" w:rsidRPr="001D7DFF" w:rsidRDefault="001D7DFF" w:rsidP="001D7DFF"/>
    <w:p w14:paraId="0A2E9E75" w14:textId="400D2FD1" w:rsidR="003B1A28" w:rsidRPr="00280956" w:rsidRDefault="00485A95" w:rsidP="00280956">
      <w:pPr>
        <w:pStyle w:val="Heading3"/>
        <w:rPr>
          <w:rStyle w:val="Hyperlink"/>
          <w:color w:val="1F3763" w:themeColor="accent1" w:themeShade="7F"/>
          <w:u w:val="none"/>
        </w:rPr>
      </w:pPr>
      <w:hyperlink r:id="rId14" w:history="1">
        <w:r w:rsidR="00564838" w:rsidRPr="00280956">
          <w:rPr>
            <w:rStyle w:val="Hyperlink"/>
            <w:color w:val="1F3763" w:themeColor="accent1" w:themeShade="7F"/>
            <w:u w:val="none"/>
          </w:rPr>
          <w:t xml:space="preserve">La Contribución Determinada a </w:t>
        </w:r>
        <w:r w:rsidR="00035673">
          <w:rPr>
            <w:rStyle w:val="Hyperlink"/>
            <w:color w:val="1F3763" w:themeColor="accent1" w:themeShade="7F"/>
            <w:u w:val="none"/>
          </w:rPr>
          <w:t>n</w:t>
        </w:r>
        <w:r w:rsidR="00564838" w:rsidRPr="00280956">
          <w:rPr>
            <w:rStyle w:val="Hyperlink"/>
            <w:color w:val="1F3763" w:themeColor="accent1" w:themeShade="7F"/>
            <w:u w:val="none"/>
          </w:rPr>
          <w:t xml:space="preserve">ivel Nacional de </w:t>
        </w:r>
        <w:r w:rsidR="00035673">
          <w:rPr>
            <w:rStyle w:val="Hyperlink"/>
            <w:color w:val="1F3763" w:themeColor="accent1" w:themeShade="7F"/>
            <w:u w:val="none"/>
          </w:rPr>
          <w:t>Paraguay</w:t>
        </w:r>
        <w:r w:rsidR="00035673">
          <w:rPr>
            <w:rStyle w:val="FootnoteReference"/>
          </w:rPr>
          <w:footnoteReference w:id="1"/>
        </w:r>
      </w:hyperlink>
    </w:p>
    <w:p w14:paraId="3981A354" w14:textId="77777777" w:rsidR="00F63DCD" w:rsidRPr="00F63DCD" w:rsidRDefault="00F63DCD" w:rsidP="00F63DCD">
      <w:pPr>
        <w:rPr>
          <w:lang w:val="es-ES_tradnl"/>
        </w:rPr>
      </w:pPr>
    </w:p>
    <w:p w14:paraId="38753AC3" w14:textId="7AA95443" w:rsidR="00035673" w:rsidRDefault="00F63DCD" w:rsidP="00F40E55">
      <w:pPr>
        <w:jc w:val="both"/>
        <w:rPr>
          <w:lang w:val="es-ES_tradnl"/>
        </w:rPr>
      </w:pPr>
      <w:r w:rsidRPr="00F63DCD">
        <w:rPr>
          <w:lang w:val="es-ES_tradnl"/>
        </w:rPr>
        <w:t>En concordancia con las Decisiones 1/CP.19 y 1/CP.20, y teniendo en cuenta los principios,</w:t>
      </w:r>
      <w:r>
        <w:rPr>
          <w:lang w:val="es-ES_tradnl"/>
        </w:rPr>
        <w:t xml:space="preserve"> </w:t>
      </w:r>
      <w:r w:rsidRPr="00F63DCD">
        <w:rPr>
          <w:lang w:val="es-ES_tradnl"/>
        </w:rPr>
        <w:t>disposiciones y estructura de la Convención Marco de Naciones Unidas sobre el Cambio Climático</w:t>
      </w:r>
      <w:r>
        <w:rPr>
          <w:lang w:val="es-ES_tradnl"/>
        </w:rPr>
        <w:t xml:space="preserve"> </w:t>
      </w:r>
      <w:r w:rsidRPr="00F63DCD">
        <w:rPr>
          <w:lang w:val="es-ES_tradnl"/>
        </w:rPr>
        <w:t xml:space="preserve">(CMNUCC), </w:t>
      </w:r>
      <w:r w:rsidR="00035673">
        <w:rPr>
          <w:lang w:val="es-ES_tradnl"/>
        </w:rPr>
        <w:t xml:space="preserve">Paraguay </w:t>
      </w:r>
      <w:r w:rsidR="008A0ECB">
        <w:rPr>
          <w:lang w:val="es-ES_tradnl"/>
        </w:rPr>
        <w:t xml:space="preserve">ratificó el Acuerdo de París el 21 de septiembre de 2016 y remitió el mensaje a su Poder Ejecutivo para la promulgación de la Ley correspondiente. Como resultado, </w:t>
      </w:r>
      <w:r w:rsidR="00CD576A">
        <w:rPr>
          <w:lang w:val="es-ES_tradnl"/>
        </w:rPr>
        <w:t>Paraguay presentó su Contribución Nacional Determinada (CND) ante la Convención por medio de la Ley 5681/16</w:t>
      </w:r>
      <w:r w:rsidR="000712FD">
        <w:rPr>
          <w:rStyle w:val="FootnoteReference"/>
          <w:lang w:val="es-ES_tradnl"/>
        </w:rPr>
        <w:footnoteReference w:id="2"/>
      </w:r>
      <w:r w:rsidR="00CD576A">
        <w:rPr>
          <w:lang w:val="es-ES_tradnl"/>
        </w:rPr>
        <w:t>, en donde asume el compromiso internacional de reducción de emisiones de gases efecto invernadero del 20%</w:t>
      </w:r>
      <w:r w:rsidR="00977FF6">
        <w:rPr>
          <w:lang w:val="es-ES_tradnl"/>
        </w:rPr>
        <w:t xml:space="preserve"> sobre la línea de base del 2000</w:t>
      </w:r>
      <w:r w:rsidR="00CD576A">
        <w:rPr>
          <w:lang w:val="es-ES_tradnl"/>
        </w:rPr>
        <w:t>.</w:t>
      </w:r>
      <w:r w:rsidR="00F40E55">
        <w:rPr>
          <w:lang w:val="es-ES_tradnl"/>
        </w:rPr>
        <w:t xml:space="preserve"> Cabe </w:t>
      </w:r>
      <w:r w:rsidR="005B16CD">
        <w:rPr>
          <w:lang w:val="es-ES_tradnl"/>
        </w:rPr>
        <w:t>enfatizar</w:t>
      </w:r>
      <w:r w:rsidR="00F40E55">
        <w:rPr>
          <w:lang w:val="es-ES_tradnl"/>
        </w:rPr>
        <w:t xml:space="preserve"> que dicha meta cuenta con un objetivo u</w:t>
      </w:r>
      <w:r w:rsidR="00F40E55" w:rsidRPr="00F40E55">
        <w:rPr>
          <w:lang w:val="es-ES_tradnl"/>
        </w:rPr>
        <w:t>nilateral</w:t>
      </w:r>
      <w:r w:rsidR="00F40E55">
        <w:rPr>
          <w:lang w:val="es-ES_tradnl"/>
        </w:rPr>
        <w:t xml:space="preserve"> (</w:t>
      </w:r>
      <w:r w:rsidR="00F40E55" w:rsidRPr="00F40E55">
        <w:rPr>
          <w:lang w:val="es-ES_tradnl"/>
        </w:rPr>
        <w:t>10% de reducción de emisiones proyectadas al 2030</w:t>
      </w:r>
      <w:r w:rsidR="00F40E55">
        <w:rPr>
          <w:lang w:val="es-ES_tradnl"/>
        </w:rPr>
        <w:t>) y un objetivo c</w:t>
      </w:r>
      <w:r w:rsidR="00F40E55" w:rsidRPr="00F40E55">
        <w:rPr>
          <w:lang w:val="es-ES_tradnl"/>
        </w:rPr>
        <w:t>ondicionad</w:t>
      </w:r>
      <w:r w:rsidR="00F40E55">
        <w:rPr>
          <w:lang w:val="es-ES_tradnl"/>
        </w:rPr>
        <w:t>o (</w:t>
      </w:r>
      <w:r w:rsidR="00F40E55" w:rsidRPr="00F40E55">
        <w:rPr>
          <w:lang w:val="es-ES_tradnl"/>
        </w:rPr>
        <w:t>10% de reducción de emisiones proyectadas al</w:t>
      </w:r>
      <w:r w:rsidR="00F40E55">
        <w:rPr>
          <w:lang w:val="es-ES_tradnl"/>
        </w:rPr>
        <w:t xml:space="preserve"> </w:t>
      </w:r>
      <w:r w:rsidR="00F40E55" w:rsidRPr="00F40E55">
        <w:rPr>
          <w:lang w:val="es-ES_tradnl"/>
        </w:rPr>
        <w:t>2030</w:t>
      </w:r>
      <w:r w:rsidR="00F40E55">
        <w:rPr>
          <w:lang w:val="es-ES_tradnl"/>
        </w:rPr>
        <w:t xml:space="preserve">), el cual depende de </w:t>
      </w:r>
      <w:r w:rsidR="00F40E55" w:rsidRPr="00F40E55">
        <w:rPr>
          <w:lang w:val="es-ES_tradnl"/>
        </w:rPr>
        <w:t>la cooperación</w:t>
      </w:r>
      <w:r w:rsidR="00F40E55">
        <w:rPr>
          <w:lang w:val="es-ES_tradnl"/>
        </w:rPr>
        <w:t xml:space="preserve"> </w:t>
      </w:r>
      <w:r w:rsidR="00F40E55" w:rsidRPr="00F40E55">
        <w:rPr>
          <w:lang w:val="es-ES_tradnl"/>
        </w:rPr>
        <w:t>internacional e intercambio tecnológico, en base a las prioridades</w:t>
      </w:r>
      <w:r w:rsidR="00F40E55">
        <w:rPr>
          <w:lang w:val="es-ES_tradnl"/>
        </w:rPr>
        <w:t xml:space="preserve"> </w:t>
      </w:r>
      <w:r w:rsidR="00F40E55" w:rsidRPr="00F40E55">
        <w:rPr>
          <w:lang w:val="es-ES_tradnl"/>
        </w:rPr>
        <w:t>nacionales identificadas en el Plan Nacional de Desarrollo 2014-2030</w:t>
      </w:r>
      <w:r w:rsidR="00F40E55">
        <w:rPr>
          <w:lang w:val="es-ES_tradnl"/>
        </w:rPr>
        <w:t>.</w:t>
      </w:r>
    </w:p>
    <w:p w14:paraId="7404EBD8" w14:textId="5D3DEDDA" w:rsidR="0098771A" w:rsidRDefault="0098771A" w:rsidP="0098771A">
      <w:pPr>
        <w:jc w:val="both"/>
        <w:rPr>
          <w:lang w:val="es-ES_tradnl"/>
        </w:rPr>
      </w:pPr>
      <w:r w:rsidRPr="00035673">
        <w:rPr>
          <w:noProof/>
          <w:lang w:val="es-ES_trad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8CBC21" wp14:editId="3C94463D">
                <wp:simplePos x="0" y="0"/>
                <wp:positionH relativeFrom="column">
                  <wp:posOffset>-95885</wp:posOffset>
                </wp:positionH>
                <wp:positionV relativeFrom="paragraph">
                  <wp:posOffset>669290</wp:posOffset>
                </wp:positionV>
                <wp:extent cx="5501640" cy="11887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11887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BA06E8" w14:textId="77E84CE5" w:rsidR="00F40E55" w:rsidRPr="00EF0E04" w:rsidRDefault="00F40E55" w:rsidP="00EF0E04">
                            <w:pPr>
                              <w:keepNext/>
                              <w:spacing w:line="240" w:lineRule="auto"/>
                              <w:ind w:left="360"/>
                              <w:jc w:val="center"/>
                              <w:rPr>
                                <w:color w:val="00B050"/>
                              </w:rPr>
                            </w:pPr>
                            <w:r w:rsidRPr="00EF0E04">
                              <w:rPr>
                                <w:color w:val="00B050"/>
                              </w:rPr>
                              <w:t>Línea de acción: Desarrollar una matriz energética sostenible</w:t>
                            </w:r>
                          </w:p>
                          <w:p w14:paraId="7889D1EC" w14:textId="72C33C27" w:rsidR="00035673" w:rsidRDefault="00035673" w:rsidP="00EF0E04">
                            <w:pPr>
                              <w:keepNext/>
                              <w:spacing w:line="240" w:lineRule="auto"/>
                              <w:ind w:left="360"/>
                              <w:jc w:val="center"/>
                            </w:pPr>
                            <w:r>
                              <w:t xml:space="preserve">Indicador </w:t>
                            </w:r>
                            <w:proofErr w:type="gramStart"/>
                            <w:r w:rsidR="00F40E55">
                              <w:t xml:space="preserve">específico </w:t>
                            </w:r>
                            <w:r>
                              <w:t xml:space="preserve"> al</w:t>
                            </w:r>
                            <w:proofErr w:type="gramEnd"/>
                            <w:r>
                              <w:t xml:space="preserve"> que la operación permite apoyar en el marco de la CDN:</w:t>
                            </w:r>
                          </w:p>
                          <w:p w14:paraId="5A473056" w14:textId="77777777" w:rsidR="00035673" w:rsidRPr="00035673" w:rsidRDefault="00035673" w:rsidP="00EF0E04">
                            <w:pPr>
                              <w:pStyle w:val="ListParagraph"/>
                              <w:keepNext/>
                              <w:spacing w:line="240" w:lineRule="auto"/>
                              <w:ind w:left="360"/>
                              <w:jc w:val="center"/>
                              <w:rPr>
                                <w:b/>
                              </w:rPr>
                            </w:pPr>
                            <w:r w:rsidRPr="00035673">
                              <w:rPr>
                                <w:b/>
                              </w:rPr>
                              <w:t>Aumentar en 60% el consumo de energías renovables (% participación en la matriz energética).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8CBC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55pt;margin-top:52.7pt;width:433.2pt;height:9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" fillcolor="#4472c4 [3204]" strokecolor="#1f3763 [1604]" strokeweight="1pt">
                <v:textbox>
                  <w:txbxContent>
                    <w:p w14:paraId="49BA06E8" w14:textId="77E84CE5" w:rsidR="00F40E55" w:rsidRPr="00EF0E04" w:rsidRDefault="00F40E55" w:rsidP="00EF0E04">
                      <w:pPr>
                        <w:keepNext/>
                        <w:spacing w:line="240" w:lineRule="auto"/>
                        <w:ind w:left="360"/>
                        <w:jc w:val="center"/>
                        <w:rPr>
                          <w:color w:val="00B050"/>
                        </w:rPr>
                      </w:pPr>
                      <w:r w:rsidRPr="00EF0E04">
                        <w:rPr>
                          <w:color w:val="00B050"/>
                        </w:rPr>
                        <w:t>Línea de acción: Desarrollar una matriz energética sostenible</w:t>
                      </w:r>
                    </w:p>
                    <w:p w14:paraId="7889D1EC" w14:textId="72C33C27" w:rsidR="00035673" w:rsidRDefault="00035673" w:rsidP="00EF0E04">
                      <w:pPr>
                        <w:keepNext/>
                        <w:spacing w:line="240" w:lineRule="auto"/>
                        <w:ind w:left="360"/>
                        <w:jc w:val="center"/>
                      </w:pPr>
                      <w:r>
                        <w:t xml:space="preserve">Indicador </w:t>
                      </w:r>
                      <w:proofErr w:type="gramStart"/>
                      <w:r w:rsidR="00F40E55">
                        <w:t xml:space="preserve">específico </w:t>
                      </w:r>
                      <w:r>
                        <w:t xml:space="preserve"> al</w:t>
                      </w:r>
                      <w:proofErr w:type="gramEnd"/>
                      <w:r>
                        <w:t xml:space="preserve"> que la operación permite apoyar en el marco de la CDN:</w:t>
                      </w:r>
                    </w:p>
                    <w:p w14:paraId="5A473056" w14:textId="77777777" w:rsidR="00035673" w:rsidRPr="00035673" w:rsidRDefault="00035673" w:rsidP="00EF0E04">
                      <w:pPr>
                        <w:pStyle w:val="ListParagraph"/>
                        <w:keepNext/>
                        <w:spacing w:line="240" w:lineRule="auto"/>
                        <w:ind w:left="360"/>
                        <w:jc w:val="center"/>
                        <w:rPr>
                          <w:b/>
                        </w:rPr>
                      </w:pPr>
                      <w:r w:rsidRPr="00035673">
                        <w:rPr>
                          <w:b/>
                        </w:rPr>
                        <w:t>Aumentar en 60% el consumo de energías renovables (% participación en la matriz energética).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35673" w:rsidRPr="00035673">
        <w:rPr>
          <w:lang w:val="es-ES_tradnl"/>
        </w:rPr>
        <w:t>Paraguay se fij</w:t>
      </w:r>
      <w:r w:rsidR="00035673">
        <w:rPr>
          <w:lang w:val="es-ES_tradnl"/>
        </w:rPr>
        <w:t xml:space="preserve">ó la meta de evitar </w:t>
      </w:r>
      <w:r w:rsidR="00035673" w:rsidRPr="00035673">
        <w:rPr>
          <w:lang w:val="es-ES_tradnl"/>
        </w:rPr>
        <w:t>emisiones por un valor</w:t>
      </w:r>
      <w:r w:rsidR="00035673">
        <w:rPr>
          <w:lang w:val="es-ES_tradnl"/>
        </w:rPr>
        <w:t xml:space="preserve"> </w:t>
      </w:r>
      <w:r w:rsidR="00035673" w:rsidRPr="00035673">
        <w:rPr>
          <w:lang w:val="es-ES_tradnl"/>
        </w:rPr>
        <w:t xml:space="preserve">de 429 MtCO2eq. durante el periodo de implementación </w:t>
      </w:r>
      <w:r w:rsidR="00035673">
        <w:rPr>
          <w:lang w:val="es-ES_tradnl"/>
        </w:rPr>
        <w:t>del Acuerdo de Paris</w:t>
      </w:r>
      <w:r w:rsidR="00035673" w:rsidRPr="00035673">
        <w:rPr>
          <w:lang w:val="es-ES_tradnl"/>
        </w:rPr>
        <w:t>, y a partir del</w:t>
      </w:r>
      <w:r w:rsidR="00035673">
        <w:rPr>
          <w:lang w:val="es-ES_tradnl"/>
        </w:rPr>
        <w:t xml:space="preserve"> </w:t>
      </w:r>
      <w:r w:rsidR="00035673" w:rsidRPr="00035673">
        <w:rPr>
          <w:lang w:val="es-ES_tradnl"/>
        </w:rPr>
        <w:t>2030 evitar emisiones por un total de 83 MtCO2eq. en forma anual</w:t>
      </w:r>
      <w:r w:rsidR="00035673">
        <w:rPr>
          <w:lang w:val="es-ES_tradnl"/>
        </w:rPr>
        <w:t xml:space="preserve">. </w:t>
      </w:r>
    </w:p>
    <w:p w14:paraId="63870132" w14:textId="468451AB" w:rsidR="0098771A" w:rsidRDefault="0098771A" w:rsidP="0098771A">
      <w:pPr>
        <w:jc w:val="both"/>
        <w:rPr>
          <w:lang w:val="es-ES_tradnl"/>
        </w:rPr>
      </w:pPr>
    </w:p>
    <w:p w14:paraId="336B7BFB" w14:textId="2D2C63FA" w:rsidR="00F63DCD" w:rsidRDefault="0098771A" w:rsidP="00035673">
      <w:pPr>
        <w:jc w:val="both"/>
        <w:rPr>
          <w:lang w:val="es-ES_tradnl"/>
        </w:rPr>
      </w:pPr>
      <w:r>
        <w:rPr>
          <w:lang w:val="es-ES_tradnl"/>
        </w:rPr>
        <w:t xml:space="preserve">En el marco de este proyecto cabe </w:t>
      </w:r>
      <w:r w:rsidR="00573F3B">
        <w:rPr>
          <w:lang w:val="es-ES_tradnl"/>
        </w:rPr>
        <w:t xml:space="preserve">enfatizar </w:t>
      </w:r>
      <w:r>
        <w:rPr>
          <w:lang w:val="es-ES_tradnl"/>
        </w:rPr>
        <w:t xml:space="preserve">que el país </w:t>
      </w:r>
      <w:r w:rsidR="00035673" w:rsidRPr="00035673">
        <w:rPr>
          <w:lang w:val="es-ES_tradnl"/>
        </w:rPr>
        <w:t>dispone de abundante energía, limpia y renovable, que lo sitúa como primer</w:t>
      </w:r>
      <w:r w:rsidR="00035673">
        <w:rPr>
          <w:lang w:val="es-ES_tradnl"/>
        </w:rPr>
        <w:t xml:space="preserve"> </w:t>
      </w:r>
      <w:r w:rsidR="00035673" w:rsidRPr="00035673">
        <w:rPr>
          <w:lang w:val="es-ES_tradnl"/>
        </w:rPr>
        <w:t xml:space="preserve">exportador mundial neto de energía eléctrica. Comparte </w:t>
      </w:r>
      <w:r w:rsidR="00035673" w:rsidRPr="00035673">
        <w:rPr>
          <w:lang w:val="es-ES_tradnl"/>
        </w:rPr>
        <w:lastRenderedPageBreak/>
        <w:t>con Brasil la Hidroeléctrica Itaipú, que</w:t>
      </w:r>
      <w:r w:rsidR="00035673">
        <w:rPr>
          <w:lang w:val="es-ES_tradnl"/>
        </w:rPr>
        <w:t xml:space="preserve"> </w:t>
      </w:r>
      <w:r w:rsidR="00035673" w:rsidRPr="00035673">
        <w:rPr>
          <w:lang w:val="es-ES_tradnl"/>
        </w:rPr>
        <w:t>es una potencia mundial en la producción de este tipo de energías</w:t>
      </w:r>
      <w:r w:rsidR="00573F3B">
        <w:rPr>
          <w:lang w:val="es-ES_tradnl"/>
        </w:rPr>
        <w:t>.</w:t>
      </w:r>
    </w:p>
    <w:p w14:paraId="2E47BFC7" w14:textId="3EB28EBF" w:rsidR="005B16CD" w:rsidRPr="00EF0E04" w:rsidRDefault="005B16CD" w:rsidP="00EF0E04">
      <w:pPr>
        <w:pStyle w:val="Caption"/>
        <w:jc w:val="center"/>
        <w:rPr>
          <w:b/>
          <w:i w:val="0"/>
          <w:lang w:val="pt-BR"/>
        </w:rPr>
      </w:pPr>
      <w:bookmarkStart w:id="0" w:name="_Hlk526432781"/>
      <w:r w:rsidRPr="00EF0E04">
        <w:rPr>
          <w:b/>
          <w:i w:val="0"/>
          <w:lang w:val="pt-BR"/>
        </w:rPr>
        <w:t xml:space="preserve">Figura </w:t>
      </w:r>
      <w:r w:rsidRPr="00EF0E04">
        <w:rPr>
          <w:b/>
          <w:i w:val="0"/>
          <w:noProof/>
        </w:rPr>
        <w:fldChar w:fldCharType="begin"/>
      </w:r>
      <w:r w:rsidRPr="00EF0E04">
        <w:rPr>
          <w:b/>
          <w:i w:val="0"/>
          <w:noProof/>
          <w:lang w:val="pt-BR"/>
        </w:rPr>
        <w:instrText xml:space="preserve"> SEQ Tabla \* ARABIC </w:instrText>
      </w:r>
      <w:r w:rsidRPr="00EF0E04">
        <w:rPr>
          <w:b/>
          <w:i w:val="0"/>
          <w:noProof/>
        </w:rPr>
        <w:fldChar w:fldCharType="separate"/>
      </w:r>
      <w:r w:rsidRPr="00EF0E04">
        <w:rPr>
          <w:b/>
          <w:i w:val="0"/>
          <w:noProof/>
          <w:lang w:val="pt-BR"/>
        </w:rPr>
        <w:t>1</w:t>
      </w:r>
      <w:r w:rsidRPr="00EF0E04">
        <w:rPr>
          <w:b/>
          <w:i w:val="0"/>
          <w:noProof/>
        </w:rPr>
        <w:fldChar w:fldCharType="end"/>
      </w:r>
      <w:r w:rsidRPr="00EF0E04">
        <w:rPr>
          <w:b/>
          <w:i w:val="0"/>
          <w:lang w:val="pt-BR"/>
        </w:rPr>
        <w:t xml:space="preserve">. Matriz energética de </w:t>
      </w:r>
      <w:proofErr w:type="spellStart"/>
      <w:r w:rsidRPr="00EF0E04">
        <w:rPr>
          <w:b/>
          <w:i w:val="0"/>
          <w:lang w:val="pt-BR"/>
        </w:rPr>
        <w:t>Paragu</w:t>
      </w:r>
      <w:r>
        <w:rPr>
          <w:b/>
          <w:i w:val="0"/>
          <w:lang w:val="pt-BR"/>
        </w:rPr>
        <w:t>ay</w:t>
      </w:r>
      <w:proofErr w:type="spellEnd"/>
      <w:r>
        <w:rPr>
          <w:b/>
          <w:i w:val="0"/>
          <w:lang w:val="pt-BR"/>
        </w:rPr>
        <w:t xml:space="preserve"> (2017).</w:t>
      </w:r>
    </w:p>
    <w:bookmarkEnd w:id="0"/>
    <w:p w14:paraId="4EF8DC5B" w14:textId="5EE71A93" w:rsidR="00977FF6" w:rsidRDefault="005B16CD" w:rsidP="00EF0E04">
      <w:pPr>
        <w:jc w:val="center"/>
        <w:rPr>
          <w:lang w:val="es-ES_tradnl"/>
        </w:rPr>
      </w:pPr>
      <w:r>
        <w:rPr>
          <w:noProof/>
        </w:rPr>
        <w:drawing>
          <wp:inline distT="0" distB="0" distL="0" distR="0" wp14:anchorId="4FA082FD" wp14:editId="5BCE0577">
            <wp:extent cx="3072130" cy="4504926"/>
            <wp:effectExtent l="7620" t="0" r="254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78413" cy="4514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DF2B1" w14:textId="6A93D206" w:rsidR="00EA18DF" w:rsidRPr="00280956" w:rsidRDefault="00EA18DF" w:rsidP="00280956">
      <w:pPr>
        <w:pStyle w:val="Heading3"/>
        <w:rPr>
          <w:rStyle w:val="Hyperlink"/>
          <w:color w:val="1F3763" w:themeColor="accent1" w:themeShade="7F"/>
          <w:u w:val="none"/>
        </w:rPr>
      </w:pPr>
      <w:r w:rsidRPr="00280956">
        <w:rPr>
          <w:rStyle w:val="Hyperlink"/>
          <w:color w:val="1F3763" w:themeColor="accent1" w:themeShade="7F"/>
          <w:u w:val="none"/>
        </w:rPr>
        <w:t xml:space="preserve">Tercera </w:t>
      </w:r>
      <w:r w:rsidR="00C17814">
        <w:rPr>
          <w:rStyle w:val="Hyperlink"/>
          <w:color w:val="1F3763" w:themeColor="accent1" w:themeShade="7F"/>
          <w:u w:val="none"/>
        </w:rPr>
        <w:t>C</w:t>
      </w:r>
      <w:r w:rsidRPr="00280956">
        <w:rPr>
          <w:rStyle w:val="Hyperlink"/>
          <w:color w:val="1F3763" w:themeColor="accent1" w:themeShade="7F"/>
          <w:u w:val="none"/>
        </w:rPr>
        <w:t xml:space="preserve">omunicación Nacional de </w:t>
      </w:r>
      <w:r w:rsidR="00C17814">
        <w:rPr>
          <w:rStyle w:val="Hyperlink"/>
          <w:color w:val="1F3763" w:themeColor="accent1" w:themeShade="7F"/>
          <w:u w:val="none"/>
        </w:rPr>
        <w:t>Paraguay</w:t>
      </w:r>
      <w:r w:rsidR="00C17814">
        <w:rPr>
          <w:rStyle w:val="FootnoteReference"/>
        </w:rPr>
        <w:footnoteReference w:id="3"/>
      </w:r>
    </w:p>
    <w:p w14:paraId="6FF5200A" w14:textId="29DB1FD6" w:rsidR="005B16CD" w:rsidRDefault="005B16CD" w:rsidP="00C17814">
      <w:pPr>
        <w:rPr>
          <w:lang w:val="es-ES_tradnl"/>
        </w:rPr>
      </w:pPr>
    </w:p>
    <w:p w14:paraId="6F14B69C" w14:textId="77777777" w:rsidR="005B16CD" w:rsidRPr="00EF0E04" w:rsidRDefault="005B16CD" w:rsidP="00EF0E04">
      <w:pPr>
        <w:pStyle w:val="Caption"/>
        <w:jc w:val="center"/>
        <w:rPr>
          <w:b/>
          <w:i w:val="0"/>
          <w:lang w:val="es-ES_tradnl"/>
        </w:rPr>
      </w:pPr>
      <w:bookmarkStart w:id="1" w:name="_Hlk526432584"/>
      <w:r w:rsidRPr="00EF0E04">
        <w:rPr>
          <w:b/>
          <w:i w:val="0"/>
        </w:rPr>
        <w:t xml:space="preserve">Tabla </w:t>
      </w:r>
      <w:r w:rsidRPr="00EF0E04">
        <w:rPr>
          <w:b/>
          <w:i w:val="0"/>
          <w:noProof/>
        </w:rPr>
        <w:fldChar w:fldCharType="begin"/>
      </w:r>
      <w:r w:rsidRPr="00EF0E04">
        <w:rPr>
          <w:b/>
          <w:i w:val="0"/>
          <w:noProof/>
        </w:rPr>
        <w:instrText xml:space="preserve"> SEQ Tabla \* ARABIC </w:instrText>
      </w:r>
      <w:r w:rsidRPr="00EF0E04">
        <w:rPr>
          <w:b/>
          <w:i w:val="0"/>
          <w:noProof/>
        </w:rPr>
        <w:fldChar w:fldCharType="separate"/>
      </w:r>
      <w:r w:rsidRPr="00EF0E04">
        <w:rPr>
          <w:b/>
          <w:i w:val="0"/>
          <w:noProof/>
        </w:rPr>
        <w:t>1</w:t>
      </w:r>
      <w:r w:rsidRPr="00EF0E04">
        <w:rPr>
          <w:b/>
          <w:i w:val="0"/>
          <w:noProof/>
        </w:rPr>
        <w:fldChar w:fldCharType="end"/>
      </w:r>
      <w:r w:rsidRPr="00EF0E04">
        <w:rPr>
          <w:b/>
          <w:i w:val="0"/>
        </w:rPr>
        <w:t xml:space="preserve"> Fuente: Elaboración propia con base en INGEI sectoriales 2016.</w:t>
      </w:r>
    </w:p>
    <w:bookmarkEnd w:id="1"/>
    <w:p w14:paraId="29A70A9A" w14:textId="4C30B868" w:rsidR="000712FD" w:rsidRDefault="000712FD" w:rsidP="00C17814">
      <w:pPr>
        <w:rPr>
          <w:lang w:val="es-ES_tradnl"/>
        </w:rPr>
      </w:pPr>
      <w:r>
        <w:rPr>
          <w:noProof/>
          <w:lang w:val="es-ES_tradnl"/>
        </w:rPr>
        <w:drawing>
          <wp:inline distT="0" distB="0" distL="0" distR="0" wp14:anchorId="62D08F53" wp14:editId="012A3B47">
            <wp:extent cx="5266690" cy="2559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255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305EF" w14:textId="62F36E10" w:rsidR="00C17814" w:rsidRDefault="00C17814" w:rsidP="00C17814">
      <w:pPr>
        <w:keepNext/>
        <w:jc w:val="both"/>
      </w:pPr>
    </w:p>
    <w:p w14:paraId="608614F0" w14:textId="2FD254E6" w:rsidR="00EB64C8" w:rsidRPr="00EF0E04" w:rsidRDefault="00CB6B49" w:rsidP="007E77F3">
      <w:pPr>
        <w:pStyle w:val="Heading2"/>
        <w:rPr>
          <w:b/>
          <w:lang w:val="es-ES_tradnl"/>
        </w:rPr>
      </w:pPr>
      <w:r w:rsidRPr="00EF0E04">
        <w:rPr>
          <w:b/>
          <w:lang w:val="es-ES_tradnl"/>
        </w:rPr>
        <w:t xml:space="preserve">La rehabilitación </w:t>
      </w:r>
      <w:r w:rsidR="00C17814" w:rsidRPr="00EF0E04">
        <w:rPr>
          <w:b/>
          <w:lang w:val="es-ES_tradnl"/>
        </w:rPr>
        <w:t xml:space="preserve">y modernización de la central hidroeléctrica </w:t>
      </w:r>
      <w:proofErr w:type="spellStart"/>
      <w:r w:rsidR="00C17814" w:rsidRPr="00EF0E04">
        <w:rPr>
          <w:b/>
          <w:lang w:val="es-ES_tradnl"/>
        </w:rPr>
        <w:t>Acaray</w:t>
      </w:r>
      <w:proofErr w:type="spellEnd"/>
      <w:r w:rsidR="00C17814" w:rsidRPr="00EF0E04">
        <w:rPr>
          <w:b/>
          <w:lang w:val="es-ES_tradnl"/>
        </w:rPr>
        <w:t xml:space="preserve">, alineando la </w:t>
      </w:r>
      <w:r w:rsidR="00573F3B" w:rsidRPr="00EF0E04">
        <w:rPr>
          <w:b/>
          <w:lang w:val="es-ES_tradnl"/>
        </w:rPr>
        <w:t>inversión</w:t>
      </w:r>
      <w:r w:rsidR="00C17814" w:rsidRPr="00EF0E04">
        <w:rPr>
          <w:b/>
          <w:lang w:val="es-ES_tradnl"/>
        </w:rPr>
        <w:t xml:space="preserve"> a la Contribución Determinada a nivel Nacional de Paraguay</w:t>
      </w:r>
      <w:r w:rsidR="000712FD" w:rsidRPr="00EF0E04">
        <w:rPr>
          <w:b/>
          <w:lang w:val="es-ES_tradnl"/>
        </w:rPr>
        <w:t>.</w:t>
      </w:r>
    </w:p>
    <w:p w14:paraId="12DE1781" w14:textId="77777777" w:rsidR="00DF653A" w:rsidRPr="00270E49" w:rsidRDefault="00DF653A" w:rsidP="00DF653A">
      <w:pPr>
        <w:rPr>
          <w:lang w:val="es-ES_tradnl"/>
        </w:rPr>
      </w:pPr>
    </w:p>
    <w:p w14:paraId="6D385AF2" w14:textId="5413BF7F" w:rsidR="00DF653A" w:rsidRDefault="009603F3" w:rsidP="00C07890">
      <w:pPr>
        <w:jc w:val="both"/>
      </w:pPr>
      <w:r w:rsidRPr="009603F3">
        <w:t>El objetivo general es</w:t>
      </w:r>
      <w:r w:rsidR="00573F3B">
        <w:t>:</w:t>
      </w:r>
      <w:r w:rsidRPr="009603F3">
        <w:t xml:space="preserve"> </w:t>
      </w:r>
      <w:r w:rsidR="00C07890">
        <w:t xml:space="preserve">i) invertir en la rehabilitación y modernización de la central (US$134,11 millones), a través de infraestructura eléctrica y </w:t>
      </w:r>
      <w:proofErr w:type="gramStart"/>
      <w:r w:rsidR="00C07890">
        <w:t>electro-mecánica</w:t>
      </w:r>
      <w:proofErr w:type="gramEnd"/>
      <w:r w:rsidR="00C07890">
        <w:t xml:space="preserve"> así como la rehabilitación de los vertederos de las represas de </w:t>
      </w:r>
      <w:proofErr w:type="spellStart"/>
      <w:r w:rsidR="00C07890">
        <w:t>Acaray</w:t>
      </w:r>
      <w:proofErr w:type="spellEnd"/>
      <w:r w:rsidR="00C07890">
        <w:t xml:space="preserve"> e </w:t>
      </w:r>
      <w:proofErr w:type="spellStart"/>
      <w:r w:rsidR="00C07890">
        <w:t>Yguazú</w:t>
      </w:r>
      <w:proofErr w:type="spellEnd"/>
      <w:r w:rsidR="00573F3B">
        <w:t xml:space="preserve">; y </w:t>
      </w:r>
      <w:proofErr w:type="spellStart"/>
      <w:r w:rsidR="00C07890">
        <w:t>ii</w:t>
      </w:r>
      <w:proofErr w:type="spellEnd"/>
      <w:r w:rsidR="00C07890">
        <w:t>) apoyar</w:t>
      </w:r>
      <w:r w:rsidR="00573F3B">
        <w:t xml:space="preserve"> </w:t>
      </w:r>
      <w:r w:rsidR="00C07890">
        <w:t xml:space="preserve">la gestión, protección de predios, equidad de género y capacidad institucional (US$8,27 millones). </w:t>
      </w:r>
    </w:p>
    <w:p w14:paraId="050BBE61" w14:textId="1B043B60" w:rsidR="00C07890" w:rsidRDefault="004B509F" w:rsidP="00C07890">
      <w:pPr>
        <w:jc w:val="both"/>
        <w:rPr>
          <w:lang w:val="es-ES_tradnl"/>
        </w:rPr>
      </w:pPr>
      <w:r>
        <w:rPr>
          <w:lang w:val="es-ES_tradnl"/>
        </w:rPr>
        <w:lastRenderedPageBreak/>
        <w:t>Es importante destacar</w:t>
      </w:r>
      <w:r w:rsidR="00C07890">
        <w:rPr>
          <w:lang w:val="es-ES_tradnl"/>
        </w:rPr>
        <w:t xml:space="preserve"> que l</w:t>
      </w:r>
      <w:r w:rsidR="00C07890" w:rsidRPr="00C17814">
        <w:rPr>
          <w:lang w:val="es-ES_tradnl"/>
        </w:rPr>
        <w:t xml:space="preserve">a demanda nacional de electricidad es cubierta por tres centrales hidroeléctricas: Central </w:t>
      </w:r>
      <w:proofErr w:type="spellStart"/>
      <w:r w:rsidR="00C07890" w:rsidRPr="00C17814">
        <w:rPr>
          <w:lang w:val="es-ES_tradnl"/>
        </w:rPr>
        <w:t>Acaray</w:t>
      </w:r>
      <w:proofErr w:type="spellEnd"/>
      <w:r w:rsidR="00C07890" w:rsidRPr="00C17814">
        <w:rPr>
          <w:lang w:val="es-ES_tradnl"/>
        </w:rPr>
        <w:t xml:space="preserve"> (propiedad del Paraguay), </w:t>
      </w:r>
      <w:proofErr w:type="spellStart"/>
      <w:r w:rsidR="00C07890" w:rsidRPr="00C17814">
        <w:rPr>
          <w:lang w:val="es-ES_tradnl"/>
        </w:rPr>
        <w:t>Yacyretá</w:t>
      </w:r>
      <w:proofErr w:type="spellEnd"/>
      <w:r w:rsidR="00C07890" w:rsidRPr="00C17814">
        <w:rPr>
          <w:lang w:val="es-ES_tradnl"/>
        </w:rPr>
        <w:t xml:space="preserve"> (</w:t>
      </w:r>
      <w:r w:rsidR="00573F3B">
        <w:rPr>
          <w:lang w:val="es-ES_tradnl"/>
        </w:rPr>
        <w:t>entidad binacional entre</w:t>
      </w:r>
      <w:r w:rsidR="00C07890" w:rsidRPr="00C17814">
        <w:rPr>
          <w:lang w:val="es-ES_tradnl"/>
        </w:rPr>
        <w:t xml:space="preserve"> Paraguay y Argentina) y, principalmente, de Itaip</w:t>
      </w:r>
      <w:r w:rsidR="00573F3B">
        <w:rPr>
          <w:lang w:val="es-ES_tradnl"/>
        </w:rPr>
        <w:t>ú</w:t>
      </w:r>
      <w:r w:rsidR="00C07890" w:rsidRPr="00C17814">
        <w:rPr>
          <w:lang w:val="es-ES_tradnl"/>
        </w:rPr>
        <w:t xml:space="preserve"> (</w:t>
      </w:r>
      <w:r w:rsidR="00573F3B">
        <w:rPr>
          <w:lang w:val="es-ES_tradnl"/>
        </w:rPr>
        <w:t>entidad binacional entre</w:t>
      </w:r>
      <w:r w:rsidR="00C07890" w:rsidRPr="00C17814">
        <w:rPr>
          <w:lang w:val="es-ES_tradnl"/>
        </w:rPr>
        <w:t xml:space="preserve"> Paraguay y Brasil).</w:t>
      </w:r>
    </w:p>
    <w:p w14:paraId="1C5ABB7B" w14:textId="713AEF40" w:rsidR="005B16CD" w:rsidRPr="00656812" w:rsidRDefault="005B16CD" w:rsidP="005B16CD">
      <w:pPr>
        <w:pStyle w:val="Caption"/>
        <w:jc w:val="center"/>
        <w:rPr>
          <w:b/>
          <w:i w:val="0"/>
          <w:lang w:val="pt-BR"/>
        </w:rPr>
      </w:pPr>
      <w:bookmarkStart w:id="2" w:name="_Hlk526432928"/>
      <w:r w:rsidRPr="00656812">
        <w:rPr>
          <w:b/>
          <w:i w:val="0"/>
          <w:lang w:val="pt-BR"/>
        </w:rPr>
        <w:t xml:space="preserve">Figura </w:t>
      </w:r>
      <w:r>
        <w:rPr>
          <w:b/>
          <w:i w:val="0"/>
          <w:noProof/>
        </w:rPr>
        <w:t>2</w:t>
      </w:r>
      <w:r w:rsidRPr="00656812">
        <w:rPr>
          <w:b/>
          <w:i w:val="0"/>
          <w:lang w:val="pt-BR"/>
        </w:rPr>
        <w:t xml:space="preserve">. </w:t>
      </w:r>
      <w:proofErr w:type="spellStart"/>
      <w:r>
        <w:rPr>
          <w:b/>
          <w:i w:val="0"/>
          <w:lang w:val="pt-BR"/>
        </w:rPr>
        <w:t>Comportamiento</w:t>
      </w:r>
      <w:proofErr w:type="spellEnd"/>
      <w:r>
        <w:rPr>
          <w:b/>
          <w:i w:val="0"/>
          <w:lang w:val="pt-BR"/>
        </w:rPr>
        <w:t xml:space="preserve"> de </w:t>
      </w:r>
      <w:proofErr w:type="spellStart"/>
      <w:r>
        <w:rPr>
          <w:b/>
          <w:i w:val="0"/>
          <w:lang w:val="pt-BR"/>
        </w:rPr>
        <w:t>exportaciones</w:t>
      </w:r>
      <w:proofErr w:type="spellEnd"/>
      <w:r>
        <w:rPr>
          <w:b/>
          <w:i w:val="0"/>
          <w:lang w:val="pt-BR"/>
        </w:rPr>
        <w:t xml:space="preserve"> de energia período 2016/2017</w:t>
      </w:r>
    </w:p>
    <w:bookmarkEnd w:id="2"/>
    <w:p w14:paraId="2DFECC80" w14:textId="27DF50FA" w:rsidR="00977FF6" w:rsidRDefault="00977FF6" w:rsidP="00EF0E04">
      <w:pPr>
        <w:jc w:val="center"/>
        <w:rPr>
          <w:lang w:val="es-ES_tradnl"/>
        </w:rPr>
      </w:pPr>
      <w:r>
        <w:rPr>
          <w:noProof/>
        </w:rPr>
        <w:drawing>
          <wp:inline distT="0" distB="0" distL="0" distR="0" wp14:anchorId="3D323E4F" wp14:editId="4D81938F">
            <wp:extent cx="5029200" cy="3631215"/>
            <wp:effectExtent l="0" t="0" r="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63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343B1" w14:textId="14A648A6" w:rsidR="00C07890" w:rsidRDefault="00C07890" w:rsidP="00C07890">
      <w:pPr>
        <w:jc w:val="both"/>
        <w:rPr>
          <w:lang w:val="es-ES_tradnl"/>
        </w:rPr>
      </w:pPr>
      <w:r>
        <w:rPr>
          <w:lang w:val="es-ES_tradnl"/>
        </w:rPr>
        <w:t xml:space="preserve">La generación eléctrica </w:t>
      </w:r>
      <w:r w:rsidR="004B509F">
        <w:rPr>
          <w:lang w:val="es-ES_tradnl"/>
        </w:rPr>
        <w:t xml:space="preserve">por medio de </w:t>
      </w:r>
      <w:r>
        <w:rPr>
          <w:lang w:val="es-ES_tradnl"/>
        </w:rPr>
        <w:t>hidroeléctricas es fundamental</w:t>
      </w:r>
      <w:r w:rsidR="00CC2D5E">
        <w:rPr>
          <w:lang w:val="es-ES_tradnl"/>
        </w:rPr>
        <w:t xml:space="preserve"> ya que contempla el 66,1% de la composición de la energía primaria</w:t>
      </w:r>
      <w:r w:rsidR="009C457D">
        <w:rPr>
          <w:lang w:val="es-ES_tradnl"/>
        </w:rPr>
        <w:t xml:space="preserve"> en Paraguay. Sin embargo</w:t>
      </w:r>
      <w:r w:rsidR="00CC2D5E">
        <w:rPr>
          <w:lang w:val="es-ES_tradnl"/>
        </w:rPr>
        <w:t>,</w:t>
      </w:r>
      <w:r>
        <w:rPr>
          <w:lang w:val="es-ES_tradnl"/>
        </w:rPr>
        <w:t xml:space="preserve"> </w:t>
      </w:r>
      <w:r w:rsidR="009C457D">
        <w:rPr>
          <w:lang w:val="es-ES_tradnl"/>
        </w:rPr>
        <w:t xml:space="preserve">para hacer frente a la demanda de energía del país, la balanza comercial de importaciones de </w:t>
      </w:r>
      <w:r w:rsidRPr="00C17814">
        <w:rPr>
          <w:lang w:val="es-ES_tradnl"/>
        </w:rPr>
        <w:t xml:space="preserve">productos derivados del petróleo </w:t>
      </w:r>
      <w:r w:rsidR="009C457D">
        <w:rPr>
          <w:lang w:val="es-ES_tradnl"/>
        </w:rPr>
        <w:t xml:space="preserve">creció 19,8% entre 2016 y 2017. </w:t>
      </w:r>
    </w:p>
    <w:p w14:paraId="62989678" w14:textId="36442CFB" w:rsidR="00C07890" w:rsidRDefault="00C07890" w:rsidP="00C07890">
      <w:pPr>
        <w:jc w:val="both"/>
        <w:rPr>
          <w:lang w:val="es-ES_tradnl"/>
        </w:rPr>
      </w:pPr>
      <w:r>
        <w:rPr>
          <w:lang w:val="es-ES_tradnl"/>
        </w:rPr>
        <w:t xml:space="preserve">Además, dadas las sequias, como la ocurrida en </w:t>
      </w:r>
      <w:r w:rsidRPr="00C17814">
        <w:rPr>
          <w:lang w:val="es-ES_tradnl"/>
        </w:rPr>
        <w:t>2014</w:t>
      </w:r>
      <w:r>
        <w:rPr>
          <w:lang w:val="es-ES_tradnl"/>
        </w:rPr>
        <w:t>, con impactos importantes en materia de producción de hidroenergía (</w:t>
      </w:r>
      <w:r w:rsidR="00FE2724">
        <w:rPr>
          <w:lang w:val="es-ES_tradnl"/>
        </w:rPr>
        <w:t xml:space="preserve">la producción de </w:t>
      </w:r>
      <w:proofErr w:type="spellStart"/>
      <w:r w:rsidR="00977FF6">
        <w:rPr>
          <w:lang w:val="es-ES_tradnl"/>
        </w:rPr>
        <w:t>Ita</w:t>
      </w:r>
      <w:r w:rsidR="00485A95">
        <w:rPr>
          <w:lang w:val="es-ES_tradnl"/>
        </w:rPr>
        <w:t>i</w:t>
      </w:r>
      <w:r w:rsidR="00977FF6">
        <w:rPr>
          <w:lang w:val="es-ES_tradnl"/>
        </w:rPr>
        <w:t>pu</w:t>
      </w:r>
      <w:proofErr w:type="spellEnd"/>
      <w:r w:rsidR="00FE2724">
        <w:rPr>
          <w:lang w:val="es-ES_tradnl"/>
        </w:rPr>
        <w:t xml:space="preserve"> decreció en un </w:t>
      </w:r>
      <w:r w:rsidRPr="00C17814">
        <w:rPr>
          <w:lang w:val="es-ES_tradnl"/>
        </w:rPr>
        <w:t>8,7%</w:t>
      </w:r>
      <w:r>
        <w:rPr>
          <w:lang w:val="es-ES_tradnl"/>
        </w:rPr>
        <w:t>) será fundamental contar con las mejores tecnologías de producción eficiente de energía en las hidroeléctricas que consolidan una matriz energética limpia.</w:t>
      </w:r>
    </w:p>
    <w:p w14:paraId="346D4231" w14:textId="77777777" w:rsidR="00C07890" w:rsidRDefault="009603F3" w:rsidP="00C07890">
      <w:pPr>
        <w:jc w:val="both"/>
      </w:pPr>
      <w:r>
        <w:t>El aporte climático a nivel de mitigación se encuentra cubierto por los siguientes enfoques:</w:t>
      </w:r>
    </w:p>
    <w:p w14:paraId="5025C76F" w14:textId="0747CE3D" w:rsidR="00C07890" w:rsidRDefault="00C07890" w:rsidP="00C07890">
      <w:pPr>
        <w:pStyle w:val="ListParagraph"/>
        <w:numPr>
          <w:ilvl w:val="0"/>
          <w:numId w:val="8"/>
        </w:numPr>
        <w:jc w:val="both"/>
      </w:pPr>
      <w:r>
        <w:t xml:space="preserve">La extensión de la </w:t>
      </w:r>
      <w:r w:rsidRPr="00C07890">
        <w:t>vida útil</w:t>
      </w:r>
      <w:r>
        <w:t xml:space="preserve"> de </w:t>
      </w:r>
      <w:proofErr w:type="spellStart"/>
      <w:r>
        <w:t>Acaray</w:t>
      </w:r>
      <w:proofErr w:type="spellEnd"/>
      <w:r w:rsidRPr="00C07890">
        <w:t>; mejorando la sostenibilidad del servicio de energía eléctrica asegurando la continuidad e incremento de la energía renovable generada, evitando emisiones de CO</w:t>
      </w:r>
      <w:r w:rsidRPr="00EF0E04">
        <w:rPr>
          <w:vertAlign w:val="subscript"/>
        </w:rPr>
        <w:t>2</w:t>
      </w:r>
      <w:r>
        <w:t>;</w:t>
      </w:r>
    </w:p>
    <w:p w14:paraId="428CE9B0" w14:textId="1EF069DE" w:rsidR="00C07890" w:rsidRDefault="00C07890" w:rsidP="0061509F">
      <w:pPr>
        <w:pStyle w:val="ListParagraph"/>
        <w:numPr>
          <w:ilvl w:val="0"/>
          <w:numId w:val="8"/>
        </w:numPr>
        <w:jc w:val="both"/>
      </w:pPr>
      <w:r>
        <w:t xml:space="preserve">Mejora de su </w:t>
      </w:r>
      <w:r w:rsidRPr="00C07890">
        <w:t>disponibilidad y confiabilidad; y</w:t>
      </w:r>
    </w:p>
    <w:p w14:paraId="68BF9E59" w14:textId="26A86480" w:rsidR="00C07890" w:rsidRDefault="00C07890" w:rsidP="0061509F">
      <w:pPr>
        <w:pStyle w:val="ListParagraph"/>
        <w:numPr>
          <w:ilvl w:val="0"/>
          <w:numId w:val="8"/>
        </w:numPr>
        <w:jc w:val="both"/>
      </w:pPr>
      <w:r>
        <w:t xml:space="preserve">Contribución </w:t>
      </w:r>
      <w:r w:rsidRPr="00C07890">
        <w:t>a la integración energética regional a través de la continuación de las exportaciones de energía renovable del país.</w:t>
      </w:r>
    </w:p>
    <w:p w14:paraId="7BCC9FE7" w14:textId="468E8A08" w:rsidR="00C07890" w:rsidRDefault="00C07890" w:rsidP="00C07890">
      <w:pPr>
        <w:jc w:val="both"/>
      </w:pPr>
      <w:r>
        <w:t xml:space="preserve">Según el análisis económico llevado a cabo por el equipo de proyecto, el volumen de emisiones de </w:t>
      </w:r>
      <w:r w:rsidR="00BC4C21">
        <w:t xml:space="preserve">GEI </w:t>
      </w:r>
      <w:r>
        <w:t xml:space="preserve">por </w:t>
      </w:r>
      <w:proofErr w:type="spellStart"/>
      <w:r>
        <w:t>MWh</w:t>
      </w:r>
      <w:proofErr w:type="spellEnd"/>
      <w:r>
        <w:t xml:space="preserve"> de electricidad </w:t>
      </w:r>
      <w:r w:rsidR="008040C4">
        <w:t>reducida</w:t>
      </w:r>
      <w:r w:rsidR="00490151">
        <w:t>s</w:t>
      </w:r>
      <w:r w:rsidR="008040C4">
        <w:t xml:space="preserve"> </w:t>
      </w:r>
      <w:r>
        <w:t>del programa,</w:t>
      </w:r>
      <w:r w:rsidR="007B6145">
        <w:t xml:space="preserve"> </w:t>
      </w:r>
      <w:r w:rsidR="00490151">
        <w:t xml:space="preserve">son calculadas de acuerdo </w:t>
      </w:r>
      <w:r w:rsidR="00636B62">
        <w:t>a</w:t>
      </w:r>
      <w:r w:rsidR="00490151">
        <w:t xml:space="preserve"> la metodología </w:t>
      </w:r>
      <w:hyperlink r:id="rId18" w:history="1">
        <w:r w:rsidR="0048300A" w:rsidRPr="00A96449">
          <w:rPr>
            <w:rStyle w:val="Hyperlink"/>
            <w:i/>
          </w:rPr>
          <w:t xml:space="preserve">IFI </w:t>
        </w:r>
        <w:proofErr w:type="spellStart"/>
        <w:r w:rsidR="0048300A" w:rsidRPr="00A96449">
          <w:rPr>
            <w:rStyle w:val="Hyperlink"/>
            <w:i/>
          </w:rPr>
          <w:t>approach</w:t>
        </w:r>
        <w:proofErr w:type="spellEnd"/>
        <w:r w:rsidR="0048300A" w:rsidRPr="00A96449">
          <w:rPr>
            <w:rStyle w:val="Hyperlink"/>
            <w:i/>
          </w:rPr>
          <w:t xml:space="preserve"> </w:t>
        </w:r>
        <w:proofErr w:type="spellStart"/>
        <w:r w:rsidR="0048300A" w:rsidRPr="00A96449">
          <w:rPr>
            <w:rStyle w:val="Hyperlink"/>
            <w:i/>
          </w:rPr>
          <w:t>to</w:t>
        </w:r>
        <w:proofErr w:type="spellEnd"/>
        <w:r w:rsidR="0048300A" w:rsidRPr="00A96449">
          <w:rPr>
            <w:rStyle w:val="Hyperlink"/>
            <w:i/>
          </w:rPr>
          <w:t xml:space="preserve"> GHG </w:t>
        </w:r>
        <w:proofErr w:type="spellStart"/>
        <w:r w:rsidR="0048300A" w:rsidRPr="00A96449">
          <w:rPr>
            <w:rStyle w:val="Hyperlink"/>
            <w:i/>
          </w:rPr>
          <w:t>accounting</w:t>
        </w:r>
        <w:proofErr w:type="spellEnd"/>
        <w:r w:rsidR="0048300A" w:rsidRPr="00A96449">
          <w:rPr>
            <w:rStyle w:val="Hyperlink"/>
            <w:i/>
          </w:rPr>
          <w:t xml:space="preserve"> for </w:t>
        </w:r>
        <w:proofErr w:type="spellStart"/>
        <w:r w:rsidR="0048300A" w:rsidRPr="00A96449">
          <w:rPr>
            <w:rStyle w:val="Hyperlink"/>
            <w:i/>
          </w:rPr>
          <w:t>renewable</w:t>
        </w:r>
        <w:proofErr w:type="spellEnd"/>
        <w:r w:rsidR="0048300A" w:rsidRPr="00A96449">
          <w:rPr>
            <w:rStyle w:val="Hyperlink"/>
            <w:i/>
          </w:rPr>
          <w:t xml:space="preserve"> </w:t>
        </w:r>
        <w:proofErr w:type="spellStart"/>
        <w:r w:rsidR="0048300A" w:rsidRPr="00A96449">
          <w:rPr>
            <w:rStyle w:val="Hyperlink"/>
            <w:i/>
          </w:rPr>
          <w:t>energy</w:t>
        </w:r>
        <w:proofErr w:type="spellEnd"/>
        <w:r w:rsidR="0048300A" w:rsidRPr="00A96449">
          <w:rPr>
            <w:rStyle w:val="Hyperlink"/>
            <w:i/>
          </w:rPr>
          <w:t xml:space="preserve"> </w:t>
        </w:r>
        <w:proofErr w:type="spellStart"/>
        <w:r w:rsidR="0048300A" w:rsidRPr="00A96449">
          <w:rPr>
            <w:rStyle w:val="Hyperlink"/>
            <w:i/>
          </w:rPr>
          <w:t>projects</w:t>
        </w:r>
        <w:proofErr w:type="spellEnd"/>
      </w:hyperlink>
      <w:r w:rsidR="00522329">
        <w:t xml:space="preserve">. La </w:t>
      </w:r>
      <w:r w:rsidR="00BC4C21">
        <w:t>metodología</w:t>
      </w:r>
      <w:r w:rsidR="0048300A" w:rsidRPr="0048300A">
        <w:t xml:space="preserve"> </w:t>
      </w:r>
      <w:r w:rsidR="007B6145">
        <w:t xml:space="preserve">se basa sobre la premisa que </w:t>
      </w:r>
      <w:r>
        <w:t xml:space="preserve">cada kWh generado por la Central </w:t>
      </w:r>
      <w:proofErr w:type="spellStart"/>
      <w:r>
        <w:t>Acaray</w:t>
      </w:r>
      <w:proofErr w:type="spellEnd"/>
      <w:r>
        <w:t xml:space="preserve"> </w:t>
      </w:r>
      <w:r w:rsidRPr="00A96449">
        <w:t xml:space="preserve">permitiría ahorrar </w:t>
      </w:r>
      <w:r w:rsidR="00E42A54" w:rsidRPr="00A96449">
        <w:t>tan</w:t>
      </w:r>
      <w:r w:rsidR="001147DE">
        <w:t>tos</w:t>
      </w:r>
      <w:r w:rsidR="00E42A54" w:rsidRPr="00A96449">
        <w:t xml:space="preserve"> </w:t>
      </w:r>
      <w:r w:rsidRPr="00A96449">
        <w:t>kWh generado</w:t>
      </w:r>
      <w:r w:rsidR="007B1F74" w:rsidRPr="00A96449">
        <w:t>s</w:t>
      </w:r>
      <w:r w:rsidRPr="00A96449">
        <w:t xml:space="preserve"> por central</w:t>
      </w:r>
      <w:r w:rsidR="00B43302" w:rsidRPr="00A96449">
        <w:t xml:space="preserve">es que producen al margen </w:t>
      </w:r>
      <w:r w:rsidRPr="00A96449">
        <w:t>en el sistema regional interconectado de Paraguay</w:t>
      </w:r>
      <w:r w:rsidR="00ED3D7E" w:rsidRPr="00A96449">
        <w:t xml:space="preserve"> (</w:t>
      </w:r>
      <w:proofErr w:type="spellStart"/>
      <w:r w:rsidR="009623A3" w:rsidRPr="00A96449">
        <w:t>operating</w:t>
      </w:r>
      <w:proofErr w:type="spellEnd"/>
      <w:r w:rsidR="009623A3" w:rsidRPr="00A96449">
        <w:t xml:space="preserve"> </w:t>
      </w:r>
      <w:proofErr w:type="spellStart"/>
      <w:r w:rsidR="009623A3" w:rsidRPr="00A96449">
        <w:t>margin</w:t>
      </w:r>
      <w:proofErr w:type="spellEnd"/>
      <w:r w:rsidR="00D03AC8" w:rsidRPr="00A96449">
        <w:t xml:space="preserve"> - OM</w:t>
      </w:r>
      <w:r w:rsidR="00ED3D7E" w:rsidRPr="00A96449">
        <w:t>)</w:t>
      </w:r>
      <w:r w:rsidR="007B6145" w:rsidRPr="00A96449">
        <w:t xml:space="preserve">, </w:t>
      </w:r>
      <w:r w:rsidR="00ED3D7E" w:rsidRPr="00A96449">
        <w:t xml:space="preserve">como </w:t>
      </w:r>
      <w:r w:rsidR="001147DE">
        <w:t>k</w:t>
      </w:r>
      <w:r w:rsidR="007B1F74" w:rsidRPr="00A96449">
        <w:t xml:space="preserve">Wh que </w:t>
      </w:r>
      <w:r w:rsidR="00534BCE" w:rsidRPr="00A96449">
        <w:t>serían</w:t>
      </w:r>
      <w:r w:rsidR="007B1F74" w:rsidRPr="00A96449">
        <w:t xml:space="preserve"> generado por </w:t>
      </w:r>
      <w:r w:rsidR="008F1C5B" w:rsidRPr="00A96449">
        <w:t xml:space="preserve">nuevas </w:t>
      </w:r>
      <w:r w:rsidR="00ED3D7E" w:rsidRPr="00A96449">
        <w:t xml:space="preserve">centrales </w:t>
      </w:r>
      <w:r w:rsidR="00334A9E" w:rsidRPr="00A96449">
        <w:t>c</w:t>
      </w:r>
      <w:r w:rsidR="00ED3D7E" w:rsidRPr="00A96449">
        <w:t xml:space="preserve">he </w:t>
      </w:r>
      <w:r w:rsidR="00AF1A2B" w:rsidRPr="00A96449">
        <w:t xml:space="preserve">tuvieran que </w:t>
      </w:r>
      <w:r w:rsidR="008F1C5B" w:rsidRPr="00A96449">
        <w:t>ser</w:t>
      </w:r>
      <w:r w:rsidR="00AF1A2B" w:rsidRPr="00A96449">
        <w:t xml:space="preserve"> </w:t>
      </w:r>
      <w:r w:rsidR="00334A9E" w:rsidRPr="00A96449">
        <w:t xml:space="preserve">construidas </w:t>
      </w:r>
      <w:r w:rsidR="008F1C5B" w:rsidRPr="00A96449">
        <w:t xml:space="preserve">para </w:t>
      </w:r>
      <w:r w:rsidR="00070A3B" w:rsidRPr="00A96449">
        <w:t xml:space="preserve">reemplazar la producción perdida </w:t>
      </w:r>
      <w:r w:rsidR="00A673CC" w:rsidRPr="00A96449">
        <w:t>en</w:t>
      </w:r>
      <w:r w:rsidR="00AF1A2B" w:rsidRPr="00A96449">
        <w:t xml:space="preserve"> </w:t>
      </w:r>
      <w:proofErr w:type="spellStart"/>
      <w:r w:rsidR="00AF1A2B" w:rsidRPr="00A96449">
        <w:t>Acaray</w:t>
      </w:r>
      <w:proofErr w:type="spellEnd"/>
      <w:r w:rsidR="00534BCE" w:rsidRPr="00A96449">
        <w:t>, in ausencia</w:t>
      </w:r>
      <w:r w:rsidR="00AF1A2B" w:rsidRPr="00A96449">
        <w:t xml:space="preserve"> </w:t>
      </w:r>
      <w:r w:rsidR="00534BCE" w:rsidRPr="00A96449">
        <w:t xml:space="preserve">de </w:t>
      </w:r>
      <w:proofErr w:type="spellStart"/>
      <w:r w:rsidR="00DA4B1E" w:rsidRPr="00A96449">
        <w:t>Projecto</w:t>
      </w:r>
      <w:proofErr w:type="spellEnd"/>
      <w:r w:rsidR="00DA4B1E" w:rsidRPr="00A96449">
        <w:t xml:space="preserve"> </w:t>
      </w:r>
      <w:r w:rsidR="00AF1A2B" w:rsidRPr="00A96449">
        <w:t>(</w:t>
      </w:r>
      <w:proofErr w:type="spellStart"/>
      <w:r w:rsidR="00AF1A2B" w:rsidRPr="00A96449">
        <w:t>build</w:t>
      </w:r>
      <w:proofErr w:type="spellEnd"/>
      <w:r w:rsidR="00AF1A2B" w:rsidRPr="00A96449">
        <w:t xml:space="preserve"> </w:t>
      </w:r>
      <w:proofErr w:type="spellStart"/>
      <w:r w:rsidR="00AF1A2B" w:rsidRPr="00A96449">
        <w:t>margin</w:t>
      </w:r>
      <w:proofErr w:type="spellEnd"/>
      <w:r w:rsidR="00AF1A2B" w:rsidRPr="00A96449">
        <w:t xml:space="preserve"> – BM). </w:t>
      </w:r>
      <w:r w:rsidR="006042A9" w:rsidRPr="00A96449">
        <w:t>El</w:t>
      </w:r>
      <w:r w:rsidRPr="00A96449">
        <w:t xml:space="preserve"> factor de emisión promedio </w:t>
      </w:r>
      <w:r w:rsidR="006042A9" w:rsidRPr="00A96449">
        <w:t>combinado (</w:t>
      </w:r>
      <w:proofErr w:type="spellStart"/>
      <w:r w:rsidR="006042A9" w:rsidRPr="00A96449">
        <w:t>Combined</w:t>
      </w:r>
      <w:proofErr w:type="spellEnd"/>
      <w:r w:rsidR="006042A9" w:rsidRPr="00A96449">
        <w:t xml:space="preserve"> </w:t>
      </w:r>
      <w:proofErr w:type="spellStart"/>
      <w:r w:rsidR="006042A9" w:rsidRPr="00A96449">
        <w:t>Marging</w:t>
      </w:r>
      <w:proofErr w:type="spellEnd"/>
      <w:r w:rsidR="006042A9" w:rsidRPr="00A96449">
        <w:t xml:space="preserve"> – CM) </w:t>
      </w:r>
      <w:r w:rsidR="00377956" w:rsidRPr="00A96449">
        <w:t>es</w:t>
      </w:r>
      <w:r w:rsidR="00A673CC" w:rsidRPr="00A96449">
        <w:t xml:space="preserve"> </w:t>
      </w:r>
      <w:r w:rsidR="00D10BA1" w:rsidRPr="00A96449">
        <w:t>calcul</w:t>
      </w:r>
      <w:r w:rsidR="00C875BB" w:rsidRPr="00A96449">
        <w:t>ado como el promedi</w:t>
      </w:r>
      <w:r w:rsidR="00AD6593" w:rsidRPr="00A96449">
        <w:t>o</w:t>
      </w:r>
      <w:r w:rsidR="00C875BB" w:rsidRPr="00A96449">
        <w:t xml:space="preserve"> ponderado de OM </w:t>
      </w:r>
      <w:r w:rsidR="00A153D0" w:rsidRPr="00A96449">
        <w:t xml:space="preserve">(50%) y </w:t>
      </w:r>
      <w:r w:rsidR="00C875BB" w:rsidRPr="00A96449">
        <w:t>BM</w:t>
      </w:r>
      <w:r w:rsidR="00A153D0" w:rsidRPr="00A96449">
        <w:t xml:space="preserve"> (50%) y</w:t>
      </w:r>
      <w:r w:rsidR="00C875BB" w:rsidRPr="00A96449">
        <w:t xml:space="preserve"> </w:t>
      </w:r>
      <w:r w:rsidR="00AD6593" w:rsidRPr="00A96449">
        <w:t xml:space="preserve">asuma a </w:t>
      </w:r>
      <w:r w:rsidRPr="00A96449">
        <w:t>0,4</w:t>
      </w:r>
      <w:r w:rsidR="00DF70A6" w:rsidRPr="00A96449">
        <w:t>64</w:t>
      </w:r>
      <w:r w:rsidRPr="00A96449">
        <w:t xml:space="preserve"> </w:t>
      </w:r>
      <w:r w:rsidRPr="00A96449">
        <w:lastRenderedPageBreak/>
        <w:t>toneladas de CO</w:t>
      </w:r>
      <w:r w:rsidRPr="00A96449">
        <w:rPr>
          <w:vertAlign w:val="subscript"/>
        </w:rPr>
        <w:t>2</w:t>
      </w:r>
      <w:r w:rsidR="00377956" w:rsidRPr="00A96449">
        <w:rPr>
          <w:vertAlign w:val="subscript"/>
        </w:rPr>
        <w:t>e</w:t>
      </w:r>
      <w:r w:rsidRPr="00A96449">
        <w:t xml:space="preserve"> por </w:t>
      </w:r>
      <w:proofErr w:type="spellStart"/>
      <w:r w:rsidRPr="00A96449">
        <w:t>MWh</w:t>
      </w:r>
      <w:proofErr w:type="spellEnd"/>
      <w:r w:rsidR="00F509FD">
        <w:t xml:space="preserve">. </w:t>
      </w:r>
      <w:r w:rsidR="00385836">
        <w:t xml:space="preserve">Le reducción de emisiones de GEI </w:t>
      </w:r>
      <w:r>
        <w:t xml:space="preserve">ha </w:t>
      </w:r>
      <w:r w:rsidRPr="00B34702">
        <w:t>sido valorad</w:t>
      </w:r>
      <w:r w:rsidR="00C75D49" w:rsidRPr="00B34702">
        <w:t>a</w:t>
      </w:r>
      <w:r w:rsidRPr="00B34702">
        <w:t xml:space="preserve"> a 25,0 US</w:t>
      </w:r>
      <w:r w:rsidR="004B509F" w:rsidRPr="00B34702">
        <w:t>$</w:t>
      </w:r>
      <w:r w:rsidRPr="00B34702">
        <w:t>/T</w:t>
      </w:r>
      <w:r w:rsidR="004B509F" w:rsidRPr="00B34702">
        <w:t>o</w:t>
      </w:r>
      <w:r w:rsidRPr="00B34702">
        <w:t>n CO</w:t>
      </w:r>
      <w:r w:rsidRPr="00B34702">
        <w:rPr>
          <w:vertAlign w:val="subscript"/>
        </w:rPr>
        <w:t>2</w:t>
      </w:r>
      <w:r w:rsidRPr="00B34702">
        <w:t xml:space="preserve"> con un crecimiento del orden de 2,2565% por año, como un valor conservador, considerando que el Banco Mundial</w:t>
      </w:r>
      <w:r>
        <w:t xml:space="preserve"> ha sugerido recientemente adoptar un valor de 40 US</w:t>
      </w:r>
      <w:r w:rsidR="004B509F">
        <w:t>$</w:t>
      </w:r>
      <w:r>
        <w:t>/T</w:t>
      </w:r>
      <w:r w:rsidR="004B509F">
        <w:t>o</w:t>
      </w:r>
      <w:r>
        <w:t>n CO</w:t>
      </w:r>
      <w:r w:rsidRPr="00EF0E04">
        <w:rPr>
          <w:vertAlign w:val="subscript"/>
        </w:rPr>
        <w:t>2</w:t>
      </w:r>
      <w:r>
        <w:t xml:space="preserve"> para el año 2020 y de US</w:t>
      </w:r>
      <w:r w:rsidR="004B509F">
        <w:t>$</w:t>
      </w:r>
      <w:r>
        <w:t xml:space="preserve"> 50/T</w:t>
      </w:r>
      <w:r w:rsidR="004B509F">
        <w:t>o</w:t>
      </w:r>
      <w:r>
        <w:t>n CO</w:t>
      </w:r>
      <w:r w:rsidRPr="00EF0E04">
        <w:rPr>
          <w:vertAlign w:val="subscript"/>
        </w:rPr>
        <w:t>2</w:t>
      </w:r>
      <w:r>
        <w:t xml:space="preserve"> para el 2030, con un crecimiento del orden de 2,2565% por año 1.</w:t>
      </w:r>
    </w:p>
    <w:p w14:paraId="7D41F5D4" w14:textId="6C3BEC83" w:rsidR="00C07890" w:rsidRDefault="00C07890" w:rsidP="00C07890">
      <w:pPr>
        <w:jc w:val="both"/>
      </w:pPr>
      <w:r>
        <w:t>Asimismo, atendiendo a las recientes estimaciones al respecto, como sensibilidad se ha asumido el costo de las emisiones de CO</w:t>
      </w:r>
      <w:r w:rsidRPr="00EF0E04">
        <w:rPr>
          <w:vertAlign w:val="subscript"/>
        </w:rPr>
        <w:t>2</w:t>
      </w:r>
      <w:r>
        <w:t xml:space="preserve"> de 40 US</w:t>
      </w:r>
      <w:r w:rsidR="00016170">
        <w:t>$</w:t>
      </w:r>
      <w:r>
        <w:t>/T</w:t>
      </w:r>
      <w:r w:rsidR="00016170">
        <w:t>o</w:t>
      </w:r>
      <w:r>
        <w:t>n CO</w:t>
      </w:r>
      <w:r w:rsidRPr="00EF0E04">
        <w:rPr>
          <w:vertAlign w:val="subscript"/>
        </w:rPr>
        <w:t>2</w:t>
      </w:r>
      <w:r>
        <w:t xml:space="preserve"> para el año 2020 a US</w:t>
      </w:r>
      <w:r w:rsidR="00016170">
        <w:t>$</w:t>
      </w:r>
      <w:r>
        <w:t xml:space="preserve"> 50/T</w:t>
      </w:r>
      <w:r w:rsidR="00016170">
        <w:t>o</w:t>
      </w:r>
      <w:r>
        <w:t>n CO</w:t>
      </w:r>
      <w:r w:rsidRPr="00EF0E04">
        <w:rPr>
          <w:vertAlign w:val="subscript"/>
        </w:rPr>
        <w:t>2</w:t>
      </w:r>
      <w:r>
        <w:t xml:space="preserve"> para el 2030, con un crecimiento del orden de 2,2565% por año.</w:t>
      </w:r>
    </w:p>
    <w:p w14:paraId="665C81C4" w14:textId="77777777" w:rsidR="00FB095D" w:rsidRDefault="009603F3" w:rsidP="00C07890">
      <w:pPr>
        <w:jc w:val="both"/>
      </w:pPr>
      <w:r w:rsidRPr="00C479AA">
        <w:t>Los cálculos realizados para evaluar las emisiones evitadas y/o reducidas con base a los datos del proyecto</w:t>
      </w:r>
      <w:r w:rsidR="007B6145">
        <w:t xml:space="preserve"> por parte del equipo de CSD/CCS</w:t>
      </w:r>
      <w:r w:rsidRPr="00C479AA">
        <w:t>:</w:t>
      </w:r>
    </w:p>
    <w:p w14:paraId="0D5642A1" w14:textId="5653A340" w:rsidR="009603F3" w:rsidRPr="00C479AA" w:rsidRDefault="009603F3" w:rsidP="00C07890">
      <w:pPr>
        <w:jc w:val="both"/>
      </w:pPr>
    </w:p>
    <w:p w14:paraId="042EF7C9" w14:textId="4218906F" w:rsidR="005B16CD" w:rsidRPr="00EF0E04" w:rsidRDefault="005B16CD" w:rsidP="005B16CD">
      <w:pPr>
        <w:pStyle w:val="Caption"/>
        <w:jc w:val="center"/>
        <w:rPr>
          <w:b/>
          <w:i w:val="0"/>
          <w:lang w:val="es-ES_tradnl"/>
        </w:rPr>
      </w:pPr>
      <w:r w:rsidRPr="00EF0E04">
        <w:rPr>
          <w:b/>
          <w:i w:val="0"/>
          <w:lang w:val="es-ES_tradnl"/>
        </w:rPr>
        <w:t xml:space="preserve">Tabla </w:t>
      </w:r>
      <w:r>
        <w:rPr>
          <w:b/>
          <w:i w:val="0"/>
          <w:noProof/>
        </w:rPr>
        <w:t>2</w:t>
      </w:r>
      <w:r w:rsidRPr="00EF0E04">
        <w:rPr>
          <w:b/>
          <w:i w:val="0"/>
          <w:lang w:val="es-ES_tradnl"/>
        </w:rPr>
        <w:t xml:space="preserve">. </w:t>
      </w:r>
      <w:proofErr w:type="gramStart"/>
      <w:r w:rsidR="00A00613" w:rsidRPr="00EF0E04">
        <w:rPr>
          <w:b/>
          <w:i w:val="0"/>
          <w:lang w:val="es-ES_tradnl"/>
        </w:rPr>
        <w:t>Total</w:t>
      </w:r>
      <w:proofErr w:type="gramEnd"/>
      <w:r w:rsidR="00A00613" w:rsidRPr="00EF0E04">
        <w:rPr>
          <w:b/>
          <w:i w:val="0"/>
          <w:lang w:val="es-ES_tradnl"/>
        </w:rPr>
        <w:t xml:space="preserve"> de emisiones e</w:t>
      </w:r>
      <w:r w:rsidR="00A00613">
        <w:rPr>
          <w:b/>
          <w:i w:val="0"/>
          <w:lang w:val="es-ES_tradnl"/>
        </w:rPr>
        <w:t>vitadas anuales y futuros.</w:t>
      </w:r>
    </w:p>
    <w:p w14:paraId="67FF08BE" w14:textId="5643F1A7" w:rsidR="00270C5E" w:rsidRDefault="003D38DC" w:rsidP="009603F3">
      <w:pPr>
        <w:jc w:val="both"/>
        <w:rPr>
          <w:sz w:val="16"/>
          <w:szCs w:val="16"/>
        </w:rPr>
      </w:pPr>
      <w:r w:rsidRPr="00A00613">
        <w:rPr>
          <w:noProof/>
        </w:rPr>
        <w:drawing>
          <wp:inline distT="0" distB="0" distL="0" distR="0" wp14:anchorId="719E5362" wp14:editId="079A78AD">
            <wp:extent cx="5387784" cy="1188720"/>
            <wp:effectExtent l="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784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1F3D0" w14:textId="4BA38EA6" w:rsidR="00C479AA" w:rsidRPr="005B16CD" w:rsidRDefault="00C479AA" w:rsidP="009603F3">
      <w:pPr>
        <w:jc w:val="both"/>
        <w:rPr>
          <w:sz w:val="16"/>
          <w:szCs w:val="16"/>
        </w:rPr>
      </w:pPr>
      <w:r w:rsidRPr="005B16CD">
        <w:rPr>
          <w:sz w:val="16"/>
          <w:szCs w:val="16"/>
        </w:rPr>
        <w:t>Fuente: CSD/CCS</w:t>
      </w:r>
      <w:r w:rsidR="00216D7C" w:rsidRPr="005B16CD">
        <w:rPr>
          <w:sz w:val="16"/>
          <w:szCs w:val="16"/>
        </w:rPr>
        <w:t xml:space="preserve"> para mayor detalle ver documento Excel </w:t>
      </w:r>
      <w:proofErr w:type="gramStart"/>
      <w:r w:rsidR="00216D7C" w:rsidRPr="005B16CD">
        <w:rPr>
          <w:sz w:val="16"/>
          <w:szCs w:val="16"/>
        </w:rPr>
        <w:t>LINK</w:t>
      </w:r>
      <w:proofErr w:type="gramEnd"/>
      <w:r w:rsidR="00D739F8">
        <w:rPr>
          <w:sz w:val="16"/>
          <w:szCs w:val="16"/>
        </w:rPr>
        <w:t>.</w:t>
      </w:r>
    </w:p>
    <w:p w14:paraId="6A7C3537" w14:textId="3E04C082" w:rsidR="00445C2C" w:rsidRDefault="009603F3" w:rsidP="00FE2724">
      <w:pPr>
        <w:jc w:val="both"/>
      </w:pPr>
      <w:r w:rsidRPr="00EF0E04">
        <w:t xml:space="preserve">En materia de adaptación, </w:t>
      </w:r>
      <w:r w:rsidR="00554A84" w:rsidRPr="00EF0E04">
        <w:t>el proyecto</w:t>
      </w:r>
      <w:r w:rsidR="00FE2724" w:rsidRPr="00EF0E04">
        <w:t xml:space="preserve"> tomar</w:t>
      </w:r>
      <w:r w:rsidR="00A00613">
        <w:t>á</w:t>
      </w:r>
      <w:r w:rsidR="00FE2724" w:rsidRPr="00EF0E04">
        <w:t xml:space="preserve"> en cuenta las conclusiones generales y regionales de la nota técnica del BID, </w:t>
      </w:r>
      <w:hyperlink r:id="rId20" w:history="1">
        <w:r w:rsidR="00FE2724" w:rsidRPr="00EF0E04">
          <w:rPr>
            <w:rStyle w:val="Hyperlink"/>
          </w:rPr>
          <w:t>“</w:t>
        </w:r>
        <w:r w:rsidR="00FE2724" w:rsidRPr="005B16CD">
          <w:rPr>
            <w:rStyle w:val="Hyperlink"/>
          </w:rPr>
          <w:t>El Sector hidroeléctrico en Latinoamérica: Desarrollo, potencial y perspectivas</w:t>
        </w:r>
        <w:r w:rsidR="006C65F8">
          <w:rPr>
            <w:rStyle w:val="FootnoteReference"/>
            <w:color w:val="0563C1" w:themeColor="hyperlink"/>
            <w:u w:val="single"/>
          </w:rPr>
          <w:footnoteReference w:id="4"/>
        </w:r>
        <w:r w:rsidR="00FE2724" w:rsidRPr="005B16CD">
          <w:rPr>
            <w:rStyle w:val="Hyperlink"/>
          </w:rPr>
          <w:t xml:space="preserve">” </w:t>
        </w:r>
      </w:hyperlink>
      <w:r w:rsidR="00FE2724" w:rsidRPr="00EF0E04">
        <w:t>donde se establece que habrá</w:t>
      </w:r>
      <w:r w:rsidR="00A00613">
        <w:t>n precipitaciones pluviales más intensas</w:t>
      </w:r>
      <w:r w:rsidR="00FE2724" w:rsidRPr="00EF0E04">
        <w:t xml:space="preserve">, lo cual supone un desafío del manejo del caudal y almacenamiento del agua, </w:t>
      </w:r>
      <w:r w:rsidR="00A00613">
        <w:t>sin embargo</w:t>
      </w:r>
      <w:r w:rsidR="00DF6F9E" w:rsidRPr="00EF0E04">
        <w:t xml:space="preserve"> habrá que prever los impactos </w:t>
      </w:r>
      <w:r w:rsidR="005B1F0C" w:rsidRPr="00EF0E04">
        <w:t>más</w:t>
      </w:r>
      <w:r w:rsidR="00DF6F9E" w:rsidRPr="00EF0E04">
        <w:t xml:space="preserve"> </w:t>
      </w:r>
      <w:r w:rsidR="005B1F0C" w:rsidRPr="00EF0E04">
        <w:t>graves de las sequias de más largo plazo, las cuales tienen un impacto sobre la producción eléctrica de las centrales. Un estudio de la Agencia Internacional de Energía</w:t>
      </w:r>
      <w:r w:rsidR="006C65F8">
        <w:rPr>
          <w:rStyle w:val="FootnoteReference"/>
        </w:rPr>
        <w:footnoteReference w:id="5"/>
      </w:r>
      <w:r w:rsidR="005B1F0C" w:rsidRPr="00EF0E04">
        <w:t xml:space="preserve"> (IEA, por sus siglas en inglés) establece que en promedio Paraguay sufrirá de una reducción de las precipitaciones, </w:t>
      </w:r>
      <w:r w:rsidR="00A00613">
        <w:t xml:space="preserve">por lo que propone </w:t>
      </w:r>
      <w:r w:rsidR="00EF0E04">
        <w:t xml:space="preserve">que todas nuevas inversiones en el sector tengan en cuentan </w:t>
      </w:r>
      <w:r w:rsidR="00A00613">
        <w:t xml:space="preserve">el desarrollo </w:t>
      </w:r>
      <w:r w:rsidR="00D739F8">
        <w:t>d</w:t>
      </w:r>
      <w:r w:rsidR="00EF0E04">
        <w:t xml:space="preserve">e evaluaciones sobre la </w:t>
      </w:r>
      <w:r w:rsidR="00D739F8">
        <w:t xml:space="preserve">reducción </w:t>
      </w:r>
      <w:r w:rsidR="005B1F0C" w:rsidRPr="00EF0E04">
        <w:t xml:space="preserve">a nivel local para cada una de las centrales del país. </w:t>
      </w:r>
    </w:p>
    <w:p w14:paraId="7F1617C5" w14:textId="7B8AAE7C" w:rsidR="009603F3" w:rsidRDefault="005B1F0C" w:rsidP="00445C2C">
      <w:pPr>
        <w:jc w:val="both"/>
      </w:pPr>
      <w:r>
        <w:t>S</w:t>
      </w:r>
      <w:r w:rsidR="00FE2724">
        <w:t>egún la Tercera Comunicación Nacional del país, l</w:t>
      </w:r>
      <w:r w:rsidR="00445C2C">
        <w:t>as zonas más afectadas por el fenómeno de La Niña (que genera escasez de</w:t>
      </w:r>
      <w:r w:rsidR="00FE2724">
        <w:t xml:space="preserve"> </w:t>
      </w:r>
      <w:r w:rsidR="00445C2C">
        <w:t xml:space="preserve">precipitaciones y sequías) son </w:t>
      </w:r>
      <w:r w:rsidR="00FE2724">
        <w:t>la región Occidental, e</w:t>
      </w:r>
      <w:r w:rsidR="00445C2C">
        <w:t>l Chaco Central y la zona del río Pilcomayo,</w:t>
      </w:r>
      <w:r w:rsidR="00FE2724">
        <w:t xml:space="preserve"> </w:t>
      </w:r>
      <w:r w:rsidR="00445C2C">
        <w:t xml:space="preserve">los distritos de Irala Fernández y Mariscal Estigarribia. </w:t>
      </w:r>
    </w:p>
    <w:p w14:paraId="5F7C105B" w14:textId="4801126A" w:rsidR="00985B8E" w:rsidRPr="00EF0E04" w:rsidRDefault="00985B8E" w:rsidP="00985B8E">
      <w:pPr>
        <w:pStyle w:val="Heading2"/>
        <w:rPr>
          <w:b/>
        </w:rPr>
      </w:pPr>
      <w:r w:rsidRPr="00EF0E04">
        <w:rPr>
          <w:b/>
        </w:rPr>
        <w:t xml:space="preserve">Financiamiento </w:t>
      </w:r>
      <w:r w:rsidR="00C479AA" w:rsidRPr="00EF0E04">
        <w:rPr>
          <w:b/>
        </w:rPr>
        <w:t>Climático</w:t>
      </w:r>
    </w:p>
    <w:p w14:paraId="25A0B8C1" w14:textId="77777777" w:rsidR="00D739F8" w:rsidRDefault="00D739F8" w:rsidP="00C479AA">
      <w:pPr>
        <w:pStyle w:val="Caption"/>
        <w:keepNext/>
        <w:jc w:val="both"/>
        <w:rPr>
          <w:i w:val="0"/>
          <w:iCs w:val="0"/>
          <w:color w:val="auto"/>
          <w:sz w:val="22"/>
          <w:szCs w:val="22"/>
          <w:lang w:val="es-ES_tradnl"/>
        </w:rPr>
      </w:pPr>
    </w:p>
    <w:p w14:paraId="44BC8471" w14:textId="5CA44966" w:rsidR="00985B8E" w:rsidRPr="00C479AA" w:rsidRDefault="00985B8E" w:rsidP="00C479AA">
      <w:pPr>
        <w:pStyle w:val="Caption"/>
        <w:keepNext/>
        <w:jc w:val="both"/>
        <w:rPr>
          <w:color w:val="auto"/>
          <w:sz w:val="22"/>
          <w:szCs w:val="22"/>
        </w:rPr>
      </w:pPr>
      <w:r w:rsidRPr="00C479AA">
        <w:rPr>
          <w:i w:val="0"/>
          <w:iCs w:val="0"/>
          <w:color w:val="auto"/>
          <w:sz w:val="22"/>
          <w:szCs w:val="22"/>
          <w:lang w:val="es-ES_tradnl"/>
        </w:rPr>
        <w:t xml:space="preserve">El 100% de los recursos de la operación se invierten en actividades de mitigación al cambio climático, según la </w:t>
      </w:r>
      <w:hyperlink r:id="rId21" w:history="1">
        <w:r w:rsidRPr="00C479AA">
          <w:rPr>
            <w:rStyle w:val="Hyperlink"/>
            <w:i w:val="0"/>
            <w:iCs w:val="0"/>
            <w:color w:val="4472C4" w:themeColor="accent1"/>
            <w:sz w:val="22"/>
            <w:szCs w:val="22"/>
            <w:lang w:val="es-ES_tradnl"/>
          </w:rPr>
          <w:t>metodología conjunta de los BMD de estimación de financiamiento climático</w:t>
        </w:r>
      </w:hyperlink>
      <w:r w:rsidRPr="00C479AA">
        <w:rPr>
          <w:i w:val="0"/>
          <w:iCs w:val="0"/>
          <w:color w:val="auto"/>
          <w:sz w:val="22"/>
          <w:szCs w:val="22"/>
          <w:lang w:val="es-ES_tradnl"/>
        </w:rPr>
        <w:t xml:space="preserve">. Estos recursos contribuyen a la meta del Grupo BID de aumentar el financiamiento de proyectos </w:t>
      </w:r>
      <w:r w:rsidRPr="00C479AA">
        <w:rPr>
          <w:i w:val="0"/>
          <w:iCs w:val="0"/>
          <w:color w:val="auto"/>
          <w:sz w:val="22"/>
          <w:szCs w:val="22"/>
          <w:lang w:val="es-ES_tradnl"/>
        </w:rPr>
        <w:lastRenderedPageBreak/>
        <w:t>relacionados con el cambio climático a un 30% de todas las aprobaciones de operaciones a fin de año 2020</w:t>
      </w:r>
      <w:r w:rsidR="00C479AA">
        <w:rPr>
          <w:i w:val="0"/>
          <w:iCs w:val="0"/>
          <w:color w:val="auto"/>
          <w:sz w:val="22"/>
          <w:szCs w:val="22"/>
          <w:lang w:val="es-ES_tradnl"/>
        </w:rPr>
        <w:t xml:space="preserve">. </w:t>
      </w:r>
      <w:r w:rsidRPr="00C479AA">
        <w:rPr>
          <w:color w:val="auto"/>
          <w:sz w:val="22"/>
          <w:szCs w:val="22"/>
        </w:rPr>
        <w:t xml:space="preserve"> </w:t>
      </w:r>
    </w:p>
    <w:p w14:paraId="5D01761C" w14:textId="77777777" w:rsidR="006E7F10" w:rsidRDefault="006E7F10" w:rsidP="00EF0E04">
      <w:pPr>
        <w:pStyle w:val="Caption"/>
        <w:keepNext/>
        <w:jc w:val="center"/>
        <w:rPr>
          <w:b/>
          <w:i w:val="0"/>
        </w:rPr>
      </w:pPr>
    </w:p>
    <w:p w14:paraId="2605E0C4" w14:textId="05710CB7" w:rsidR="00161476" w:rsidRDefault="00161476" w:rsidP="00EF0E04">
      <w:pPr>
        <w:pStyle w:val="Caption"/>
        <w:keepNext/>
        <w:jc w:val="center"/>
        <w:rPr>
          <w:b/>
          <w:i w:val="0"/>
        </w:rPr>
      </w:pPr>
      <w:r w:rsidRPr="00EF0E04">
        <w:rPr>
          <w:b/>
          <w:i w:val="0"/>
        </w:rPr>
        <w:t xml:space="preserve">Tabla </w:t>
      </w:r>
      <w:r w:rsidR="00D739F8">
        <w:rPr>
          <w:b/>
          <w:i w:val="0"/>
          <w:noProof/>
        </w:rPr>
        <w:t>3.</w:t>
      </w:r>
      <w:r w:rsidR="00D739F8">
        <w:rPr>
          <w:b/>
          <w:i w:val="0"/>
        </w:rPr>
        <w:t xml:space="preserve"> </w:t>
      </w:r>
      <w:r w:rsidR="00306839" w:rsidRPr="00EF0E04">
        <w:rPr>
          <w:b/>
          <w:i w:val="0"/>
        </w:rPr>
        <w:t>PR</w:t>
      </w:r>
      <w:r w:rsidRPr="00EF0E04">
        <w:rPr>
          <w:b/>
          <w:i w:val="0"/>
        </w:rPr>
        <w:t>-L11</w:t>
      </w:r>
      <w:r w:rsidR="00306839" w:rsidRPr="00EF0E04">
        <w:rPr>
          <w:b/>
          <w:i w:val="0"/>
        </w:rPr>
        <w:t>56</w:t>
      </w:r>
      <w:r w:rsidRPr="00EF0E04">
        <w:rPr>
          <w:b/>
          <w:i w:val="0"/>
        </w:rPr>
        <w:t xml:space="preserve"> Cuantificación del Financiamiento Clim</w:t>
      </w:r>
      <w:r w:rsidR="00D739F8">
        <w:rPr>
          <w:b/>
          <w:i w:val="0"/>
        </w:rPr>
        <w:t>á</w:t>
      </w:r>
      <w:r w:rsidRPr="00EF0E04">
        <w:rPr>
          <w:b/>
          <w:i w:val="0"/>
        </w:rPr>
        <w:t>tico</w:t>
      </w:r>
      <w:r w:rsidR="00D739F8">
        <w:rPr>
          <w:b/>
          <w:i w:val="0"/>
        </w:rPr>
        <w:t>.</w:t>
      </w:r>
    </w:p>
    <w:tbl>
      <w:tblPr>
        <w:tblStyle w:val="TableGrid"/>
        <w:tblW w:w="8185" w:type="dxa"/>
        <w:tblInd w:w="445" w:type="dxa"/>
        <w:tblLayout w:type="fixed"/>
        <w:tblLook w:val="04A0" w:firstRow="1" w:lastRow="0" w:firstColumn="1" w:lastColumn="0" w:noHBand="0" w:noVBand="1"/>
      </w:tblPr>
      <w:tblGrid>
        <w:gridCol w:w="3330"/>
        <w:gridCol w:w="1800"/>
        <w:gridCol w:w="1620"/>
        <w:gridCol w:w="1435"/>
      </w:tblGrid>
      <w:tr w:rsidR="008509D6" w:rsidRPr="00D37C67" w14:paraId="5E873D49" w14:textId="77777777" w:rsidTr="006E7F10">
        <w:trPr>
          <w:trHeight w:val="512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4308622F" w14:textId="77777777" w:rsidR="008509D6" w:rsidRPr="00D37C67" w:rsidRDefault="008509D6" w:rsidP="003F5494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37C67">
              <w:rPr>
                <w:rFonts w:ascii="Arial" w:hAnsi="Arial" w:cs="Arial"/>
                <w:b/>
                <w:sz w:val="18"/>
              </w:rPr>
              <w:t>Componente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33AB8775" w14:textId="77777777" w:rsidR="008509D6" w:rsidRPr="00D37C67" w:rsidRDefault="008509D6" w:rsidP="003F5494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37C67">
              <w:rPr>
                <w:rFonts w:ascii="Arial" w:hAnsi="Arial" w:cs="Arial"/>
                <w:b/>
                <w:sz w:val="18"/>
              </w:rPr>
              <w:t>Préstamo BID (CO)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567859EF" w14:textId="77777777" w:rsidR="008509D6" w:rsidRPr="00D37C67" w:rsidRDefault="008509D6" w:rsidP="003F5494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37C67">
              <w:rPr>
                <w:rFonts w:ascii="Arial" w:hAnsi="Arial" w:cs="Arial"/>
                <w:b/>
                <w:sz w:val="18"/>
              </w:rPr>
              <w:t>Contrapartida local</w:t>
            </w: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14:paraId="621F1C22" w14:textId="77777777" w:rsidR="008509D6" w:rsidRPr="00D37C67" w:rsidRDefault="008509D6" w:rsidP="003F5494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37C67">
              <w:rPr>
                <w:rFonts w:ascii="Arial" w:hAnsi="Arial" w:cs="Arial"/>
                <w:b/>
                <w:sz w:val="18"/>
              </w:rPr>
              <w:t>Total</w:t>
            </w:r>
          </w:p>
        </w:tc>
      </w:tr>
      <w:tr w:rsidR="008509D6" w:rsidRPr="00D37C67" w14:paraId="6EB35A8A" w14:textId="77777777" w:rsidTr="006E7F10">
        <w:trPr>
          <w:trHeight w:val="512"/>
        </w:trPr>
        <w:tc>
          <w:tcPr>
            <w:tcW w:w="3330" w:type="dxa"/>
            <w:vAlign w:val="center"/>
          </w:tcPr>
          <w:p w14:paraId="0546F9CE" w14:textId="77777777" w:rsidR="008509D6" w:rsidRPr="00D37C67" w:rsidRDefault="008509D6" w:rsidP="003F5494">
            <w:pPr>
              <w:rPr>
                <w:rFonts w:ascii="Arial" w:hAnsi="Arial" w:cs="Arial"/>
                <w:sz w:val="18"/>
              </w:rPr>
            </w:pPr>
            <w:r w:rsidRPr="00D37C67">
              <w:rPr>
                <w:rFonts w:ascii="Arial" w:hAnsi="Arial" w:cs="Arial"/>
                <w:sz w:val="18"/>
              </w:rPr>
              <w:t>C</w:t>
            </w:r>
            <w:r>
              <w:rPr>
                <w:rFonts w:ascii="Arial" w:hAnsi="Arial" w:cs="Arial"/>
                <w:sz w:val="18"/>
              </w:rPr>
              <w:t>I</w:t>
            </w:r>
            <w:r w:rsidRPr="00D37C67">
              <w:rPr>
                <w:rFonts w:ascii="Arial" w:hAnsi="Arial" w:cs="Arial"/>
                <w:sz w:val="18"/>
              </w:rPr>
              <w:t xml:space="preserve"> - Inversiones para rehabilitación y modernización de la central</w:t>
            </w:r>
          </w:p>
        </w:tc>
        <w:tc>
          <w:tcPr>
            <w:tcW w:w="1800" w:type="dxa"/>
            <w:vAlign w:val="center"/>
          </w:tcPr>
          <w:p w14:paraId="0EEA16FA" w14:textId="77777777" w:rsidR="008509D6" w:rsidRPr="00D37C67" w:rsidRDefault="008509D6" w:rsidP="003F5494">
            <w:pPr>
              <w:jc w:val="right"/>
              <w:rPr>
                <w:rFonts w:ascii="Arial" w:hAnsi="Arial" w:cs="Arial"/>
                <w:sz w:val="18"/>
              </w:rPr>
            </w:pPr>
            <w:r w:rsidRPr="00D37C67">
              <w:rPr>
                <w:rFonts w:ascii="Arial" w:hAnsi="Arial" w:cs="Arial"/>
                <w:sz w:val="18"/>
              </w:rPr>
              <w:t>115.000.000</w:t>
            </w:r>
          </w:p>
        </w:tc>
        <w:tc>
          <w:tcPr>
            <w:tcW w:w="1620" w:type="dxa"/>
            <w:vAlign w:val="center"/>
          </w:tcPr>
          <w:p w14:paraId="45801EB5" w14:textId="77777777" w:rsidR="008509D6" w:rsidRPr="00D37C67" w:rsidRDefault="008509D6" w:rsidP="003F5494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18.807.200</w:t>
            </w:r>
          </w:p>
        </w:tc>
        <w:tc>
          <w:tcPr>
            <w:tcW w:w="1435" w:type="dxa"/>
            <w:vAlign w:val="center"/>
          </w:tcPr>
          <w:p w14:paraId="5F26CDD5" w14:textId="77777777" w:rsidR="008509D6" w:rsidRPr="00D37C67" w:rsidRDefault="008509D6" w:rsidP="003F5494">
            <w:pPr>
              <w:ind w:left="-6124"/>
              <w:jc w:val="right"/>
              <w:rPr>
                <w:rFonts w:ascii="Arial" w:hAnsi="Arial" w:cs="Arial"/>
                <w:sz w:val="18"/>
              </w:rPr>
            </w:pPr>
            <w:r w:rsidRPr="00D37C67"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>3.807.200</w:t>
            </w:r>
          </w:p>
        </w:tc>
      </w:tr>
      <w:tr w:rsidR="008509D6" w:rsidRPr="00D37C67" w14:paraId="5255C33E" w14:textId="77777777" w:rsidTr="006E7F10">
        <w:trPr>
          <w:trHeight w:val="350"/>
        </w:trPr>
        <w:tc>
          <w:tcPr>
            <w:tcW w:w="3330" w:type="dxa"/>
            <w:vAlign w:val="center"/>
          </w:tcPr>
          <w:p w14:paraId="71A54B21" w14:textId="77777777" w:rsidR="008509D6" w:rsidRPr="00D37C67" w:rsidRDefault="008509D6" w:rsidP="003F5494">
            <w:pPr>
              <w:rPr>
                <w:rFonts w:ascii="Arial" w:hAnsi="Arial" w:cs="Arial"/>
                <w:sz w:val="18"/>
              </w:rPr>
            </w:pPr>
            <w:r w:rsidRPr="00D37C67">
              <w:rPr>
                <w:rFonts w:ascii="Arial" w:hAnsi="Arial" w:cs="Arial"/>
                <w:sz w:val="18"/>
              </w:rPr>
              <w:t>C</w:t>
            </w:r>
            <w:r>
              <w:rPr>
                <w:rFonts w:ascii="Arial" w:hAnsi="Arial" w:cs="Arial"/>
                <w:sz w:val="18"/>
              </w:rPr>
              <w:t>II</w:t>
            </w:r>
            <w:r w:rsidRPr="00D37C67">
              <w:rPr>
                <w:rFonts w:ascii="Arial" w:hAnsi="Arial" w:cs="Arial"/>
                <w:sz w:val="18"/>
              </w:rPr>
              <w:t xml:space="preserve"> – Apoyo a la gestión, capacitación, género y acciones complementarias</w:t>
            </w:r>
          </w:p>
        </w:tc>
        <w:tc>
          <w:tcPr>
            <w:tcW w:w="1800" w:type="dxa"/>
            <w:vAlign w:val="center"/>
          </w:tcPr>
          <w:p w14:paraId="6D401983" w14:textId="77777777" w:rsidR="008509D6" w:rsidRPr="00D37C67" w:rsidRDefault="008509D6" w:rsidP="003F5494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8.100.000</w:t>
            </w:r>
          </w:p>
        </w:tc>
        <w:tc>
          <w:tcPr>
            <w:tcW w:w="1620" w:type="dxa"/>
            <w:vAlign w:val="center"/>
          </w:tcPr>
          <w:p w14:paraId="4F1F9F6A" w14:textId="77777777" w:rsidR="008509D6" w:rsidRPr="00D37C67" w:rsidRDefault="008509D6" w:rsidP="003F5494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1.203.120</w:t>
            </w:r>
          </w:p>
        </w:tc>
        <w:tc>
          <w:tcPr>
            <w:tcW w:w="1435" w:type="dxa"/>
            <w:vAlign w:val="center"/>
          </w:tcPr>
          <w:p w14:paraId="0B3383D9" w14:textId="77777777" w:rsidR="008509D6" w:rsidRPr="00D37C67" w:rsidRDefault="008509D6" w:rsidP="003F5494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9.303.120</w:t>
            </w:r>
          </w:p>
        </w:tc>
      </w:tr>
      <w:tr w:rsidR="008509D6" w:rsidRPr="00D37C67" w14:paraId="096CD15C" w14:textId="77777777" w:rsidTr="006E7F10">
        <w:trPr>
          <w:trHeight w:val="350"/>
        </w:trPr>
        <w:tc>
          <w:tcPr>
            <w:tcW w:w="3330" w:type="dxa"/>
            <w:vAlign w:val="center"/>
          </w:tcPr>
          <w:p w14:paraId="3F301031" w14:textId="77777777" w:rsidR="008509D6" w:rsidRPr="00D37C67" w:rsidRDefault="008509D6" w:rsidP="003F5494">
            <w:pPr>
              <w:rPr>
                <w:rFonts w:ascii="Arial" w:hAnsi="Arial" w:cs="Arial"/>
                <w:sz w:val="18"/>
              </w:rPr>
            </w:pPr>
            <w:r w:rsidRPr="00D37C67">
              <w:rPr>
                <w:rFonts w:ascii="Arial" w:hAnsi="Arial" w:cs="Arial"/>
                <w:sz w:val="18"/>
              </w:rPr>
              <w:t>Administración, monitoreo y evaluación</w:t>
            </w:r>
          </w:p>
        </w:tc>
        <w:tc>
          <w:tcPr>
            <w:tcW w:w="1800" w:type="dxa"/>
            <w:vAlign w:val="center"/>
          </w:tcPr>
          <w:p w14:paraId="31EA0C81" w14:textId="77777777" w:rsidR="008509D6" w:rsidRPr="00D37C67" w:rsidRDefault="008509D6" w:rsidP="003F5494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1.900.000</w:t>
            </w:r>
          </w:p>
        </w:tc>
        <w:tc>
          <w:tcPr>
            <w:tcW w:w="1620" w:type="dxa"/>
            <w:vAlign w:val="center"/>
          </w:tcPr>
          <w:p w14:paraId="7AEE8F7F" w14:textId="77777777" w:rsidR="008509D6" w:rsidRPr="00D37C67" w:rsidRDefault="008509D6" w:rsidP="003F5494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190.000</w:t>
            </w:r>
          </w:p>
        </w:tc>
        <w:tc>
          <w:tcPr>
            <w:tcW w:w="1435" w:type="dxa"/>
            <w:vAlign w:val="center"/>
          </w:tcPr>
          <w:p w14:paraId="2D03E4C9" w14:textId="77777777" w:rsidR="008509D6" w:rsidRPr="00D37C67" w:rsidRDefault="008509D6" w:rsidP="003F5494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2.090.000</w:t>
            </w:r>
          </w:p>
        </w:tc>
      </w:tr>
      <w:tr w:rsidR="008509D6" w:rsidRPr="00D37C67" w14:paraId="0F06DB24" w14:textId="77777777" w:rsidTr="006E7F10">
        <w:trPr>
          <w:trHeight w:val="377"/>
        </w:trPr>
        <w:tc>
          <w:tcPr>
            <w:tcW w:w="3330" w:type="dxa"/>
            <w:vAlign w:val="center"/>
          </w:tcPr>
          <w:p w14:paraId="2EA85DD6" w14:textId="77777777" w:rsidR="008509D6" w:rsidRPr="00D37C67" w:rsidRDefault="008509D6" w:rsidP="003F5494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D37C67">
              <w:rPr>
                <w:rFonts w:ascii="Arial" w:hAnsi="Arial" w:cs="Arial"/>
                <w:b/>
                <w:sz w:val="18"/>
              </w:rPr>
              <w:t>Total</w:t>
            </w:r>
          </w:p>
        </w:tc>
        <w:tc>
          <w:tcPr>
            <w:tcW w:w="1800" w:type="dxa"/>
            <w:vAlign w:val="center"/>
          </w:tcPr>
          <w:p w14:paraId="0C24A30D" w14:textId="77777777" w:rsidR="008509D6" w:rsidRPr="00D37C67" w:rsidRDefault="008509D6" w:rsidP="003F5494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D37C67">
              <w:rPr>
                <w:rFonts w:ascii="Arial" w:hAnsi="Arial" w:cs="Arial"/>
                <w:b/>
                <w:sz w:val="18"/>
              </w:rPr>
              <w:t>125.000.000</w:t>
            </w:r>
          </w:p>
        </w:tc>
        <w:tc>
          <w:tcPr>
            <w:tcW w:w="1620" w:type="dxa"/>
            <w:vAlign w:val="center"/>
          </w:tcPr>
          <w:p w14:paraId="748FE80F" w14:textId="77777777" w:rsidR="008509D6" w:rsidRPr="00D37C67" w:rsidRDefault="008509D6" w:rsidP="003F5494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D37C67">
              <w:rPr>
                <w:rFonts w:ascii="Arial" w:hAnsi="Arial" w:cs="Arial"/>
                <w:b/>
                <w:sz w:val="18"/>
              </w:rPr>
              <w:t>20.200.320</w:t>
            </w:r>
          </w:p>
        </w:tc>
        <w:tc>
          <w:tcPr>
            <w:tcW w:w="1435" w:type="dxa"/>
            <w:vAlign w:val="center"/>
          </w:tcPr>
          <w:p w14:paraId="4FC68C72" w14:textId="77777777" w:rsidR="008509D6" w:rsidRPr="00D37C67" w:rsidRDefault="008509D6" w:rsidP="003F5494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D37C67">
              <w:rPr>
                <w:rFonts w:ascii="Arial" w:hAnsi="Arial" w:cs="Arial"/>
                <w:b/>
                <w:sz w:val="18"/>
              </w:rPr>
              <w:t>145.200.320</w:t>
            </w:r>
          </w:p>
        </w:tc>
      </w:tr>
      <w:tr w:rsidR="006E7F10" w:rsidRPr="00306839" w14:paraId="6185B5D1" w14:textId="77777777" w:rsidTr="006E7F10">
        <w:trPr>
          <w:trHeight w:val="377"/>
        </w:trPr>
        <w:tc>
          <w:tcPr>
            <w:tcW w:w="3330" w:type="dxa"/>
            <w:shd w:val="clear" w:color="auto" w:fill="E2EFD9" w:themeFill="accent6" w:themeFillTint="33"/>
          </w:tcPr>
          <w:p w14:paraId="75972AE3" w14:textId="77777777" w:rsidR="006E7F10" w:rsidRDefault="006E7F10" w:rsidP="003F5494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</w:p>
          <w:p w14:paraId="61561047" w14:textId="3AAFD26B" w:rsidR="006E7F10" w:rsidRPr="00306839" w:rsidRDefault="006E7F10" w:rsidP="003F5494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Financiamiento </w:t>
            </w:r>
            <w:r>
              <w:rPr>
                <w:b/>
                <w:sz w:val="18"/>
                <w:szCs w:val="18"/>
              </w:rPr>
              <w:t>Climático</w:t>
            </w:r>
            <w:r>
              <w:rPr>
                <w:b/>
                <w:sz w:val="18"/>
                <w:szCs w:val="18"/>
              </w:rPr>
              <w:t xml:space="preserve"> Total</w:t>
            </w:r>
          </w:p>
        </w:tc>
        <w:tc>
          <w:tcPr>
            <w:tcW w:w="1800" w:type="dxa"/>
            <w:shd w:val="clear" w:color="auto" w:fill="E2EFD9" w:themeFill="accent6" w:themeFillTint="33"/>
          </w:tcPr>
          <w:p w14:paraId="3DBB5726" w14:textId="77777777" w:rsidR="006E7F10" w:rsidRDefault="006E7F10" w:rsidP="003F5494">
            <w:pPr>
              <w:spacing w:after="160" w:line="259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b/>
                <w:sz w:val="18"/>
                <w:szCs w:val="18"/>
              </w:rPr>
              <w:t>USD $</w:t>
            </w:r>
            <w:r w:rsidRPr="008A19DC">
              <w:rPr>
                <w:rFonts w:ascii="Arial" w:hAnsi="Arial" w:cs="Arial"/>
                <w:b/>
                <w:sz w:val="18"/>
              </w:rPr>
              <w:t>125.000.000</w:t>
            </w:r>
          </w:p>
          <w:p w14:paraId="570B2119" w14:textId="77777777" w:rsidR="006E7F10" w:rsidRPr="00306839" w:rsidRDefault="006E7F10" w:rsidP="003F5494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(100%)</w:t>
            </w:r>
          </w:p>
        </w:tc>
        <w:tc>
          <w:tcPr>
            <w:tcW w:w="1620" w:type="dxa"/>
          </w:tcPr>
          <w:p w14:paraId="6101A32F" w14:textId="77777777" w:rsidR="006E7F10" w:rsidRPr="00306839" w:rsidRDefault="006E7F10" w:rsidP="003F5494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</w:tcPr>
          <w:p w14:paraId="16DE1985" w14:textId="77777777" w:rsidR="006E7F10" w:rsidRPr="00306839" w:rsidRDefault="006E7F10" w:rsidP="003F5494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626BC058" w14:textId="5ABED86B" w:rsidR="008509D6" w:rsidRDefault="008509D6" w:rsidP="008509D6"/>
    <w:p w14:paraId="668162A7" w14:textId="0CB27C15" w:rsidR="008509D6" w:rsidRDefault="008509D6" w:rsidP="008509D6"/>
    <w:p w14:paraId="364EFC2F" w14:textId="0F2D66A7" w:rsidR="008509D6" w:rsidRDefault="008509D6" w:rsidP="008509D6"/>
    <w:p w14:paraId="5BC7C465" w14:textId="19C64B95" w:rsidR="008509D6" w:rsidRDefault="008509D6" w:rsidP="008509D6"/>
    <w:p w14:paraId="674E5464" w14:textId="77777777" w:rsidR="008509D6" w:rsidRPr="008509D6" w:rsidRDefault="008509D6" w:rsidP="008509D6"/>
    <w:p w14:paraId="4A8C7394" w14:textId="55E493CF" w:rsidR="00E87C68" w:rsidRPr="00E87C68" w:rsidRDefault="00E87C68" w:rsidP="00E87C68">
      <w:bookmarkStart w:id="3" w:name="_GoBack"/>
      <w:bookmarkEnd w:id="3"/>
    </w:p>
    <w:sectPr w:rsidR="00E87C68" w:rsidRPr="00E87C68" w:rsidSect="00EF0E04">
      <w:headerReference w:type="default" r:id="rId22"/>
      <w:pgSz w:w="11906" w:h="16838"/>
      <w:pgMar w:top="1080" w:right="1699" w:bottom="630" w:left="1699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C4D6A" w14:textId="77777777" w:rsidR="00CE1A5E" w:rsidRDefault="00CE1A5E" w:rsidP="001A4366">
      <w:pPr>
        <w:spacing w:after="0" w:line="240" w:lineRule="auto"/>
      </w:pPr>
      <w:r>
        <w:separator/>
      </w:r>
    </w:p>
  </w:endnote>
  <w:endnote w:type="continuationSeparator" w:id="0">
    <w:p w14:paraId="4654A172" w14:textId="77777777" w:rsidR="00CE1A5E" w:rsidRDefault="00CE1A5E" w:rsidP="001A4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2A164" w14:textId="77777777" w:rsidR="00CE1A5E" w:rsidRDefault="00CE1A5E" w:rsidP="001A4366">
      <w:pPr>
        <w:spacing w:after="0" w:line="240" w:lineRule="auto"/>
      </w:pPr>
      <w:r>
        <w:separator/>
      </w:r>
    </w:p>
  </w:footnote>
  <w:footnote w:type="continuationSeparator" w:id="0">
    <w:p w14:paraId="27246F86" w14:textId="77777777" w:rsidR="00CE1A5E" w:rsidRDefault="00CE1A5E" w:rsidP="001A4366">
      <w:pPr>
        <w:spacing w:after="0" w:line="240" w:lineRule="auto"/>
      </w:pPr>
      <w:r>
        <w:continuationSeparator/>
      </w:r>
    </w:p>
  </w:footnote>
  <w:footnote w:id="1">
    <w:p w14:paraId="5581F5FA" w14:textId="55034EF3" w:rsidR="00035673" w:rsidRPr="00EF0E04" w:rsidRDefault="00035673">
      <w:pPr>
        <w:pStyle w:val="FootnoteText"/>
        <w:rPr>
          <w:rFonts w:ascii="Arial Narrow" w:hAnsi="Arial Narrow" w:cstheme="minorHAnsi"/>
          <w:sz w:val="18"/>
          <w:lang w:val="en-US"/>
        </w:rPr>
      </w:pPr>
      <w:r w:rsidRPr="00EF0E04">
        <w:rPr>
          <w:rStyle w:val="FootnoteReference"/>
          <w:rFonts w:ascii="Arial Narrow" w:hAnsi="Arial Narrow" w:cstheme="minorHAnsi"/>
          <w:sz w:val="18"/>
        </w:rPr>
        <w:footnoteRef/>
      </w:r>
      <w:r w:rsidRPr="00EF0E04">
        <w:rPr>
          <w:rFonts w:ascii="Arial Narrow" w:hAnsi="Arial Narrow" w:cstheme="minorHAnsi"/>
          <w:sz w:val="18"/>
        </w:rPr>
        <w:t xml:space="preserve"> </w:t>
      </w:r>
      <w:hyperlink r:id="rId1" w:history="1">
        <w:r w:rsidRPr="00EF0E04">
          <w:rPr>
            <w:rStyle w:val="Hyperlink"/>
            <w:rFonts w:ascii="Arial Narrow" w:hAnsi="Arial Narrow" w:cstheme="minorHAnsi"/>
            <w:sz w:val="18"/>
          </w:rPr>
          <w:t>http://www4.unfccc.int/ndcregistry/PublishedDocuments/Paraguay%20First/Documento%20INDC%20Paraguay%2001-10-15.pdf</w:t>
        </w:r>
      </w:hyperlink>
      <w:r w:rsidRPr="00EF0E04">
        <w:rPr>
          <w:rFonts w:ascii="Arial Narrow" w:hAnsi="Arial Narrow" w:cstheme="minorHAnsi"/>
          <w:sz w:val="18"/>
        </w:rPr>
        <w:t xml:space="preserve"> </w:t>
      </w:r>
    </w:p>
  </w:footnote>
  <w:footnote w:id="2">
    <w:p w14:paraId="2C4CB914" w14:textId="03EFE553" w:rsidR="000712FD" w:rsidRPr="00EF0E04" w:rsidRDefault="000712FD">
      <w:pPr>
        <w:pStyle w:val="FootnoteText"/>
        <w:rPr>
          <w:lang w:val="en-US"/>
        </w:rPr>
      </w:pPr>
      <w:r w:rsidRPr="00EF0E04">
        <w:rPr>
          <w:rStyle w:val="FootnoteReference"/>
          <w:rFonts w:ascii="Arial Narrow" w:hAnsi="Arial Narrow" w:cstheme="minorHAnsi"/>
          <w:sz w:val="18"/>
        </w:rPr>
        <w:footnoteRef/>
      </w:r>
      <w:r w:rsidRPr="00EF0E04">
        <w:rPr>
          <w:rFonts w:ascii="Arial Narrow" w:hAnsi="Arial Narrow" w:cstheme="minorHAnsi"/>
          <w:sz w:val="18"/>
          <w:lang w:val="en-US"/>
        </w:rPr>
        <w:t xml:space="preserve"> </w:t>
      </w:r>
      <w:hyperlink r:id="rId2" w:history="1">
        <w:r w:rsidR="005B16CD" w:rsidRPr="00EF0E04">
          <w:rPr>
            <w:rStyle w:val="Hyperlink"/>
            <w:rFonts w:ascii="Arial Narrow" w:hAnsi="Arial Narrow" w:cstheme="minorHAnsi"/>
            <w:sz w:val="18"/>
            <w:lang w:val="en-US"/>
          </w:rPr>
          <w:t>http://www.bacn.gov.py/leyes-paraguayas/5243/ley-n-5681-aprueba-el-acuerdo-de-paris-sobre-el-cambio-climatico</w:t>
        </w:r>
      </w:hyperlink>
      <w:r w:rsidR="005B16CD" w:rsidRPr="00EF0E04">
        <w:rPr>
          <w:sz w:val="18"/>
          <w:lang w:val="en-US"/>
        </w:rPr>
        <w:t xml:space="preserve"> </w:t>
      </w:r>
    </w:p>
  </w:footnote>
  <w:footnote w:id="3">
    <w:p w14:paraId="43ED2238" w14:textId="671CA53E" w:rsidR="00C17814" w:rsidRPr="00C17814" w:rsidRDefault="00C1781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1147DE">
        <w:rPr>
          <w:lang w:val="en-US"/>
        </w:rPr>
        <w:t xml:space="preserve"> </w:t>
      </w:r>
      <w:hyperlink r:id="rId3" w:history="1">
        <w:r w:rsidRPr="001147DE">
          <w:rPr>
            <w:rStyle w:val="Hyperlink"/>
            <w:lang w:val="en-US"/>
          </w:rPr>
          <w:t>https://unfccc.int/documents/81515</w:t>
        </w:r>
      </w:hyperlink>
      <w:r w:rsidRPr="001147DE">
        <w:rPr>
          <w:lang w:val="en-US"/>
        </w:rPr>
        <w:t xml:space="preserve"> </w:t>
      </w:r>
    </w:p>
  </w:footnote>
  <w:footnote w:id="4">
    <w:p w14:paraId="23CB78CF" w14:textId="459E8EA3" w:rsidR="006C65F8" w:rsidRPr="00EF0E04" w:rsidRDefault="006C65F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1147DE">
        <w:rPr>
          <w:lang w:val="en-US"/>
        </w:rPr>
        <w:t xml:space="preserve"> https://publications.iadb.org/bitstream/handle/11319/8928/El-sector-hidroelectrico-en-Latinoamerica-Desarrollo-potencial-y-perspectivas.pdf?sequence=1&amp;isAllowed=y</w:t>
      </w:r>
    </w:p>
  </w:footnote>
  <w:footnote w:id="5">
    <w:p w14:paraId="45D8C2C6" w14:textId="2A36C11B" w:rsidR="006C65F8" w:rsidRPr="00EF0E04" w:rsidRDefault="006C65F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1147DE">
        <w:rPr>
          <w:lang w:val="en-US"/>
        </w:rPr>
        <w:t xml:space="preserve"> IEA. World Energy Outlook 2016. </w:t>
      </w:r>
      <w:proofErr w:type="spellStart"/>
      <w:r w:rsidRPr="001147DE">
        <w:rPr>
          <w:lang w:val="en-US"/>
        </w:rPr>
        <w:t>Iae</w:t>
      </w:r>
      <w:proofErr w:type="spellEnd"/>
      <w:r w:rsidRPr="001147DE">
        <w:rPr>
          <w:lang w:val="en-US"/>
        </w:rPr>
        <w:t xml:space="preserve"> 2016. doi:10.1787/weo-2016-en.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C9F88" w14:textId="241BDB01" w:rsidR="001A4366" w:rsidRDefault="001A4366" w:rsidP="001A436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F08E6"/>
    <w:multiLevelType w:val="multilevel"/>
    <w:tmpl w:val="1F3A4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094986"/>
    <w:multiLevelType w:val="hybridMultilevel"/>
    <w:tmpl w:val="CE262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D77CD"/>
    <w:multiLevelType w:val="hybridMultilevel"/>
    <w:tmpl w:val="299A44F4"/>
    <w:lvl w:ilvl="0" w:tplc="96E09E6C">
      <w:start w:val="1"/>
      <w:numFmt w:val="decimal"/>
      <w:lvlText w:val="%1."/>
      <w:lvlJc w:val="left"/>
      <w:pPr>
        <w:ind w:left="720" w:hanging="360"/>
      </w:pPr>
      <w:rPr>
        <w:rFonts w:hint="default"/>
        <w:color w:val="0563C1" w:themeColor="hyperlink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75120"/>
    <w:multiLevelType w:val="multilevel"/>
    <w:tmpl w:val="EE8E4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406427"/>
    <w:multiLevelType w:val="hybridMultilevel"/>
    <w:tmpl w:val="E5209194"/>
    <w:lvl w:ilvl="0" w:tplc="398297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25891"/>
    <w:multiLevelType w:val="hybridMultilevel"/>
    <w:tmpl w:val="F3E4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D04350"/>
    <w:multiLevelType w:val="hybridMultilevel"/>
    <w:tmpl w:val="D94844F2"/>
    <w:lvl w:ilvl="0" w:tplc="398297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84533"/>
    <w:multiLevelType w:val="hybridMultilevel"/>
    <w:tmpl w:val="5134C012"/>
    <w:lvl w:ilvl="0" w:tplc="5F0CC8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366"/>
    <w:rsid w:val="00004A1A"/>
    <w:rsid w:val="00004BA9"/>
    <w:rsid w:val="00006872"/>
    <w:rsid w:val="00012F75"/>
    <w:rsid w:val="00014A13"/>
    <w:rsid w:val="00016170"/>
    <w:rsid w:val="000224E7"/>
    <w:rsid w:val="0002462D"/>
    <w:rsid w:val="000262CF"/>
    <w:rsid w:val="0002765B"/>
    <w:rsid w:val="00033D31"/>
    <w:rsid w:val="00035673"/>
    <w:rsid w:val="00050494"/>
    <w:rsid w:val="00060BDB"/>
    <w:rsid w:val="00062B4E"/>
    <w:rsid w:val="00064E80"/>
    <w:rsid w:val="00064F85"/>
    <w:rsid w:val="00070A3B"/>
    <w:rsid w:val="000712FD"/>
    <w:rsid w:val="000763D5"/>
    <w:rsid w:val="00076D6C"/>
    <w:rsid w:val="00076EAD"/>
    <w:rsid w:val="00085CC7"/>
    <w:rsid w:val="00087069"/>
    <w:rsid w:val="00087ED1"/>
    <w:rsid w:val="00094B61"/>
    <w:rsid w:val="000A1221"/>
    <w:rsid w:val="000A3E0E"/>
    <w:rsid w:val="000A6196"/>
    <w:rsid w:val="000B0B8A"/>
    <w:rsid w:val="000B3598"/>
    <w:rsid w:val="000B5F9D"/>
    <w:rsid w:val="000C76F3"/>
    <w:rsid w:val="000D4E2E"/>
    <w:rsid w:val="000D721C"/>
    <w:rsid w:val="000E0E8E"/>
    <w:rsid w:val="000E1C7B"/>
    <w:rsid w:val="000E6B7C"/>
    <w:rsid w:val="000F6628"/>
    <w:rsid w:val="00103873"/>
    <w:rsid w:val="00105846"/>
    <w:rsid w:val="001117E9"/>
    <w:rsid w:val="001133C1"/>
    <w:rsid w:val="001147DE"/>
    <w:rsid w:val="00117DC6"/>
    <w:rsid w:val="001425EF"/>
    <w:rsid w:val="001445BA"/>
    <w:rsid w:val="0015691D"/>
    <w:rsid w:val="00161476"/>
    <w:rsid w:val="0016154E"/>
    <w:rsid w:val="00166020"/>
    <w:rsid w:val="001700B3"/>
    <w:rsid w:val="00176AF3"/>
    <w:rsid w:val="00177F68"/>
    <w:rsid w:val="00193601"/>
    <w:rsid w:val="00194908"/>
    <w:rsid w:val="00196444"/>
    <w:rsid w:val="001A3F75"/>
    <w:rsid w:val="001A4366"/>
    <w:rsid w:val="001A5C58"/>
    <w:rsid w:val="001A5FDE"/>
    <w:rsid w:val="001A727E"/>
    <w:rsid w:val="001B34EA"/>
    <w:rsid w:val="001B6218"/>
    <w:rsid w:val="001C0E6E"/>
    <w:rsid w:val="001C3B23"/>
    <w:rsid w:val="001D01D8"/>
    <w:rsid w:val="001D14AC"/>
    <w:rsid w:val="001D40D6"/>
    <w:rsid w:val="001D7DFF"/>
    <w:rsid w:val="001E020A"/>
    <w:rsid w:val="001E5503"/>
    <w:rsid w:val="001E7670"/>
    <w:rsid w:val="001F1061"/>
    <w:rsid w:val="0020085B"/>
    <w:rsid w:val="00203A3E"/>
    <w:rsid w:val="00203F0A"/>
    <w:rsid w:val="002075C0"/>
    <w:rsid w:val="002079D7"/>
    <w:rsid w:val="002123F0"/>
    <w:rsid w:val="0021309D"/>
    <w:rsid w:val="002158F3"/>
    <w:rsid w:val="00216D7C"/>
    <w:rsid w:val="0021708C"/>
    <w:rsid w:val="00220D8B"/>
    <w:rsid w:val="0022140B"/>
    <w:rsid w:val="00223D46"/>
    <w:rsid w:val="00226314"/>
    <w:rsid w:val="002324AB"/>
    <w:rsid w:val="00232F5C"/>
    <w:rsid w:val="002364C4"/>
    <w:rsid w:val="002401F1"/>
    <w:rsid w:val="0024569B"/>
    <w:rsid w:val="00250CDB"/>
    <w:rsid w:val="00251016"/>
    <w:rsid w:val="00257C03"/>
    <w:rsid w:val="00260F40"/>
    <w:rsid w:val="00263018"/>
    <w:rsid w:val="00266142"/>
    <w:rsid w:val="00267699"/>
    <w:rsid w:val="002679BB"/>
    <w:rsid w:val="00270C5E"/>
    <w:rsid w:val="00270D98"/>
    <w:rsid w:val="00270E3D"/>
    <w:rsid w:val="00270E49"/>
    <w:rsid w:val="00280956"/>
    <w:rsid w:val="00286BC7"/>
    <w:rsid w:val="00287609"/>
    <w:rsid w:val="002913CF"/>
    <w:rsid w:val="0029275E"/>
    <w:rsid w:val="00297740"/>
    <w:rsid w:val="002B1111"/>
    <w:rsid w:val="002B217A"/>
    <w:rsid w:val="002B5B78"/>
    <w:rsid w:val="002B62A3"/>
    <w:rsid w:val="002D2C5E"/>
    <w:rsid w:val="002E01E8"/>
    <w:rsid w:val="002E3DB6"/>
    <w:rsid w:val="002F0121"/>
    <w:rsid w:val="002F6891"/>
    <w:rsid w:val="00302A65"/>
    <w:rsid w:val="00306839"/>
    <w:rsid w:val="0031232A"/>
    <w:rsid w:val="00313FBA"/>
    <w:rsid w:val="00314F82"/>
    <w:rsid w:val="00316539"/>
    <w:rsid w:val="00326218"/>
    <w:rsid w:val="00331B32"/>
    <w:rsid w:val="00333A41"/>
    <w:rsid w:val="00334A9E"/>
    <w:rsid w:val="0033671C"/>
    <w:rsid w:val="003403E5"/>
    <w:rsid w:val="00343412"/>
    <w:rsid w:val="00346A26"/>
    <w:rsid w:val="00351022"/>
    <w:rsid w:val="00351658"/>
    <w:rsid w:val="00351A25"/>
    <w:rsid w:val="0035289B"/>
    <w:rsid w:val="00360C47"/>
    <w:rsid w:val="00365448"/>
    <w:rsid w:val="00372D8F"/>
    <w:rsid w:val="003746BA"/>
    <w:rsid w:val="00377956"/>
    <w:rsid w:val="00384E28"/>
    <w:rsid w:val="00385836"/>
    <w:rsid w:val="003869E4"/>
    <w:rsid w:val="003922AA"/>
    <w:rsid w:val="0039490F"/>
    <w:rsid w:val="00395B11"/>
    <w:rsid w:val="00397325"/>
    <w:rsid w:val="003A1B22"/>
    <w:rsid w:val="003A21BA"/>
    <w:rsid w:val="003A47E3"/>
    <w:rsid w:val="003A6780"/>
    <w:rsid w:val="003A77D6"/>
    <w:rsid w:val="003B1A28"/>
    <w:rsid w:val="003C0436"/>
    <w:rsid w:val="003C4F4C"/>
    <w:rsid w:val="003C69D8"/>
    <w:rsid w:val="003D1AAC"/>
    <w:rsid w:val="003D3012"/>
    <w:rsid w:val="003D38DC"/>
    <w:rsid w:val="003D574A"/>
    <w:rsid w:val="003D5BD4"/>
    <w:rsid w:val="003D63D6"/>
    <w:rsid w:val="003E00E1"/>
    <w:rsid w:val="003E0E56"/>
    <w:rsid w:val="003E23A8"/>
    <w:rsid w:val="003E7BBE"/>
    <w:rsid w:val="003F14AA"/>
    <w:rsid w:val="003F374D"/>
    <w:rsid w:val="003F6826"/>
    <w:rsid w:val="00401655"/>
    <w:rsid w:val="00403B21"/>
    <w:rsid w:val="004130C4"/>
    <w:rsid w:val="004145B6"/>
    <w:rsid w:val="0041493D"/>
    <w:rsid w:val="004220DA"/>
    <w:rsid w:val="0042420F"/>
    <w:rsid w:val="004325D9"/>
    <w:rsid w:val="004350D8"/>
    <w:rsid w:val="0043620D"/>
    <w:rsid w:val="004400C1"/>
    <w:rsid w:val="00441065"/>
    <w:rsid w:val="00441B30"/>
    <w:rsid w:val="004438EB"/>
    <w:rsid w:val="00445C2C"/>
    <w:rsid w:val="0044610B"/>
    <w:rsid w:val="00451B47"/>
    <w:rsid w:val="00452C5C"/>
    <w:rsid w:val="00461970"/>
    <w:rsid w:val="00463A97"/>
    <w:rsid w:val="0046664C"/>
    <w:rsid w:val="0048300A"/>
    <w:rsid w:val="00484C4E"/>
    <w:rsid w:val="00485A95"/>
    <w:rsid w:val="00490151"/>
    <w:rsid w:val="00491266"/>
    <w:rsid w:val="00492C35"/>
    <w:rsid w:val="0049453C"/>
    <w:rsid w:val="004A14CD"/>
    <w:rsid w:val="004A49E0"/>
    <w:rsid w:val="004A4D53"/>
    <w:rsid w:val="004B3C65"/>
    <w:rsid w:val="004B4895"/>
    <w:rsid w:val="004B509F"/>
    <w:rsid w:val="004B6047"/>
    <w:rsid w:val="004B7311"/>
    <w:rsid w:val="004C4994"/>
    <w:rsid w:val="004C4B86"/>
    <w:rsid w:val="004C56A5"/>
    <w:rsid w:val="004D2CCF"/>
    <w:rsid w:val="004E0CA6"/>
    <w:rsid w:val="004E5662"/>
    <w:rsid w:val="004E69A1"/>
    <w:rsid w:val="004F4B22"/>
    <w:rsid w:val="004F5102"/>
    <w:rsid w:val="004F75CB"/>
    <w:rsid w:val="005016B4"/>
    <w:rsid w:val="0050584C"/>
    <w:rsid w:val="00506C74"/>
    <w:rsid w:val="005216A9"/>
    <w:rsid w:val="00522329"/>
    <w:rsid w:val="005277AF"/>
    <w:rsid w:val="00533550"/>
    <w:rsid w:val="00533846"/>
    <w:rsid w:val="00534BCE"/>
    <w:rsid w:val="00535556"/>
    <w:rsid w:val="00536D0D"/>
    <w:rsid w:val="0053762F"/>
    <w:rsid w:val="00541C50"/>
    <w:rsid w:val="00542312"/>
    <w:rsid w:val="0054592F"/>
    <w:rsid w:val="005532E9"/>
    <w:rsid w:val="00554A84"/>
    <w:rsid w:val="00555094"/>
    <w:rsid w:val="00557EDB"/>
    <w:rsid w:val="00564838"/>
    <w:rsid w:val="00564B4E"/>
    <w:rsid w:val="00570675"/>
    <w:rsid w:val="005725CF"/>
    <w:rsid w:val="00572882"/>
    <w:rsid w:val="00573F3B"/>
    <w:rsid w:val="005762C5"/>
    <w:rsid w:val="00576582"/>
    <w:rsid w:val="00577030"/>
    <w:rsid w:val="00585F6A"/>
    <w:rsid w:val="00594980"/>
    <w:rsid w:val="00596594"/>
    <w:rsid w:val="00597D12"/>
    <w:rsid w:val="00597E95"/>
    <w:rsid w:val="005A0D03"/>
    <w:rsid w:val="005A1A44"/>
    <w:rsid w:val="005A1F94"/>
    <w:rsid w:val="005B11CE"/>
    <w:rsid w:val="005B12DD"/>
    <w:rsid w:val="005B16CD"/>
    <w:rsid w:val="005B182A"/>
    <w:rsid w:val="005B1F0C"/>
    <w:rsid w:val="005B2442"/>
    <w:rsid w:val="005B24B0"/>
    <w:rsid w:val="005B3BF4"/>
    <w:rsid w:val="005B41A2"/>
    <w:rsid w:val="005B6823"/>
    <w:rsid w:val="005C0897"/>
    <w:rsid w:val="005C1BB0"/>
    <w:rsid w:val="005C6C47"/>
    <w:rsid w:val="005D1AD9"/>
    <w:rsid w:val="005D1B6F"/>
    <w:rsid w:val="005D770B"/>
    <w:rsid w:val="005E1C28"/>
    <w:rsid w:val="005E1DED"/>
    <w:rsid w:val="005E2685"/>
    <w:rsid w:val="005E54BE"/>
    <w:rsid w:val="005E760B"/>
    <w:rsid w:val="005F17F3"/>
    <w:rsid w:val="005F271D"/>
    <w:rsid w:val="005F48C6"/>
    <w:rsid w:val="005F6FF8"/>
    <w:rsid w:val="005F7D30"/>
    <w:rsid w:val="00600D5C"/>
    <w:rsid w:val="006042A9"/>
    <w:rsid w:val="00604476"/>
    <w:rsid w:val="00607E20"/>
    <w:rsid w:val="00610054"/>
    <w:rsid w:val="006124ED"/>
    <w:rsid w:val="00613D85"/>
    <w:rsid w:val="00620FB2"/>
    <w:rsid w:val="00621B1C"/>
    <w:rsid w:val="006223D7"/>
    <w:rsid w:val="0063248D"/>
    <w:rsid w:val="0063510D"/>
    <w:rsid w:val="00636B62"/>
    <w:rsid w:val="00641535"/>
    <w:rsid w:val="00644C96"/>
    <w:rsid w:val="00646D58"/>
    <w:rsid w:val="00647746"/>
    <w:rsid w:val="0066051E"/>
    <w:rsid w:val="00663703"/>
    <w:rsid w:val="006646AD"/>
    <w:rsid w:val="00671E8C"/>
    <w:rsid w:val="00672F2D"/>
    <w:rsid w:val="00673778"/>
    <w:rsid w:val="00675A2D"/>
    <w:rsid w:val="006811AA"/>
    <w:rsid w:val="0068380B"/>
    <w:rsid w:val="00685D3E"/>
    <w:rsid w:val="0069021F"/>
    <w:rsid w:val="006971F6"/>
    <w:rsid w:val="006A00BE"/>
    <w:rsid w:val="006A1952"/>
    <w:rsid w:val="006A3FDB"/>
    <w:rsid w:val="006C174E"/>
    <w:rsid w:val="006C1BB0"/>
    <w:rsid w:val="006C2D50"/>
    <w:rsid w:val="006C4445"/>
    <w:rsid w:val="006C65F8"/>
    <w:rsid w:val="006D003F"/>
    <w:rsid w:val="006E5835"/>
    <w:rsid w:val="006E7F10"/>
    <w:rsid w:val="006F11C9"/>
    <w:rsid w:val="006F23DC"/>
    <w:rsid w:val="006F5086"/>
    <w:rsid w:val="006F63A1"/>
    <w:rsid w:val="006F7F93"/>
    <w:rsid w:val="007021BA"/>
    <w:rsid w:val="007021CB"/>
    <w:rsid w:val="0070487F"/>
    <w:rsid w:val="00705CB1"/>
    <w:rsid w:val="00712EEE"/>
    <w:rsid w:val="00713DF5"/>
    <w:rsid w:val="00713FE5"/>
    <w:rsid w:val="007277C9"/>
    <w:rsid w:val="0073067B"/>
    <w:rsid w:val="00731D9F"/>
    <w:rsid w:val="00732722"/>
    <w:rsid w:val="007329B0"/>
    <w:rsid w:val="00733EE8"/>
    <w:rsid w:val="007400AC"/>
    <w:rsid w:val="00743CF7"/>
    <w:rsid w:val="00745460"/>
    <w:rsid w:val="0075091A"/>
    <w:rsid w:val="00752445"/>
    <w:rsid w:val="007559A9"/>
    <w:rsid w:val="00757A09"/>
    <w:rsid w:val="00764BC3"/>
    <w:rsid w:val="00771F43"/>
    <w:rsid w:val="00775F25"/>
    <w:rsid w:val="00775FF5"/>
    <w:rsid w:val="0077665F"/>
    <w:rsid w:val="0078389F"/>
    <w:rsid w:val="00785656"/>
    <w:rsid w:val="00785BF7"/>
    <w:rsid w:val="007862E9"/>
    <w:rsid w:val="00786585"/>
    <w:rsid w:val="007976A4"/>
    <w:rsid w:val="007B1F74"/>
    <w:rsid w:val="007B363C"/>
    <w:rsid w:val="007B6145"/>
    <w:rsid w:val="007C4E6B"/>
    <w:rsid w:val="007D5405"/>
    <w:rsid w:val="007E1502"/>
    <w:rsid w:val="007E3979"/>
    <w:rsid w:val="007E77F3"/>
    <w:rsid w:val="007F0226"/>
    <w:rsid w:val="007F2822"/>
    <w:rsid w:val="007F543C"/>
    <w:rsid w:val="008015A5"/>
    <w:rsid w:val="008040C4"/>
    <w:rsid w:val="00804B4E"/>
    <w:rsid w:val="00807B04"/>
    <w:rsid w:val="00807F1A"/>
    <w:rsid w:val="008132A7"/>
    <w:rsid w:val="00813BCB"/>
    <w:rsid w:val="00815562"/>
    <w:rsid w:val="00817C81"/>
    <w:rsid w:val="00817F09"/>
    <w:rsid w:val="00821670"/>
    <w:rsid w:val="0082212B"/>
    <w:rsid w:val="0082246F"/>
    <w:rsid w:val="00823983"/>
    <w:rsid w:val="008243E5"/>
    <w:rsid w:val="00825B20"/>
    <w:rsid w:val="0082662A"/>
    <w:rsid w:val="00826C67"/>
    <w:rsid w:val="008320D8"/>
    <w:rsid w:val="008323B1"/>
    <w:rsid w:val="0083594F"/>
    <w:rsid w:val="00840203"/>
    <w:rsid w:val="008432CE"/>
    <w:rsid w:val="008467A2"/>
    <w:rsid w:val="008509D6"/>
    <w:rsid w:val="0085337B"/>
    <w:rsid w:val="00855656"/>
    <w:rsid w:val="00862526"/>
    <w:rsid w:val="008658EE"/>
    <w:rsid w:val="00866A89"/>
    <w:rsid w:val="0087364D"/>
    <w:rsid w:val="00874DC0"/>
    <w:rsid w:val="008766BD"/>
    <w:rsid w:val="00883D1D"/>
    <w:rsid w:val="008849C4"/>
    <w:rsid w:val="00885205"/>
    <w:rsid w:val="008A0ECB"/>
    <w:rsid w:val="008A1680"/>
    <w:rsid w:val="008A4618"/>
    <w:rsid w:val="008A5B13"/>
    <w:rsid w:val="008A5B45"/>
    <w:rsid w:val="008B1141"/>
    <w:rsid w:val="008B1BC9"/>
    <w:rsid w:val="008B2765"/>
    <w:rsid w:val="008B35CB"/>
    <w:rsid w:val="008B7D01"/>
    <w:rsid w:val="008C2EAD"/>
    <w:rsid w:val="008C56F7"/>
    <w:rsid w:val="008D0C5F"/>
    <w:rsid w:val="008D16A4"/>
    <w:rsid w:val="008D1932"/>
    <w:rsid w:val="008D4C14"/>
    <w:rsid w:val="008E0694"/>
    <w:rsid w:val="008E0A79"/>
    <w:rsid w:val="008E0FE6"/>
    <w:rsid w:val="008E1B27"/>
    <w:rsid w:val="008E461F"/>
    <w:rsid w:val="008E529E"/>
    <w:rsid w:val="008E5B6F"/>
    <w:rsid w:val="008E6780"/>
    <w:rsid w:val="008E7366"/>
    <w:rsid w:val="008E7F8C"/>
    <w:rsid w:val="008F1529"/>
    <w:rsid w:val="008F1C5B"/>
    <w:rsid w:val="008F23D0"/>
    <w:rsid w:val="008F36FA"/>
    <w:rsid w:val="008F3ED8"/>
    <w:rsid w:val="00902510"/>
    <w:rsid w:val="00904B30"/>
    <w:rsid w:val="0090606A"/>
    <w:rsid w:val="009103C3"/>
    <w:rsid w:val="009104B4"/>
    <w:rsid w:val="00917DDC"/>
    <w:rsid w:val="00932538"/>
    <w:rsid w:val="00932652"/>
    <w:rsid w:val="0093332B"/>
    <w:rsid w:val="00935969"/>
    <w:rsid w:val="00942BD5"/>
    <w:rsid w:val="00946B83"/>
    <w:rsid w:val="00947E5F"/>
    <w:rsid w:val="00955D26"/>
    <w:rsid w:val="009601DB"/>
    <w:rsid w:val="009603F3"/>
    <w:rsid w:val="009618DA"/>
    <w:rsid w:val="009619C4"/>
    <w:rsid w:val="00961F04"/>
    <w:rsid w:val="009623A3"/>
    <w:rsid w:val="00964161"/>
    <w:rsid w:val="009652A9"/>
    <w:rsid w:val="009655F3"/>
    <w:rsid w:val="009743DF"/>
    <w:rsid w:val="00977FF6"/>
    <w:rsid w:val="00985B8E"/>
    <w:rsid w:val="0098619D"/>
    <w:rsid w:val="0098771A"/>
    <w:rsid w:val="00987967"/>
    <w:rsid w:val="00991309"/>
    <w:rsid w:val="0099152D"/>
    <w:rsid w:val="00994986"/>
    <w:rsid w:val="009950BA"/>
    <w:rsid w:val="0099515C"/>
    <w:rsid w:val="009A1A27"/>
    <w:rsid w:val="009A2C02"/>
    <w:rsid w:val="009A4C06"/>
    <w:rsid w:val="009A6920"/>
    <w:rsid w:val="009A795F"/>
    <w:rsid w:val="009B2A7A"/>
    <w:rsid w:val="009B384E"/>
    <w:rsid w:val="009B6A9E"/>
    <w:rsid w:val="009C097B"/>
    <w:rsid w:val="009C0ED7"/>
    <w:rsid w:val="009C457D"/>
    <w:rsid w:val="009C7360"/>
    <w:rsid w:val="009D5232"/>
    <w:rsid w:val="009D65D8"/>
    <w:rsid w:val="009D7B44"/>
    <w:rsid w:val="009E1A55"/>
    <w:rsid w:val="009E3E00"/>
    <w:rsid w:val="009E60CC"/>
    <w:rsid w:val="009E773F"/>
    <w:rsid w:val="009F19F4"/>
    <w:rsid w:val="009F1C7C"/>
    <w:rsid w:val="00A00613"/>
    <w:rsid w:val="00A01CC2"/>
    <w:rsid w:val="00A02D80"/>
    <w:rsid w:val="00A054D8"/>
    <w:rsid w:val="00A110B0"/>
    <w:rsid w:val="00A13D54"/>
    <w:rsid w:val="00A153D0"/>
    <w:rsid w:val="00A158A0"/>
    <w:rsid w:val="00A22B4F"/>
    <w:rsid w:val="00A400DE"/>
    <w:rsid w:val="00A41819"/>
    <w:rsid w:val="00A42A64"/>
    <w:rsid w:val="00A42BAB"/>
    <w:rsid w:val="00A44757"/>
    <w:rsid w:val="00A5075E"/>
    <w:rsid w:val="00A55827"/>
    <w:rsid w:val="00A55ED2"/>
    <w:rsid w:val="00A6414E"/>
    <w:rsid w:val="00A65655"/>
    <w:rsid w:val="00A66434"/>
    <w:rsid w:val="00A673CC"/>
    <w:rsid w:val="00A703E5"/>
    <w:rsid w:val="00A70862"/>
    <w:rsid w:val="00A7228A"/>
    <w:rsid w:val="00A7257F"/>
    <w:rsid w:val="00A7494C"/>
    <w:rsid w:val="00A75CFD"/>
    <w:rsid w:val="00A771BE"/>
    <w:rsid w:val="00A80FD3"/>
    <w:rsid w:val="00A817B0"/>
    <w:rsid w:val="00A81D34"/>
    <w:rsid w:val="00A826A7"/>
    <w:rsid w:val="00A83E13"/>
    <w:rsid w:val="00A86CB4"/>
    <w:rsid w:val="00A87020"/>
    <w:rsid w:val="00A96449"/>
    <w:rsid w:val="00A97A87"/>
    <w:rsid w:val="00AA53BF"/>
    <w:rsid w:val="00AB2447"/>
    <w:rsid w:val="00AB3AB9"/>
    <w:rsid w:val="00AB7F9C"/>
    <w:rsid w:val="00AC3CB9"/>
    <w:rsid w:val="00AC43A5"/>
    <w:rsid w:val="00AC5668"/>
    <w:rsid w:val="00AC5BBE"/>
    <w:rsid w:val="00AC5F62"/>
    <w:rsid w:val="00AC6302"/>
    <w:rsid w:val="00AD3482"/>
    <w:rsid w:val="00AD3851"/>
    <w:rsid w:val="00AD6525"/>
    <w:rsid w:val="00AD6593"/>
    <w:rsid w:val="00AE6C2A"/>
    <w:rsid w:val="00AF1A2B"/>
    <w:rsid w:val="00AF1CBA"/>
    <w:rsid w:val="00AF245D"/>
    <w:rsid w:val="00AF6D35"/>
    <w:rsid w:val="00B0185A"/>
    <w:rsid w:val="00B02ED4"/>
    <w:rsid w:val="00B13A49"/>
    <w:rsid w:val="00B14420"/>
    <w:rsid w:val="00B14838"/>
    <w:rsid w:val="00B160CA"/>
    <w:rsid w:val="00B170E7"/>
    <w:rsid w:val="00B225A2"/>
    <w:rsid w:val="00B2658E"/>
    <w:rsid w:val="00B31B29"/>
    <w:rsid w:val="00B344A4"/>
    <w:rsid w:val="00B34702"/>
    <w:rsid w:val="00B35682"/>
    <w:rsid w:val="00B36A95"/>
    <w:rsid w:val="00B43302"/>
    <w:rsid w:val="00B50D8C"/>
    <w:rsid w:val="00B62831"/>
    <w:rsid w:val="00B632F6"/>
    <w:rsid w:val="00B7310B"/>
    <w:rsid w:val="00B744AD"/>
    <w:rsid w:val="00B767E5"/>
    <w:rsid w:val="00B8030D"/>
    <w:rsid w:val="00B80658"/>
    <w:rsid w:val="00B94447"/>
    <w:rsid w:val="00B96119"/>
    <w:rsid w:val="00B967C8"/>
    <w:rsid w:val="00B9727E"/>
    <w:rsid w:val="00BA15A2"/>
    <w:rsid w:val="00BA2726"/>
    <w:rsid w:val="00BA36E5"/>
    <w:rsid w:val="00BB1805"/>
    <w:rsid w:val="00BC3638"/>
    <w:rsid w:val="00BC3C43"/>
    <w:rsid w:val="00BC3D30"/>
    <w:rsid w:val="00BC4C21"/>
    <w:rsid w:val="00BD05BA"/>
    <w:rsid w:val="00BD1DEA"/>
    <w:rsid w:val="00BD2812"/>
    <w:rsid w:val="00BD7670"/>
    <w:rsid w:val="00BE464D"/>
    <w:rsid w:val="00BE538B"/>
    <w:rsid w:val="00BE79F7"/>
    <w:rsid w:val="00BF3E23"/>
    <w:rsid w:val="00BF6041"/>
    <w:rsid w:val="00C0278B"/>
    <w:rsid w:val="00C04890"/>
    <w:rsid w:val="00C07890"/>
    <w:rsid w:val="00C12759"/>
    <w:rsid w:val="00C17814"/>
    <w:rsid w:val="00C21835"/>
    <w:rsid w:val="00C226B0"/>
    <w:rsid w:val="00C2271A"/>
    <w:rsid w:val="00C26BAA"/>
    <w:rsid w:val="00C30C52"/>
    <w:rsid w:val="00C33E20"/>
    <w:rsid w:val="00C40C9C"/>
    <w:rsid w:val="00C417E9"/>
    <w:rsid w:val="00C479AA"/>
    <w:rsid w:val="00C47B17"/>
    <w:rsid w:val="00C51007"/>
    <w:rsid w:val="00C61C4C"/>
    <w:rsid w:val="00C748AA"/>
    <w:rsid w:val="00C75D49"/>
    <w:rsid w:val="00C80189"/>
    <w:rsid w:val="00C807F6"/>
    <w:rsid w:val="00C80B17"/>
    <w:rsid w:val="00C85993"/>
    <w:rsid w:val="00C86DAA"/>
    <w:rsid w:val="00C875BB"/>
    <w:rsid w:val="00C91710"/>
    <w:rsid w:val="00C93260"/>
    <w:rsid w:val="00C93BCC"/>
    <w:rsid w:val="00C95A2F"/>
    <w:rsid w:val="00CA4821"/>
    <w:rsid w:val="00CB10E0"/>
    <w:rsid w:val="00CB6B49"/>
    <w:rsid w:val="00CB7A18"/>
    <w:rsid w:val="00CC1F09"/>
    <w:rsid w:val="00CC2D5E"/>
    <w:rsid w:val="00CD04A1"/>
    <w:rsid w:val="00CD0CF9"/>
    <w:rsid w:val="00CD1A36"/>
    <w:rsid w:val="00CD576A"/>
    <w:rsid w:val="00CD57B0"/>
    <w:rsid w:val="00CD72C2"/>
    <w:rsid w:val="00CD7FC1"/>
    <w:rsid w:val="00CE1A5E"/>
    <w:rsid w:val="00CE3D1D"/>
    <w:rsid w:val="00CE6543"/>
    <w:rsid w:val="00CE6AA7"/>
    <w:rsid w:val="00CF2EF5"/>
    <w:rsid w:val="00D0144B"/>
    <w:rsid w:val="00D030C7"/>
    <w:rsid w:val="00D03AC8"/>
    <w:rsid w:val="00D10BA1"/>
    <w:rsid w:val="00D10D67"/>
    <w:rsid w:val="00D1257E"/>
    <w:rsid w:val="00D12DF0"/>
    <w:rsid w:val="00D143EB"/>
    <w:rsid w:val="00D14B7F"/>
    <w:rsid w:val="00D219B1"/>
    <w:rsid w:val="00D2258F"/>
    <w:rsid w:val="00D240A5"/>
    <w:rsid w:val="00D24CE4"/>
    <w:rsid w:val="00D26017"/>
    <w:rsid w:val="00D27386"/>
    <w:rsid w:val="00D32565"/>
    <w:rsid w:val="00D4129B"/>
    <w:rsid w:val="00D45E30"/>
    <w:rsid w:val="00D51BDF"/>
    <w:rsid w:val="00D555FF"/>
    <w:rsid w:val="00D60944"/>
    <w:rsid w:val="00D652A9"/>
    <w:rsid w:val="00D71188"/>
    <w:rsid w:val="00D739F8"/>
    <w:rsid w:val="00D73C2F"/>
    <w:rsid w:val="00D75CC9"/>
    <w:rsid w:val="00D76176"/>
    <w:rsid w:val="00D85FB0"/>
    <w:rsid w:val="00D874D6"/>
    <w:rsid w:val="00D909FF"/>
    <w:rsid w:val="00D91AA4"/>
    <w:rsid w:val="00DA1007"/>
    <w:rsid w:val="00DA43AF"/>
    <w:rsid w:val="00DA4658"/>
    <w:rsid w:val="00DA4B1E"/>
    <w:rsid w:val="00DA737D"/>
    <w:rsid w:val="00DA7D8E"/>
    <w:rsid w:val="00DB2588"/>
    <w:rsid w:val="00DC159C"/>
    <w:rsid w:val="00DC19A2"/>
    <w:rsid w:val="00DC48FD"/>
    <w:rsid w:val="00DC4C82"/>
    <w:rsid w:val="00DC4E38"/>
    <w:rsid w:val="00DD2E91"/>
    <w:rsid w:val="00DD5EE7"/>
    <w:rsid w:val="00DE5160"/>
    <w:rsid w:val="00DE6984"/>
    <w:rsid w:val="00DF3A5C"/>
    <w:rsid w:val="00DF653A"/>
    <w:rsid w:val="00DF6F9E"/>
    <w:rsid w:val="00DF70A6"/>
    <w:rsid w:val="00E07726"/>
    <w:rsid w:val="00E07955"/>
    <w:rsid w:val="00E07CB5"/>
    <w:rsid w:val="00E1165D"/>
    <w:rsid w:val="00E143DB"/>
    <w:rsid w:val="00E15251"/>
    <w:rsid w:val="00E31E69"/>
    <w:rsid w:val="00E3329A"/>
    <w:rsid w:val="00E42A54"/>
    <w:rsid w:val="00E45FE3"/>
    <w:rsid w:val="00E46A6B"/>
    <w:rsid w:val="00E52B5E"/>
    <w:rsid w:val="00E52DDE"/>
    <w:rsid w:val="00E53366"/>
    <w:rsid w:val="00E57EB8"/>
    <w:rsid w:val="00E632A9"/>
    <w:rsid w:val="00E66F65"/>
    <w:rsid w:val="00E73F4C"/>
    <w:rsid w:val="00E748C5"/>
    <w:rsid w:val="00E74EEF"/>
    <w:rsid w:val="00E87C68"/>
    <w:rsid w:val="00E87FB5"/>
    <w:rsid w:val="00E92CC9"/>
    <w:rsid w:val="00E97FF6"/>
    <w:rsid w:val="00EA18DF"/>
    <w:rsid w:val="00EA3A65"/>
    <w:rsid w:val="00EA4A93"/>
    <w:rsid w:val="00EA702C"/>
    <w:rsid w:val="00EB1866"/>
    <w:rsid w:val="00EB4CF1"/>
    <w:rsid w:val="00EB64C8"/>
    <w:rsid w:val="00EB707C"/>
    <w:rsid w:val="00EC10DA"/>
    <w:rsid w:val="00EC4A74"/>
    <w:rsid w:val="00ED3D7E"/>
    <w:rsid w:val="00ED7C13"/>
    <w:rsid w:val="00EE35A1"/>
    <w:rsid w:val="00EE70A8"/>
    <w:rsid w:val="00EF0E04"/>
    <w:rsid w:val="00EF2EF0"/>
    <w:rsid w:val="00EF5CF2"/>
    <w:rsid w:val="00F10DF9"/>
    <w:rsid w:val="00F158AD"/>
    <w:rsid w:val="00F16030"/>
    <w:rsid w:val="00F20A30"/>
    <w:rsid w:val="00F22645"/>
    <w:rsid w:val="00F2418C"/>
    <w:rsid w:val="00F40E55"/>
    <w:rsid w:val="00F41EC9"/>
    <w:rsid w:val="00F422AE"/>
    <w:rsid w:val="00F468D0"/>
    <w:rsid w:val="00F509FD"/>
    <w:rsid w:val="00F554E9"/>
    <w:rsid w:val="00F63DCD"/>
    <w:rsid w:val="00F63F14"/>
    <w:rsid w:val="00F64B7E"/>
    <w:rsid w:val="00F66EED"/>
    <w:rsid w:val="00F71917"/>
    <w:rsid w:val="00F7634B"/>
    <w:rsid w:val="00F76991"/>
    <w:rsid w:val="00F77237"/>
    <w:rsid w:val="00F826BC"/>
    <w:rsid w:val="00F85D22"/>
    <w:rsid w:val="00F924D3"/>
    <w:rsid w:val="00F949B0"/>
    <w:rsid w:val="00F953E3"/>
    <w:rsid w:val="00F974D3"/>
    <w:rsid w:val="00FA0530"/>
    <w:rsid w:val="00FA09D9"/>
    <w:rsid w:val="00FB05B4"/>
    <w:rsid w:val="00FB086C"/>
    <w:rsid w:val="00FB095D"/>
    <w:rsid w:val="00FB3237"/>
    <w:rsid w:val="00FB4B3D"/>
    <w:rsid w:val="00FB5AE5"/>
    <w:rsid w:val="00FB6E6B"/>
    <w:rsid w:val="00FC2354"/>
    <w:rsid w:val="00FC30D9"/>
    <w:rsid w:val="00FD0022"/>
    <w:rsid w:val="00FD0B01"/>
    <w:rsid w:val="00FD2B66"/>
    <w:rsid w:val="00FD3BF8"/>
    <w:rsid w:val="00FD74EE"/>
    <w:rsid w:val="00FE04CF"/>
    <w:rsid w:val="00FE2724"/>
    <w:rsid w:val="00FE499A"/>
    <w:rsid w:val="00FE555D"/>
    <w:rsid w:val="00FF14DE"/>
    <w:rsid w:val="00FF2867"/>
    <w:rsid w:val="00FF4162"/>
    <w:rsid w:val="00FF58C5"/>
    <w:rsid w:val="00FF5E2C"/>
    <w:rsid w:val="00FF6D48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EDA048"/>
  <w15:docId w15:val="{CEFA69A9-60A9-4338-B12C-48842043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1A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1A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D7D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43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366"/>
  </w:style>
  <w:style w:type="paragraph" w:styleId="Footer">
    <w:name w:val="footer"/>
    <w:basedOn w:val="Normal"/>
    <w:link w:val="FooterChar"/>
    <w:uiPriority w:val="99"/>
    <w:unhideWhenUsed/>
    <w:rsid w:val="001A43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366"/>
  </w:style>
  <w:style w:type="paragraph" w:styleId="BalloonText">
    <w:name w:val="Balloon Text"/>
    <w:basedOn w:val="Normal"/>
    <w:link w:val="BalloonTextChar"/>
    <w:uiPriority w:val="99"/>
    <w:semiHidden/>
    <w:unhideWhenUsed/>
    <w:rsid w:val="00213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09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7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B1A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B1A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3B1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5648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483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77F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77F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77F3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1614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E87C6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1D7D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EA18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B61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61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61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61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6145"/>
    <w:rPr>
      <w:b/>
      <w:bCs/>
      <w:sz w:val="20"/>
      <w:szCs w:val="20"/>
    </w:rPr>
  </w:style>
  <w:style w:type="paragraph" w:customStyle="1" w:styleId="xmsonormal">
    <w:name w:val="x_msonormal"/>
    <w:basedOn w:val="Normal"/>
    <w:rsid w:val="00451B47"/>
    <w:pPr>
      <w:spacing w:after="0" w:line="240" w:lineRule="auto"/>
    </w:pPr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yperlink" Target="http://documents.worldbank.org/curated/en/758831468197412195/IFI-approach-to-GHG-accounting-for-renewable-energy-project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publications.iadb.org/handle/11319/8505" TargetMode="Externa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image" Target="media/image3.png"/><Relationship Id="rId25" Type="http://schemas.openxmlformats.org/officeDocument/2006/relationships/customXml" Target="../customXml/item8.xml"/><Relationship Id="rId20" Type="http://schemas.openxmlformats.org/officeDocument/2006/relationships/hyperlink" Target="https://publications.iadb.org/bitstream/handle/11319/8928/El-sector-hidroelectrico-en-Latinoamerica-Desarrollo-potencial-y-perspectivas.pdf?sequence=1&amp;isAllowed=y" TargetMode="Externa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image" Target="media/image4.wmf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://www4.unfccc.int/ndcregistry/PublishedDocuments/Argentina%20First/17112016%20NDC%20Revisada%202016.pdf" TargetMode="External"/><Relationship Id="rId22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unfccc.int/documents/81515" TargetMode="External"/><Relationship Id="rId2" Type="http://schemas.openxmlformats.org/officeDocument/2006/relationships/hyperlink" Target="http://www.bacn.gov.py/leyes-paraguayas/5243/ley-n-5681-aprueba-el-acuerdo-de-paris-sobre-el-cambio-climatico" TargetMode="External"/><Relationship Id="rId1" Type="http://schemas.openxmlformats.org/officeDocument/2006/relationships/hyperlink" Target="http://www4.unfccc.int/ndcregistry/PublishedDocuments/Paraguay%20First/Documento%20INDC%20Paraguay%2001-10-15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R0002860113</Record_x0020_Number>
    <Key_x0020_Document xmlns="cdc7663a-08f0-4737-9e8c-148ce897a09c">false</Key_x0020_Document>
    <Division_x0020_or_x0020_Unit xmlns="cdc7663a-08f0-4737-9e8c-148ce897a09c">INE/ENE</Division_x0020_or_x0020_Unit>
    <Document_x0020_Author xmlns="cdc7663a-08f0-4737-9e8c-148ce897a09c">Aiello, Roberto Gabriel</Document_x0020_Author>
    <_dlc_DocId xmlns="cdc7663a-08f0-4737-9e8c-148ce897a09c">EZSHARE-353762589-49</_dlc_DocId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Operation_x0020_Type xmlns="cdc7663a-08f0-4737-9e8c-148ce897a09c">Loan Operation</Operation_x0020_Type>
    <TaxCatchAll xmlns="cdc7663a-08f0-4737-9e8c-148ce897a09c">
      <Value>132</Value>
      <Value>24</Value>
      <Value>29</Value>
      <Value>44</Value>
      <Value>1</Value>
    </TaxCatchAll>
    <Fiscal_x0020_Year_x0020_IDB xmlns="cdc7663a-08f0-4737-9e8c-148ce897a09c">2018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PR-L1156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 xsi:nil="true"/>
    <SISCOR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 - Simultaneous Disclosure</Access_x0020_to_x0020_Information_x00a0_Policy>
    <Identifier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</TermName>
          <TermId xmlns="http://schemas.microsoft.com/office/infopath/2007/PartnerControls">4fed196a-cd0b-4970-87de-42da17f9b203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 SECTOR REHABILITATION AND EFFICIENCY</TermName>
          <TermId xmlns="http://schemas.microsoft.com/office/infopath/2007/PartnerControls">bc14044a-5020-4002-b61d-5f3750c96619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https://idbg.sharepoint.com/teams/EZ-PR-LON/PR-L1156/_layouts/15/DocIdRedir.aspx?ID=EZSHARE-353762589-49</Url>
      <Description>EZSHARE-353762589-49</Description>
    </_dlc_DocIdUrl>
    <Phase xmlns="cdc7663a-08f0-4737-9e8c-148ce897a09c" xsi:nil="true"/>
    <Other_x0020_Author xmlns="cdc7663a-08f0-4737-9e8c-148ce897a09c" xsi:nil="true"/>
    <IDBDocs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Climate Change and Renewable Energy;Electricity;Energy;Energy Distribution and Transmission;Energy Management and Regulation;Energy Markets and Studies;</Webtopic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7DFA5BFE931E3488BC57253420081FE" ma:contentTypeVersion="203" ma:contentTypeDescription="A content type to manage public (operations) IDB documents" ma:contentTypeScope="" ma:versionID="507b697fae98c49a2014e9c73404373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f58ce8bcb6f32f9f7ce487a03b173d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R-L115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652E1CE0-7CC9-4987-9365-9E45244E3C8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dc7663a-08f0-4737-9e8c-148ce897a09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3BAC3B0-3880-4B5F-8C72-923BA8BE37BF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105D502A-2FA3-4EF3-9708-EF0651F6A030}"/>
</file>

<file path=customXml/itemProps4.xml><?xml version="1.0" encoding="utf-8"?>
<ds:datastoreItem xmlns:ds="http://schemas.openxmlformats.org/officeDocument/2006/customXml" ds:itemID="{6A49BDBD-AABB-48BB-8E6D-D956CCA5701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6947022-5740-4060-B551-047E41CDA364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3DF9AD1D-B8F7-4694-96A3-7509606AC769}"/>
</file>

<file path=customXml/itemProps7.xml><?xml version="1.0" encoding="utf-8"?>
<ds:datastoreItem xmlns:ds="http://schemas.openxmlformats.org/officeDocument/2006/customXml" ds:itemID="{28B24A9D-DFAA-4287-ADA5-8EDE9DE815B6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4AAFCF28-1150-4D80-A5F6-F18688E086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1354</Words>
  <Characters>7720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Doherty Bigara Rodriguez</dc:creator>
  <cp:keywords/>
  <dc:description/>
  <cp:lastModifiedBy>Suber, Stephanie Anne</cp:lastModifiedBy>
  <cp:revision>9</cp:revision>
  <dcterms:created xsi:type="dcterms:W3CDTF">2018-10-09T01:04:00Z</dcterms:created>
  <dcterms:modified xsi:type="dcterms:W3CDTF">2018-10-30T20:05:00Z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132;#ENERGY SECTOR REHABILITATION AND EFFICIENCY|bc14044a-5020-4002-b61d-5f3750c96619</vt:lpwstr>
  </property>
  <property fmtid="{D5CDD505-2E9C-101B-9397-08002B2CF9AE}" pid="7" name="Country">
    <vt:lpwstr>24;#Paraguay|50282442-27e7-4526-9d04-55bf5da33a10</vt:lpwstr>
  </property>
  <property fmtid="{D5CDD505-2E9C-101B-9397-08002B2CF9AE}" pid="8" name="Fund IDB">
    <vt:lpwstr>29;#ORC|c028a4b2-ad8b-4cf4-9cac-a2ae6a778e23</vt:lpwstr>
  </property>
  <property fmtid="{D5CDD505-2E9C-101B-9397-08002B2CF9AE}" pid="9" name="_dlc_DocIdItemGuid">
    <vt:lpwstr>40cf0257-0acf-46d7-97ab-11c41fbf1cf2</vt:lpwstr>
  </property>
  <property fmtid="{D5CDD505-2E9C-101B-9397-08002B2CF9AE}" pid="10" name="Sector IDB">
    <vt:lpwstr>44;#ENERGY|4fed196a-cd0b-4970-87de-42da17f9b203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0x0101001A458A224826124E8B45B1D613300CFC00B7DFA5BFE931E3488BC57253420081FE</vt:lpwstr>
  </property>
</Properties>
</file>