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977"/>
        <w:gridCol w:w="163"/>
        <w:gridCol w:w="1972"/>
        <w:gridCol w:w="900"/>
        <w:gridCol w:w="990"/>
        <w:gridCol w:w="1080"/>
        <w:gridCol w:w="550"/>
        <w:gridCol w:w="530"/>
        <w:gridCol w:w="890"/>
        <w:gridCol w:w="460"/>
        <w:gridCol w:w="810"/>
        <w:gridCol w:w="720"/>
        <w:gridCol w:w="630"/>
        <w:gridCol w:w="1350"/>
        <w:gridCol w:w="990"/>
        <w:gridCol w:w="2148"/>
      </w:tblGrid>
      <w:tr w:rsidR="004B236C" w:rsidRPr="00E322BD" w:rsidTr="00E322BD">
        <w:trPr>
          <w:trHeight w:val="31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ANEXO C. PLAN DE ADQUISICIONES  PARA COOPERACIONES TECNICAS NO REEMBOLSABLES</w:t>
            </w:r>
          </w:p>
        </w:tc>
      </w:tr>
      <w:tr w:rsidR="004B236C" w:rsidRPr="00E322BD" w:rsidTr="00E322BD">
        <w:trPr>
          <w:trHeight w:val="187"/>
        </w:trPr>
        <w:tc>
          <w:tcPr>
            <w:tcW w:w="70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 xml:space="preserve">País: Ecuador </w:t>
            </w:r>
          </w:p>
        </w:tc>
        <w:tc>
          <w:tcPr>
            <w:tcW w:w="8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Agencia Ejecutora (AE):  Banco Interamericano de Desarrollo (INE/ENE)</w:t>
            </w:r>
          </w:p>
        </w:tc>
      </w:tr>
      <w:tr w:rsidR="004B236C" w:rsidRPr="00E322BD" w:rsidTr="00E322BD">
        <w:trPr>
          <w:trHeight w:val="304"/>
        </w:trPr>
        <w:tc>
          <w:tcPr>
            <w:tcW w:w="70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Número del Proyecto: EC-T1312 y EC-T1329</w:t>
            </w:r>
          </w:p>
        </w:tc>
        <w:tc>
          <w:tcPr>
            <w:tcW w:w="8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Proyecto: Apoyo a la Elaboración del Plan Nacional de Eficiencia Energética y Energía Renovable (PLANEEER)</w:t>
            </w:r>
          </w:p>
        </w:tc>
      </w:tr>
      <w:tr w:rsidR="004B236C" w:rsidRPr="00E322BD" w:rsidTr="00E322BD">
        <w:trPr>
          <w:trHeight w:val="31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Período comprendido para este Plan de Adquisiciones: Desde Septiembre 2015 hasta Septiembre 2017</w:t>
            </w:r>
          </w:p>
        </w:tc>
      </w:tr>
      <w:tr w:rsidR="004B236C" w:rsidRPr="00E322BD" w:rsidTr="00E322BD">
        <w:trPr>
          <w:trHeight w:val="315"/>
        </w:trPr>
        <w:tc>
          <w:tcPr>
            <w:tcW w:w="3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Monto límite para revisión ex post de adquisiciones: N/A</w:t>
            </w:r>
          </w:p>
        </w:tc>
        <w:tc>
          <w:tcPr>
            <w:tcW w:w="49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Bienes y servicios (monto en U$S):-</w:t>
            </w:r>
          </w:p>
        </w:tc>
        <w:tc>
          <w:tcPr>
            <w:tcW w:w="710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Consultorías (monto en U$S): 700.000</w:t>
            </w:r>
          </w:p>
        </w:tc>
      </w:tr>
      <w:tr w:rsidR="00E322BD" w:rsidRPr="00E322BD" w:rsidTr="00E322BD">
        <w:trPr>
          <w:trHeight w:val="61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No. Ítem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Ref. POA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Descripción de las adquisiciones (1)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Costo estimado de la Adquisición         (US$)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COMPONENTES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FINANCIAMIENTO SECCI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FINANCIAMIENTO FGE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br/>
              <w:t>CONDICIÓN 50% CONTRATACIÓN EMPRESA ESPAÑOLA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 xml:space="preserve">Método de Adquisición/Selección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vertAlign w:val="superscript"/>
                <w:lang w:eastAsia="es-ES_tradnl"/>
              </w:rPr>
              <w:t>(2)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Revisión  de adquisiciones (Ex ante-Ex Post) (3)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Fuente de Financiamiento y porcentaje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 xml:space="preserve">Fecha estimada del Anuncio de Adquisición o del Inicio de la contratación 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Revisión técnica del JEP (4)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Comentarios</w:t>
            </w:r>
          </w:p>
        </w:tc>
      </w:tr>
      <w:tr w:rsidR="00E322BD" w:rsidRPr="00E322BD" w:rsidTr="00E322BD">
        <w:trPr>
          <w:trHeight w:val="300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2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SECCI 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 xml:space="preserve">FGE </w:t>
            </w: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</w:tr>
      <w:tr w:rsidR="00E322BD" w:rsidRPr="00E322BD" w:rsidTr="00E322BD">
        <w:trPr>
          <w:trHeight w:val="50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2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%</w:t>
            </w: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</w:p>
        </w:tc>
      </w:tr>
      <w:tr w:rsidR="00E322BD" w:rsidRPr="00E322BD" w:rsidTr="00E322BD">
        <w:trPr>
          <w:trHeight w:val="31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BID-PLANEE-SCC-02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Diseño MRV sectorial e indicadores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70,000.00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70,000.00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bookmarkStart w:id="0" w:name="_GoBack"/>
            <w:bookmarkEnd w:id="0"/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SCC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</w:pPr>
            <w:r w:rsidRPr="00E322BD"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</w:pPr>
            <w:r w:rsidRPr="00E322BD"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1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Preparación del PLAN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8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BID-PLANEE-CP-01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Adquisición software para planificación y análisis de datos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29,375.00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29,375.00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Febrero 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</w:pPr>
            <w:r w:rsidRPr="00E322BD"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</w:pPr>
            <w:r w:rsidRPr="00E322BD"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31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BID-PLANEE-CD-01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Compra de licencia se Software de Análisis Econométrico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1,825.00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1,825.00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Agosto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</w:pPr>
            <w:r w:rsidRPr="00E322BD">
              <w:rPr>
                <w:rFonts w:ascii="Times New Roman" w:eastAsia="Times New Roman" w:hAnsi="Times New Roman" w:cs="Times New Roman"/>
                <w:sz w:val="10"/>
                <w:szCs w:val="20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Comprado en línea a empresa IHS.</w:t>
            </w:r>
          </w:p>
        </w:tc>
      </w:tr>
      <w:tr w:rsidR="00E322BD" w:rsidRPr="00E322BD" w:rsidTr="00E322BD">
        <w:trPr>
          <w:trHeight w:val="340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BID-PLANEE-CP-02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Edición, reproducción y presentación de productos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45,100.00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45,100.00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Febrero 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49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BID-PLANEE-SCC-01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Preparación del Plan de Financiamiento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82,000.00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82,000.00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SCC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Esta contratación se realizará con firma española</w:t>
            </w:r>
          </w:p>
        </w:tc>
      </w:tr>
      <w:tr w:rsidR="00E322BD" w:rsidRPr="00E322BD" w:rsidTr="00E322BD">
        <w:trPr>
          <w:trHeight w:val="31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BID-PLANEE-CCIN-01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Ajuste y análisis de escenarios de EE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25,080.00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25,080.00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Octubre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Talleres y viajes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49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BID-PLANEE-CP-03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1 para lanzamiento del Plan y análisis de barreras EE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2,752.80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2,752.80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post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Mayo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9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BID-PLANEE-CP-04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2 para validación de las áreas clave del PLANEE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49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BID-PLANEE-CP-05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Taller 3 para validación del plan de acción y financiamiento PLANEE 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BID-PLANEE-CP-06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4 para difusión de resultados Quito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BID-PLANEE-CP-07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5 para difusión de resultados Guayaquil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BID-PLANEE-CP-08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6 para difusión de resultados Cuenca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13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BID-PLANEE-CP-09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7 para difusión de resultados Galápagos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31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BID-PLANEE-CP-10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Taller 8 para difusión de resultados de usos finales en Galápagos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3,000.00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3,000.00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49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BID-PLANEE-CP-11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Servicio de capacitación en manejo de bases de datos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6,200.00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6,200.00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Enero 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0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BID-PLANEE-SCC-03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Servicio de capacitación en planificación energética con ERNC y EE 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35,000.00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35,000.00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SCC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Esta contratación se realizará con firma española</w:t>
            </w:r>
          </w:p>
        </w:tc>
      </w:tr>
      <w:tr w:rsidR="00E322BD" w:rsidRPr="00E322BD" w:rsidTr="00E322BD">
        <w:trPr>
          <w:trHeight w:val="340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BID-PLANEE-SCC-04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Servicio de capacitación en sistemas de gestión de energía y certificación ISO 50001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60,000.00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60,000.00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SCC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Esta contratación se realizará con firma española</w:t>
            </w:r>
          </w:p>
        </w:tc>
      </w:tr>
      <w:tr w:rsidR="00E322BD" w:rsidRPr="00E322BD" w:rsidTr="00E322BD">
        <w:trPr>
          <w:trHeight w:val="502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BID-PLANEE-CP-12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Logística para talleres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8,847.20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8,847.20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Agosto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 este rubro se canceló la estadía del experto mexicano que dictó un curso de ER a personal del MEER</w:t>
            </w:r>
          </w:p>
        </w:tc>
      </w:tr>
      <w:tr w:rsidR="00E322BD" w:rsidRPr="00E322BD" w:rsidTr="00E322BD">
        <w:trPr>
          <w:trHeight w:val="430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BID-PLANEE-CP-13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Pasajes y viáticos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16,397.39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16,397.39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Agosto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 este rubro se cancelaron pasajes a Galápagos de funcionarios de la SEREE y pasajes a Panamá para el Latin Carbon Forum.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BID-PLANEE-CCIN-02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Consultoría en Hidrocarburos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27,000.00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27,000.00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Abril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lastRenderedPageBreak/>
              <w:t>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BID-PLANEE-CCIN-03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Consultoría de Transporte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24,200.00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24,200.00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Abril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BID-PLANEE-SCC-03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Sistemas de gestión de energía en PYMES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120,000.00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CII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120,000.00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SCC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Estudios técnicos complementarios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BID-PLANEE-CP-15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Encuesta usos finales continental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54,422.61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ADM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54,422.61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Octubre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BID-PLANEE-CCIN-04</w:t>
            </w:r>
          </w:p>
        </w:tc>
        <w:tc>
          <w:tcPr>
            <w:tcW w:w="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Encuesta usos finales Galápagos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5,700.00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ADM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  5,700.00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Julio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BID-PLANEE-CCIN-05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Coordinación del proyecto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35,100.00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ADM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35,100.00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Noviembre 2015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Contratado</w:t>
            </w:r>
          </w:p>
        </w:tc>
      </w:tr>
      <w:tr w:rsidR="00E322BD" w:rsidRPr="00E322BD" w:rsidTr="00E322BD">
        <w:trPr>
          <w:trHeight w:val="255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BID-PLANEE-CP-14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Imprevistos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30,000.00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ADM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   30,000.00 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CP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Ex ante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Diciembre 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</w:tr>
      <w:tr w:rsidR="00E322BD" w:rsidRPr="00E322BD" w:rsidTr="00E322BD">
        <w:trPr>
          <w:trHeight w:val="315"/>
        </w:trPr>
        <w:tc>
          <w:tcPr>
            <w:tcW w:w="3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Total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700,000.00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350,000.00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8"/>
                <w:lang w:eastAsia="es-ES_tradnl"/>
              </w:rPr>
              <w:t xml:space="preserve">               350,000.00 </w:t>
            </w:r>
          </w:p>
        </w:tc>
        <w:tc>
          <w:tcPr>
            <w:tcW w:w="2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Preparado por: COORDINACIÓN PLANEEER</w:t>
            </w:r>
          </w:p>
        </w:tc>
        <w:tc>
          <w:tcPr>
            <w:tcW w:w="5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8"/>
                <w:lang w:eastAsia="es-ES_tradnl"/>
              </w:rPr>
              <w:t>Fecha: 08.nov.2016</w:t>
            </w:r>
          </w:p>
        </w:tc>
      </w:tr>
      <w:tr w:rsidR="004B236C" w:rsidRPr="00E322BD" w:rsidTr="00E322BD">
        <w:trPr>
          <w:trHeight w:val="91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vertAlign w:val="superscript"/>
                <w:lang w:eastAsia="es-ES_tradnl"/>
              </w:rPr>
              <w:t>(1)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 Se recomienda el agrupamiento de adquisiciones de naturaleza similar tales como equipos informáticos, mobiliario, publicaciones. pasajes, etc. Si hubiesen grupos de contratos individuales similares que van a ser ejecutados en distintas períodos, éstos pueden incluirse agrupados bajo un solo rubro con una explicación en la columna de comentarios indicando el valor promedio individual y el período durante el cual serían ejecutados.  Por ejemplo: En un proyecto de promoción de exportaciones que incluye viajes para participar en ferias, se pondría un ítem que diría “Pasajes aéreos Ferias", el valor total estimado en US$ 5 mil y una explicación en la columna Comentarios:  “Este es un agrupamiento de aproximadamente 4 pasajes para participar en ferias de la región durante el año X y X1.</w:t>
            </w:r>
          </w:p>
        </w:tc>
      </w:tr>
      <w:tr w:rsidR="004B236C" w:rsidRPr="00E322BD" w:rsidTr="00E322BD">
        <w:trPr>
          <w:trHeight w:val="31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vertAlign w:val="superscript"/>
                <w:lang w:eastAsia="es-ES_tradnl"/>
              </w:rPr>
              <w:t>(2)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  <w:t>Bienes y Obras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  <w:t>LP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Licitación Pública; 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  <w:t>CP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Comparación de Precios; 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  <w:t>CD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Contratación Directa   </w:t>
            </w:r>
          </w:p>
        </w:tc>
      </w:tr>
      <w:tr w:rsidR="004B236C" w:rsidRPr="00E322BD" w:rsidTr="00E322BD">
        <w:trPr>
          <w:trHeight w:val="70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6"/>
                <w:vertAlign w:val="superscript"/>
                <w:lang w:eastAsia="es-ES_tradnl"/>
              </w:rPr>
              <w:t>(2)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  <w:t>Firmas de consultoría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>: CFCI: Concurso de Firmas Consultoras Internacionales; CFCN: Concurso de Firmas Consultoras Nacionales; SCC: Selección Basada en la Calificación de los Consultores; SBCC: Selección Basada en Calidad y Costo; SBMC: Selección Basada en el Menor Costo; SBPF: Selección Basada en Presupuesto Fijo. SD: Selección Directa; SBC: Selección Basada en Calidad.</w:t>
            </w:r>
          </w:p>
        </w:tc>
      </w:tr>
      <w:tr w:rsidR="004B236C" w:rsidRPr="00E322BD" w:rsidTr="00E322BD">
        <w:trPr>
          <w:trHeight w:val="450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vertAlign w:val="superscript"/>
                <w:lang w:eastAsia="es-ES_tradnl"/>
              </w:rPr>
              <w:t xml:space="preserve">(2)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  <w:t>Consultores Individuales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lang w:eastAsia="es-ES_tradnl"/>
              </w:rPr>
              <w:t>CCIN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: Selección basada en la Comparación de Calificaciones Consultor Individual; SD: Selección Directa. </w:t>
            </w:r>
          </w:p>
        </w:tc>
      </w:tr>
      <w:tr w:rsidR="004B236C" w:rsidRPr="00E322BD" w:rsidTr="00E322BD">
        <w:trPr>
          <w:trHeight w:val="450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6"/>
                <w:vertAlign w:val="superscript"/>
                <w:lang w:eastAsia="es-ES_tradnl"/>
              </w:rPr>
              <w:t>(3)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  <w:t xml:space="preserve"> Revisión ex ante/ ex post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>. En general, dependiendo de la capacidad institucional y el nivel de riesgo asociados a las adquisiciones la modalidad estándar es revisión ex post. Para procesos críticos o complejos podrá establecerse la revisión ex ante.</w:t>
            </w:r>
          </w:p>
        </w:tc>
      </w:tr>
      <w:tr w:rsidR="004B236C" w:rsidRPr="00E322BD" w:rsidTr="00E322BD">
        <w:trPr>
          <w:trHeight w:val="315"/>
        </w:trPr>
        <w:tc>
          <w:tcPr>
            <w:tcW w:w="155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236C" w:rsidRPr="00E322BD" w:rsidRDefault="004B236C" w:rsidP="004B2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</w:pPr>
            <w:r w:rsidRPr="00E322BD">
              <w:rPr>
                <w:rFonts w:ascii="Arial" w:eastAsia="Times New Roman" w:hAnsi="Arial" w:cs="Arial"/>
                <w:sz w:val="10"/>
                <w:szCs w:val="16"/>
                <w:vertAlign w:val="superscript"/>
                <w:lang w:eastAsia="es-ES_tradnl"/>
              </w:rPr>
              <w:t>(4)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 xml:space="preserve">  </w:t>
            </w:r>
            <w:r w:rsidRPr="00E322BD">
              <w:rPr>
                <w:rFonts w:ascii="Arial" w:eastAsia="Times New Roman" w:hAnsi="Arial" w:cs="Arial"/>
                <w:b/>
                <w:bCs/>
                <w:sz w:val="10"/>
                <w:szCs w:val="16"/>
                <w:u w:val="single"/>
                <w:lang w:eastAsia="es-ES_tradnl"/>
              </w:rPr>
              <w:t>Revisión técnica</w:t>
            </w:r>
            <w:r w:rsidRPr="00E322BD">
              <w:rPr>
                <w:rFonts w:ascii="Arial" w:eastAsia="Times New Roman" w:hAnsi="Arial" w:cs="Arial"/>
                <w:sz w:val="10"/>
                <w:szCs w:val="16"/>
                <w:lang w:eastAsia="es-ES_tradnl"/>
              </w:rPr>
              <w:t>: Esta columna será utilizada por el JEP para definir aquellas adquisiciones que considere "críticas" o "complejas" que requieran la revisión ex ante de los términos de referencia, especificaciones técnicas, informes, productos, u otros.</w:t>
            </w:r>
          </w:p>
        </w:tc>
      </w:tr>
    </w:tbl>
    <w:p w:rsidR="00930C88" w:rsidRDefault="00930C88"/>
    <w:sectPr w:rsidR="00930C88" w:rsidSect="00E322BD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07"/>
    <w:rsid w:val="004B236C"/>
    <w:rsid w:val="00930C88"/>
    <w:rsid w:val="00CD6207"/>
    <w:rsid w:val="00E3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08A296D38843F42844817214D0902FE" ma:contentTypeVersion="0" ma:contentTypeDescription="A content type to manage public (operations) IDB documents" ma:contentTypeScope="" ma:versionID="683c3d0de95dc85bc47b1d3111cc1d0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c7b30f3a9b049adb5b4f8bc130fd7e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f9ce3e8-7bef-4be6-8580-3a9caba9e68b}" ma:internalName="TaxCatchAll" ma:showField="CatchAllData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f9ce3e8-7bef-4be6-8580-3a9caba9e68b}" ma:internalName="TaxCatchAllLabel" ma:readOnly="true" ma:showField="CatchAllDataLabel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INE/ENE</Division_x0020_or_x0020_Unit>
    <Other_x0020_Author xmlns="9c571b2f-e523-4ab2-ba2e-09e151a03ef4" xsi:nil="true"/>
    <Region xmlns="9c571b2f-e523-4ab2-ba2e-09e151a03ef4" xsi:nil="true"/>
    <IDBDocs_x0020_Number xmlns="9c571b2f-e523-4ab2-ba2e-09e151a03ef4">39758428</IDBDocs_x0020_Number>
    <Document_x0020_Author xmlns="9c571b2f-e523-4ab2-ba2e-09e151a03ef4">Snyder, Virginia Maria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EC-T1312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EN-ALT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04B287E-AD2E-4CEE-8BD9-7F380E48F89C}"/>
</file>

<file path=customXml/itemProps2.xml><?xml version="1.0" encoding="utf-8"?>
<ds:datastoreItem xmlns:ds="http://schemas.openxmlformats.org/officeDocument/2006/customXml" ds:itemID="{4032DBED-B4E3-49CD-9145-B163DBB6DF34}"/>
</file>

<file path=customXml/itemProps3.xml><?xml version="1.0" encoding="utf-8"?>
<ds:datastoreItem xmlns:ds="http://schemas.openxmlformats.org/officeDocument/2006/customXml" ds:itemID="{C41AB5AE-28BA-4122-84C5-28C6518BA3E5}"/>
</file>

<file path=customXml/itemProps4.xml><?xml version="1.0" encoding="utf-8"?>
<ds:datastoreItem xmlns:ds="http://schemas.openxmlformats.org/officeDocument/2006/customXml" ds:itemID="{7FB1830F-1051-4646-8AB0-DE955E0FC431}"/>
</file>

<file path=customXml/itemProps5.xml><?xml version="1.0" encoding="utf-8"?>
<ds:datastoreItem xmlns:ds="http://schemas.openxmlformats.org/officeDocument/2006/customXml" ds:itemID="{D32D608E-207A-4E8D-A952-7B8D0CD70F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1223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EC-T1312_Plan_de_Adquisiciones</dc:title>
  <dc:creator>IADB</dc:creator>
  <cp:lastModifiedBy>IADB</cp:lastModifiedBy>
  <cp:revision>1</cp:revision>
  <dcterms:created xsi:type="dcterms:W3CDTF">2016-11-08T23:04:00Z</dcterms:created>
  <dcterms:modified xsi:type="dcterms:W3CDTF">2016-11-09T15:37:00Z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0x01010046CF21643EE8D14686A648AA6DAD089200808A296D38843F42844817214D0902FE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