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49721" w14:textId="1C6E725F" w:rsidR="006458D9" w:rsidRPr="00D20B1A" w:rsidRDefault="006458D9" w:rsidP="00405C06">
      <w:pPr>
        <w:rPr>
          <w:rFonts w:cstheme="minorHAnsi"/>
        </w:rPr>
      </w:pPr>
      <w:bookmarkStart w:id="0" w:name="_GoBack"/>
      <w:bookmarkEnd w:id="0"/>
    </w:p>
    <w:p w14:paraId="16A51CA0" w14:textId="77777777" w:rsidR="006458D9" w:rsidRPr="00D20B1A" w:rsidRDefault="006458D9" w:rsidP="00405C06">
      <w:pPr>
        <w:rPr>
          <w:rFonts w:cstheme="minorHAnsi"/>
        </w:rPr>
      </w:pPr>
    </w:p>
    <w:p w14:paraId="7E284FF0" w14:textId="77777777" w:rsidR="006458D9" w:rsidRPr="00D20B1A" w:rsidRDefault="006458D9" w:rsidP="00405C06">
      <w:pPr>
        <w:rPr>
          <w:rFonts w:cstheme="minorHAnsi"/>
        </w:rPr>
      </w:pPr>
    </w:p>
    <w:p w14:paraId="7EE22E98" w14:textId="77777777" w:rsidR="006458D9" w:rsidRPr="00D20B1A" w:rsidRDefault="006458D9" w:rsidP="00405C06">
      <w:pPr>
        <w:rPr>
          <w:rFonts w:cstheme="minorHAnsi"/>
        </w:rPr>
      </w:pPr>
    </w:p>
    <w:p w14:paraId="3175098A" w14:textId="77777777" w:rsidR="006458D9" w:rsidRPr="00D20B1A" w:rsidRDefault="006458D9" w:rsidP="00405C06">
      <w:pPr>
        <w:rPr>
          <w:rFonts w:cstheme="minorHAnsi"/>
        </w:rPr>
      </w:pPr>
    </w:p>
    <w:p w14:paraId="60640720" w14:textId="77777777" w:rsidR="006458D9" w:rsidRPr="00D20B1A" w:rsidRDefault="006458D9" w:rsidP="00405C06">
      <w:pPr>
        <w:rPr>
          <w:rFonts w:cstheme="minorHAnsi"/>
        </w:rPr>
      </w:pPr>
    </w:p>
    <w:p w14:paraId="4FF9540E" w14:textId="77777777" w:rsidR="006458D9" w:rsidRPr="00D20B1A" w:rsidRDefault="006458D9" w:rsidP="00405C06">
      <w:pPr>
        <w:rPr>
          <w:rFonts w:cstheme="minorHAnsi"/>
        </w:rPr>
      </w:pPr>
    </w:p>
    <w:p w14:paraId="34E90A63" w14:textId="77777777" w:rsidR="006458D9" w:rsidRPr="00D20B1A" w:rsidRDefault="006458D9" w:rsidP="00405C06">
      <w:pPr>
        <w:rPr>
          <w:rStyle w:val="BookTitle"/>
          <w:rFonts w:cstheme="minorHAnsi"/>
        </w:rPr>
      </w:pPr>
    </w:p>
    <w:p w14:paraId="05DDC5C1" w14:textId="4BF5F744" w:rsidR="006458D9" w:rsidRPr="00D20B1A" w:rsidRDefault="006458D9" w:rsidP="00405C06">
      <w:pPr>
        <w:rPr>
          <w:rFonts w:cstheme="minorHAnsi"/>
        </w:rPr>
      </w:pPr>
    </w:p>
    <w:p w14:paraId="361BBC7A" w14:textId="2F16E072" w:rsidR="006458D9" w:rsidRPr="00D20B1A" w:rsidRDefault="006458D9" w:rsidP="00405C06">
      <w:pPr>
        <w:jc w:val="center"/>
        <w:rPr>
          <w:rStyle w:val="BookTitle"/>
          <w:rFonts w:cstheme="minorHAnsi"/>
        </w:rPr>
      </w:pPr>
      <w:r w:rsidRPr="00D20B1A">
        <w:rPr>
          <w:rStyle w:val="BookTitle"/>
          <w:rFonts w:cstheme="minorHAnsi"/>
        </w:rPr>
        <w:t>RELATÓRIO FISCA</w:t>
      </w:r>
      <w:r w:rsidR="00D461B9" w:rsidRPr="00D20B1A">
        <w:rPr>
          <w:rStyle w:val="BookTitle"/>
          <w:rFonts w:cstheme="minorHAnsi"/>
        </w:rPr>
        <w:t>L</w:t>
      </w:r>
    </w:p>
    <w:p w14:paraId="1B90E1A0" w14:textId="33D23013" w:rsidR="007415B5" w:rsidRDefault="006458D9" w:rsidP="00405C06">
      <w:pPr>
        <w:jc w:val="center"/>
        <w:rPr>
          <w:rStyle w:val="BookTitle"/>
          <w:rFonts w:cstheme="minorHAnsi"/>
          <w:sz w:val="40"/>
          <w:szCs w:val="40"/>
        </w:rPr>
      </w:pPr>
      <w:r w:rsidRPr="00D20B1A">
        <w:rPr>
          <w:rFonts w:cstheme="minorHAnsi"/>
        </w:rPr>
        <w:tab/>
      </w:r>
      <w:r w:rsidR="001036F9" w:rsidRPr="00D20B1A">
        <w:rPr>
          <w:rStyle w:val="BookTitle"/>
          <w:rFonts w:cstheme="minorHAnsi"/>
          <w:sz w:val="40"/>
          <w:szCs w:val="40"/>
        </w:rPr>
        <w:t xml:space="preserve">GOVERNO </w:t>
      </w:r>
      <w:r w:rsidR="00B7622B" w:rsidRPr="00D20B1A">
        <w:rPr>
          <w:rStyle w:val="BookTitle"/>
          <w:rFonts w:cstheme="minorHAnsi"/>
          <w:sz w:val="40"/>
          <w:szCs w:val="40"/>
        </w:rPr>
        <w:t>DO ESTADO</w:t>
      </w:r>
      <w:r w:rsidR="001036F9" w:rsidRPr="00D20B1A">
        <w:rPr>
          <w:rStyle w:val="BookTitle"/>
          <w:rFonts w:cstheme="minorHAnsi"/>
          <w:sz w:val="40"/>
          <w:szCs w:val="40"/>
        </w:rPr>
        <w:t xml:space="preserve"> DE </w:t>
      </w:r>
      <w:r w:rsidR="00E05C0E">
        <w:rPr>
          <w:rStyle w:val="BookTitle"/>
          <w:rFonts w:cstheme="minorHAnsi"/>
          <w:sz w:val="40"/>
          <w:szCs w:val="40"/>
        </w:rPr>
        <w:t>AMAPÁ</w:t>
      </w:r>
    </w:p>
    <w:p w14:paraId="0545874B" w14:textId="32CE639D" w:rsidR="00957ACE" w:rsidRDefault="00957ACE" w:rsidP="00405C06">
      <w:pPr>
        <w:jc w:val="center"/>
        <w:rPr>
          <w:rStyle w:val="BookTitle"/>
          <w:rFonts w:cstheme="minorHAnsi"/>
          <w:sz w:val="40"/>
          <w:szCs w:val="40"/>
        </w:rPr>
      </w:pPr>
    </w:p>
    <w:p w14:paraId="32D05E78" w14:textId="41032FFA" w:rsidR="00957ACE" w:rsidRDefault="00957ACE" w:rsidP="00405C06">
      <w:pPr>
        <w:jc w:val="center"/>
        <w:rPr>
          <w:rStyle w:val="BookTitle"/>
          <w:rFonts w:cstheme="minorHAnsi"/>
          <w:sz w:val="40"/>
          <w:szCs w:val="40"/>
        </w:rPr>
      </w:pPr>
    </w:p>
    <w:p w14:paraId="32547246" w14:textId="7329143B" w:rsidR="00957ACE" w:rsidRDefault="00957ACE" w:rsidP="00405C06">
      <w:pPr>
        <w:jc w:val="center"/>
        <w:rPr>
          <w:rStyle w:val="BookTitle"/>
          <w:rFonts w:cstheme="minorHAnsi"/>
          <w:sz w:val="40"/>
          <w:szCs w:val="40"/>
        </w:rPr>
      </w:pPr>
    </w:p>
    <w:p w14:paraId="09FA0802" w14:textId="6C8CC59A" w:rsidR="00957ACE" w:rsidRDefault="00957ACE" w:rsidP="00405C06">
      <w:pPr>
        <w:jc w:val="center"/>
        <w:rPr>
          <w:rStyle w:val="BookTitle"/>
          <w:rFonts w:cstheme="minorHAnsi"/>
          <w:sz w:val="40"/>
          <w:szCs w:val="40"/>
        </w:rPr>
      </w:pPr>
    </w:p>
    <w:p w14:paraId="6F858513" w14:textId="6144A25B" w:rsidR="00957ACE" w:rsidRPr="00957ACE" w:rsidRDefault="00957ACE" w:rsidP="00957ACE">
      <w:pPr>
        <w:jc w:val="right"/>
        <w:rPr>
          <w:rStyle w:val="BookTitle"/>
          <w:rFonts w:cstheme="minorHAnsi"/>
          <w:sz w:val="28"/>
          <w:szCs w:val="28"/>
        </w:rPr>
      </w:pPr>
      <w:r w:rsidRPr="00957ACE">
        <w:rPr>
          <w:rStyle w:val="BookTitle"/>
          <w:rFonts w:cstheme="minorHAnsi"/>
          <w:sz w:val="28"/>
          <w:szCs w:val="28"/>
        </w:rPr>
        <w:t>Consultora: Sol Garson Braule Pinto</w:t>
      </w:r>
    </w:p>
    <w:p w14:paraId="32C432DE" w14:textId="26150263" w:rsidR="00957ACE" w:rsidRPr="00957ACE" w:rsidRDefault="00E05C0E" w:rsidP="00957ACE">
      <w:pPr>
        <w:jc w:val="right"/>
        <w:rPr>
          <w:rStyle w:val="BookTitle"/>
          <w:rFonts w:cstheme="minorHAnsi"/>
          <w:sz w:val="32"/>
          <w:szCs w:val="32"/>
        </w:rPr>
      </w:pPr>
      <w:r>
        <w:rPr>
          <w:rStyle w:val="BookTitle"/>
          <w:rFonts w:cstheme="minorHAnsi"/>
          <w:sz w:val="32"/>
          <w:szCs w:val="32"/>
        </w:rPr>
        <w:t>A</w:t>
      </w:r>
      <w:r w:rsidR="006027A0">
        <w:rPr>
          <w:rStyle w:val="BookTitle"/>
          <w:rFonts w:cstheme="minorHAnsi"/>
          <w:sz w:val="32"/>
          <w:szCs w:val="32"/>
        </w:rPr>
        <w:t xml:space="preserve">gosto </w:t>
      </w:r>
      <w:r>
        <w:rPr>
          <w:rStyle w:val="BookTitle"/>
          <w:rFonts w:cstheme="minorHAnsi"/>
          <w:sz w:val="32"/>
          <w:szCs w:val="32"/>
        </w:rPr>
        <w:t>l</w:t>
      </w:r>
      <w:r w:rsidR="00957ACE" w:rsidRPr="00957ACE">
        <w:rPr>
          <w:rStyle w:val="BookTitle"/>
          <w:rFonts w:cstheme="minorHAnsi"/>
          <w:sz w:val="32"/>
          <w:szCs w:val="32"/>
        </w:rPr>
        <w:t xml:space="preserve"> 201</w:t>
      </w:r>
      <w:r>
        <w:rPr>
          <w:rStyle w:val="BookTitle"/>
          <w:rFonts w:cstheme="minorHAnsi"/>
          <w:sz w:val="32"/>
          <w:szCs w:val="32"/>
        </w:rPr>
        <w:t>9</w:t>
      </w:r>
    </w:p>
    <w:p w14:paraId="46E5B9A3" w14:textId="2D964DAB" w:rsidR="00957ACE" w:rsidRDefault="00957ACE" w:rsidP="00405C06">
      <w:pPr>
        <w:jc w:val="center"/>
        <w:rPr>
          <w:rStyle w:val="BookTitle"/>
          <w:rFonts w:cstheme="minorHAnsi"/>
          <w:sz w:val="40"/>
          <w:szCs w:val="40"/>
        </w:rPr>
      </w:pPr>
    </w:p>
    <w:p w14:paraId="7A2E7162" w14:textId="77777777" w:rsidR="00957ACE" w:rsidRPr="00D20B1A" w:rsidRDefault="00957ACE" w:rsidP="00405C06">
      <w:pPr>
        <w:jc w:val="center"/>
        <w:rPr>
          <w:rStyle w:val="BookTitle"/>
          <w:rFonts w:cstheme="minorHAnsi"/>
          <w:sz w:val="40"/>
          <w:szCs w:val="40"/>
        </w:rPr>
        <w:sectPr w:rsidR="00957ACE" w:rsidRPr="00D20B1A" w:rsidSect="00405C06">
          <w:footerReference w:type="default" r:id="rId8"/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2B869213" w14:textId="0EDF3101" w:rsidR="00834C77" w:rsidRPr="00D20B1A" w:rsidRDefault="00403042" w:rsidP="00405C06">
      <w:pPr>
        <w:pStyle w:val="Heading1"/>
        <w:numPr>
          <w:ilvl w:val="0"/>
          <w:numId w:val="0"/>
        </w:numPr>
        <w:rPr>
          <w:rFonts w:cstheme="minorHAnsi"/>
          <w:b/>
        </w:rPr>
      </w:pPr>
      <w:bookmarkStart w:id="1" w:name="_Toc384053595"/>
      <w:bookmarkStart w:id="2" w:name="_Toc384398356"/>
      <w:bookmarkStart w:id="3" w:name="_Toc421093590"/>
      <w:bookmarkStart w:id="4" w:name="_Toc421531544"/>
      <w:bookmarkStart w:id="5" w:name="_Toc505292069"/>
      <w:bookmarkStart w:id="6" w:name="_Toc505510657"/>
      <w:bookmarkStart w:id="7" w:name="_Toc212982725"/>
      <w:r w:rsidRPr="00D20B1A">
        <w:rPr>
          <w:rFonts w:cstheme="minorHAnsi"/>
          <w:b/>
        </w:rPr>
        <w:lastRenderedPageBreak/>
        <w:t>Sumário</w:t>
      </w:r>
      <w:bookmarkEnd w:id="1"/>
      <w:bookmarkEnd w:id="2"/>
      <w:bookmarkEnd w:id="3"/>
      <w:bookmarkEnd w:id="4"/>
      <w:bookmarkEnd w:id="5"/>
      <w:bookmarkEnd w:id="6"/>
    </w:p>
    <w:p w14:paraId="4921F111" w14:textId="1604DA22" w:rsidR="00957ACE" w:rsidRDefault="00834C77" w:rsidP="00957ACE">
      <w:pPr>
        <w:pStyle w:val="TOC1"/>
        <w:rPr>
          <w:rFonts w:eastAsiaTheme="minorEastAsia" w:cstheme="minorBidi"/>
          <w:b w:val="0"/>
          <w:sz w:val="22"/>
          <w:szCs w:val="22"/>
        </w:rPr>
      </w:pPr>
      <w:r w:rsidRPr="00D20B1A">
        <w:rPr>
          <w:rFonts w:cstheme="minorHAnsi"/>
        </w:rPr>
        <w:fldChar w:fldCharType="begin"/>
      </w:r>
      <w:r w:rsidRPr="00D20B1A">
        <w:rPr>
          <w:rFonts w:cstheme="minorHAnsi"/>
        </w:rPr>
        <w:instrText xml:space="preserve"> TOC \o "1-3" \h \z \u </w:instrText>
      </w:r>
      <w:r w:rsidRPr="00D20B1A">
        <w:rPr>
          <w:rFonts w:cstheme="minorHAnsi"/>
        </w:rPr>
        <w:fldChar w:fldCharType="separate"/>
      </w:r>
    </w:p>
    <w:p w14:paraId="3629EE38" w14:textId="28115072" w:rsidR="00957ACE" w:rsidRDefault="004C6140">
      <w:pPr>
        <w:pStyle w:val="TOC1"/>
        <w:rPr>
          <w:rFonts w:eastAsiaTheme="minorEastAsia" w:cstheme="minorBidi"/>
          <w:b w:val="0"/>
          <w:sz w:val="22"/>
          <w:szCs w:val="22"/>
        </w:rPr>
      </w:pPr>
      <w:hyperlink w:anchor="_Toc505510661" w:history="1">
        <w:r w:rsidR="00957ACE" w:rsidRPr="009546D8">
          <w:rPr>
            <w:rStyle w:val="Hyperlink"/>
            <w:rFonts w:cstheme="minorHAnsi"/>
          </w:rPr>
          <w:t>1.</w:t>
        </w:r>
        <w:r w:rsidR="00957ACE">
          <w:rPr>
            <w:rFonts w:eastAsiaTheme="minorEastAsia" w:cstheme="minorBidi"/>
            <w:b w:val="0"/>
            <w:sz w:val="22"/>
            <w:szCs w:val="22"/>
          </w:rPr>
          <w:tab/>
        </w:r>
        <w:r w:rsidR="00957ACE" w:rsidRPr="009546D8">
          <w:rPr>
            <w:rStyle w:val="Hyperlink"/>
            <w:rFonts w:cstheme="minorHAnsi"/>
          </w:rPr>
          <w:t>APRESENTAÇÃO</w:t>
        </w:r>
        <w:r w:rsidR="00957ACE">
          <w:rPr>
            <w:webHidden/>
          </w:rPr>
          <w:tab/>
        </w:r>
        <w:r w:rsidR="00957ACE">
          <w:rPr>
            <w:webHidden/>
          </w:rPr>
          <w:fldChar w:fldCharType="begin"/>
        </w:r>
        <w:r w:rsidR="00957ACE">
          <w:rPr>
            <w:webHidden/>
          </w:rPr>
          <w:instrText xml:space="preserve"> PAGEREF _Toc505510661 \h </w:instrText>
        </w:r>
        <w:r w:rsidR="00957ACE">
          <w:rPr>
            <w:webHidden/>
          </w:rPr>
        </w:r>
        <w:r w:rsidR="00957ACE">
          <w:rPr>
            <w:webHidden/>
          </w:rPr>
          <w:fldChar w:fldCharType="separate"/>
        </w:r>
        <w:r w:rsidR="00342B85">
          <w:rPr>
            <w:webHidden/>
          </w:rPr>
          <w:t>5</w:t>
        </w:r>
        <w:r w:rsidR="00957ACE">
          <w:rPr>
            <w:webHidden/>
          </w:rPr>
          <w:fldChar w:fldCharType="end"/>
        </w:r>
      </w:hyperlink>
    </w:p>
    <w:p w14:paraId="01A4BA68" w14:textId="43D66AAE" w:rsidR="00957ACE" w:rsidRDefault="004C6140">
      <w:pPr>
        <w:pStyle w:val="TOC1"/>
        <w:rPr>
          <w:rFonts w:eastAsiaTheme="minorEastAsia" w:cstheme="minorBidi"/>
          <w:b w:val="0"/>
          <w:sz w:val="22"/>
          <w:szCs w:val="22"/>
        </w:rPr>
      </w:pPr>
      <w:hyperlink w:anchor="_Toc505510662" w:history="1">
        <w:r w:rsidR="00957ACE" w:rsidRPr="009546D8">
          <w:rPr>
            <w:rStyle w:val="Hyperlink"/>
            <w:rFonts w:cstheme="minorHAnsi"/>
          </w:rPr>
          <w:t>2.</w:t>
        </w:r>
        <w:r w:rsidR="00957ACE">
          <w:rPr>
            <w:rFonts w:eastAsiaTheme="minorEastAsia" w:cstheme="minorBidi"/>
            <w:b w:val="0"/>
            <w:sz w:val="22"/>
            <w:szCs w:val="22"/>
          </w:rPr>
          <w:tab/>
        </w:r>
        <w:r w:rsidR="00957ACE" w:rsidRPr="009546D8">
          <w:rPr>
            <w:rStyle w:val="Hyperlink"/>
            <w:rFonts w:cstheme="minorHAnsi"/>
          </w:rPr>
          <w:t xml:space="preserve">Estado de </w:t>
        </w:r>
        <w:r w:rsidR="00E05C0E">
          <w:rPr>
            <w:rStyle w:val="Hyperlink"/>
            <w:rFonts w:cstheme="minorHAnsi"/>
          </w:rPr>
          <w:t>Amapá</w:t>
        </w:r>
        <w:r w:rsidR="00957ACE" w:rsidRPr="009546D8">
          <w:rPr>
            <w:rStyle w:val="Hyperlink"/>
            <w:rFonts w:cstheme="minorHAnsi"/>
          </w:rPr>
          <w:t>- Desempenho Fiscal 2006 a 2017</w:t>
        </w:r>
        <w:r w:rsidR="00957ACE">
          <w:rPr>
            <w:webHidden/>
          </w:rPr>
          <w:tab/>
        </w:r>
        <w:r w:rsidR="00957ACE">
          <w:rPr>
            <w:webHidden/>
          </w:rPr>
          <w:fldChar w:fldCharType="begin"/>
        </w:r>
        <w:r w:rsidR="00957ACE">
          <w:rPr>
            <w:webHidden/>
          </w:rPr>
          <w:instrText xml:space="preserve"> PAGEREF _Toc505510662 \h </w:instrText>
        </w:r>
        <w:r w:rsidR="00957ACE">
          <w:rPr>
            <w:webHidden/>
          </w:rPr>
        </w:r>
        <w:r w:rsidR="00957ACE">
          <w:rPr>
            <w:webHidden/>
          </w:rPr>
          <w:fldChar w:fldCharType="separate"/>
        </w:r>
        <w:r w:rsidR="00342B85">
          <w:rPr>
            <w:webHidden/>
          </w:rPr>
          <w:t>5</w:t>
        </w:r>
        <w:r w:rsidR="00957ACE">
          <w:rPr>
            <w:webHidden/>
          </w:rPr>
          <w:fldChar w:fldCharType="end"/>
        </w:r>
      </w:hyperlink>
    </w:p>
    <w:p w14:paraId="278FD604" w14:textId="2E9DE3EF" w:rsidR="00957ACE" w:rsidRDefault="004C6140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510663" w:history="1">
        <w:r w:rsidR="00957ACE" w:rsidRPr="009546D8">
          <w:rPr>
            <w:rStyle w:val="Hyperlink"/>
            <w:rFonts w:eastAsiaTheme="majorEastAsia" w:cstheme="minorHAnsi"/>
            <w:i/>
            <w:noProof/>
          </w:rPr>
          <w:t>2.1 Desempenho Fiscal -Informações Básicas</w:t>
        </w:r>
        <w:r w:rsidR="00957ACE">
          <w:rPr>
            <w:noProof/>
            <w:webHidden/>
          </w:rPr>
          <w:tab/>
        </w:r>
        <w:r w:rsidR="00957ACE">
          <w:rPr>
            <w:noProof/>
            <w:webHidden/>
          </w:rPr>
          <w:fldChar w:fldCharType="begin"/>
        </w:r>
        <w:r w:rsidR="00957ACE">
          <w:rPr>
            <w:noProof/>
            <w:webHidden/>
          </w:rPr>
          <w:instrText xml:space="preserve"> PAGEREF _Toc505510663 \h </w:instrText>
        </w:r>
        <w:r w:rsidR="00957ACE">
          <w:rPr>
            <w:noProof/>
            <w:webHidden/>
          </w:rPr>
        </w:r>
        <w:r w:rsidR="00957ACE">
          <w:rPr>
            <w:noProof/>
            <w:webHidden/>
          </w:rPr>
          <w:fldChar w:fldCharType="separate"/>
        </w:r>
        <w:r w:rsidR="00342B85">
          <w:rPr>
            <w:noProof/>
            <w:webHidden/>
          </w:rPr>
          <w:t>5</w:t>
        </w:r>
        <w:r w:rsidR="00957ACE">
          <w:rPr>
            <w:noProof/>
            <w:webHidden/>
          </w:rPr>
          <w:fldChar w:fldCharType="end"/>
        </w:r>
      </w:hyperlink>
    </w:p>
    <w:p w14:paraId="54120DB4" w14:textId="4EE4B0BE" w:rsidR="00957ACE" w:rsidRDefault="004C6140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510664" w:history="1">
        <w:r w:rsidR="00957ACE" w:rsidRPr="009546D8">
          <w:rPr>
            <w:rStyle w:val="Hyperlink"/>
            <w:rFonts w:eastAsiaTheme="majorEastAsia" w:cstheme="minorHAnsi"/>
            <w:i/>
            <w:noProof/>
          </w:rPr>
          <w:t>2.2 Evolução da Receita Disponível</w:t>
        </w:r>
        <w:r w:rsidR="00957ACE">
          <w:rPr>
            <w:noProof/>
            <w:webHidden/>
          </w:rPr>
          <w:tab/>
        </w:r>
        <w:r w:rsidR="00957ACE">
          <w:rPr>
            <w:noProof/>
            <w:webHidden/>
          </w:rPr>
          <w:fldChar w:fldCharType="begin"/>
        </w:r>
        <w:r w:rsidR="00957ACE">
          <w:rPr>
            <w:noProof/>
            <w:webHidden/>
          </w:rPr>
          <w:instrText xml:space="preserve"> PAGEREF _Toc505510664 \h </w:instrText>
        </w:r>
        <w:r w:rsidR="00957ACE">
          <w:rPr>
            <w:noProof/>
            <w:webHidden/>
          </w:rPr>
        </w:r>
        <w:r w:rsidR="00957ACE">
          <w:rPr>
            <w:noProof/>
            <w:webHidden/>
          </w:rPr>
          <w:fldChar w:fldCharType="separate"/>
        </w:r>
        <w:r w:rsidR="00342B85">
          <w:rPr>
            <w:noProof/>
            <w:webHidden/>
          </w:rPr>
          <w:t>10</w:t>
        </w:r>
        <w:r w:rsidR="00957ACE">
          <w:rPr>
            <w:noProof/>
            <w:webHidden/>
          </w:rPr>
          <w:fldChar w:fldCharType="end"/>
        </w:r>
      </w:hyperlink>
    </w:p>
    <w:p w14:paraId="53A484D9" w14:textId="75709842" w:rsidR="00957ACE" w:rsidRDefault="004C6140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510665" w:history="1">
        <w:r w:rsidR="00957ACE" w:rsidRPr="009546D8">
          <w:rPr>
            <w:rStyle w:val="Hyperlink"/>
            <w:rFonts w:eastAsiaTheme="majorEastAsia" w:cstheme="minorHAnsi"/>
            <w:i/>
            <w:noProof/>
          </w:rPr>
          <w:t>2.3</w:t>
        </w:r>
        <w:r w:rsidR="0070355A">
          <w:rPr>
            <w:rStyle w:val="Hyperlink"/>
            <w:rFonts w:eastAsiaTheme="majorEastAsia" w:cstheme="minorHAnsi"/>
            <w:i/>
            <w:noProof/>
          </w:rPr>
          <w:t xml:space="preserve"> </w:t>
        </w:r>
        <w:r w:rsidR="00957ACE" w:rsidRPr="009546D8">
          <w:rPr>
            <w:rStyle w:val="Hyperlink"/>
            <w:rFonts w:eastAsiaTheme="majorEastAsia" w:cstheme="minorHAnsi"/>
            <w:i/>
            <w:noProof/>
          </w:rPr>
          <w:t>Evolução da Despesa Líquida</w:t>
        </w:r>
        <w:r w:rsidR="00957ACE">
          <w:rPr>
            <w:noProof/>
            <w:webHidden/>
          </w:rPr>
          <w:tab/>
        </w:r>
        <w:r w:rsidR="00957ACE">
          <w:rPr>
            <w:noProof/>
            <w:webHidden/>
          </w:rPr>
          <w:fldChar w:fldCharType="begin"/>
        </w:r>
        <w:r w:rsidR="00957ACE">
          <w:rPr>
            <w:noProof/>
            <w:webHidden/>
          </w:rPr>
          <w:instrText xml:space="preserve"> PAGEREF _Toc505510665 \h </w:instrText>
        </w:r>
        <w:r w:rsidR="00957ACE">
          <w:rPr>
            <w:noProof/>
            <w:webHidden/>
          </w:rPr>
        </w:r>
        <w:r w:rsidR="00957ACE">
          <w:rPr>
            <w:noProof/>
            <w:webHidden/>
          </w:rPr>
          <w:fldChar w:fldCharType="separate"/>
        </w:r>
        <w:r w:rsidR="00342B85">
          <w:rPr>
            <w:noProof/>
            <w:webHidden/>
          </w:rPr>
          <w:t>16</w:t>
        </w:r>
        <w:r w:rsidR="00957ACE">
          <w:rPr>
            <w:noProof/>
            <w:webHidden/>
          </w:rPr>
          <w:fldChar w:fldCharType="end"/>
        </w:r>
      </w:hyperlink>
    </w:p>
    <w:p w14:paraId="698961E1" w14:textId="3BEDC42D" w:rsidR="00957ACE" w:rsidRDefault="004C6140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510666" w:history="1">
        <w:r w:rsidR="00957ACE" w:rsidRPr="009546D8">
          <w:rPr>
            <w:rStyle w:val="Hyperlink"/>
            <w:rFonts w:eastAsiaTheme="majorEastAsia" w:cstheme="minorHAnsi"/>
            <w:i/>
            <w:noProof/>
          </w:rPr>
          <w:t>2.4</w:t>
        </w:r>
        <w:r w:rsidR="00957AC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57ACE" w:rsidRPr="009546D8">
          <w:rPr>
            <w:rStyle w:val="Hyperlink"/>
            <w:rFonts w:eastAsiaTheme="majorEastAsia" w:cstheme="minorHAnsi"/>
            <w:i/>
            <w:noProof/>
          </w:rPr>
          <w:t>O Financiamento dos Investimentos e Inversões Financeiras</w:t>
        </w:r>
        <w:r w:rsidR="00957ACE">
          <w:rPr>
            <w:noProof/>
            <w:webHidden/>
          </w:rPr>
          <w:tab/>
        </w:r>
        <w:r w:rsidR="00957ACE">
          <w:rPr>
            <w:noProof/>
            <w:webHidden/>
          </w:rPr>
          <w:fldChar w:fldCharType="begin"/>
        </w:r>
        <w:r w:rsidR="00957ACE">
          <w:rPr>
            <w:noProof/>
            <w:webHidden/>
          </w:rPr>
          <w:instrText xml:space="preserve"> PAGEREF _Toc505510666 \h </w:instrText>
        </w:r>
        <w:r w:rsidR="00957ACE">
          <w:rPr>
            <w:noProof/>
            <w:webHidden/>
          </w:rPr>
        </w:r>
        <w:r w:rsidR="00957ACE">
          <w:rPr>
            <w:noProof/>
            <w:webHidden/>
          </w:rPr>
          <w:fldChar w:fldCharType="separate"/>
        </w:r>
        <w:r w:rsidR="00342B85">
          <w:rPr>
            <w:noProof/>
            <w:webHidden/>
          </w:rPr>
          <w:t>21</w:t>
        </w:r>
        <w:r w:rsidR="00957ACE">
          <w:rPr>
            <w:noProof/>
            <w:webHidden/>
          </w:rPr>
          <w:fldChar w:fldCharType="end"/>
        </w:r>
      </w:hyperlink>
    </w:p>
    <w:p w14:paraId="567CE7E7" w14:textId="025F879C" w:rsidR="00957ACE" w:rsidRDefault="004C6140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510667" w:history="1">
        <w:r w:rsidR="00957ACE" w:rsidRPr="009546D8">
          <w:rPr>
            <w:rStyle w:val="Hyperlink"/>
            <w:rFonts w:eastAsiaTheme="majorEastAsia" w:cstheme="minorHAnsi"/>
            <w:i/>
            <w:noProof/>
          </w:rPr>
          <w:t>2.5</w:t>
        </w:r>
        <w:r w:rsidR="00957AC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57ACE" w:rsidRPr="009546D8">
          <w:rPr>
            <w:rStyle w:val="Hyperlink"/>
            <w:rFonts w:eastAsiaTheme="majorEastAsia" w:cstheme="minorHAnsi"/>
            <w:i/>
            <w:noProof/>
          </w:rPr>
          <w:t>Dívida Pública</w:t>
        </w:r>
        <w:r w:rsidR="00957ACE">
          <w:rPr>
            <w:noProof/>
            <w:webHidden/>
          </w:rPr>
          <w:tab/>
        </w:r>
        <w:r w:rsidR="00957ACE">
          <w:rPr>
            <w:noProof/>
            <w:webHidden/>
          </w:rPr>
          <w:fldChar w:fldCharType="begin"/>
        </w:r>
        <w:r w:rsidR="00957ACE">
          <w:rPr>
            <w:noProof/>
            <w:webHidden/>
          </w:rPr>
          <w:instrText xml:space="preserve"> PAGEREF _Toc505510667 \h </w:instrText>
        </w:r>
        <w:r w:rsidR="00957ACE">
          <w:rPr>
            <w:noProof/>
            <w:webHidden/>
          </w:rPr>
        </w:r>
        <w:r w:rsidR="00957ACE">
          <w:rPr>
            <w:noProof/>
            <w:webHidden/>
          </w:rPr>
          <w:fldChar w:fldCharType="separate"/>
        </w:r>
        <w:r w:rsidR="00342B85">
          <w:rPr>
            <w:noProof/>
            <w:webHidden/>
          </w:rPr>
          <w:t>24</w:t>
        </w:r>
        <w:r w:rsidR="00957ACE">
          <w:rPr>
            <w:noProof/>
            <w:webHidden/>
          </w:rPr>
          <w:fldChar w:fldCharType="end"/>
        </w:r>
      </w:hyperlink>
    </w:p>
    <w:p w14:paraId="10D969BB" w14:textId="4002EEE5" w:rsidR="00957ACE" w:rsidRDefault="004C6140">
      <w:pPr>
        <w:pStyle w:val="TOC1"/>
        <w:rPr>
          <w:rFonts w:eastAsiaTheme="minorEastAsia" w:cstheme="minorBidi"/>
          <w:b w:val="0"/>
          <w:sz w:val="22"/>
          <w:szCs w:val="22"/>
        </w:rPr>
      </w:pPr>
      <w:hyperlink w:anchor="_Toc505510668" w:history="1">
        <w:r w:rsidR="00957ACE" w:rsidRPr="009546D8">
          <w:rPr>
            <w:rStyle w:val="Hyperlink"/>
            <w:rFonts w:cstheme="minorHAnsi"/>
          </w:rPr>
          <w:t>3.</w:t>
        </w:r>
        <w:r w:rsidR="00957ACE">
          <w:rPr>
            <w:rFonts w:eastAsiaTheme="minorEastAsia" w:cstheme="minorBidi"/>
            <w:b w:val="0"/>
            <w:sz w:val="22"/>
            <w:szCs w:val="22"/>
          </w:rPr>
          <w:tab/>
        </w:r>
        <w:r w:rsidR="00957ACE" w:rsidRPr="009546D8">
          <w:rPr>
            <w:rStyle w:val="Hyperlink"/>
            <w:rFonts w:cstheme="minorHAnsi"/>
          </w:rPr>
          <w:t>Considerações finais</w:t>
        </w:r>
        <w:r w:rsidR="00957ACE">
          <w:rPr>
            <w:webHidden/>
          </w:rPr>
          <w:tab/>
        </w:r>
        <w:r w:rsidR="00957ACE">
          <w:rPr>
            <w:webHidden/>
          </w:rPr>
          <w:fldChar w:fldCharType="begin"/>
        </w:r>
        <w:r w:rsidR="00957ACE">
          <w:rPr>
            <w:webHidden/>
          </w:rPr>
          <w:instrText xml:space="preserve"> PAGEREF _Toc505510668 \h </w:instrText>
        </w:r>
        <w:r w:rsidR="00957ACE">
          <w:rPr>
            <w:webHidden/>
          </w:rPr>
        </w:r>
        <w:r w:rsidR="00957ACE">
          <w:rPr>
            <w:webHidden/>
          </w:rPr>
          <w:fldChar w:fldCharType="separate"/>
        </w:r>
        <w:r w:rsidR="00342B85">
          <w:rPr>
            <w:webHidden/>
          </w:rPr>
          <w:t>26</w:t>
        </w:r>
        <w:r w:rsidR="00957ACE">
          <w:rPr>
            <w:webHidden/>
          </w:rPr>
          <w:fldChar w:fldCharType="end"/>
        </w:r>
      </w:hyperlink>
    </w:p>
    <w:p w14:paraId="7FB9D21E" w14:textId="69CC3347" w:rsidR="00957ACE" w:rsidRDefault="004C6140">
      <w:pPr>
        <w:pStyle w:val="TOC1"/>
        <w:rPr>
          <w:rFonts w:eastAsiaTheme="minorEastAsia" w:cstheme="minorBidi"/>
          <w:b w:val="0"/>
          <w:sz w:val="22"/>
          <w:szCs w:val="22"/>
        </w:rPr>
      </w:pPr>
      <w:hyperlink w:anchor="_Toc505510669" w:history="1">
        <w:r w:rsidR="00957ACE" w:rsidRPr="009546D8">
          <w:rPr>
            <w:rStyle w:val="Hyperlink"/>
            <w:rFonts w:cstheme="minorHAnsi"/>
          </w:rPr>
          <w:t>4.</w:t>
        </w:r>
        <w:r w:rsidR="00957ACE">
          <w:rPr>
            <w:rFonts w:eastAsiaTheme="minorEastAsia" w:cstheme="minorBidi"/>
            <w:b w:val="0"/>
            <w:sz w:val="22"/>
            <w:szCs w:val="22"/>
          </w:rPr>
          <w:tab/>
        </w:r>
        <w:r w:rsidR="00957ACE" w:rsidRPr="009546D8">
          <w:rPr>
            <w:rStyle w:val="Hyperlink"/>
            <w:rFonts w:cstheme="minorHAnsi"/>
          </w:rPr>
          <w:t>GLOSSÁRIO</w:t>
        </w:r>
        <w:r w:rsidR="00957ACE">
          <w:rPr>
            <w:webHidden/>
          </w:rPr>
          <w:tab/>
        </w:r>
        <w:r w:rsidR="00957ACE">
          <w:rPr>
            <w:webHidden/>
          </w:rPr>
          <w:fldChar w:fldCharType="begin"/>
        </w:r>
        <w:r w:rsidR="00957ACE">
          <w:rPr>
            <w:webHidden/>
          </w:rPr>
          <w:instrText xml:space="preserve"> PAGEREF _Toc505510669 \h </w:instrText>
        </w:r>
        <w:r w:rsidR="00957ACE">
          <w:rPr>
            <w:webHidden/>
          </w:rPr>
        </w:r>
        <w:r w:rsidR="00957ACE">
          <w:rPr>
            <w:webHidden/>
          </w:rPr>
          <w:fldChar w:fldCharType="separate"/>
        </w:r>
        <w:r w:rsidR="00342B85">
          <w:rPr>
            <w:webHidden/>
          </w:rPr>
          <w:t>30</w:t>
        </w:r>
        <w:r w:rsidR="00957ACE">
          <w:rPr>
            <w:webHidden/>
          </w:rPr>
          <w:fldChar w:fldCharType="end"/>
        </w:r>
      </w:hyperlink>
    </w:p>
    <w:p w14:paraId="16BEC907" w14:textId="6C326A8D" w:rsidR="00957ACE" w:rsidRDefault="004C6140">
      <w:pPr>
        <w:pStyle w:val="TOC1"/>
        <w:rPr>
          <w:rFonts w:eastAsiaTheme="minorEastAsia" w:cstheme="minorBidi"/>
          <w:b w:val="0"/>
          <w:sz w:val="22"/>
          <w:szCs w:val="22"/>
        </w:rPr>
      </w:pPr>
      <w:hyperlink w:anchor="_Toc505510670" w:history="1">
        <w:r w:rsidR="00957ACE" w:rsidRPr="009546D8">
          <w:rPr>
            <w:rStyle w:val="Hyperlink"/>
            <w:rFonts w:cstheme="minorHAnsi"/>
          </w:rPr>
          <w:t>5.</w:t>
        </w:r>
        <w:r w:rsidR="00957ACE">
          <w:rPr>
            <w:rFonts w:eastAsiaTheme="minorEastAsia" w:cstheme="minorBidi"/>
            <w:b w:val="0"/>
            <w:sz w:val="22"/>
            <w:szCs w:val="22"/>
          </w:rPr>
          <w:tab/>
        </w:r>
        <w:r w:rsidR="00957ACE" w:rsidRPr="009546D8">
          <w:rPr>
            <w:rStyle w:val="Hyperlink"/>
            <w:rFonts w:cstheme="minorHAnsi"/>
          </w:rPr>
          <w:t>ANEXO</w:t>
        </w:r>
        <w:r w:rsidR="00957ACE">
          <w:rPr>
            <w:webHidden/>
          </w:rPr>
          <w:tab/>
        </w:r>
        <w:r w:rsidR="00957ACE">
          <w:rPr>
            <w:webHidden/>
          </w:rPr>
          <w:fldChar w:fldCharType="begin"/>
        </w:r>
        <w:r w:rsidR="00957ACE">
          <w:rPr>
            <w:webHidden/>
          </w:rPr>
          <w:instrText xml:space="preserve"> PAGEREF _Toc505510670 \h </w:instrText>
        </w:r>
        <w:r w:rsidR="00957ACE">
          <w:rPr>
            <w:webHidden/>
          </w:rPr>
        </w:r>
        <w:r w:rsidR="00957ACE">
          <w:rPr>
            <w:webHidden/>
          </w:rPr>
          <w:fldChar w:fldCharType="separate"/>
        </w:r>
        <w:r w:rsidR="00342B85">
          <w:rPr>
            <w:webHidden/>
          </w:rPr>
          <w:t>32</w:t>
        </w:r>
        <w:r w:rsidR="00957ACE">
          <w:rPr>
            <w:webHidden/>
          </w:rPr>
          <w:fldChar w:fldCharType="end"/>
        </w:r>
      </w:hyperlink>
    </w:p>
    <w:p w14:paraId="329914CE" w14:textId="6AD580BD" w:rsidR="00834C77" w:rsidRPr="00D20B1A" w:rsidRDefault="00834C77" w:rsidP="00B81ABA">
      <w:pPr>
        <w:pStyle w:val="Heading1"/>
        <w:numPr>
          <w:ilvl w:val="0"/>
          <w:numId w:val="0"/>
        </w:numPr>
        <w:jc w:val="left"/>
        <w:rPr>
          <w:rFonts w:cstheme="minorHAnsi"/>
          <w:b/>
        </w:rPr>
      </w:pPr>
      <w:r w:rsidRPr="00D20B1A">
        <w:rPr>
          <w:rFonts w:cstheme="minorHAnsi"/>
        </w:rPr>
        <w:fldChar w:fldCharType="end"/>
      </w:r>
      <w:r w:rsidRPr="00D20B1A">
        <w:rPr>
          <w:rFonts w:cstheme="minorHAnsi"/>
        </w:rPr>
        <w:br w:type="page"/>
      </w:r>
      <w:bookmarkStart w:id="8" w:name="_Toc421093591"/>
      <w:bookmarkStart w:id="9" w:name="_Toc421531545"/>
      <w:bookmarkStart w:id="10" w:name="_Toc505292070"/>
      <w:bookmarkStart w:id="11" w:name="_Toc505510658"/>
      <w:r w:rsidR="0060141D" w:rsidRPr="00D20B1A" w:rsidDel="0060141D">
        <w:rPr>
          <w:rFonts w:cstheme="minorHAnsi"/>
          <w:b/>
        </w:rPr>
        <w:lastRenderedPageBreak/>
        <w:t xml:space="preserve"> </w:t>
      </w:r>
      <w:bookmarkStart w:id="12" w:name="_Toc505292072"/>
      <w:bookmarkStart w:id="13" w:name="_Toc505510660"/>
      <w:bookmarkEnd w:id="7"/>
      <w:bookmarkEnd w:id="8"/>
      <w:bookmarkEnd w:id="9"/>
      <w:bookmarkEnd w:id="10"/>
      <w:bookmarkEnd w:id="11"/>
      <w:r w:rsidR="00856F92" w:rsidRPr="00D20B1A">
        <w:rPr>
          <w:rFonts w:cstheme="minorHAnsi"/>
          <w:b/>
        </w:rPr>
        <w:t>bases de informações e metodologia de tratamento dos dados</w:t>
      </w:r>
      <w:bookmarkEnd w:id="12"/>
      <w:bookmarkEnd w:id="13"/>
    </w:p>
    <w:p w14:paraId="5985932B" w14:textId="7DC87355" w:rsidR="00834C77" w:rsidRPr="00D20B1A" w:rsidRDefault="00834C77" w:rsidP="007518B5">
      <w:pPr>
        <w:pStyle w:val="PargrafoNormal"/>
        <w:spacing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</w:rPr>
        <w:t>O presente trabalho tem</w:t>
      </w:r>
      <w:r w:rsidR="005F3C17">
        <w:rPr>
          <w:rFonts w:asciiTheme="minorHAnsi" w:hAnsiTheme="minorHAnsi" w:cstheme="minorHAnsi"/>
        </w:rPr>
        <w:t xml:space="preserve"> </w:t>
      </w:r>
      <w:r w:rsidRPr="00D20B1A">
        <w:rPr>
          <w:rFonts w:asciiTheme="minorHAnsi" w:hAnsiTheme="minorHAnsi" w:cstheme="minorHAnsi"/>
        </w:rPr>
        <w:t>por objetivo</w:t>
      </w:r>
      <w:r w:rsidR="005F3C17">
        <w:rPr>
          <w:rFonts w:asciiTheme="minorHAnsi" w:hAnsiTheme="minorHAnsi" w:cstheme="minorHAnsi"/>
        </w:rPr>
        <w:t xml:space="preserve"> </w:t>
      </w:r>
      <w:r w:rsidRPr="00D20B1A">
        <w:rPr>
          <w:rFonts w:asciiTheme="minorHAnsi" w:hAnsiTheme="minorHAnsi" w:cstheme="minorHAnsi"/>
        </w:rPr>
        <w:t xml:space="preserve">analisar o desempenho fiscal recente do Governo do Estado </w:t>
      </w:r>
      <w:r w:rsidR="00E05C0E" w:rsidRPr="00D20B1A">
        <w:rPr>
          <w:rFonts w:asciiTheme="minorHAnsi" w:hAnsiTheme="minorHAnsi" w:cstheme="minorHAnsi"/>
        </w:rPr>
        <w:t>d</w:t>
      </w:r>
      <w:r w:rsidR="00E05C0E">
        <w:rPr>
          <w:rFonts w:asciiTheme="minorHAnsi" w:hAnsiTheme="minorHAnsi" w:cstheme="minorHAnsi"/>
        </w:rPr>
        <w:t>o Amapá -</w:t>
      </w:r>
      <w:r w:rsidR="0095338E" w:rsidRPr="00D20B1A">
        <w:rPr>
          <w:rFonts w:asciiTheme="minorHAnsi" w:hAnsiTheme="minorHAnsi" w:cstheme="minorHAnsi"/>
        </w:rPr>
        <w:t xml:space="preserve"> </w:t>
      </w:r>
      <w:r w:rsidR="00E05C0E">
        <w:rPr>
          <w:rFonts w:asciiTheme="minorHAnsi" w:hAnsiTheme="minorHAnsi" w:cstheme="minorHAnsi"/>
        </w:rPr>
        <w:t>GEAP</w:t>
      </w:r>
      <w:r w:rsidR="00D461B9" w:rsidRPr="00D20B1A">
        <w:rPr>
          <w:rFonts w:asciiTheme="minorHAnsi" w:hAnsiTheme="minorHAnsi" w:cstheme="minorHAnsi"/>
        </w:rPr>
        <w:t xml:space="preserve">. </w:t>
      </w:r>
      <w:r w:rsidRPr="00D20B1A">
        <w:rPr>
          <w:rFonts w:asciiTheme="minorHAnsi" w:hAnsiTheme="minorHAnsi" w:cstheme="minorHAnsi"/>
        </w:rPr>
        <w:t xml:space="preserve">O foco do estudo é a </w:t>
      </w:r>
      <w:r w:rsidR="00DA5AA2" w:rsidRPr="00D20B1A">
        <w:rPr>
          <w:rFonts w:asciiTheme="minorHAnsi" w:hAnsiTheme="minorHAnsi" w:cstheme="minorHAnsi"/>
        </w:rPr>
        <w:t xml:space="preserve">sustentabilidade fiscal e a </w:t>
      </w:r>
      <w:r w:rsidRPr="00D20B1A">
        <w:rPr>
          <w:rFonts w:asciiTheme="minorHAnsi" w:hAnsiTheme="minorHAnsi" w:cstheme="minorHAnsi"/>
        </w:rPr>
        <w:t>avaliação da ca</w:t>
      </w:r>
      <w:r w:rsidR="00DA5AA2" w:rsidRPr="00D20B1A">
        <w:rPr>
          <w:rFonts w:asciiTheme="minorHAnsi" w:hAnsiTheme="minorHAnsi" w:cstheme="minorHAnsi"/>
        </w:rPr>
        <w:t xml:space="preserve">pacidade de financiamento da prestação de serviços e dos investimentos. </w:t>
      </w:r>
      <w:r w:rsidRPr="00D20B1A">
        <w:rPr>
          <w:rFonts w:asciiTheme="minorHAnsi" w:hAnsiTheme="minorHAnsi" w:cstheme="minorHAnsi"/>
        </w:rPr>
        <w:t xml:space="preserve"> </w:t>
      </w:r>
    </w:p>
    <w:p w14:paraId="746BAE1D" w14:textId="0C7BD626" w:rsidR="00834C77" w:rsidRPr="00D20B1A" w:rsidRDefault="00834C77" w:rsidP="007518B5">
      <w:pPr>
        <w:pStyle w:val="PargrafoNormal"/>
        <w:spacing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</w:rPr>
        <w:t xml:space="preserve">As informações utilizadas nesta análise foram extraídas, basicamente, </w:t>
      </w:r>
      <w:r w:rsidR="005F3C17">
        <w:rPr>
          <w:rFonts w:asciiTheme="minorHAnsi" w:hAnsiTheme="minorHAnsi" w:cstheme="minorHAnsi"/>
        </w:rPr>
        <w:t xml:space="preserve">do Sistema de Informações Contábeis e Fiscais </w:t>
      </w:r>
      <w:r w:rsidR="00B51ADB">
        <w:rPr>
          <w:rFonts w:asciiTheme="minorHAnsi" w:hAnsiTheme="minorHAnsi" w:cstheme="minorHAnsi"/>
        </w:rPr>
        <w:t xml:space="preserve">- </w:t>
      </w:r>
      <w:r w:rsidR="005F3C17">
        <w:rPr>
          <w:rFonts w:asciiTheme="minorHAnsi" w:hAnsiTheme="minorHAnsi" w:cstheme="minorHAnsi"/>
        </w:rPr>
        <w:t xml:space="preserve">SICONFI, mantido pela </w:t>
      </w:r>
      <w:r w:rsidRPr="00D20B1A">
        <w:rPr>
          <w:rFonts w:asciiTheme="minorHAnsi" w:hAnsiTheme="minorHAnsi" w:cstheme="minorHAnsi"/>
        </w:rPr>
        <w:t xml:space="preserve">Secretaria do Tesouro Nacional, do Ministério da Fazenda – STN/MF, bem como </w:t>
      </w:r>
      <w:r w:rsidR="00D461B9" w:rsidRPr="00D20B1A">
        <w:rPr>
          <w:rFonts w:asciiTheme="minorHAnsi" w:hAnsiTheme="minorHAnsi" w:cstheme="minorHAnsi"/>
        </w:rPr>
        <w:t xml:space="preserve">do </w:t>
      </w:r>
      <w:r w:rsidRPr="00D20B1A">
        <w:rPr>
          <w:rFonts w:asciiTheme="minorHAnsi" w:hAnsiTheme="minorHAnsi" w:cstheme="minorHAnsi"/>
        </w:rPr>
        <w:t xml:space="preserve">Portal da Transparência do </w:t>
      </w:r>
      <w:r w:rsidR="0021027B" w:rsidRPr="00D20B1A">
        <w:rPr>
          <w:rFonts w:asciiTheme="minorHAnsi" w:hAnsiTheme="minorHAnsi" w:cstheme="minorHAnsi"/>
        </w:rPr>
        <w:t xml:space="preserve">Governo do Estado de </w:t>
      </w:r>
      <w:r w:rsidR="00E05C0E">
        <w:rPr>
          <w:rFonts w:asciiTheme="minorHAnsi" w:hAnsiTheme="minorHAnsi" w:cstheme="minorHAnsi"/>
        </w:rPr>
        <w:t>Amapá</w:t>
      </w:r>
      <w:r w:rsidR="0021027B" w:rsidRPr="00D20B1A">
        <w:rPr>
          <w:rFonts w:asciiTheme="minorHAnsi" w:hAnsiTheme="minorHAnsi" w:cstheme="minorHAnsi"/>
        </w:rPr>
        <w:t xml:space="preserve">, em particular, dos </w:t>
      </w:r>
      <w:r w:rsidR="005F3C17">
        <w:rPr>
          <w:rFonts w:asciiTheme="minorHAnsi" w:hAnsiTheme="minorHAnsi" w:cstheme="minorHAnsi"/>
        </w:rPr>
        <w:t>Balanços Anuais, do Relatório Resumido de Execução Orçamentária -  RREO e Relatório de Gestão Fiscal - RGF</w:t>
      </w:r>
      <w:r w:rsidR="00D567DF">
        <w:rPr>
          <w:rFonts w:asciiTheme="minorHAnsi" w:hAnsiTheme="minorHAnsi" w:cstheme="minorHAnsi"/>
        </w:rPr>
        <w:t>.</w:t>
      </w:r>
      <w:r w:rsidR="0021027B" w:rsidRPr="00D20B1A">
        <w:rPr>
          <w:rFonts w:asciiTheme="minorHAnsi" w:hAnsiTheme="minorHAnsi" w:cstheme="minorHAnsi"/>
        </w:rPr>
        <w:t xml:space="preserve"> </w:t>
      </w:r>
      <w:r w:rsidRPr="00D20B1A">
        <w:rPr>
          <w:rFonts w:asciiTheme="minorHAnsi" w:hAnsiTheme="minorHAnsi" w:cstheme="minorHAnsi"/>
        </w:rPr>
        <w:t xml:space="preserve"> </w:t>
      </w:r>
      <w:r w:rsidR="00612CE5">
        <w:rPr>
          <w:rFonts w:asciiTheme="minorHAnsi" w:hAnsiTheme="minorHAnsi" w:cstheme="minorHAnsi"/>
        </w:rPr>
        <w:t xml:space="preserve">Vale observar que os relatórios que acompanham os balanços são pouco esclarecedores, limitando-se a descrever as tabelas </w:t>
      </w:r>
      <w:r w:rsidR="002D305C">
        <w:rPr>
          <w:rFonts w:asciiTheme="minorHAnsi" w:hAnsiTheme="minorHAnsi" w:cstheme="minorHAnsi"/>
        </w:rPr>
        <w:t xml:space="preserve">com dados fiscais, o que dificulta a análise de desempenho. Em parte, a ausência de informações públicas foi compensada por esclarecimentos </w:t>
      </w:r>
      <w:r w:rsidR="00D461B9" w:rsidRPr="00D20B1A">
        <w:rPr>
          <w:rFonts w:asciiTheme="minorHAnsi" w:hAnsiTheme="minorHAnsi" w:cstheme="minorHAnsi"/>
        </w:rPr>
        <w:t xml:space="preserve">diretamente </w:t>
      </w:r>
      <w:r w:rsidR="002D305C">
        <w:rPr>
          <w:rFonts w:asciiTheme="minorHAnsi" w:hAnsiTheme="minorHAnsi" w:cstheme="minorHAnsi"/>
        </w:rPr>
        <w:t>prestados pela Secretaria de Fazenda do Estado</w:t>
      </w:r>
      <w:r w:rsidR="00D461B9" w:rsidRPr="00D20B1A">
        <w:rPr>
          <w:rFonts w:asciiTheme="minorHAnsi" w:hAnsiTheme="minorHAnsi" w:cstheme="minorHAnsi"/>
        </w:rPr>
        <w:t xml:space="preserve">, em </w:t>
      </w:r>
      <w:r w:rsidR="00B7622B" w:rsidRPr="00D20B1A">
        <w:rPr>
          <w:rFonts w:asciiTheme="minorHAnsi" w:hAnsiTheme="minorHAnsi" w:cstheme="minorHAnsi"/>
        </w:rPr>
        <w:t xml:space="preserve">particular </w:t>
      </w:r>
      <w:r w:rsidR="00B51ADB">
        <w:rPr>
          <w:rFonts w:asciiTheme="minorHAnsi" w:hAnsiTheme="minorHAnsi" w:cstheme="minorHAnsi"/>
        </w:rPr>
        <w:t>quanto à</w:t>
      </w:r>
      <w:r w:rsidR="00D461B9" w:rsidRPr="00D20B1A">
        <w:rPr>
          <w:rFonts w:asciiTheme="minorHAnsi" w:hAnsiTheme="minorHAnsi" w:cstheme="minorHAnsi"/>
        </w:rPr>
        <w:t xml:space="preserve"> execução </w:t>
      </w:r>
      <w:r w:rsidR="00B7622B" w:rsidRPr="00D20B1A">
        <w:rPr>
          <w:rFonts w:asciiTheme="minorHAnsi" w:hAnsiTheme="minorHAnsi" w:cstheme="minorHAnsi"/>
        </w:rPr>
        <w:t>orçamentária de</w:t>
      </w:r>
      <w:r w:rsidR="00D461B9" w:rsidRPr="00D20B1A">
        <w:rPr>
          <w:rFonts w:asciiTheme="minorHAnsi" w:hAnsiTheme="minorHAnsi" w:cstheme="minorHAnsi"/>
        </w:rPr>
        <w:t xml:space="preserve"> 201</w:t>
      </w:r>
      <w:r w:rsidR="00E05C0E">
        <w:rPr>
          <w:rFonts w:asciiTheme="minorHAnsi" w:hAnsiTheme="minorHAnsi" w:cstheme="minorHAnsi"/>
        </w:rPr>
        <w:t xml:space="preserve">8 e esclarecimentos sobre rubricas específicas. </w:t>
      </w:r>
      <w:r w:rsidR="00B51ADB">
        <w:rPr>
          <w:rFonts w:asciiTheme="minorHAnsi" w:hAnsiTheme="minorHAnsi" w:cstheme="minorHAnsi"/>
        </w:rPr>
        <w:t xml:space="preserve">A pesquisa incluiu os endereços eletrônicos </w:t>
      </w:r>
      <w:r w:rsidR="0013583A">
        <w:rPr>
          <w:rFonts w:asciiTheme="minorHAnsi" w:hAnsiTheme="minorHAnsi" w:cstheme="minorHAnsi"/>
        </w:rPr>
        <w:t xml:space="preserve">do Amapá Previdência – AMPREV, do </w:t>
      </w:r>
      <w:r w:rsidR="009F20D0" w:rsidRPr="009F20D0">
        <w:rPr>
          <w:rFonts w:asciiTheme="minorHAnsi" w:hAnsiTheme="minorHAnsi" w:cstheme="minorHAnsi"/>
        </w:rPr>
        <w:t xml:space="preserve">Conselho Nacional de Política Fazendária </w:t>
      </w:r>
      <w:r w:rsidR="009F20D0">
        <w:rPr>
          <w:rFonts w:asciiTheme="minorHAnsi" w:hAnsiTheme="minorHAnsi" w:cstheme="minorHAnsi"/>
        </w:rPr>
        <w:t xml:space="preserve">– </w:t>
      </w:r>
      <w:r w:rsidR="0013583A">
        <w:rPr>
          <w:rFonts w:asciiTheme="minorHAnsi" w:hAnsiTheme="minorHAnsi" w:cstheme="minorHAnsi"/>
        </w:rPr>
        <w:t>CONFAZ</w:t>
      </w:r>
      <w:r w:rsidR="009F20D0">
        <w:rPr>
          <w:rFonts w:asciiTheme="minorHAnsi" w:hAnsiTheme="minorHAnsi" w:cstheme="minorHAnsi"/>
        </w:rPr>
        <w:t xml:space="preserve">, </w:t>
      </w:r>
      <w:r w:rsidR="00CE4FDA">
        <w:rPr>
          <w:rFonts w:asciiTheme="minorHAnsi" w:hAnsiTheme="minorHAnsi" w:cstheme="minorHAnsi"/>
        </w:rPr>
        <w:t>do</w:t>
      </w:r>
      <w:r w:rsidR="009F20D0" w:rsidRPr="009F20D0">
        <w:t xml:space="preserve"> </w:t>
      </w:r>
      <w:r w:rsidR="009F20D0" w:rsidRPr="009F20D0">
        <w:rPr>
          <w:rFonts w:asciiTheme="minorHAnsi" w:hAnsiTheme="minorHAnsi" w:cstheme="minorHAnsi"/>
        </w:rPr>
        <w:t>Instituto Nacional de Estudos e Pesquisas Educacionais Anísio Teixeira</w:t>
      </w:r>
      <w:r w:rsidR="009F20D0">
        <w:rPr>
          <w:rFonts w:asciiTheme="minorHAnsi" w:hAnsiTheme="minorHAnsi" w:cstheme="minorHAnsi"/>
        </w:rPr>
        <w:t>-</w:t>
      </w:r>
      <w:r w:rsidR="00CE4FDA">
        <w:rPr>
          <w:rFonts w:asciiTheme="minorHAnsi" w:hAnsiTheme="minorHAnsi" w:cstheme="minorHAnsi"/>
        </w:rPr>
        <w:t xml:space="preserve"> INEP</w:t>
      </w:r>
      <w:r w:rsidR="002D305C">
        <w:rPr>
          <w:rFonts w:asciiTheme="minorHAnsi" w:hAnsiTheme="minorHAnsi" w:cstheme="minorHAnsi"/>
        </w:rPr>
        <w:t xml:space="preserve"> </w:t>
      </w:r>
      <w:r w:rsidR="00B51ADB">
        <w:rPr>
          <w:rFonts w:asciiTheme="minorHAnsi" w:hAnsiTheme="minorHAnsi" w:cstheme="minorHAnsi"/>
        </w:rPr>
        <w:t>(</w:t>
      </w:r>
      <w:r w:rsidR="002D305C">
        <w:rPr>
          <w:rFonts w:asciiTheme="minorHAnsi" w:hAnsiTheme="minorHAnsi" w:cstheme="minorHAnsi"/>
        </w:rPr>
        <w:t>Censo Escolar)</w:t>
      </w:r>
      <w:r w:rsidR="009F20D0">
        <w:rPr>
          <w:rFonts w:asciiTheme="minorHAnsi" w:hAnsiTheme="minorHAnsi" w:cstheme="minorHAnsi"/>
        </w:rPr>
        <w:t xml:space="preserve"> </w:t>
      </w:r>
      <w:r w:rsidR="00374701">
        <w:rPr>
          <w:rFonts w:asciiTheme="minorHAnsi" w:hAnsiTheme="minorHAnsi" w:cstheme="minorHAnsi"/>
        </w:rPr>
        <w:t xml:space="preserve">e do Ministério da </w:t>
      </w:r>
      <w:r w:rsidR="00DE6697">
        <w:rPr>
          <w:rFonts w:asciiTheme="minorHAnsi" w:hAnsiTheme="minorHAnsi" w:cstheme="minorHAnsi"/>
        </w:rPr>
        <w:t xml:space="preserve">Economia – Secretaria de </w:t>
      </w:r>
      <w:r w:rsidR="00374701">
        <w:rPr>
          <w:rFonts w:asciiTheme="minorHAnsi" w:hAnsiTheme="minorHAnsi" w:cstheme="minorHAnsi"/>
        </w:rPr>
        <w:t xml:space="preserve">Previdência. </w:t>
      </w:r>
    </w:p>
    <w:p w14:paraId="6203720A" w14:textId="77777777" w:rsidR="00834C77" w:rsidRPr="00D20B1A" w:rsidRDefault="00834C77" w:rsidP="007518B5">
      <w:pPr>
        <w:pStyle w:val="PargrafoNormal"/>
        <w:spacing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</w:rPr>
        <w:t>As informações de receitas e despesas são relativas ao Balanço Consolidado, incluindo:</w:t>
      </w:r>
    </w:p>
    <w:p w14:paraId="393ACBDD" w14:textId="77777777" w:rsidR="00834C77" w:rsidRPr="00D20B1A" w:rsidRDefault="00834C77" w:rsidP="007518B5">
      <w:pPr>
        <w:pStyle w:val="PargrafoItem"/>
        <w:numPr>
          <w:ilvl w:val="0"/>
          <w:numId w:val="11"/>
        </w:numPr>
        <w:spacing w:before="24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</w:rPr>
        <w:t>Poder Executivo: a administração direta, fundos, autarquias, fundações e empresas estatais dependentes;</w:t>
      </w:r>
    </w:p>
    <w:p w14:paraId="1FABBC26" w14:textId="77777777" w:rsidR="00834C77" w:rsidRPr="00D20B1A" w:rsidRDefault="00834C77" w:rsidP="007518B5">
      <w:pPr>
        <w:pStyle w:val="PargrafoItem"/>
        <w:numPr>
          <w:ilvl w:val="0"/>
          <w:numId w:val="11"/>
        </w:numPr>
        <w:spacing w:before="24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</w:rPr>
        <w:t>Poder Legislativo, Judiciário e Ministério Público</w:t>
      </w:r>
      <w:r w:rsidR="00387340" w:rsidRPr="00D20B1A">
        <w:rPr>
          <w:rFonts w:asciiTheme="minorHAnsi" w:hAnsiTheme="minorHAnsi" w:cstheme="minorHAnsi"/>
        </w:rPr>
        <w:t>.</w:t>
      </w:r>
    </w:p>
    <w:p w14:paraId="1727ABAD" w14:textId="296CBDEE" w:rsidR="00834C77" w:rsidRPr="00D20B1A" w:rsidRDefault="00834C77" w:rsidP="007518B5">
      <w:pPr>
        <w:pStyle w:val="PargrafoNormal"/>
        <w:spacing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</w:rPr>
        <w:t xml:space="preserve">Os montantes relativos aos fluxos de </w:t>
      </w:r>
      <w:r w:rsidR="007A3070" w:rsidRPr="00D20B1A">
        <w:rPr>
          <w:rFonts w:asciiTheme="minorHAnsi" w:hAnsiTheme="minorHAnsi" w:cstheme="minorHAnsi"/>
        </w:rPr>
        <w:t>receitas e de despesas 200</w:t>
      </w:r>
      <w:r w:rsidR="00EF4F25" w:rsidRPr="00D20B1A">
        <w:rPr>
          <w:rFonts w:asciiTheme="minorHAnsi" w:hAnsiTheme="minorHAnsi" w:cstheme="minorHAnsi"/>
        </w:rPr>
        <w:t>6</w:t>
      </w:r>
      <w:r w:rsidR="007A3070" w:rsidRPr="00D20B1A">
        <w:rPr>
          <w:rFonts w:asciiTheme="minorHAnsi" w:hAnsiTheme="minorHAnsi" w:cstheme="minorHAnsi"/>
        </w:rPr>
        <w:t xml:space="preserve"> a 201</w:t>
      </w:r>
      <w:r w:rsidR="00990846">
        <w:rPr>
          <w:rFonts w:asciiTheme="minorHAnsi" w:hAnsiTheme="minorHAnsi" w:cstheme="minorHAnsi"/>
        </w:rPr>
        <w:t>8</w:t>
      </w:r>
      <w:r w:rsidR="007A3070" w:rsidRPr="00D20B1A">
        <w:rPr>
          <w:rFonts w:asciiTheme="minorHAnsi" w:hAnsiTheme="minorHAnsi" w:cstheme="minorHAnsi"/>
        </w:rPr>
        <w:t xml:space="preserve">  </w:t>
      </w:r>
      <w:r w:rsidRPr="00D20B1A">
        <w:rPr>
          <w:rFonts w:asciiTheme="minorHAnsi" w:hAnsiTheme="minorHAnsi" w:cstheme="minorHAnsi"/>
        </w:rPr>
        <w:t xml:space="preserve"> encontram-se a preços de 201</w:t>
      </w:r>
      <w:r w:rsidR="00990846">
        <w:rPr>
          <w:rFonts w:asciiTheme="minorHAnsi" w:hAnsiTheme="minorHAnsi" w:cstheme="minorHAnsi"/>
        </w:rPr>
        <w:t>8</w:t>
      </w:r>
      <w:r w:rsidRPr="00D20B1A">
        <w:rPr>
          <w:rFonts w:asciiTheme="minorHAnsi" w:hAnsiTheme="minorHAnsi" w:cstheme="minorHAnsi"/>
        </w:rPr>
        <w:t xml:space="preserve">. Assim, comparações entre períodos apresentam variações reais. Para deflacionar valores, foi utilizado o Índice Nacional de Preços ao Consumidor – IPCA médio, do IBGE. </w:t>
      </w:r>
      <w:r w:rsidR="007A3070" w:rsidRPr="00742D0A">
        <w:rPr>
          <w:rFonts w:asciiTheme="minorHAnsi" w:hAnsiTheme="minorHAnsi" w:cstheme="minorHAnsi"/>
        </w:rPr>
        <w:t>Para os saldos da Dívida Pública</w:t>
      </w:r>
      <w:r w:rsidR="00711563" w:rsidRPr="00742D0A">
        <w:rPr>
          <w:rFonts w:asciiTheme="minorHAnsi" w:hAnsiTheme="minorHAnsi" w:cstheme="minorHAnsi"/>
        </w:rPr>
        <w:t>,</w:t>
      </w:r>
      <w:r w:rsidR="007A3070" w:rsidRPr="00742D0A">
        <w:rPr>
          <w:rFonts w:asciiTheme="minorHAnsi" w:hAnsiTheme="minorHAnsi" w:cstheme="minorHAnsi"/>
        </w:rPr>
        <w:t xml:space="preserve"> utilizou-se o IPCA do ano.</w:t>
      </w:r>
      <w:r w:rsidR="007A3070" w:rsidRPr="00D20B1A">
        <w:rPr>
          <w:rFonts w:asciiTheme="minorHAnsi" w:hAnsiTheme="minorHAnsi" w:cstheme="minorHAnsi"/>
        </w:rPr>
        <w:t xml:space="preserve"> </w:t>
      </w:r>
    </w:p>
    <w:p w14:paraId="67F1CCCF" w14:textId="5CE93DF3" w:rsidR="00834C77" w:rsidRPr="00D20B1A" w:rsidRDefault="00834C77" w:rsidP="007518B5">
      <w:pPr>
        <w:pStyle w:val="PargrafoNormal"/>
        <w:spacing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</w:rPr>
        <w:t>As despesas, a menos que seja especificado, são apresentadas pelo valor empenhado.</w:t>
      </w:r>
      <w:r w:rsidR="00E7481B" w:rsidRPr="00D20B1A">
        <w:rPr>
          <w:rFonts w:asciiTheme="minorHAnsi" w:hAnsiTheme="minorHAnsi" w:cstheme="minorHAnsi"/>
        </w:rPr>
        <w:t xml:space="preserve"> A legislação brasileira determina que a despesa seja registrada em três estágios: empenho, liquidação e pagamento. Empenha-se a despesa, ao destacar valores no orçamento para a aquisição de bens e serviços. Quando </w:t>
      </w:r>
      <w:proofErr w:type="gramStart"/>
      <w:r w:rsidR="00E7481B" w:rsidRPr="00D20B1A">
        <w:rPr>
          <w:rFonts w:asciiTheme="minorHAnsi" w:hAnsiTheme="minorHAnsi" w:cstheme="minorHAnsi"/>
        </w:rPr>
        <w:t>os mesmos</w:t>
      </w:r>
      <w:proofErr w:type="gramEnd"/>
      <w:r w:rsidR="00E7481B" w:rsidRPr="00D20B1A">
        <w:rPr>
          <w:rFonts w:asciiTheme="minorHAnsi" w:hAnsiTheme="minorHAnsi" w:cstheme="minorHAnsi"/>
        </w:rPr>
        <w:t xml:space="preserve"> são recebidos, a despesa é liquidada e, posteriormente, paga. A disponibilidade de informaç</w:t>
      </w:r>
      <w:r w:rsidR="004C4A08">
        <w:rPr>
          <w:rFonts w:asciiTheme="minorHAnsi" w:hAnsiTheme="minorHAnsi" w:cstheme="minorHAnsi"/>
        </w:rPr>
        <w:t xml:space="preserve">ões do Governo do </w:t>
      </w:r>
      <w:r w:rsidR="009F27F3">
        <w:rPr>
          <w:rFonts w:asciiTheme="minorHAnsi" w:hAnsiTheme="minorHAnsi" w:cstheme="minorHAnsi"/>
        </w:rPr>
        <w:t xml:space="preserve">Estado </w:t>
      </w:r>
      <w:r w:rsidR="009F27F3" w:rsidRPr="00D20B1A">
        <w:rPr>
          <w:rFonts w:asciiTheme="minorHAnsi" w:hAnsiTheme="minorHAnsi" w:cstheme="minorHAnsi"/>
        </w:rPr>
        <w:t>indica</w:t>
      </w:r>
      <w:r w:rsidR="00E7481B" w:rsidRPr="00D20B1A">
        <w:rPr>
          <w:rFonts w:asciiTheme="minorHAnsi" w:hAnsiTheme="minorHAnsi" w:cstheme="minorHAnsi"/>
        </w:rPr>
        <w:t xml:space="preserve"> a despesa empenhada como a categoria adequada para a</w:t>
      </w:r>
      <w:r w:rsidR="006D48D7" w:rsidRPr="00D20B1A">
        <w:rPr>
          <w:rFonts w:asciiTheme="minorHAnsi" w:hAnsiTheme="minorHAnsi" w:cstheme="minorHAnsi"/>
        </w:rPr>
        <w:t xml:space="preserve"> realização destes estudos. </w:t>
      </w:r>
    </w:p>
    <w:p w14:paraId="7FEF426F" w14:textId="6AE09C3A" w:rsidR="00E4010A" w:rsidRPr="00BF58B8" w:rsidRDefault="009F27F3" w:rsidP="007518B5">
      <w:pPr>
        <w:pStyle w:val="PargrafoNormal"/>
        <w:spacing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Um ponto que merece atenção diz respeito ao registro das </w:t>
      </w:r>
      <w:r w:rsidR="00870137"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</w:rPr>
        <w:t xml:space="preserve">eceitas e </w:t>
      </w:r>
      <w:r w:rsidR="00870137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 xml:space="preserve">espesas </w:t>
      </w:r>
      <w:proofErr w:type="spellStart"/>
      <w:r w:rsidR="00870137">
        <w:rPr>
          <w:rFonts w:asciiTheme="minorHAnsi" w:hAnsiTheme="minorHAnsi" w:cstheme="minorHAnsi"/>
        </w:rPr>
        <w:t>I</w:t>
      </w:r>
      <w:r w:rsidR="008A6E58">
        <w:rPr>
          <w:rFonts w:asciiTheme="minorHAnsi" w:hAnsiTheme="minorHAnsi" w:cstheme="minorHAnsi"/>
        </w:rPr>
        <w:t>ntraorçamentárias</w:t>
      </w:r>
      <w:proofErr w:type="spellEnd"/>
      <w:r w:rsidR="008A6E58">
        <w:rPr>
          <w:rFonts w:asciiTheme="minorHAnsi" w:hAnsiTheme="minorHAnsi" w:cstheme="minorHAnsi"/>
        </w:rPr>
        <w:t xml:space="preserve">, </w:t>
      </w:r>
      <w:r w:rsidR="0034682F">
        <w:rPr>
          <w:rFonts w:asciiTheme="minorHAnsi" w:hAnsiTheme="minorHAnsi" w:cstheme="minorHAnsi"/>
        </w:rPr>
        <w:t xml:space="preserve">que resultam de operações entre órgãos do </w:t>
      </w:r>
      <w:r w:rsidR="00454084">
        <w:rPr>
          <w:rFonts w:asciiTheme="minorHAnsi" w:hAnsiTheme="minorHAnsi" w:cstheme="minorHAnsi"/>
        </w:rPr>
        <w:t xml:space="preserve">orçamento do estado. </w:t>
      </w:r>
      <w:r w:rsidR="00E4010A" w:rsidRPr="00E4010A">
        <w:rPr>
          <w:rFonts w:asciiTheme="minorHAnsi" w:hAnsiTheme="minorHAnsi" w:cstheme="minorHAnsi"/>
        </w:rPr>
        <w:t xml:space="preserve">As </w:t>
      </w:r>
      <w:r w:rsidR="00870137">
        <w:rPr>
          <w:rFonts w:asciiTheme="minorHAnsi" w:hAnsiTheme="minorHAnsi" w:cstheme="minorHAnsi"/>
        </w:rPr>
        <w:t>D</w:t>
      </w:r>
      <w:r w:rsidR="00E4010A" w:rsidRPr="00E4010A">
        <w:rPr>
          <w:rFonts w:asciiTheme="minorHAnsi" w:hAnsiTheme="minorHAnsi" w:cstheme="minorHAnsi"/>
        </w:rPr>
        <w:t xml:space="preserve">espesas </w:t>
      </w:r>
      <w:proofErr w:type="spellStart"/>
      <w:r w:rsidR="00E4010A" w:rsidRPr="00E4010A">
        <w:rPr>
          <w:rFonts w:asciiTheme="minorHAnsi" w:hAnsiTheme="minorHAnsi" w:cstheme="minorHAnsi"/>
        </w:rPr>
        <w:t>intraorçamentárias</w:t>
      </w:r>
      <w:proofErr w:type="spellEnd"/>
      <w:r w:rsidR="00E4010A" w:rsidRPr="00E4010A">
        <w:rPr>
          <w:rFonts w:asciiTheme="minorHAnsi" w:hAnsiTheme="minorHAnsi" w:cstheme="minorHAnsi"/>
        </w:rPr>
        <w:t xml:space="preserve"> ocorrem quando despesas efetuadas por órgãos e entidades integrantes do orçamento fiscal e da seguridade social têm como recebedor dos recursos outros órgãos e entidades constante desse </w:t>
      </w:r>
      <w:r w:rsidR="00E4010A">
        <w:rPr>
          <w:rFonts w:asciiTheme="minorHAnsi" w:hAnsiTheme="minorHAnsi" w:cstheme="minorHAnsi"/>
        </w:rPr>
        <w:t>mesmo orçamento</w:t>
      </w:r>
      <w:r w:rsidR="00E4010A" w:rsidRPr="00E4010A">
        <w:rPr>
          <w:rFonts w:asciiTheme="minorHAnsi" w:hAnsiTheme="minorHAnsi" w:cstheme="minorHAnsi"/>
        </w:rPr>
        <w:t xml:space="preserve">.  Ocorre </w:t>
      </w:r>
      <w:r w:rsidR="00870137">
        <w:rPr>
          <w:rFonts w:asciiTheme="minorHAnsi" w:hAnsiTheme="minorHAnsi" w:cstheme="minorHAnsi"/>
        </w:rPr>
        <w:t>D</w:t>
      </w:r>
      <w:r w:rsidR="00E4010A" w:rsidRPr="00E4010A">
        <w:rPr>
          <w:rFonts w:asciiTheme="minorHAnsi" w:hAnsiTheme="minorHAnsi" w:cstheme="minorHAnsi"/>
        </w:rPr>
        <w:t xml:space="preserve">espesa </w:t>
      </w:r>
      <w:proofErr w:type="spellStart"/>
      <w:r w:rsidR="00870137">
        <w:rPr>
          <w:rFonts w:asciiTheme="minorHAnsi" w:hAnsiTheme="minorHAnsi" w:cstheme="minorHAnsi"/>
        </w:rPr>
        <w:t>I</w:t>
      </w:r>
      <w:r w:rsidR="00E4010A" w:rsidRPr="00E4010A">
        <w:rPr>
          <w:rFonts w:asciiTheme="minorHAnsi" w:hAnsiTheme="minorHAnsi" w:cstheme="minorHAnsi"/>
        </w:rPr>
        <w:t>ntraorçamentária</w:t>
      </w:r>
      <w:proofErr w:type="spellEnd"/>
      <w:r w:rsidR="00E4010A" w:rsidRPr="00E4010A">
        <w:rPr>
          <w:rFonts w:asciiTheme="minorHAnsi" w:hAnsiTheme="minorHAnsi" w:cstheme="minorHAnsi"/>
        </w:rPr>
        <w:t xml:space="preserve">, por exemplo, quando o Tesouro Estadual transfere a Contribuição Patronal à autarquia previdenciária. No momento do recebimento, esta registra uma </w:t>
      </w:r>
      <w:r w:rsidR="00870137">
        <w:rPr>
          <w:rFonts w:asciiTheme="minorHAnsi" w:hAnsiTheme="minorHAnsi" w:cstheme="minorHAnsi"/>
        </w:rPr>
        <w:t>R</w:t>
      </w:r>
      <w:r w:rsidR="00E4010A" w:rsidRPr="00E4010A">
        <w:rPr>
          <w:rFonts w:asciiTheme="minorHAnsi" w:hAnsiTheme="minorHAnsi" w:cstheme="minorHAnsi"/>
        </w:rPr>
        <w:t xml:space="preserve">eceita </w:t>
      </w:r>
      <w:proofErr w:type="spellStart"/>
      <w:r w:rsidR="00870137">
        <w:rPr>
          <w:rFonts w:asciiTheme="minorHAnsi" w:hAnsiTheme="minorHAnsi" w:cstheme="minorHAnsi"/>
        </w:rPr>
        <w:t>I</w:t>
      </w:r>
      <w:r w:rsidR="00E4010A" w:rsidRPr="00E4010A">
        <w:rPr>
          <w:rFonts w:asciiTheme="minorHAnsi" w:hAnsiTheme="minorHAnsi" w:cstheme="minorHAnsi"/>
        </w:rPr>
        <w:t>ntraorçamentária</w:t>
      </w:r>
      <w:proofErr w:type="spellEnd"/>
      <w:r w:rsidR="00E4010A" w:rsidRPr="00E4010A">
        <w:rPr>
          <w:rFonts w:asciiTheme="minorHAnsi" w:hAnsiTheme="minorHAnsi" w:cstheme="minorHAnsi"/>
        </w:rPr>
        <w:t xml:space="preserve">. Assim, ocorrendo uma </w:t>
      </w:r>
      <w:r w:rsidR="00870137">
        <w:rPr>
          <w:rFonts w:asciiTheme="minorHAnsi" w:hAnsiTheme="minorHAnsi" w:cstheme="minorHAnsi"/>
        </w:rPr>
        <w:t>D</w:t>
      </w:r>
      <w:r w:rsidR="00E4010A" w:rsidRPr="00E4010A">
        <w:rPr>
          <w:rFonts w:asciiTheme="minorHAnsi" w:hAnsiTheme="minorHAnsi" w:cstheme="minorHAnsi"/>
        </w:rPr>
        <w:t xml:space="preserve">espesa </w:t>
      </w:r>
      <w:proofErr w:type="spellStart"/>
      <w:r w:rsidR="00870137">
        <w:rPr>
          <w:rFonts w:asciiTheme="minorHAnsi" w:hAnsiTheme="minorHAnsi" w:cstheme="minorHAnsi"/>
        </w:rPr>
        <w:t>I</w:t>
      </w:r>
      <w:r w:rsidR="00E4010A" w:rsidRPr="00E4010A">
        <w:rPr>
          <w:rFonts w:asciiTheme="minorHAnsi" w:hAnsiTheme="minorHAnsi" w:cstheme="minorHAnsi"/>
        </w:rPr>
        <w:t>ntraorçamentária</w:t>
      </w:r>
      <w:proofErr w:type="spellEnd"/>
      <w:r w:rsidR="00E4010A" w:rsidRPr="00E4010A">
        <w:rPr>
          <w:rFonts w:asciiTheme="minorHAnsi" w:hAnsiTheme="minorHAnsi" w:cstheme="minorHAnsi"/>
        </w:rPr>
        <w:t xml:space="preserve">, </w:t>
      </w:r>
      <w:r w:rsidR="00F147D2">
        <w:rPr>
          <w:rFonts w:asciiTheme="minorHAnsi" w:hAnsiTheme="minorHAnsi" w:cstheme="minorHAnsi"/>
        </w:rPr>
        <w:t xml:space="preserve">deverá </w:t>
      </w:r>
      <w:r w:rsidR="00E4010A" w:rsidRPr="00E4010A">
        <w:rPr>
          <w:rFonts w:asciiTheme="minorHAnsi" w:hAnsiTheme="minorHAnsi" w:cstheme="minorHAnsi"/>
        </w:rPr>
        <w:t>ocorre</w:t>
      </w:r>
      <w:r w:rsidR="00F147D2">
        <w:rPr>
          <w:rFonts w:asciiTheme="minorHAnsi" w:hAnsiTheme="minorHAnsi" w:cstheme="minorHAnsi"/>
        </w:rPr>
        <w:t>r</w:t>
      </w:r>
      <w:r w:rsidR="00E4010A" w:rsidRPr="00E4010A">
        <w:rPr>
          <w:rFonts w:asciiTheme="minorHAnsi" w:hAnsiTheme="minorHAnsi" w:cstheme="minorHAnsi"/>
        </w:rPr>
        <w:t xml:space="preserve"> uma </w:t>
      </w:r>
      <w:r w:rsidR="00870137">
        <w:rPr>
          <w:rFonts w:asciiTheme="minorHAnsi" w:hAnsiTheme="minorHAnsi" w:cstheme="minorHAnsi"/>
        </w:rPr>
        <w:t>R</w:t>
      </w:r>
      <w:r w:rsidR="00E4010A" w:rsidRPr="00E4010A">
        <w:rPr>
          <w:rFonts w:asciiTheme="minorHAnsi" w:hAnsiTheme="minorHAnsi" w:cstheme="minorHAnsi"/>
        </w:rPr>
        <w:t xml:space="preserve">eceita </w:t>
      </w:r>
      <w:proofErr w:type="spellStart"/>
      <w:r w:rsidR="00870137">
        <w:rPr>
          <w:rFonts w:asciiTheme="minorHAnsi" w:hAnsiTheme="minorHAnsi" w:cstheme="minorHAnsi"/>
        </w:rPr>
        <w:t>I</w:t>
      </w:r>
      <w:r w:rsidR="00E4010A" w:rsidRPr="00E4010A">
        <w:rPr>
          <w:rFonts w:asciiTheme="minorHAnsi" w:hAnsiTheme="minorHAnsi" w:cstheme="minorHAnsi"/>
        </w:rPr>
        <w:t>ntraorçamentária</w:t>
      </w:r>
      <w:proofErr w:type="spellEnd"/>
      <w:r w:rsidR="00E4010A" w:rsidRPr="00E4010A">
        <w:rPr>
          <w:rFonts w:asciiTheme="minorHAnsi" w:hAnsiTheme="minorHAnsi" w:cstheme="minorHAnsi"/>
        </w:rPr>
        <w:t>. Em virtude d</w:t>
      </w:r>
      <w:r w:rsidR="000D1A5D">
        <w:rPr>
          <w:rFonts w:asciiTheme="minorHAnsi" w:hAnsiTheme="minorHAnsi" w:cstheme="minorHAnsi"/>
        </w:rPr>
        <w:t xml:space="preserve">e ser </w:t>
      </w:r>
      <w:r w:rsidR="0058269A">
        <w:rPr>
          <w:rFonts w:asciiTheme="minorHAnsi" w:hAnsiTheme="minorHAnsi" w:cstheme="minorHAnsi"/>
        </w:rPr>
        <w:lastRenderedPageBreak/>
        <w:t xml:space="preserve">a </w:t>
      </w:r>
      <w:r w:rsidR="0058269A" w:rsidRPr="00E4010A">
        <w:rPr>
          <w:rFonts w:asciiTheme="minorHAnsi" w:hAnsiTheme="minorHAnsi" w:cstheme="minorHAnsi"/>
        </w:rPr>
        <w:t>despesa</w:t>
      </w:r>
      <w:r w:rsidR="00E4010A" w:rsidRPr="00E4010A">
        <w:rPr>
          <w:rFonts w:asciiTheme="minorHAnsi" w:hAnsiTheme="minorHAnsi" w:cstheme="minorHAnsi"/>
        </w:rPr>
        <w:t xml:space="preserve"> reconhecida no momento da apropriação e a receita no momento da arrecadação, os registros não ocorrerão simultaneamente, podendo haver alguma diferença entre </w:t>
      </w:r>
      <w:r w:rsidR="0058269A">
        <w:rPr>
          <w:rFonts w:asciiTheme="minorHAnsi" w:hAnsiTheme="minorHAnsi" w:cstheme="minorHAnsi"/>
        </w:rPr>
        <w:t>eles</w:t>
      </w:r>
      <w:r w:rsidR="00E4010A" w:rsidRPr="00E4010A">
        <w:rPr>
          <w:rFonts w:asciiTheme="minorHAnsi" w:hAnsiTheme="minorHAnsi" w:cstheme="minorHAnsi"/>
        </w:rPr>
        <w:t>, em geral pouco significativa</w:t>
      </w:r>
      <w:r w:rsidR="00F147D2" w:rsidRPr="00B81ABA">
        <w:rPr>
          <w:rFonts w:asciiTheme="minorHAnsi" w:hAnsiTheme="minorHAnsi" w:cstheme="minorHAnsi"/>
        </w:rPr>
        <w:t xml:space="preserve">. </w:t>
      </w:r>
      <w:r w:rsidR="003763F5" w:rsidRPr="00B81ABA">
        <w:rPr>
          <w:rFonts w:asciiTheme="minorHAnsi" w:hAnsiTheme="minorHAnsi" w:cstheme="minorHAnsi"/>
        </w:rPr>
        <w:t>No caso do GEAP, no entanto, a</w:t>
      </w:r>
      <w:r w:rsidR="00E42EA0" w:rsidRPr="00B81ABA">
        <w:rPr>
          <w:rFonts w:asciiTheme="minorHAnsi" w:hAnsiTheme="minorHAnsi" w:cstheme="minorHAnsi"/>
        </w:rPr>
        <w:t xml:space="preserve">o longo do período estudado – 2006 a 2018, os valores registrados </w:t>
      </w:r>
      <w:r w:rsidR="003763F5" w:rsidRPr="00B81ABA">
        <w:rPr>
          <w:rFonts w:asciiTheme="minorHAnsi" w:hAnsiTheme="minorHAnsi" w:cstheme="minorHAnsi"/>
        </w:rPr>
        <w:t xml:space="preserve">para </w:t>
      </w:r>
      <w:bookmarkStart w:id="14" w:name="_Hlk6843937"/>
      <w:r w:rsidR="00870137" w:rsidRPr="00B81ABA">
        <w:rPr>
          <w:rFonts w:asciiTheme="minorHAnsi" w:hAnsiTheme="minorHAnsi" w:cstheme="minorHAnsi"/>
        </w:rPr>
        <w:t>R</w:t>
      </w:r>
      <w:r w:rsidR="00E42EA0" w:rsidRPr="00B81ABA">
        <w:rPr>
          <w:rFonts w:asciiTheme="minorHAnsi" w:hAnsiTheme="minorHAnsi" w:cstheme="minorHAnsi"/>
        </w:rPr>
        <w:t xml:space="preserve">eceitas e </w:t>
      </w:r>
      <w:r w:rsidR="00870137" w:rsidRPr="00B81ABA">
        <w:rPr>
          <w:rFonts w:asciiTheme="minorHAnsi" w:hAnsiTheme="minorHAnsi" w:cstheme="minorHAnsi"/>
        </w:rPr>
        <w:t>D</w:t>
      </w:r>
      <w:r w:rsidR="00E42EA0" w:rsidRPr="00B81ABA">
        <w:rPr>
          <w:rFonts w:asciiTheme="minorHAnsi" w:hAnsiTheme="minorHAnsi" w:cstheme="minorHAnsi"/>
        </w:rPr>
        <w:t xml:space="preserve">espesas </w:t>
      </w:r>
      <w:proofErr w:type="spellStart"/>
      <w:r w:rsidR="00870137" w:rsidRPr="00B81ABA">
        <w:rPr>
          <w:rFonts w:asciiTheme="minorHAnsi" w:hAnsiTheme="minorHAnsi" w:cstheme="minorHAnsi"/>
        </w:rPr>
        <w:t>I</w:t>
      </w:r>
      <w:r w:rsidR="00E42EA0" w:rsidRPr="00B81ABA">
        <w:rPr>
          <w:rFonts w:asciiTheme="minorHAnsi" w:hAnsiTheme="minorHAnsi" w:cstheme="minorHAnsi"/>
        </w:rPr>
        <w:t>ntraorçamentári</w:t>
      </w:r>
      <w:r w:rsidR="003763F5" w:rsidRPr="00B81ABA">
        <w:rPr>
          <w:rFonts w:asciiTheme="minorHAnsi" w:hAnsiTheme="minorHAnsi" w:cstheme="minorHAnsi"/>
        </w:rPr>
        <w:t>as</w:t>
      </w:r>
      <w:proofErr w:type="spellEnd"/>
      <w:r w:rsidR="003763F5" w:rsidRPr="00B81ABA">
        <w:rPr>
          <w:rFonts w:asciiTheme="minorHAnsi" w:hAnsiTheme="minorHAnsi" w:cstheme="minorHAnsi"/>
        </w:rPr>
        <w:t xml:space="preserve"> </w:t>
      </w:r>
      <w:bookmarkEnd w:id="14"/>
      <w:r w:rsidR="003763F5" w:rsidRPr="00B81ABA">
        <w:rPr>
          <w:rFonts w:asciiTheme="minorHAnsi" w:hAnsiTheme="minorHAnsi" w:cstheme="minorHAnsi"/>
        </w:rPr>
        <w:t xml:space="preserve">diferem fortemente, </w:t>
      </w:r>
      <w:r w:rsidR="00F147D2" w:rsidRPr="00B81ABA">
        <w:rPr>
          <w:rFonts w:asciiTheme="minorHAnsi" w:hAnsiTheme="minorHAnsi" w:cstheme="minorHAnsi"/>
        </w:rPr>
        <w:t xml:space="preserve">para mais e para menos, </w:t>
      </w:r>
      <w:r w:rsidR="003763F5" w:rsidRPr="00B81ABA">
        <w:rPr>
          <w:rFonts w:asciiTheme="minorHAnsi" w:hAnsiTheme="minorHAnsi" w:cstheme="minorHAnsi"/>
        </w:rPr>
        <w:t xml:space="preserve">sem que </w:t>
      </w:r>
      <w:r w:rsidR="00A32F33" w:rsidRPr="00B81ABA">
        <w:rPr>
          <w:rFonts w:asciiTheme="minorHAnsi" w:hAnsiTheme="minorHAnsi" w:cstheme="minorHAnsi"/>
        </w:rPr>
        <w:t xml:space="preserve">haja explicação </w:t>
      </w:r>
      <w:r w:rsidR="008517F5" w:rsidRPr="00B81ABA">
        <w:rPr>
          <w:rFonts w:asciiTheme="minorHAnsi" w:hAnsiTheme="minorHAnsi" w:cstheme="minorHAnsi"/>
        </w:rPr>
        <w:t xml:space="preserve">em Balanço. </w:t>
      </w:r>
      <w:r w:rsidR="00F147D2" w:rsidRPr="00B81ABA">
        <w:rPr>
          <w:rFonts w:asciiTheme="minorHAnsi" w:hAnsiTheme="minorHAnsi" w:cstheme="minorHAnsi"/>
        </w:rPr>
        <w:t xml:space="preserve">Em 6 dos 13 anos analisados, a receita é substancialmente </w:t>
      </w:r>
      <w:r w:rsidR="006C338A" w:rsidRPr="00B81ABA">
        <w:rPr>
          <w:rFonts w:asciiTheme="minorHAnsi" w:hAnsiTheme="minorHAnsi" w:cstheme="minorHAnsi"/>
        </w:rPr>
        <w:t>menor</w:t>
      </w:r>
      <w:r w:rsidR="00F147D2" w:rsidRPr="00B81ABA">
        <w:rPr>
          <w:rFonts w:asciiTheme="minorHAnsi" w:hAnsiTheme="minorHAnsi" w:cstheme="minorHAnsi"/>
        </w:rPr>
        <w:t xml:space="preserve"> que a despesa</w:t>
      </w:r>
      <w:r w:rsidR="000F76CD" w:rsidRPr="00B81ABA">
        <w:rPr>
          <w:rFonts w:asciiTheme="minorHAnsi" w:hAnsiTheme="minorHAnsi" w:cstheme="minorHAnsi"/>
        </w:rPr>
        <w:t>, que consiste</w:t>
      </w:r>
      <w:r w:rsidR="000F76CD">
        <w:rPr>
          <w:rFonts w:asciiTheme="minorHAnsi" w:hAnsiTheme="minorHAnsi" w:cstheme="minorHAnsi"/>
        </w:rPr>
        <w:t xml:space="preserve"> </w:t>
      </w:r>
      <w:proofErr w:type="gramStart"/>
      <w:r w:rsidR="000F76CD">
        <w:rPr>
          <w:rFonts w:asciiTheme="minorHAnsi" w:hAnsiTheme="minorHAnsi" w:cstheme="minorHAnsi"/>
        </w:rPr>
        <w:t>de</w:t>
      </w:r>
      <w:proofErr w:type="gramEnd"/>
      <w:r w:rsidR="000F76CD">
        <w:rPr>
          <w:rFonts w:asciiTheme="minorHAnsi" w:hAnsiTheme="minorHAnsi" w:cstheme="minorHAnsi"/>
        </w:rPr>
        <w:t xml:space="preserve"> Contribuições Patronais.</w:t>
      </w:r>
      <w:r w:rsidR="00F147D2">
        <w:rPr>
          <w:rFonts w:asciiTheme="minorHAnsi" w:hAnsiTheme="minorHAnsi" w:cstheme="minorHAnsi"/>
        </w:rPr>
        <w:t xml:space="preserve"> </w:t>
      </w:r>
      <w:r w:rsidR="008517F5">
        <w:rPr>
          <w:rFonts w:asciiTheme="minorHAnsi" w:hAnsiTheme="minorHAnsi" w:cstheme="minorHAnsi"/>
        </w:rPr>
        <w:t xml:space="preserve">Vale observar que a </w:t>
      </w:r>
      <w:r w:rsidR="00AF26DC">
        <w:rPr>
          <w:rFonts w:asciiTheme="minorHAnsi" w:hAnsiTheme="minorHAnsi" w:cstheme="minorHAnsi"/>
        </w:rPr>
        <w:t xml:space="preserve">própria </w:t>
      </w:r>
      <w:r w:rsidR="008517F5">
        <w:rPr>
          <w:rFonts w:asciiTheme="minorHAnsi" w:hAnsiTheme="minorHAnsi" w:cstheme="minorHAnsi"/>
        </w:rPr>
        <w:t>Lei Orçamentária já prevê diferenças significativas.</w:t>
      </w:r>
      <w:r w:rsidR="000D1A5D">
        <w:rPr>
          <w:rStyle w:val="FootnoteReference"/>
          <w:rFonts w:asciiTheme="minorHAnsi" w:hAnsiTheme="minorHAnsi" w:cstheme="minorHAnsi"/>
        </w:rPr>
        <w:footnoteReference w:id="1"/>
      </w:r>
      <w:r w:rsidR="00AF26DC">
        <w:rPr>
          <w:rFonts w:asciiTheme="minorHAnsi" w:hAnsiTheme="minorHAnsi" w:cstheme="minorHAnsi"/>
        </w:rPr>
        <w:t xml:space="preserve"> </w:t>
      </w:r>
      <w:r w:rsidR="000F76CD">
        <w:rPr>
          <w:rFonts w:asciiTheme="minorHAnsi" w:hAnsiTheme="minorHAnsi" w:cstheme="minorHAnsi"/>
        </w:rPr>
        <w:t>Para evitar duplicação, a</w:t>
      </w:r>
      <w:r w:rsidR="009D3168">
        <w:rPr>
          <w:rFonts w:asciiTheme="minorHAnsi" w:hAnsiTheme="minorHAnsi" w:cstheme="minorHAnsi"/>
        </w:rPr>
        <w:t xml:space="preserve"> </w:t>
      </w:r>
      <w:r w:rsidR="00DC4868">
        <w:rPr>
          <w:rFonts w:asciiTheme="minorHAnsi" w:hAnsiTheme="minorHAnsi" w:cstheme="minorHAnsi"/>
        </w:rPr>
        <w:t>R</w:t>
      </w:r>
      <w:r w:rsidR="009D3168">
        <w:rPr>
          <w:rFonts w:asciiTheme="minorHAnsi" w:hAnsiTheme="minorHAnsi" w:cstheme="minorHAnsi"/>
        </w:rPr>
        <w:t xml:space="preserve">eceita </w:t>
      </w:r>
      <w:r w:rsidR="00DC4868">
        <w:rPr>
          <w:rFonts w:asciiTheme="minorHAnsi" w:hAnsiTheme="minorHAnsi" w:cstheme="minorHAnsi"/>
        </w:rPr>
        <w:t xml:space="preserve">Total </w:t>
      </w:r>
      <w:r w:rsidR="009D3168">
        <w:rPr>
          <w:rFonts w:asciiTheme="minorHAnsi" w:hAnsiTheme="minorHAnsi" w:cstheme="minorHAnsi"/>
        </w:rPr>
        <w:t xml:space="preserve">realizada não inclui a </w:t>
      </w:r>
      <w:r w:rsidR="00870137">
        <w:rPr>
          <w:rFonts w:asciiTheme="minorHAnsi" w:hAnsiTheme="minorHAnsi" w:cstheme="minorHAnsi"/>
        </w:rPr>
        <w:t>R</w:t>
      </w:r>
      <w:r w:rsidR="009D3168">
        <w:rPr>
          <w:rFonts w:asciiTheme="minorHAnsi" w:hAnsiTheme="minorHAnsi" w:cstheme="minorHAnsi"/>
        </w:rPr>
        <w:t xml:space="preserve">eceita </w:t>
      </w:r>
      <w:proofErr w:type="spellStart"/>
      <w:r w:rsidR="00870137">
        <w:rPr>
          <w:rFonts w:asciiTheme="minorHAnsi" w:hAnsiTheme="minorHAnsi" w:cstheme="minorHAnsi"/>
        </w:rPr>
        <w:t>I</w:t>
      </w:r>
      <w:r w:rsidR="009D3168">
        <w:rPr>
          <w:rFonts w:asciiTheme="minorHAnsi" w:hAnsiTheme="minorHAnsi" w:cstheme="minorHAnsi"/>
        </w:rPr>
        <w:t>ntraorçamentária</w:t>
      </w:r>
      <w:proofErr w:type="spellEnd"/>
      <w:r w:rsidR="009D3168">
        <w:rPr>
          <w:rFonts w:asciiTheme="minorHAnsi" w:hAnsiTheme="minorHAnsi" w:cstheme="minorHAnsi"/>
        </w:rPr>
        <w:t xml:space="preserve">. No caso da </w:t>
      </w:r>
      <w:r w:rsidR="00DC4868">
        <w:rPr>
          <w:rFonts w:asciiTheme="minorHAnsi" w:hAnsiTheme="minorHAnsi" w:cstheme="minorHAnsi"/>
        </w:rPr>
        <w:t>D</w:t>
      </w:r>
      <w:r w:rsidR="009D3168">
        <w:rPr>
          <w:rFonts w:asciiTheme="minorHAnsi" w:hAnsiTheme="minorHAnsi" w:cstheme="minorHAnsi"/>
        </w:rPr>
        <w:t xml:space="preserve">espesa </w:t>
      </w:r>
      <w:proofErr w:type="spellStart"/>
      <w:r w:rsidR="00DC4868">
        <w:rPr>
          <w:rFonts w:asciiTheme="minorHAnsi" w:hAnsiTheme="minorHAnsi" w:cstheme="minorHAnsi"/>
        </w:rPr>
        <w:t>I</w:t>
      </w:r>
      <w:r w:rsidR="009D3168">
        <w:rPr>
          <w:rFonts w:asciiTheme="minorHAnsi" w:hAnsiTheme="minorHAnsi" w:cstheme="minorHAnsi"/>
        </w:rPr>
        <w:t>ntraorçamentária</w:t>
      </w:r>
      <w:proofErr w:type="spellEnd"/>
      <w:r w:rsidR="009D3168">
        <w:rPr>
          <w:rFonts w:asciiTheme="minorHAnsi" w:hAnsiTheme="minorHAnsi" w:cstheme="minorHAnsi"/>
        </w:rPr>
        <w:t xml:space="preserve">, </w:t>
      </w:r>
      <w:r w:rsidR="00DC4868">
        <w:rPr>
          <w:rFonts w:asciiTheme="minorHAnsi" w:hAnsiTheme="minorHAnsi" w:cstheme="minorHAnsi"/>
        </w:rPr>
        <w:t xml:space="preserve">as </w:t>
      </w:r>
      <w:r w:rsidR="002C0D4E">
        <w:rPr>
          <w:rFonts w:asciiTheme="minorHAnsi" w:hAnsiTheme="minorHAnsi" w:cstheme="minorHAnsi"/>
        </w:rPr>
        <w:t xml:space="preserve">Contribuições Patronais </w:t>
      </w:r>
      <w:r w:rsidR="00DC4868">
        <w:rPr>
          <w:rFonts w:asciiTheme="minorHAnsi" w:hAnsiTheme="minorHAnsi" w:cstheme="minorHAnsi"/>
        </w:rPr>
        <w:t>foram adicionadas à</w:t>
      </w:r>
      <w:r w:rsidR="000F76CD">
        <w:rPr>
          <w:rFonts w:asciiTheme="minorHAnsi" w:hAnsiTheme="minorHAnsi" w:cstheme="minorHAnsi"/>
        </w:rPr>
        <w:t xml:space="preserve"> </w:t>
      </w:r>
      <w:r w:rsidR="009D3168">
        <w:rPr>
          <w:rFonts w:asciiTheme="minorHAnsi" w:hAnsiTheme="minorHAnsi" w:cstheme="minorHAnsi"/>
        </w:rPr>
        <w:t>Despesa de Pessoal Ativo</w:t>
      </w:r>
      <w:r w:rsidR="000F76CD">
        <w:rPr>
          <w:rFonts w:asciiTheme="minorHAnsi" w:hAnsiTheme="minorHAnsi" w:cstheme="minorHAnsi"/>
        </w:rPr>
        <w:t xml:space="preserve">. Em </w:t>
      </w:r>
      <w:r w:rsidR="00870137">
        <w:rPr>
          <w:rFonts w:asciiTheme="minorHAnsi" w:hAnsiTheme="minorHAnsi" w:cstheme="minorHAnsi"/>
        </w:rPr>
        <w:t>alguns anos</w:t>
      </w:r>
      <w:r w:rsidR="000F76CD">
        <w:rPr>
          <w:rFonts w:asciiTheme="minorHAnsi" w:hAnsiTheme="minorHAnsi" w:cstheme="minorHAnsi"/>
        </w:rPr>
        <w:t xml:space="preserve"> parte delas financiou a despesa com Inativos e </w:t>
      </w:r>
      <w:r w:rsidR="00DC4868">
        <w:rPr>
          <w:rFonts w:asciiTheme="minorHAnsi" w:hAnsiTheme="minorHAnsi" w:cstheme="minorHAnsi"/>
        </w:rPr>
        <w:t>Pensionistas,</w:t>
      </w:r>
      <w:r w:rsidR="000F76CD">
        <w:rPr>
          <w:rFonts w:asciiTheme="minorHAnsi" w:hAnsiTheme="minorHAnsi" w:cstheme="minorHAnsi"/>
        </w:rPr>
        <w:t xml:space="preserve"> complementando a </w:t>
      </w:r>
      <w:r w:rsidR="00DC4868">
        <w:rPr>
          <w:rFonts w:asciiTheme="minorHAnsi" w:hAnsiTheme="minorHAnsi" w:cstheme="minorHAnsi"/>
        </w:rPr>
        <w:t>R</w:t>
      </w:r>
      <w:r w:rsidR="000F76CD">
        <w:rPr>
          <w:rFonts w:asciiTheme="minorHAnsi" w:hAnsiTheme="minorHAnsi" w:cstheme="minorHAnsi"/>
        </w:rPr>
        <w:t xml:space="preserve">eceita de Contribuição </w:t>
      </w:r>
      <w:r w:rsidR="00DC4868">
        <w:rPr>
          <w:rFonts w:asciiTheme="minorHAnsi" w:hAnsiTheme="minorHAnsi" w:cstheme="minorHAnsi"/>
        </w:rPr>
        <w:t>P</w:t>
      </w:r>
      <w:r w:rsidR="000F76CD">
        <w:rPr>
          <w:rFonts w:asciiTheme="minorHAnsi" w:hAnsiTheme="minorHAnsi" w:cstheme="minorHAnsi"/>
        </w:rPr>
        <w:t xml:space="preserve">revidenciária dos </w:t>
      </w:r>
      <w:r w:rsidR="00DC4868">
        <w:rPr>
          <w:rFonts w:asciiTheme="minorHAnsi" w:hAnsiTheme="minorHAnsi" w:cstheme="minorHAnsi"/>
        </w:rPr>
        <w:t>S</w:t>
      </w:r>
      <w:r w:rsidR="000F76CD">
        <w:rPr>
          <w:rFonts w:asciiTheme="minorHAnsi" w:hAnsiTheme="minorHAnsi" w:cstheme="minorHAnsi"/>
        </w:rPr>
        <w:t xml:space="preserve">ervidores. Esses montantes são subtraídos de Despesa com Inativos e Pensionistas, zerando </w:t>
      </w:r>
      <w:r w:rsidR="00870137">
        <w:rPr>
          <w:rFonts w:asciiTheme="minorHAnsi" w:hAnsiTheme="minorHAnsi" w:cstheme="minorHAnsi"/>
        </w:rPr>
        <w:t>eventual aporte</w:t>
      </w:r>
      <w:r w:rsidR="000F76CD">
        <w:rPr>
          <w:rFonts w:asciiTheme="minorHAnsi" w:hAnsiTheme="minorHAnsi" w:cstheme="minorHAnsi"/>
        </w:rPr>
        <w:t xml:space="preserve"> de recursos do Tesouro estadual para sua </w:t>
      </w:r>
      <w:r w:rsidR="00DC4868">
        <w:rPr>
          <w:rFonts w:asciiTheme="minorHAnsi" w:hAnsiTheme="minorHAnsi" w:cstheme="minorHAnsi"/>
        </w:rPr>
        <w:t>cobertura, como</w:t>
      </w:r>
      <w:r w:rsidR="000F76CD">
        <w:rPr>
          <w:rFonts w:asciiTheme="minorHAnsi" w:hAnsiTheme="minorHAnsi" w:cstheme="minorHAnsi"/>
        </w:rPr>
        <w:t xml:space="preserve"> ocorre na </w:t>
      </w:r>
      <w:r w:rsidR="004377A5">
        <w:rPr>
          <w:rFonts w:asciiTheme="minorHAnsi" w:hAnsiTheme="minorHAnsi" w:cstheme="minorHAnsi"/>
        </w:rPr>
        <w:t>maioria dos</w:t>
      </w:r>
      <w:r w:rsidR="000F76CD">
        <w:rPr>
          <w:rFonts w:asciiTheme="minorHAnsi" w:hAnsiTheme="minorHAnsi" w:cstheme="minorHAnsi"/>
        </w:rPr>
        <w:t xml:space="preserve"> estados.</w:t>
      </w:r>
      <w:r w:rsidR="009D3168">
        <w:rPr>
          <w:rFonts w:asciiTheme="minorHAnsi" w:hAnsiTheme="minorHAnsi" w:cstheme="minorHAnsi"/>
        </w:rPr>
        <w:t xml:space="preserve"> </w:t>
      </w:r>
      <w:r w:rsidR="00F26258">
        <w:rPr>
          <w:rFonts w:asciiTheme="minorHAnsi" w:hAnsiTheme="minorHAnsi" w:cstheme="minorHAnsi"/>
        </w:rPr>
        <w:t>No caso do GEAP, e</w:t>
      </w:r>
      <w:r w:rsidR="009D3168">
        <w:rPr>
          <w:rFonts w:asciiTheme="minorHAnsi" w:hAnsiTheme="minorHAnsi" w:cstheme="minorHAnsi"/>
        </w:rPr>
        <w:t xml:space="preserve">m todos os anos, a soma da Contribuição de Servidores com a Contribuição Patronal supera as Despesas com Inativos e Pensionistas, ainda pouco expressivas. </w:t>
      </w:r>
      <w:r w:rsidR="000F76CD">
        <w:rPr>
          <w:rFonts w:asciiTheme="minorHAnsi" w:hAnsiTheme="minorHAnsi" w:cstheme="minorHAnsi"/>
        </w:rPr>
        <w:t xml:space="preserve">Se efetivamente repassados à AMPREV os recursos da Contribuição </w:t>
      </w:r>
      <w:r w:rsidR="004377A5">
        <w:rPr>
          <w:rFonts w:asciiTheme="minorHAnsi" w:hAnsiTheme="minorHAnsi" w:cstheme="minorHAnsi"/>
        </w:rPr>
        <w:t>P</w:t>
      </w:r>
      <w:r w:rsidR="000F76CD">
        <w:rPr>
          <w:rFonts w:asciiTheme="minorHAnsi" w:hAnsiTheme="minorHAnsi" w:cstheme="minorHAnsi"/>
        </w:rPr>
        <w:t>atronal, essa</w:t>
      </w:r>
      <w:r w:rsidR="009D3168">
        <w:rPr>
          <w:rFonts w:asciiTheme="minorHAnsi" w:hAnsiTheme="minorHAnsi" w:cstheme="minorHAnsi"/>
        </w:rPr>
        <w:t xml:space="preserve"> diferença </w:t>
      </w:r>
      <w:r w:rsidR="004377A5">
        <w:rPr>
          <w:rFonts w:asciiTheme="minorHAnsi" w:hAnsiTheme="minorHAnsi" w:cstheme="minorHAnsi"/>
        </w:rPr>
        <w:t>deveria ser</w:t>
      </w:r>
      <w:r w:rsidR="009D3168">
        <w:rPr>
          <w:rFonts w:asciiTheme="minorHAnsi" w:hAnsiTheme="minorHAnsi" w:cstheme="minorHAnsi"/>
        </w:rPr>
        <w:t xml:space="preserve"> alocada </w:t>
      </w:r>
      <w:r w:rsidR="000F76CD">
        <w:rPr>
          <w:rFonts w:asciiTheme="minorHAnsi" w:hAnsiTheme="minorHAnsi" w:cstheme="minorHAnsi"/>
        </w:rPr>
        <w:t>à</w:t>
      </w:r>
      <w:r w:rsidR="009D3168">
        <w:rPr>
          <w:rFonts w:asciiTheme="minorHAnsi" w:hAnsiTheme="minorHAnsi" w:cstheme="minorHAnsi"/>
        </w:rPr>
        <w:t xml:space="preserve"> Reserva do RPPS, junto com os </w:t>
      </w:r>
      <w:r w:rsidR="00B16841">
        <w:rPr>
          <w:rFonts w:asciiTheme="minorHAnsi" w:hAnsiTheme="minorHAnsi" w:cstheme="minorHAnsi"/>
        </w:rPr>
        <w:t>elevados montantes</w:t>
      </w:r>
      <w:r w:rsidR="009D3168">
        <w:rPr>
          <w:rFonts w:asciiTheme="minorHAnsi" w:hAnsiTheme="minorHAnsi" w:cstheme="minorHAnsi"/>
        </w:rPr>
        <w:t xml:space="preserve"> de Receita de Valores Mobiliários do RPPS auferidos ao longo do período. </w:t>
      </w:r>
    </w:p>
    <w:p w14:paraId="424B0D8C" w14:textId="4FCF005C" w:rsidR="00834C77" w:rsidRPr="00D20B1A" w:rsidRDefault="00834C77" w:rsidP="007518B5">
      <w:pPr>
        <w:pStyle w:val="PargrafoNormal"/>
        <w:spacing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</w:rPr>
        <w:t>Para avaliar o desempenho fiscal d</w:t>
      </w:r>
      <w:r w:rsidR="00C50E51">
        <w:rPr>
          <w:rFonts w:asciiTheme="minorHAnsi" w:hAnsiTheme="minorHAnsi" w:cstheme="minorHAnsi"/>
        </w:rPr>
        <w:t xml:space="preserve">e estados, como o do </w:t>
      </w:r>
      <w:r w:rsidRPr="00D20B1A">
        <w:rPr>
          <w:rFonts w:asciiTheme="minorHAnsi" w:hAnsiTheme="minorHAnsi" w:cstheme="minorHAnsi"/>
        </w:rPr>
        <w:t>Gov</w:t>
      </w:r>
      <w:r w:rsidR="006D476A" w:rsidRPr="00D20B1A">
        <w:rPr>
          <w:rFonts w:asciiTheme="minorHAnsi" w:hAnsiTheme="minorHAnsi" w:cstheme="minorHAnsi"/>
        </w:rPr>
        <w:t>erno do Estado de</w:t>
      </w:r>
      <w:r w:rsidR="00B7622B" w:rsidRPr="00D20B1A">
        <w:rPr>
          <w:rFonts w:asciiTheme="minorHAnsi" w:hAnsiTheme="minorHAnsi" w:cstheme="minorHAnsi"/>
        </w:rPr>
        <w:t xml:space="preserve"> </w:t>
      </w:r>
      <w:r w:rsidR="00E05C0E">
        <w:rPr>
          <w:rFonts w:asciiTheme="minorHAnsi" w:hAnsiTheme="minorHAnsi" w:cstheme="minorHAnsi"/>
        </w:rPr>
        <w:t>Amapá</w:t>
      </w:r>
      <w:r w:rsidRPr="00D20B1A">
        <w:rPr>
          <w:rFonts w:asciiTheme="minorHAnsi" w:hAnsiTheme="minorHAnsi" w:cstheme="minorHAnsi"/>
        </w:rPr>
        <w:t xml:space="preserve">, é necessário destacar, das receitas extraídas de relatórios e demonstrativos contábeis, a parcela efetivamente disponível para financiar a prestação de serviços aos cidadãos, pagar o serviço da dívida e investir. Do lado da despesa, ajustes devem ser feitos para compatibilizá-la com o tratamento dado à receita. Ao </w:t>
      </w:r>
      <w:r w:rsidR="001F604F" w:rsidRPr="00D20B1A">
        <w:rPr>
          <w:rFonts w:asciiTheme="minorHAnsi" w:hAnsiTheme="minorHAnsi" w:cstheme="minorHAnsi"/>
        </w:rPr>
        <w:t>longo deste trabalho, consideraram</w:t>
      </w:r>
      <w:r w:rsidR="009E08F9" w:rsidRPr="00D20B1A">
        <w:rPr>
          <w:rFonts w:asciiTheme="minorHAnsi" w:hAnsiTheme="minorHAnsi" w:cstheme="minorHAnsi"/>
        </w:rPr>
        <w:t xml:space="preserve">-se </w:t>
      </w:r>
      <w:r w:rsidRPr="00D20B1A">
        <w:rPr>
          <w:rFonts w:asciiTheme="minorHAnsi" w:hAnsiTheme="minorHAnsi" w:cstheme="minorHAnsi"/>
        </w:rPr>
        <w:t>a Receita Disponível e a Despesa Líquida.</w:t>
      </w:r>
    </w:p>
    <w:p w14:paraId="5453805C" w14:textId="77777777" w:rsidR="00834C77" w:rsidRPr="00D20B1A" w:rsidRDefault="00834C77" w:rsidP="007518B5">
      <w:pPr>
        <w:pStyle w:val="PargrafoNormal"/>
        <w:spacing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</w:rPr>
        <w:t xml:space="preserve">A passagem da Receita e Despesa Total para a Receita Disponível e Despesa Líquida contemplou, no que diz respeito às Receitas: </w:t>
      </w:r>
    </w:p>
    <w:p w14:paraId="227034B9" w14:textId="62FA6820" w:rsidR="00834C77" w:rsidRPr="00D20B1A" w:rsidRDefault="003C61A1" w:rsidP="007518B5">
      <w:pPr>
        <w:pStyle w:val="PargrafoItem"/>
        <w:numPr>
          <w:ilvl w:val="0"/>
          <w:numId w:val="11"/>
        </w:numPr>
        <w:spacing w:before="240"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Destaque </w:t>
      </w:r>
      <w:r w:rsidR="00C50E51">
        <w:rPr>
          <w:rFonts w:asciiTheme="minorHAnsi" w:hAnsiTheme="minorHAnsi" w:cstheme="minorHAnsi"/>
        </w:rPr>
        <w:t xml:space="preserve">das </w:t>
      </w:r>
      <w:r w:rsidR="00B7622B" w:rsidRPr="00D20B1A">
        <w:rPr>
          <w:rFonts w:asciiTheme="minorHAnsi" w:hAnsiTheme="minorHAnsi" w:cstheme="minorHAnsi"/>
        </w:rPr>
        <w:t>deduç</w:t>
      </w:r>
      <w:r w:rsidR="00C50E51">
        <w:rPr>
          <w:rFonts w:asciiTheme="minorHAnsi" w:hAnsiTheme="minorHAnsi" w:cstheme="minorHAnsi"/>
        </w:rPr>
        <w:t xml:space="preserve">ões de </w:t>
      </w:r>
      <w:r w:rsidR="00C50E51" w:rsidRPr="00D20B1A">
        <w:rPr>
          <w:rFonts w:asciiTheme="minorHAnsi" w:hAnsiTheme="minorHAnsi" w:cstheme="minorHAnsi"/>
        </w:rPr>
        <w:t>Transferências</w:t>
      </w:r>
      <w:r w:rsidR="00834C77" w:rsidRPr="00D20B1A">
        <w:rPr>
          <w:rFonts w:asciiTheme="minorHAnsi" w:hAnsiTheme="minorHAnsi" w:cstheme="minorHAnsi"/>
        </w:rPr>
        <w:t xml:space="preserve"> Constitucionais para os Municípios </w:t>
      </w:r>
      <w:r w:rsidR="00A145ED">
        <w:rPr>
          <w:rFonts w:asciiTheme="minorHAnsi" w:hAnsiTheme="minorHAnsi" w:cstheme="minorHAnsi"/>
        </w:rPr>
        <w:t xml:space="preserve">relativas </w:t>
      </w:r>
      <w:r w:rsidR="00C50E51">
        <w:rPr>
          <w:rFonts w:asciiTheme="minorHAnsi" w:hAnsiTheme="minorHAnsi" w:cstheme="minorHAnsi"/>
        </w:rPr>
        <w:t>a</w:t>
      </w:r>
      <w:r w:rsidR="006D476A" w:rsidRPr="00D20B1A">
        <w:rPr>
          <w:rFonts w:asciiTheme="minorHAnsi" w:hAnsiTheme="minorHAnsi" w:cstheme="minorHAnsi"/>
        </w:rPr>
        <w:t>: ICMS, IPVA, IPI-ex</w:t>
      </w:r>
      <w:r w:rsidR="00B7622B" w:rsidRPr="00D20B1A">
        <w:rPr>
          <w:rFonts w:asciiTheme="minorHAnsi" w:hAnsiTheme="minorHAnsi" w:cstheme="minorHAnsi"/>
        </w:rPr>
        <w:t>, CIDE;</w:t>
      </w:r>
    </w:p>
    <w:p w14:paraId="25FC1401" w14:textId="5B5F66C8" w:rsidR="001F604F" w:rsidRPr="00D20B1A" w:rsidRDefault="00A145ED" w:rsidP="00D82F99">
      <w:pPr>
        <w:pStyle w:val="ListParagraph"/>
        <w:numPr>
          <w:ilvl w:val="0"/>
          <w:numId w:val="11"/>
        </w:numPr>
        <w:rPr>
          <w:rFonts w:eastAsia="Times New Roman" w:cstheme="minorHAnsi"/>
          <w:bCs/>
          <w:lang w:eastAsia="pt-BR"/>
        </w:rPr>
      </w:pPr>
      <w:r>
        <w:rPr>
          <w:rFonts w:eastAsia="Times New Roman" w:cstheme="minorHAnsi"/>
          <w:bCs/>
          <w:lang w:eastAsia="pt-BR"/>
        </w:rPr>
        <w:t xml:space="preserve">Destaque </w:t>
      </w:r>
      <w:r w:rsidR="001F604F" w:rsidRPr="00D20B1A">
        <w:rPr>
          <w:rFonts w:eastAsia="Times New Roman" w:cstheme="minorHAnsi"/>
          <w:bCs/>
          <w:lang w:eastAsia="pt-BR"/>
        </w:rPr>
        <w:t xml:space="preserve">das deduções </w:t>
      </w:r>
      <w:r w:rsidR="001F604F" w:rsidRPr="00D20B1A">
        <w:rPr>
          <w:rFonts w:eastAsia="Times New Roman" w:cstheme="minorHAnsi"/>
          <w:lang w:eastAsia="pt-BR"/>
        </w:rPr>
        <w:t xml:space="preserve">ao </w:t>
      </w:r>
      <w:proofErr w:type="spellStart"/>
      <w:r w:rsidR="001F604F" w:rsidRPr="00D20B1A">
        <w:rPr>
          <w:rFonts w:eastAsia="Times New Roman" w:cstheme="minorHAnsi"/>
          <w:lang w:eastAsia="pt-BR"/>
        </w:rPr>
        <w:t>Fundeb</w:t>
      </w:r>
      <w:proofErr w:type="spellEnd"/>
      <w:r w:rsidR="001F604F" w:rsidRPr="00D20B1A">
        <w:rPr>
          <w:rFonts w:eastAsia="Times New Roman" w:cstheme="minorHAnsi"/>
          <w:lang w:eastAsia="pt-BR"/>
        </w:rPr>
        <w:t xml:space="preserve"> </w:t>
      </w:r>
      <w:r>
        <w:rPr>
          <w:rFonts w:eastAsia="Times New Roman" w:cstheme="minorHAnsi"/>
          <w:lang w:eastAsia="pt-BR"/>
        </w:rPr>
        <w:t>relativos a</w:t>
      </w:r>
      <w:r w:rsidR="001F604F" w:rsidRPr="00D20B1A">
        <w:rPr>
          <w:rFonts w:eastAsia="Times New Roman" w:cstheme="minorHAnsi"/>
          <w:bCs/>
          <w:lang w:eastAsia="pt-BR"/>
        </w:rPr>
        <w:t xml:space="preserve">: ICMS, IPVA, </w:t>
      </w:r>
      <w:r w:rsidR="00541C8A" w:rsidRPr="00D20B1A">
        <w:rPr>
          <w:rFonts w:eastAsia="Times New Roman" w:cstheme="minorHAnsi"/>
          <w:lang w:eastAsia="pt-BR"/>
        </w:rPr>
        <w:t xml:space="preserve">ITCD, FPE, </w:t>
      </w:r>
      <w:r w:rsidR="001F604F" w:rsidRPr="00D20B1A">
        <w:rPr>
          <w:rFonts w:eastAsia="Times New Roman" w:cstheme="minorHAnsi"/>
          <w:bCs/>
          <w:lang w:eastAsia="pt-BR"/>
        </w:rPr>
        <w:t xml:space="preserve">IPI-ex, </w:t>
      </w:r>
      <w:r w:rsidR="00541C8A" w:rsidRPr="00D20B1A">
        <w:rPr>
          <w:rFonts w:eastAsia="Times New Roman" w:cstheme="minorHAnsi"/>
          <w:bCs/>
          <w:lang w:eastAsia="pt-BR"/>
        </w:rPr>
        <w:t>ICMS Desoneração-</w:t>
      </w:r>
      <w:r w:rsidR="00CD530B" w:rsidRPr="00D20B1A">
        <w:rPr>
          <w:rFonts w:eastAsia="Times New Roman" w:cstheme="minorHAnsi"/>
          <w:bCs/>
          <w:lang w:eastAsia="pt-BR"/>
        </w:rPr>
        <w:t xml:space="preserve"> LC87/96;</w:t>
      </w:r>
    </w:p>
    <w:p w14:paraId="36551260" w14:textId="6B233A2E" w:rsidR="007262A7" w:rsidRPr="00D20B1A" w:rsidRDefault="00834C77" w:rsidP="00D82F99">
      <w:pPr>
        <w:pStyle w:val="PargrafoItem"/>
        <w:numPr>
          <w:ilvl w:val="0"/>
          <w:numId w:val="11"/>
        </w:numPr>
        <w:spacing w:before="24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</w:rPr>
        <w:t>Exclusão</w:t>
      </w:r>
      <w:r w:rsidR="00B7622B" w:rsidRPr="00D20B1A">
        <w:rPr>
          <w:rFonts w:asciiTheme="minorHAnsi" w:hAnsiTheme="minorHAnsi" w:cstheme="minorHAnsi"/>
        </w:rPr>
        <w:t xml:space="preserve">, das Receitas de </w:t>
      </w:r>
      <w:r w:rsidR="00CD579D" w:rsidRPr="00D20B1A">
        <w:rPr>
          <w:rFonts w:asciiTheme="minorHAnsi" w:hAnsiTheme="minorHAnsi" w:cstheme="minorHAnsi"/>
        </w:rPr>
        <w:t>Contribuições, da</w:t>
      </w:r>
      <w:r w:rsidRPr="00D20B1A">
        <w:rPr>
          <w:rFonts w:asciiTheme="minorHAnsi" w:hAnsiTheme="minorHAnsi" w:cstheme="minorHAnsi"/>
        </w:rPr>
        <w:t xml:space="preserve"> </w:t>
      </w:r>
      <w:r w:rsidR="00B7622B" w:rsidRPr="00D20B1A">
        <w:rPr>
          <w:rFonts w:asciiTheme="minorHAnsi" w:hAnsiTheme="minorHAnsi" w:cstheme="minorHAnsi"/>
        </w:rPr>
        <w:t>parcela referente às</w:t>
      </w:r>
      <w:r w:rsidR="006D476A" w:rsidRPr="00D20B1A">
        <w:rPr>
          <w:rFonts w:asciiTheme="minorHAnsi" w:hAnsiTheme="minorHAnsi" w:cstheme="minorHAnsi"/>
        </w:rPr>
        <w:t xml:space="preserve"> Contribuição dos Servidores ao Regime Próprio de Previdência dos Servidores – RPPS</w:t>
      </w:r>
      <w:r w:rsidR="00C50E51">
        <w:rPr>
          <w:rFonts w:asciiTheme="minorHAnsi" w:hAnsiTheme="minorHAnsi" w:cstheme="minorHAnsi"/>
        </w:rPr>
        <w:t>.</w:t>
      </w:r>
    </w:p>
    <w:p w14:paraId="78AEB33B" w14:textId="4FCFD551" w:rsidR="00834C77" w:rsidRPr="00353BA6" w:rsidRDefault="00834C77" w:rsidP="00D82F99">
      <w:pPr>
        <w:pStyle w:val="PargrafoItem"/>
        <w:numPr>
          <w:ilvl w:val="0"/>
          <w:numId w:val="0"/>
        </w:numPr>
        <w:spacing w:before="240" w:line="288" w:lineRule="auto"/>
        <w:ind w:left="360"/>
        <w:rPr>
          <w:rFonts w:asciiTheme="minorHAnsi" w:hAnsiTheme="minorHAnsi" w:cstheme="minorHAnsi"/>
        </w:rPr>
      </w:pPr>
      <w:r w:rsidRPr="00353BA6">
        <w:rPr>
          <w:rFonts w:asciiTheme="minorHAnsi" w:hAnsiTheme="minorHAnsi" w:cstheme="minorHAnsi"/>
        </w:rPr>
        <w:t>No que diz respeito às Despesas, fo</w:t>
      </w:r>
      <w:r w:rsidR="009A5466" w:rsidRPr="00353BA6">
        <w:rPr>
          <w:rFonts w:asciiTheme="minorHAnsi" w:hAnsiTheme="minorHAnsi" w:cstheme="minorHAnsi"/>
        </w:rPr>
        <w:t>ram</w:t>
      </w:r>
      <w:r w:rsidR="00C50E51" w:rsidRPr="00353BA6">
        <w:rPr>
          <w:rFonts w:asciiTheme="minorHAnsi" w:hAnsiTheme="minorHAnsi" w:cstheme="minorHAnsi"/>
        </w:rPr>
        <w:t xml:space="preserve"> </w:t>
      </w:r>
      <w:r w:rsidRPr="00353BA6">
        <w:rPr>
          <w:rFonts w:asciiTheme="minorHAnsi" w:hAnsiTheme="minorHAnsi" w:cstheme="minorHAnsi"/>
        </w:rPr>
        <w:t xml:space="preserve"> feitas a seguintes compensações:</w:t>
      </w:r>
    </w:p>
    <w:p w14:paraId="01B020CB" w14:textId="207B59A3" w:rsidR="006D476A" w:rsidRPr="00353BA6" w:rsidRDefault="006D476A" w:rsidP="00D82F99">
      <w:pPr>
        <w:pStyle w:val="PargrafoItem"/>
        <w:numPr>
          <w:ilvl w:val="0"/>
          <w:numId w:val="11"/>
        </w:numPr>
        <w:spacing w:before="240" w:line="288" w:lineRule="auto"/>
        <w:rPr>
          <w:rFonts w:asciiTheme="minorHAnsi" w:hAnsiTheme="minorHAnsi" w:cstheme="minorHAnsi"/>
        </w:rPr>
      </w:pPr>
      <w:r w:rsidRPr="00353BA6">
        <w:rPr>
          <w:rFonts w:asciiTheme="minorHAnsi" w:hAnsiTheme="minorHAnsi" w:cstheme="minorHAnsi"/>
        </w:rPr>
        <w:t>Exclusão das Receitas de Contribuição dos Servidores ao Regime Próprio de Previdê</w:t>
      </w:r>
      <w:r w:rsidR="00CD55CC" w:rsidRPr="00353BA6">
        <w:rPr>
          <w:rFonts w:asciiTheme="minorHAnsi" w:hAnsiTheme="minorHAnsi" w:cstheme="minorHAnsi"/>
        </w:rPr>
        <w:t>ncia dos Servidores – RPPS da</w:t>
      </w:r>
      <w:r w:rsidRPr="00353BA6">
        <w:rPr>
          <w:rFonts w:asciiTheme="minorHAnsi" w:hAnsiTheme="minorHAnsi" w:cstheme="minorHAnsi"/>
        </w:rPr>
        <w:t xml:space="preserve"> Despesa com Inativos</w:t>
      </w:r>
      <w:r w:rsidR="00857DAA" w:rsidRPr="00353BA6">
        <w:rPr>
          <w:rFonts w:asciiTheme="minorHAnsi" w:hAnsiTheme="minorHAnsi" w:cstheme="minorHAnsi"/>
        </w:rPr>
        <w:t xml:space="preserve"> e Pensionistas</w:t>
      </w:r>
      <w:r w:rsidR="00353BA6" w:rsidRPr="00353BA6">
        <w:rPr>
          <w:rFonts w:asciiTheme="minorHAnsi" w:hAnsiTheme="minorHAnsi" w:cstheme="minorHAnsi"/>
        </w:rPr>
        <w:t xml:space="preserve">, limitada ao montante desta despesa. </w:t>
      </w:r>
    </w:p>
    <w:p w14:paraId="11938DE2" w14:textId="66EE798A" w:rsidR="00B7622B" w:rsidRDefault="00BF58B8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 toda forma o</w:t>
      </w:r>
      <w:r w:rsidR="00CD579D" w:rsidRPr="00D20B1A">
        <w:rPr>
          <w:rFonts w:asciiTheme="minorHAnsi" w:hAnsiTheme="minorHAnsi" w:cstheme="minorHAnsi"/>
        </w:rPr>
        <w:t>ptamos por deixar explicitadas as</w:t>
      </w:r>
      <w:r w:rsidR="00B7622B" w:rsidRPr="00D20B1A">
        <w:rPr>
          <w:rFonts w:asciiTheme="minorHAnsi" w:hAnsiTheme="minorHAnsi" w:cstheme="minorHAnsi"/>
        </w:rPr>
        <w:t xml:space="preserve"> deduções de Receitas relativas às Transferências Constitucionais aos municípios e </w:t>
      </w:r>
      <w:r w:rsidR="00CD579D" w:rsidRPr="00D20B1A">
        <w:rPr>
          <w:rFonts w:asciiTheme="minorHAnsi" w:hAnsiTheme="minorHAnsi" w:cstheme="minorHAnsi"/>
        </w:rPr>
        <w:t xml:space="preserve">à contribuição para o Fundo de Manutenção e Desenvolvimento da Educação </w:t>
      </w:r>
      <w:r w:rsidR="00CD579D" w:rsidRPr="00D20B1A">
        <w:rPr>
          <w:rFonts w:asciiTheme="minorHAnsi" w:hAnsiTheme="minorHAnsi" w:cstheme="minorHAnsi"/>
        </w:rPr>
        <w:lastRenderedPageBreak/>
        <w:t xml:space="preserve">Básica e de Valorização dos Profissionais da Educação – </w:t>
      </w:r>
      <w:proofErr w:type="spellStart"/>
      <w:r w:rsidR="00CD579D" w:rsidRPr="00D20B1A">
        <w:rPr>
          <w:rFonts w:asciiTheme="minorHAnsi" w:hAnsiTheme="minorHAnsi" w:cstheme="minorHAnsi"/>
        </w:rPr>
        <w:t>Fundeb</w:t>
      </w:r>
      <w:proofErr w:type="spellEnd"/>
      <w:r w:rsidR="00CD579D" w:rsidRPr="00D20B1A">
        <w:rPr>
          <w:rFonts w:asciiTheme="minorHAnsi" w:hAnsiTheme="minorHAnsi" w:cstheme="minorHAnsi"/>
        </w:rPr>
        <w:t xml:space="preserve"> (até 2006, Fundef)</w:t>
      </w:r>
      <w:r w:rsidR="00353BA6">
        <w:rPr>
          <w:rFonts w:asciiTheme="minorHAnsi" w:hAnsiTheme="minorHAnsi" w:cstheme="minorHAnsi"/>
        </w:rPr>
        <w:t xml:space="preserve">, o que permite </w:t>
      </w:r>
      <w:r w:rsidR="00CD579D" w:rsidRPr="00D20B1A">
        <w:rPr>
          <w:rFonts w:asciiTheme="minorHAnsi" w:hAnsiTheme="minorHAnsi" w:cstheme="minorHAnsi"/>
        </w:rPr>
        <w:t xml:space="preserve">acompanhar a evolução das receitas brutas de </w:t>
      </w:r>
      <w:r w:rsidR="008D0C52">
        <w:rPr>
          <w:rFonts w:asciiTheme="minorHAnsi" w:hAnsiTheme="minorHAnsi" w:cstheme="minorHAnsi"/>
        </w:rPr>
        <w:t>I</w:t>
      </w:r>
      <w:r w:rsidR="00CD579D" w:rsidRPr="00D20B1A">
        <w:rPr>
          <w:rFonts w:asciiTheme="minorHAnsi" w:hAnsiTheme="minorHAnsi" w:cstheme="minorHAnsi"/>
        </w:rPr>
        <w:t xml:space="preserve">mpostos e de </w:t>
      </w:r>
      <w:r w:rsidR="00D93586">
        <w:rPr>
          <w:rFonts w:asciiTheme="minorHAnsi" w:hAnsiTheme="minorHAnsi" w:cstheme="minorHAnsi"/>
        </w:rPr>
        <w:t>T</w:t>
      </w:r>
      <w:r w:rsidR="00CD579D" w:rsidRPr="00D20B1A">
        <w:rPr>
          <w:rFonts w:asciiTheme="minorHAnsi" w:hAnsiTheme="minorHAnsi" w:cstheme="minorHAnsi"/>
        </w:rPr>
        <w:t xml:space="preserve">ransferências </w:t>
      </w:r>
      <w:r w:rsidR="00D93586">
        <w:rPr>
          <w:rFonts w:asciiTheme="minorHAnsi" w:hAnsiTheme="minorHAnsi" w:cstheme="minorHAnsi"/>
        </w:rPr>
        <w:t>Constitucionais</w:t>
      </w:r>
      <w:r w:rsidR="00CD579D" w:rsidRPr="00D20B1A">
        <w:rPr>
          <w:rFonts w:asciiTheme="minorHAnsi" w:hAnsiTheme="minorHAnsi" w:cstheme="minorHAnsi"/>
        </w:rPr>
        <w:t>.</w:t>
      </w:r>
    </w:p>
    <w:p w14:paraId="65B9965F" w14:textId="1BCAA24A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47C0BA50" w14:textId="4B841CCF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265200ED" w14:textId="0266F76D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432EC50C" w14:textId="5D4172FA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32E4D350" w14:textId="08D6FB9D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3A7F7A25" w14:textId="7C3F302B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1F27EB91" w14:textId="3A51A0F9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68993F21" w14:textId="047060E0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664130C3" w14:textId="5E511419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677CDE6B" w14:textId="50B03044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123872C1" w14:textId="7E94A339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2746C8CE" w14:textId="3ECB49B2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17D71313" w14:textId="22CBE19A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029A925D" w14:textId="351C8E6E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2390D1E0" w14:textId="410C9872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1B413664" w14:textId="45E810D4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72DA724C" w14:textId="7543E734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49099F77" w14:textId="19A856BA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6A13DF0E" w14:textId="298446C1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529B1F80" w14:textId="2FF75472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3E6F676A" w14:textId="77777777" w:rsidR="0060141D" w:rsidRDefault="0060141D" w:rsidP="00D82F99">
      <w:pPr>
        <w:pStyle w:val="PargrafoNormal"/>
        <w:spacing w:line="288" w:lineRule="auto"/>
        <w:rPr>
          <w:rFonts w:asciiTheme="minorHAnsi" w:hAnsiTheme="minorHAnsi" w:cstheme="minorHAnsi"/>
        </w:rPr>
      </w:pPr>
    </w:p>
    <w:p w14:paraId="31C127A0" w14:textId="6A7929F0" w:rsidR="006458D9" w:rsidRPr="00D20B1A" w:rsidRDefault="006458D9" w:rsidP="00405C06">
      <w:pPr>
        <w:pStyle w:val="Heading1"/>
        <w:pBdr>
          <w:bottom w:val="dotted" w:sz="4" w:space="1" w:color="A6A6A6" w:themeColor="background1" w:themeShade="A6"/>
        </w:pBdr>
        <w:spacing w:before="600"/>
        <w:ind w:left="374" w:hanging="363"/>
        <w:rPr>
          <w:rFonts w:cstheme="minorHAnsi"/>
        </w:rPr>
      </w:pPr>
      <w:bookmarkStart w:id="15" w:name="_Toc505510661"/>
      <w:r w:rsidRPr="00D20B1A">
        <w:rPr>
          <w:rFonts w:cstheme="minorHAnsi"/>
        </w:rPr>
        <w:lastRenderedPageBreak/>
        <w:t>APRESENTAÇÃO</w:t>
      </w:r>
      <w:bookmarkEnd w:id="15"/>
    </w:p>
    <w:p w14:paraId="14FD19C9" w14:textId="5FC2AACE" w:rsidR="006458D9" w:rsidRPr="00D20B1A" w:rsidRDefault="005F6338" w:rsidP="00405C06">
      <w:pPr>
        <w:rPr>
          <w:rFonts w:cstheme="minorHAnsi"/>
        </w:rPr>
      </w:pPr>
      <w:r w:rsidRPr="00D20B1A">
        <w:rPr>
          <w:rFonts w:cstheme="minorHAnsi"/>
        </w:rPr>
        <w:t>Entre 200</w:t>
      </w:r>
      <w:r w:rsidR="000E4FB1" w:rsidRPr="00D20B1A">
        <w:rPr>
          <w:rFonts w:cstheme="minorHAnsi"/>
        </w:rPr>
        <w:t>6</w:t>
      </w:r>
      <w:r w:rsidRPr="00D20B1A">
        <w:rPr>
          <w:rFonts w:cstheme="minorHAnsi"/>
        </w:rPr>
        <w:t xml:space="preserve"> e 201</w:t>
      </w:r>
      <w:r w:rsidR="00B00766">
        <w:rPr>
          <w:rFonts w:cstheme="minorHAnsi"/>
        </w:rPr>
        <w:t>8</w:t>
      </w:r>
      <w:r w:rsidRPr="00D20B1A">
        <w:rPr>
          <w:rFonts w:cstheme="minorHAnsi"/>
        </w:rPr>
        <w:t xml:space="preserve">, os governos dos estados brasileiros passaram por </w:t>
      </w:r>
      <w:r w:rsidR="00D07BD6">
        <w:rPr>
          <w:rFonts w:cstheme="minorHAnsi"/>
        </w:rPr>
        <w:t>quatro</w:t>
      </w:r>
      <w:r w:rsidR="0027270B" w:rsidRPr="00D20B1A">
        <w:rPr>
          <w:rFonts w:cstheme="minorHAnsi"/>
        </w:rPr>
        <w:t xml:space="preserve"> administrações</w:t>
      </w:r>
      <w:r w:rsidRPr="00D20B1A">
        <w:rPr>
          <w:rFonts w:cstheme="minorHAnsi"/>
        </w:rPr>
        <w:t xml:space="preserve">: </w:t>
      </w:r>
      <w:r w:rsidR="000E4FB1" w:rsidRPr="00D20B1A">
        <w:rPr>
          <w:rFonts w:cstheme="minorHAnsi"/>
        </w:rPr>
        <w:t xml:space="preserve">a encerrada em 2006 </w:t>
      </w:r>
      <w:r w:rsidR="004F36FB" w:rsidRPr="00D20B1A">
        <w:rPr>
          <w:rFonts w:cstheme="minorHAnsi"/>
        </w:rPr>
        <w:t>(2003</w:t>
      </w:r>
      <w:r w:rsidR="000E4FB1" w:rsidRPr="00D20B1A">
        <w:rPr>
          <w:rFonts w:cstheme="minorHAnsi"/>
        </w:rPr>
        <w:t>-2006)</w:t>
      </w:r>
      <w:r w:rsidR="006E5A45">
        <w:rPr>
          <w:rFonts w:cstheme="minorHAnsi"/>
        </w:rPr>
        <w:t xml:space="preserve"> e as de </w:t>
      </w:r>
      <w:r w:rsidRPr="00D20B1A">
        <w:rPr>
          <w:rFonts w:cstheme="minorHAnsi"/>
        </w:rPr>
        <w:t xml:space="preserve">2007 a 2010, 2011 a 2014 e </w:t>
      </w:r>
      <w:r w:rsidR="00D07BD6">
        <w:rPr>
          <w:rFonts w:cstheme="minorHAnsi"/>
        </w:rPr>
        <w:t>2015 a 2018</w:t>
      </w:r>
      <w:r w:rsidRPr="00D20B1A">
        <w:rPr>
          <w:rFonts w:cstheme="minorHAnsi"/>
        </w:rPr>
        <w:t>. Nesse mesmo período, o Brasil pass</w:t>
      </w:r>
      <w:r w:rsidR="00D07BD6">
        <w:rPr>
          <w:rFonts w:cstheme="minorHAnsi"/>
        </w:rPr>
        <w:t>ou</w:t>
      </w:r>
      <w:r w:rsidRPr="00D20B1A">
        <w:rPr>
          <w:rFonts w:cstheme="minorHAnsi"/>
        </w:rPr>
        <w:t xml:space="preserve"> por duas   crises econômicas: a que se inicia em 2008, num cenário internacional adverso e mostr</w:t>
      </w:r>
      <w:r w:rsidR="00D07BD6">
        <w:rPr>
          <w:rFonts w:cstheme="minorHAnsi"/>
        </w:rPr>
        <w:t>ou</w:t>
      </w:r>
      <w:r w:rsidRPr="00D20B1A">
        <w:rPr>
          <w:rFonts w:cstheme="minorHAnsi"/>
        </w:rPr>
        <w:t xml:space="preserve"> sua face mais cruel em 2009, com ligeira queda do PIB, de 0,1%, e a que </w:t>
      </w:r>
      <w:r w:rsidRPr="00063F51">
        <w:rPr>
          <w:rFonts w:cstheme="minorHAnsi"/>
        </w:rPr>
        <w:t xml:space="preserve">se instala </w:t>
      </w:r>
      <w:r w:rsidR="005E46A8" w:rsidRPr="00063F51">
        <w:rPr>
          <w:rFonts w:cstheme="minorHAnsi"/>
        </w:rPr>
        <w:t xml:space="preserve">em 2014 e se aprofunda nos anos seguintes, </w:t>
      </w:r>
      <w:r w:rsidRPr="00063F51">
        <w:rPr>
          <w:rFonts w:cstheme="minorHAnsi"/>
        </w:rPr>
        <w:t xml:space="preserve">impactando as contas </w:t>
      </w:r>
      <w:r w:rsidR="00B82C50" w:rsidRPr="00063F51">
        <w:rPr>
          <w:rFonts w:cstheme="minorHAnsi"/>
        </w:rPr>
        <w:t xml:space="preserve">da </w:t>
      </w:r>
      <w:r w:rsidR="006B2F5A" w:rsidRPr="00063F51">
        <w:rPr>
          <w:rFonts w:cstheme="minorHAnsi"/>
        </w:rPr>
        <w:t>U</w:t>
      </w:r>
      <w:r w:rsidR="00B82C50" w:rsidRPr="00063F51">
        <w:rPr>
          <w:rFonts w:cstheme="minorHAnsi"/>
        </w:rPr>
        <w:t>nião, dos estados e dos municípios</w:t>
      </w:r>
      <w:r w:rsidR="005E46A8" w:rsidRPr="00063F51">
        <w:rPr>
          <w:rFonts w:cstheme="minorHAnsi"/>
        </w:rPr>
        <w:t xml:space="preserve">. </w:t>
      </w:r>
      <w:r w:rsidRPr="00063F51">
        <w:rPr>
          <w:rFonts w:cstheme="minorHAnsi"/>
        </w:rPr>
        <w:t>O Estado de</w:t>
      </w:r>
      <w:r w:rsidR="000E4FB1" w:rsidRPr="00063F51">
        <w:rPr>
          <w:rFonts w:cstheme="minorHAnsi"/>
        </w:rPr>
        <w:t xml:space="preserve"> </w:t>
      </w:r>
      <w:r w:rsidR="00E05C0E" w:rsidRPr="00063F51">
        <w:rPr>
          <w:rFonts w:cstheme="minorHAnsi"/>
        </w:rPr>
        <w:t>Amapá</w:t>
      </w:r>
      <w:r w:rsidRPr="00063F51">
        <w:rPr>
          <w:rFonts w:cstheme="minorHAnsi"/>
        </w:rPr>
        <w:t xml:space="preserve">, seguindo a trajetória geral dos estados brasileiros, foi afetado, em particular nesta segunda fase. </w:t>
      </w:r>
      <w:r w:rsidR="006E5A45" w:rsidRPr="00063F51">
        <w:rPr>
          <w:rFonts w:cstheme="minorHAnsi"/>
        </w:rPr>
        <w:t xml:space="preserve"> Em 2015 e 2016, o Estado teve quedas significativas do PIB- </w:t>
      </w:r>
      <w:r w:rsidR="00B05011" w:rsidRPr="00063F51">
        <w:rPr>
          <w:rFonts w:cstheme="minorHAnsi"/>
        </w:rPr>
        <w:t>5,5% e 4,9% respectivamente</w:t>
      </w:r>
      <w:r w:rsidR="00B05011" w:rsidRPr="00063F51">
        <w:rPr>
          <w:rStyle w:val="FootnoteReference"/>
          <w:rFonts w:cstheme="minorHAnsi"/>
        </w:rPr>
        <w:footnoteReference w:id="2"/>
      </w:r>
      <w:r w:rsidR="00B05011" w:rsidRPr="00063F51">
        <w:rPr>
          <w:rFonts w:cstheme="minorHAnsi"/>
        </w:rPr>
        <w:t>, bem mais expressivas que as do PIB Brasil – 3,5% e 3,3% e da Região Norte</w:t>
      </w:r>
      <w:r w:rsidR="004D4251">
        <w:rPr>
          <w:rFonts w:cstheme="minorHAnsi"/>
        </w:rPr>
        <w:t xml:space="preserve"> </w:t>
      </w:r>
      <w:r w:rsidR="00B05011" w:rsidRPr="00063F51">
        <w:rPr>
          <w:rFonts w:cstheme="minorHAnsi"/>
        </w:rPr>
        <w:t xml:space="preserve">- redução </w:t>
      </w:r>
      <w:r w:rsidR="00A43714" w:rsidRPr="00063F51">
        <w:rPr>
          <w:rFonts w:cstheme="minorHAnsi"/>
        </w:rPr>
        <w:t>de 2</w:t>
      </w:r>
      <w:r w:rsidR="00B05011" w:rsidRPr="00063F51">
        <w:rPr>
          <w:rFonts w:cstheme="minorHAnsi"/>
        </w:rPr>
        <w:t>,6% e 4,6%.</w:t>
      </w:r>
      <w:r w:rsidR="00B05011">
        <w:rPr>
          <w:rFonts w:cstheme="minorHAnsi"/>
        </w:rPr>
        <w:t xml:space="preserve"> </w:t>
      </w:r>
    </w:p>
    <w:p w14:paraId="1C8A98A1" w14:textId="05B8AE59" w:rsidR="005F6338" w:rsidRPr="00D20B1A" w:rsidRDefault="005F6338" w:rsidP="00405C06">
      <w:pPr>
        <w:rPr>
          <w:rFonts w:cstheme="minorHAnsi"/>
        </w:rPr>
      </w:pPr>
      <w:r w:rsidRPr="00D20B1A">
        <w:rPr>
          <w:rFonts w:cstheme="minorHAnsi"/>
        </w:rPr>
        <w:t xml:space="preserve">O desempenho fiscal do Governo do Estado de </w:t>
      </w:r>
      <w:r w:rsidR="00E05C0E">
        <w:rPr>
          <w:rFonts w:cstheme="minorHAnsi"/>
        </w:rPr>
        <w:t>Amapá</w:t>
      </w:r>
      <w:r w:rsidR="000E4FB1" w:rsidRPr="00D20B1A">
        <w:rPr>
          <w:rFonts w:cstheme="minorHAnsi"/>
        </w:rPr>
        <w:t xml:space="preserve"> </w:t>
      </w:r>
      <w:r w:rsidR="00F560C7" w:rsidRPr="00D20B1A">
        <w:rPr>
          <w:rFonts w:cstheme="minorHAnsi"/>
        </w:rPr>
        <w:t>é</w:t>
      </w:r>
      <w:r w:rsidRPr="00D20B1A">
        <w:rPr>
          <w:rFonts w:cstheme="minorHAnsi"/>
        </w:rPr>
        <w:t xml:space="preserve"> </w:t>
      </w:r>
      <w:r w:rsidR="00F560C7" w:rsidRPr="00D20B1A">
        <w:rPr>
          <w:rFonts w:cstheme="minorHAnsi"/>
        </w:rPr>
        <w:t>objeto da</w:t>
      </w:r>
      <w:r w:rsidRPr="00D20B1A">
        <w:rPr>
          <w:rFonts w:cstheme="minorHAnsi"/>
        </w:rPr>
        <w:t xml:space="preserve"> Seção 2, onde se analisam a estrutura de receita</w:t>
      </w:r>
      <w:r w:rsidR="0027270B" w:rsidRPr="00D20B1A">
        <w:rPr>
          <w:rFonts w:cstheme="minorHAnsi"/>
        </w:rPr>
        <w:t>s</w:t>
      </w:r>
      <w:r w:rsidRPr="00D20B1A">
        <w:rPr>
          <w:rFonts w:cstheme="minorHAnsi"/>
        </w:rPr>
        <w:t xml:space="preserve"> e despesas e sua evolução entre 200</w:t>
      </w:r>
      <w:r w:rsidR="000E4FB1" w:rsidRPr="00D20B1A">
        <w:rPr>
          <w:rFonts w:cstheme="minorHAnsi"/>
        </w:rPr>
        <w:t>6</w:t>
      </w:r>
      <w:r w:rsidRPr="00D20B1A">
        <w:rPr>
          <w:rFonts w:cstheme="minorHAnsi"/>
        </w:rPr>
        <w:t xml:space="preserve"> e 201</w:t>
      </w:r>
      <w:r w:rsidR="00A43714">
        <w:rPr>
          <w:rFonts w:cstheme="minorHAnsi"/>
        </w:rPr>
        <w:t>8</w:t>
      </w:r>
      <w:r w:rsidRPr="00D20B1A">
        <w:rPr>
          <w:rFonts w:cstheme="minorHAnsi"/>
        </w:rPr>
        <w:t>, o financiamento dos investimentos e inversões financeiras e a composição e trajetória da dívida pública. A Seção 3 concl</w:t>
      </w:r>
      <w:r w:rsidR="004D4251">
        <w:rPr>
          <w:rFonts w:cstheme="minorHAnsi"/>
        </w:rPr>
        <w:t>ui</w:t>
      </w:r>
      <w:r w:rsidRPr="00D20B1A">
        <w:rPr>
          <w:rFonts w:cstheme="minorHAnsi"/>
        </w:rPr>
        <w:t xml:space="preserve">. </w:t>
      </w:r>
    </w:p>
    <w:p w14:paraId="35983972" w14:textId="7D53160C" w:rsidR="00834C77" w:rsidRPr="00D20B1A" w:rsidRDefault="003427DE" w:rsidP="00405C06">
      <w:pPr>
        <w:pStyle w:val="Heading1"/>
        <w:pBdr>
          <w:bottom w:val="dotted" w:sz="4" w:space="1" w:color="A6A6A6" w:themeColor="background1" w:themeShade="A6"/>
        </w:pBdr>
        <w:spacing w:before="600"/>
        <w:ind w:left="374" w:hanging="363"/>
        <w:rPr>
          <w:rFonts w:cstheme="minorHAnsi"/>
        </w:rPr>
      </w:pPr>
      <w:bookmarkStart w:id="16" w:name="_Toc505510662"/>
      <w:r w:rsidRPr="00D20B1A">
        <w:rPr>
          <w:rFonts w:cstheme="minorHAnsi"/>
        </w:rPr>
        <w:t xml:space="preserve">Estado de </w:t>
      </w:r>
      <w:r w:rsidR="00E05C0E">
        <w:rPr>
          <w:rFonts w:cstheme="minorHAnsi"/>
        </w:rPr>
        <w:t>Amapá</w:t>
      </w:r>
      <w:r w:rsidR="00953027" w:rsidRPr="00D20B1A">
        <w:rPr>
          <w:rFonts w:cstheme="minorHAnsi"/>
        </w:rPr>
        <w:t xml:space="preserve">- </w:t>
      </w:r>
      <w:r w:rsidR="00834C77" w:rsidRPr="00D20B1A">
        <w:rPr>
          <w:rFonts w:cstheme="minorHAnsi"/>
        </w:rPr>
        <w:t>Desempenho Fiscal 20</w:t>
      </w:r>
      <w:r w:rsidR="00AB7E55" w:rsidRPr="00D20B1A">
        <w:rPr>
          <w:rFonts w:cstheme="minorHAnsi"/>
        </w:rPr>
        <w:t>0</w:t>
      </w:r>
      <w:r w:rsidR="00F44C71" w:rsidRPr="00D20B1A">
        <w:rPr>
          <w:rFonts w:cstheme="minorHAnsi"/>
        </w:rPr>
        <w:t>6</w:t>
      </w:r>
      <w:r w:rsidR="00AB7E55" w:rsidRPr="00D20B1A">
        <w:rPr>
          <w:rFonts w:cstheme="minorHAnsi"/>
        </w:rPr>
        <w:t xml:space="preserve"> a 201</w:t>
      </w:r>
      <w:r w:rsidR="00F44C71" w:rsidRPr="00D20B1A">
        <w:rPr>
          <w:rFonts w:cstheme="minorHAnsi"/>
        </w:rPr>
        <w:t>7</w:t>
      </w:r>
      <w:bookmarkEnd w:id="16"/>
    </w:p>
    <w:p w14:paraId="2BE0A4DB" w14:textId="50A7D165" w:rsidR="00834C77" w:rsidRPr="00D20B1A" w:rsidRDefault="0040701C" w:rsidP="00405C06">
      <w:pPr>
        <w:pStyle w:val="Heading2"/>
        <w:numPr>
          <w:ilvl w:val="0"/>
          <w:numId w:val="0"/>
        </w:numPr>
        <w:spacing w:before="480" w:after="120"/>
        <w:rPr>
          <w:rFonts w:cstheme="minorHAnsi"/>
          <w:b w:val="0"/>
          <w:i/>
        </w:rPr>
      </w:pPr>
      <w:bookmarkStart w:id="17" w:name="_Toc505510663"/>
      <w:r w:rsidRPr="00D20B1A">
        <w:rPr>
          <w:rFonts w:cstheme="minorHAnsi"/>
          <w:b w:val="0"/>
          <w:i/>
        </w:rPr>
        <w:t>2.</w:t>
      </w:r>
      <w:r w:rsidR="000E4FB1" w:rsidRPr="00D20B1A">
        <w:rPr>
          <w:rFonts w:cstheme="minorHAnsi"/>
          <w:b w:val="0"/>
          <w:i/>
        </w:rPr>
        <w:t>1</w:t>
      </w:r>
      <w:r w:rsidR="006D1B75" w:rsidRPr="00D20B1A">
        <w:rPr>
          <w:rFonts w:cstheme="minorHAnsi"/>
          <w:b w:val="0"/>
          <w:i/>
        </w:rPr>
        <w:t xml:space="preserve"> </w:t>
      </w:r>
      <w:r w:rsidR="003427DE" w:rsidRPr="00D20B1A">
        <w:rPr>
          <w:rFonts w:cstheme="minorHAnsi"/>
          <w:b w:val="0"/>
          <w:i/>
        </w:rPr>
        <w:t>Desempenho Fiscal -</w:t>
      </w:r>
      <w:r w:rsidR="00834C77" w:rsidRPr="00D20B1A">
        <w:rPr>
          <w:rFonts w:cstheme="minorHAnsi"/>
          <w:b w:val="0"/>
          <w:i/>
        </w:rPr>
        <w:t>Informações Básica</w:t>
      </w:r>
      <w:r w:rsidR="003427DE" w:rsidRPr="00D20B1A">
        <w:rPr>
          <w:rFonts w:cstheme="minorHAnsi"/>
          <w:b w:val="0"/>
          <w:i/>
        </w:rPr>
        <w:t>s</w:t>
      </w:r>
      <w:bookmarkEnd w:id="17"/>
    </w:p>
    <w:p w14:paraId="64212240" w14:textId="539EA920" w:rsidR="00834C77" w:rsidRPr="00D20B1A" w:rsidRDefault="00834C77" w:rsidP="00405C06">
      <w:pPr>
        <w:rPr>
          <w:rFonts w:cstheme="minorHAnsi"/>
        </w:rPr>
      </w:pPr>
      <w:r w:rsidRPr="00D20B1A">
        <w:rPr>
          <w:rFonts w:cstheme="minorHAnsi"/>
        </w:rPr>
        <w:t xml:space="preserve">Esta seção apresenta um panorama geral do desempenho fiscal recente do </w:t>
      </w:r>
      <w:r w:rsidR="00D35671" w:rsidRPr="00D20B1A">
        <w:rPr>
          <w:rFonts w:cstheme="minorHAnsi"/>
        </w:rPr>
        <w:t xml:space="preserve">Governo do Estado de </w:t>
      </w:r>
      <w:r w:rsidR="00E05C0E">
        <w:rPr>
          <w:rFonts w:cstheme="minorHAnsi"/>
        </w:rPr>
        <w:t>Amapá</w:t>
      </w:r>
      <w:r w:rsidR="00D35671" w:rsidRPr="00D20B1A">
        <w:rPr>
          <w:rFonts w:cstheme="minorHAnsi"/>
        </w:rPr>
        <w:t xml:space="preserve">- </w:t>
      </w:r>
      <w:r w:rsidR="00641DA2">
        <w:rPr>
          <w:rFonts w:cstheme="minorHAnsi"/>
        </w:rPr>
        <w:t>GEAP</w:t>
      </w:r>
      <w:r w:rsidRPr="00D20B1A">
        <w:rPr>
          <w:rFonts w:cstheme="minorHAnsi"/>
        </w:rPr>
        <w:t>, destacando as principais contas de rece</w:t>
      </w:r>
      <w:r w:rsidR="00D35671" w:rsidRPr="00D20B1A">
        <w:rPr>
          <w:rFonts w:cstheme="minorHAnsi"/>
        </w:rPr>
        <w:t>ita</w:t>
      </w:r>
      <w:r w:rsidR="0027270B" w:rsidRPr="00D20B1A">
        <w:rPr>
          <w:rFonts w:cstheme="minorHAnsi"/>
        </w:rPr>
        <w:t>s</w:t>
      </w:r>
      <w:r w:rsidR="00D35671" w:rsidRPr="00D20B1A">
        <w:rPr>
          <w:rFonts w:cstheme="minorHAnsi"/>
        </w:rPr>
        <w:t xml:space="preserve"> e de despesa</w:t>
      </w:r>
      <w:r w:rsidR="0027270B" w:rsidRPr="00D20B1A">
        <w:rPr>
          <w:rFonts w:cstheme="minorHAnsi"/>
        </w:rPr>
        <w:t>s</w:t>
      </w:r>
      <w:r w:rsidR="00D35671" w:rsidRPr="00D20B1A">
        <w:rPr>
          <w:rFonts w:cstheme="minorHAnsi"/>
        </w:rPr>
        <w:t xml:space="preserve"> no período 200</w:t>
      </w:r>
      <w:r w:rsidR="0027270B" w:rsidRPr="00D20B1A">
        <w:rPr>
          <w:rFonts w:cstheme="minorHAnsi"/>
        </w:rPr>
        <w:t>6</w:t>
      </w:r>
      <w:r w:rsidR="00D35671" w:rsidRPr="00D20B1A">
        <w:rPr>
          <w:rFonts w:cstheme="minorHAnsi"/>
        </w:rPr>
        <w:t xml:space="preserve"> a 201</w:t>
      </w:r>
      <w:r w:rsidR="005242AF">
        <w:rPr>
          <w:rFonts w:cstheme="minorHAnsi"/>
        </w:rPr>
        <w:t>8</w:t>
      </w:r>
      <w:r w:rsidRPr="00D20B1A">
        <w:rPr>
          <w:rFonts w:cstheme="minorHAnsi"/>
        </w:rPr>
        <w:t>. As seções seguintes examinarão as contas em maior detalhe</w:t>
      </w:r>
      <w:r w:rsidR="00A43714">
        <w:rPr>
          <w:rFonts w:cstheme="minorHAnsi"/>
        </w:rPr>
        <w:t xml:space="preserve">. </w:t>
      </w:r>
    </w:p>
    <w:p w14:paraId="39885FB3" w14:textId="028BB4BC" w:rsidR="00AF63B2" w:rsidRPr="00D20B1A" w:rsidRDefault="00834C77" w:rsidP="00405C06">
      <w:pPr>
        <w:rPr>
          <w:rFonts w:cstheme="minorHAnsi"/>
        </w:rPr>
      </w:pPr>
      <w:r w:rsidRPr="00D20B1A">
        <w:rPr>
          <w:rFonts w:cstheme="minorHAnsi"/>
        </w:rPr>
        <w:t>A Tabela 1 apresenta informações básicas sobre o desempenho fiscal</w:t>
      </w:r>
      <w:r w:rsidR="005242AF">
        <w:rPr>
          <w:rFonts w:cstheme="minorHAnsi"/>
        </w:rPr>
        <w:t xml:space="preserve"> 2006 a </w:t>
      </w:r>
      <w:r w:rsidR="009E62E4">
        <w:rPr>
          <w:rFonts w:cstheme="minorHAnsi"/>
        </w:rPr>
        <w:t xml:space="preserve">2018 </w:t>
      </w:r>
      <w:r w:rsidR="003D45FE">
        <w:rPr>
          <w:rFonts w:cstheme="minorHAnsi"/>
        </w:rPr>
        <w:t xml:space="preserve">e </w:t>
      </w:r>
      <w:r w:rsidR="003D45FE" w:rsidRPr="00D20B1A">
        <w:rPr>
          <w:rFonts w:cstheme="minorHAnsi"/>
        </w:rPr>
        <w:t>a</w:t>
      </w:r>
      <w:r w:rsidRPr="00D20B1A">
        <w:rPr>
          <w:rFonts w:cstheme="minorHAnsi"/>
        </w:rPr>
        <w:t xml:space="preserve"> taxa de crescimento real das rubricas de receit</w:t>
      </w:r>
      <w:r w:rsidR="00FE7746" w:rsidRPr="00D20B1A">
        <w:rPr>
          <w:rFonts w:cstheme="minorHAnsi"/>
        </w:rPr>
        <w:t>a</w:t>
      </w:r>
      <w:r w:rsidR="0027270B" w:rsidRPr="00D20B1A">
        <w:rPr>
          <w:rFonts w:cstheme="minorHAnsi"/>
        </w:rPr>
        <w:t>s</w:t>
      </w:r>
      <w:r w:rsidR="00FE7746" w:rsidRPr="00D20B1A">
        <w:rPr>
          <w:rFonts w:cstheme="minorHAnsi"/>
        </w:rPr>
        <w:t xml:space="preserve"> e despesa</w:t>
      </w:r>
      <w:r w:rsidR="0027270B" w:rsidRPr="00D20B1A">
        <w:rPr>
          <w:rFonts w:cstheme="minorHAnsi"/>
        </w:rPr>
        <w:t>s</w:t>
      </w:r>
      <w:r w:rsidR="00FE7746" w:rsidRPr="00D20B1A">
        <w:rPr>
          <w:rFonts w:cstheme="minorHAnsi"/>
        </w:rPr>
        <w:t xml:space="preserve"> orçamentária</w:t>
      </w:r>
      <w:r w:rsidR="0027270B" w:rsidRPr="00D20B1A">
        <w:rPr>
          <w:rFonts w:cstheme="minorHAnsi"/>
        </w:rPr>
        <w:t>s</w:t>
      </w:r>
      <w:r w:rsidR="005242AF">
        <w:rPr>
          <w:rFonts w:cstheme="minorHAnsi"/>
        </w:rPr>
        <w:t xml:space="preserve"> no período.</w:t>
      </w:r>
      <w:r w:rsidRPr="00D20B1A">
        <w:rPr>
          <w:rFonts w:cstheme="minorHAnsi"/>
        </w:rPr>
        <w:t xml:space="preserve"> </w:t>
      </w:r>
      <w:r w:rsidR="00FE7746" w:rsidRPr="00D20B1A">
        <w:rPr>
          <w:rFonts w:cstheme="minorHAnsi"/>
        </w:rPr>
        <w:t>Observe-se que 200</w:t>
      </w:r>
      <w:r w:rsidR="0027270B" w:rsidRPr="00D20B1A">
        <w:rPr>
          <w:rFonts w:cstheme="minorHAnsi"/>
        </w:rPr>
        <w:t>6</w:t>
      </w:r>
      <w:r w:rsidR="00FE7746" w:rsidRPr="00D20B1A">
        <w:rPr>
          <w:rFonts w:cstheme="minorHAnsi"/>
        </w:rPr>
        <w:t>, 201</w:t>
      </w:r>
      <w:r w:rsidR="0027270B" w:rsidRPr="00D20B1A">
        <w:rPr>
          <w:rFonts w:cstheme="minorHAnsi"/>
        </w:rPr>
        <w:t>0</w:t>
      </w:r>
      <w:r w:rsidR="00FE7746" w:rsidRPr="00D20B1A">
        <w:rPr>
          <w:rFonts w:cstheme="minorHAnsi"/>
        </w:rPr>
        <w:t xml:space="preserve"> e 201</w:t>
      </w:r>
      <w:r w:rsidR="0027270B" w:rsidRPr="00D20B1A">
        <w:rPr>
          <w:rFonts w:cstheme="minorHAnsi"/>
        </w:rPr>
        <w:t>4</w:t>
      </w:r>
      <w:r w:rsidR="00FE7746" w:rsidRPr="00D20B1A">
        <w:rPr>
          <w:rFonts w:cstheme="minorHAnsi"/>
        </w:rPr>
        <w:t xml:space="preserve"> são anos </w:t>
      </w:r>
      <w:r w:rsidR="0027270B" w:rsidRPr="00D20B1A">
        <w:rPr>
          <w:rFonts w:cstheme="minorHAnsi"/>
        </w:rPr>
        <w:t xml:space="preserve">finais </w:t>
      </w:r>
      <w:r w:rsidR="00427BA9" w:rsidRPr="00D20B1A">
        <w:rPr>
          <w:rFonts w:cstheme="minorHAnsi"/>
        </w:rPr>
        <w:t>de administrações</w:t>
      </w:r>
      <w:r w:rsidR="00FE7746" w:rsidRPr="00D20B1A">
        <w:rPr>
          <w:rFonts w:cstheme="minorHAnsi"/>
        </w:rPr>
        <w:t xml:space="preserve"> do período analisado.</w:t>
      </w:r>
      <w:r w:rsidR="00FA656C" w:rsidRPr="00D20B1A">
        <w:rPr>
          <w:rFonts w:cstheme="minorHAnsi"/>
        </w:rPr>
        <w:t xml:space="preserve"> </w:t>
      </w:r>
    </w:p>
    <w:p w14:paraId="5FFDDC71" w14:textId="77777777" w:rsidR="007C18B4" w:rsidRPr="00D20B1A" w:rsidRDefault="007C18B4" w:rsidP="00405C06">
      <w:pPr>
        <w:pStyle w:val="Caption"/>
        <w:spacing w:before="240"/>
        <w:rPr>
          <w:rFonts w:asciiTheme="minorHAnsi" w:hAnsiTheme="minorHAnsi" w:cstheme="minorHAnsi"/>
        </w:rPr>
        <w:sectPr w:rsidR="007C18B4" w:rsidRPr="00D20B1A" w:rsidSect="00405C06">
          <w:footerReference w:type="default" r:id="rId9"/>
          <w:pgSz w:w="11906" w:h="16838"/>
          <w:pgMar w:top="1440" w:right="1080" w:bottom="1440" w:left="1080" w:header="708" w:footer="708" w:gutter="0"/>
          <w:pgNumType w:start="1"/>
          <w:cols w:space="708"/>
          <w:docGrid w:linePitch="360"/>
        </w:sectPr>
      </w:pPr>
      <w:bookmarkStart w:id="18" w:name="_Hlk505283942"/>
    </w:p>
    <w:p w14:paraId="4AD3D8C2" w14:textId="28161CB4" w:rsidR="00D35671" w:rsidRPr="00D20B1A" w:rsidRDefault="00D35671" w:rsidP="00405C06">
      <w:pPr>
        <w:pStyle w:val="Caption"/>
        <w:spacing w:before="240"/>
        <w:rPr>
          <w:rFonts w:asciiTheme="minorHAnsi" w:hAnsiTheme="minorHAnsi" w:cstheme="minorHAnsi"/>
        </w:rPr>
      </w:pPr>
      <w:bookmarkStart w:id="19" w:name="_Toc7196729"/>
      <w:r w:rsidRPr="008E14FE">
        <w:rPr>
          <w:rFonts w:asciiTheme="minorHAnsi" w:hAnsiTheme="minorHAnsi" w:cstheme="minorHAnsi"/>
        </w:rPr>
        <w:lastRenderedPageBreak/>
        <w:t xml:space="preserve">Tabela </w:t>
      </w:r>
      <w:r w:rsidRPr="008E14FE">
        <w:rPr>
          <w:rFonts w:asciiTheme="minorHAnsi" w:hAnsiTheme="minorHAnsi" w:cstheme="minorHAnsi"/>
        </w:rPr>
        <w:fldChar w:fldCharType="begin"/>
      </w:r>
      <w:r w:rsidRPr="008E14FE">
        <w:rPr>
          <w:rFonts w:asciiTheme="minorHAnsi" w:hAnsiTheme="minorHAnsi" w:cstheme="minorHAnsi"/>
        </w:rPr>
        <w:instrText xml:space="preserve"> SEQ Tabela \* ARABIC </w:instrText>
      </w:r>
      <w:r w:rsidRPr="008E14FE">
        <w:rPr>
          <w:rFonts w:asciiTheme="minorHAnsi" w:hAnsiTheme="minorHAnsi" w:cstheme="minorHAnsi"/>
        </w:rPr>
        <w:fldChar w:fldCharType="separate"/>
      </w:r>
      <w:r w:rsidR="00D224F2">
        <w:rPr>
          <w:rFonts w:asciiTheme="minorHAnsi" w:hAnsiTheme="minorHAnsi" w:cstheme="minorHAnsi"/>
          <w:noProof/>
        </w:rPr>
        <w:t>1</w:t>
      </w:r>
      <w:r w:rsidRPr="008E14FE">
        <w:rPr>
          <w:rFonts w:asciiTheme="minorHAnsi" w:hAnsiTheme="minorHAnsi" w:cstheme="minorHAnsi"/>
        </w:rPr>
        <w:fldChar w:fldCharType="end"/>
      </w:r>
      <w:r w:rsidRPr="008E14FE">
        <w:rPr>
          <w:rFonts w:asciiTheme="minorHAnsi" w:hAnsiTheme="minorHAnsi" w:cstheme="minorHAnsi"/>
        </w:rPr>
        <w:t xml:space="preserve">. Informações Básicas e Resultados Fiscais </w:t>
      </w:r>
      <w:r w:rsidR="005242AF" w:rsidRPr="008E14FE">
        <w:rPr>
          <w:rFonts w:asciiTheme="minorHAnsi" w:hAnsiTheme="minorHAnsi" w:cstheme="minorHAnsi"/>
        </w:rPr>
        <w:t>2006 a 2018</w:t>
      </w:r>
      <w:bookmarkEnd w:id="19"/>
    </w:p>
    <w:bookmarkEnd w:id="18"/>
    <w:p w14:paraId="40E98E0C" w14:textId="767FE5FD" w:rsidR="003461E7" w:rsidRDefault="0062111C" w:rsidP="003461E7">
      <w:pPr>
        <w:rPr>
          <w:rFonts w:cstheme="minorHAnsi"/>
        </w:rPr>
      </w:pPr>
      <w:r w:rsidRPr="0062111C">
        <w:rPr>
          <w:noProof/>
        </w:rPr>
        <w:drawing>
          <wp:anchor distT="0" distB="0" distL="114300" distR="114300" simplePos="0" relativeHeight="251671552" behindDoc="0" locked="0" layoutInCell="1" allowOverlap="1" wp14:anchorId="581C6278" wp14:editId="686F7CAE">
            <wp:simplePos x="0" y="0"/>
            <wp:positionH relativeFrom="column">
              <wp:posOffset>-352425</wp:posOffset>
            </wp:positionH>
            <wp:positionV relativeFrom="paragraph">
              <wp:posOffset>433070</wp:posOffset>
            </wp:positionV>
            <wp:extent cx="9648825" cy="4305300"/>
            <wp:effectExtent l="0" t="0" r="9525" b="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882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109E3A5" w14:textId="77777777" w:rsidR="007C18B4" w:rsidRDefault="007C18B4" w:rsidP="003461E7">
      <w:pPr>
        <w:rPr>
          <w:rFonts w:cstheme="minorHAnsi"/>
        </w:rPr>
      </w:pPr>
    </w:p>
    <w:p w14:paraId="1279F6BF" w14:textId="3A343CB6" w:rsidR="002B3DB6" w:rsidRPr="003461E7" w:rsidRDefault="002B3DB6" w:rsidP="003461E7">
      <w:pPr>
        <w:rPr>
          <w:rFonts w:cstheme="minorHAnsi"/>
        </w:rPr>
        <w:sectPr w:rsidR="002B3DB6" w:rsidRPr="003461E7" w:rsidSect="003D6996">
          <w:pgSz w:w="16838" w:h="11906" w:orient="landscape"/>
          <w:pgMar w:top="1080" w:right="1440" w:bottom="1080" w:left="1440" w:header="708" w:footer="708" w:gutter="0"/>
          <w:cols w:space="708"/>
          <w:docGrid w:linePitch="360"/>
        </w:sectPr>
      </w:pPr>
    </w:p>
    <w:p w14:paraId="7CD319B1" w14:textId="774390A2" w:rsidR="00C10746" w:rsidRDefault="001976BB" w:rsidP="00405C06">
      <w:pPr>
        <w:rPr>
          <w:rFonts w:cstheme="minorHAnsi"/>
        </w:rPr>
      </w:pPr>
      <w:r w:rsidRPr="00D20B1A">
        <w:rPr>
          <w:rFonts w:cstheme="minorHAnsi"/>
        </w:rPr>
        <w:lastRenderedPageBreak/>
        <w:t>Observando as</w:t>
      </w:r>
      <w:r w:rsidR="00FE7746" w:rsidRPr="00D20B1A">
        <w:rPr>
          <w:rFonts w:cstheme="minorHAnsi"/>
        </w:rPr>
        <w:t xml:space="preserve"> trajetória</w:t>
      </w:r>
      <w:r w:rsidRPr="00D20B1A">
        <w:rPr>
          <w:rFonts w:cstheme="minorHAnsi"/>
        </w:rPr>
        <w:t>s</w:t>
      </w:r>
      <w:r w:rsidR="00FE7746" w:rsidRPr="00D20B1A">
        <w:rPr>
          <w:rFonts w:cstheme="minorHAnsi"/>
        </w:rPr>
        <w:t xml:space="preserve"> da Receita Total Disponível</w:t>
      </w:r>
      <w:r w:rsidRPr="00D20B1A">
        <w:rPr>
          <w:rFonts w:cstheme="minorHAnsi"/>
        </w:rPr>
        <w:t xml:space="preserve"> e da Despesa Total Líquida,</w:t>
      </w:r>
      <w:r w:rsidR="00FE7746" w:rsidRPr="00D20B1A">
        <w:rPr>
          <w:rFonts w:cstheme="minorHAnsi"/>
        </w:rPr>
        <w:t xml:space="preserve"> na Tabela e no </w:t>
      </w:r>
      <w:r w:rsidRPr="00D20B1A">
        <w:rPr>
          <w:rFonts w:cstheme="minorHAnsi"/>
        </w:rPr>
        <w:t xml:space="preserve">Gráfico 1, distinguem-se </w:t>
      </w:r>
      <w:r w:rsidR="003810FD">
        <w:rPr>
          <w:rFonts w:cstheme="minorHAnsi"/>
        </w:rPr>
        <w:t xml:space="preserve">dois períodos: </w:t>
      </w:r>
      <w:r w:rsidR="004D4251">
        <w:rPr>
          <w:rFonts w:cstheme="minorHAnsi"/>
        </w:rPr>
        <w:t xml:space="preserve">enquanto </w:t>
      </w:r>
      <w:r w:rsidR="003810FD">
        <w:rPr>
          <w:rFonts w:cstheme="minorHAnsi"/>
        </w:rPr>
        <w:t>até 2012, receitas e despesas se expandem, a partir de 2013</w:t>
      </w:r>
      <w:r w:rsidR="00931EDC">
        <w:rPr>
          <w:rFonts w:cstheme="minorHAnsi"/>
        </w:rPr>
        <w:t xml:space="preserve">, </w:t>
      </w:r>
      <w:r w:rsidR="003810FD">
        <w:rPr>
          <w:rFonts w:cstheme="minorHAnsi"/>
        </w:rPr>
        <w:t>com trajetórias</w:t>
      </w:r>
      <w:r w:rsidR="008E79B9">
        <w:rPr>
          <w:rFonts w:cstheme="minorHAnsi"/>
        </w:rPr>
        <w:t xml:space="preserve"> e </w:t>
      </w:r>
      <w:r w:rsidR="00CB07E9">
        <w:rPr>
          <w:rFonts w:cstheme="minorHAnsi"/>
        </w:rPr>
        <w:t>ritmos diferenciados</w:t>
      </w:r>
      <w:r w:rsidR="003810FD">
        <w:rPr>
          <w:rFonts w:cstheme="minorHAnsi"/>
        </w:rPr>
        <w:t xml:space="preserve">, a tendência é </w:t>
      </w:r>
      <w:r w:rsidR="008E79B9">
        <w:rPr>
          <w:rFonts w:cstheme="minorHAnsi"/>
        </w:rPr>
        <w:t>de redução</w:t>
      </w:r>
      <w:r w:rsidR="003810FD">
        <w:rPr>
          <w:rFonts w:cstheme="minorHAnsi"/>
        </w:rPr>
        <w:t xml:space="preserve">. </w:t>
      </w:r>
    </w:p>
    <w:p w14:paraId="2DC1E48C" w14:textId="5FAAD8AC" w:rsidR="0042485E" w:rsidRDefault="00DD0F9E" w:rsidP="00405C06">
      <w:pPr>
        <w:rPr>
          <w:rFonts w:cstheme="minorHAnsi"/>
        </w:rPr>
      </w:pPr>
      <w:r>
        <w:rPr>
          <w:rFonts w:cstheme="minorHAnsi"/>
        </w:rPr>
        <w:t xml:space="preserve">Na composição da Receita, destacam-se </w:t>
      </w:r>
      <w:bookmarkStart w:id="20" w:name="_Hlk7030717"/>
      <w:r>
        <w:rPr>
          <w:rFonts w:cstheme="minorHAnsi"/>
        </w:rPr>
        <w:t xml:space="preserve">as </w:t>
      </w:r>
      <w:r w:rsidR="00300908">
        <w:rPr>
          <w:rFonts w:cstheme="minorHAnsi"/>
        </w:rPr>
        <w:t>T</w:t>
      </w:r>
      <w:r>
        <w:rPr>
          <w:rFonts w:cstheme="minorHAnsi"/>
        </w:rPr>
        <w:t xml:space="preserve">ransferências </w:t>
      </w:r>
      <w:r w:rsidR="00300908">
        <w:rPr>
          <w:rFonts w:cstheme="minorHAnsi"/>
        </w:rPr>
        <w:t>Intergovernamentais</w:t>
      </w:r>
      <w:r>
        <w:rPr>
          <w:rFonts w:cstheme="minorHAnsi"/>
        </w:rPr>
        <w:t xml:space="preserve">, que alcançam em média 6,3 vezes a </w:t>
      </w:r>
      <w:r w:rsidR="00300908">
        <w:rPr>
          <w:rFonts w:cstheme="minorHAnsi"/>
        </w:rPr>
        <w:t>R</w:t>
      </w:r>
      <w:r>
        <w:rPr>
          <w:rFonts w:cstheme="minorHAnsi"/>
        </w:rPr>
        <w:t xml:space="preserve">eceita </w:t>
      </w:r>
      <w:r w:rsidR="00300908">
        <w:rPr>
          <w:rFonts w:cstheme="minorHAnsi"/>
        </w:rPr>
        <w:t>T</w:t>
      </w:r>
      <w:r>
        <w:rPr>
          <w:rFonts w:cstheme="minorHAnsi"/>
        </w:rPr>
        <w:t>ributária.</w:t>
      </w:r>
      <w:r w:rsidR="00300908">
        <w:rPr>
          <w:rFonts w:cstheme="minorHAnsi"/>
        </w:rPr>
        <w:t xml:space="preserve"> </w:t>
      </w:r>
      <w:r w:rsidR="00300908" w:rsidRPr="00B81ABA">
        <w:rPr>
          <w:rFonts w:cstheme="minorHAnsi"/>
        </w:rPr>
        <w:t xml:space="preserve">Esta, </w:t>
      </w:r>
      <w:bookmarkEnd w:id="20"/>
      <w:r w:rsidR="0042485E" w:rsidRPr="00B81ABA">
        <w:rPr>
          <w:rFonts w:cstheme="minorHAnsi"/>
        </w:rPr>
        <w:t xml:space="preserve"> que alcançou novo patamar em 2012, foi fortemente impactada pela crise em 2015</w:t>
      </w:r>
      <w:r w:rsidR="00BF0F52" w:rsidRPr="00B81ABA">
        <w:rPr>
          <w:rFonts w:cstheme="minorHAnsi"/>
        </w:rPr>
        <w:t>, não conseguindo se recuperar até 2018, diferentemente das Transferências Intergovernamentais que se mantêm razoavelmente estáveis</w:t>
      </w:r>
      <w:r w:rsidR="00BF0F52">
        <w:rPr>
          <w:rFonts w:cstheme="minorHAnsi"/>
        </w:rPr>
        <w:t xml:space="preserve"> entre 2013 e 2018</w:t>
      </w:r>
      <w:r w:rsidR="003A7F38">
        <w:rPr>
          <w:rFonts w:cstheme="minorHAnsi"/>
        </w:rPr>
        <w:t>, embora, em 2016 e 2017, devido a receitas extraordinárias da Lei nº 13254, de 13 de Janeiro de 2016</w:t>
      </w:r>
      <w:r w:rsidR="003A7F38">
        <w:rPr>
          <w:rStyle w:val="FootnoteReference"/>
          <w:rFonts w:cstheme="minorHAnsi"/>
        </w:rPr>
        <w:footnoteReference w:id="3"/>
      </w:r>
      <w:r w:rsidR="003A7F38">
        <w:rPr>
          <w:rFonts w:cstheme="minorHAnsi"/>
        </w:rPr>
        <w:t xml:space="preserve"> (Repatriação), que </w:t>
      </w:r>
      <w:r w:rsidR="00300908">
        <w:rPr>
          <w:rFonts w:cstheme="minorHAnsi"/>
        </w:rPr>
        <w:t>se adicionaram à T</w:t>
      </w:r>
      <w:r w:rsidR="003A7F38">
        <w:rPr>
          <w:rFonts w:cstheme="minorHAnsi"/>
        </w:rPr>
        <w:t xml:space="preserve">ransferência do </w:t>
      </w:r>
      <w:r w:rsidR="00300908">
        <w:rPr>
          <w:rFonts w:cstheme="minorHAnsi"/>
        </w:rPr>
        <w:t xml:space="preserve">Fundo de Participação dos estados - </w:t>
      </w:r>
      <w:r w:rsidR="003A7F38">
        <w:rPr>
          <w:rFonts w:cstheme="minorHAnsi"/>
        </w:rPr>
        <w:t xml:space="preserve">FPE em 2016 e 2017. </w:t>
      </w:r>
    </w:p>
    <w:p w14:paraId="16905502" w14:textId="709929E7" w:rsidR="009618E5" w:rsidRDefault="009618E5" w:rsidP="00405C06">
      <w:pPr>
        <w:rPr>
          <w:rFonts w:cstheme="minorHAnsi"/>
        </w:rPr>
      </w:pPr>
      <w:r w:rsidRPr="009618E5">
        <w:rPr>
          <w:rFonts w:cstheme="minorHAnsi"/>
        </w:rPr>
        <w:t xml:space="preserve">As Outras Receitas Correntes compõem-se basicamente de Receitas de Valores Mobiliários do Regime Próprio de Previdência do Servidores – RPPS </w:t>
      </w:r>
      <w:r w:rsidR="00EE7B41">
        <w:rPr>
          <w:rFonts w:cstheme="minorHAnsi"/>
        </w:rPr>
        <w:t>(</w:t>
      </w:r>
      <w:r w:rsidRPr="009618E5">
        <w:rPr>
          <w:rFonts w:cstheme="minorHAnsi"/>
        </w:rPr>
        <w:t>v</w:t>
      </w:r>
      <w:r w:rsidR="003D45FE">
        <w:rPr>
          <w:rFonts w:cstheme="minorHAnsi"/>
        </w:rPr>
        <w:t>e</w:t>
      </w:r>
      <w:r w:rsidRPr="009618E5">
        <w:rPr>
          <w:rFonts w:cstheme="minorHAnsi"/>
        </w:rPr>
        <w:t>ja-se o último bloco da Tabela 1), que chegam a 92% do total em 2018 e oscilam fortemente</w:t>
      </w:r>
      <w:r w:rsidR="00EE7B41">
        <w:rPr>
          <w:rFonts w:cstheme="minorHAnsi"/>
        </w:rPr>
        <w:t>. E</w:t>
      </w:r>
      <w:r w:rsidRPr="009618E5">
        <w:rPr>
          <w:rFonts w:cstheme="minorHAnsi"/>
        </w:rPr>
        <w:t xml:space="preserve">m 2013, </w:t>
      </w:r>
      <w:r w:rsidR="00EE7B41">
        <w:rPr>
          <w:rFonts w:cstheme="minorHAnsi"/>
        </w:rPr>
        <w:t xml:space="preserve">por exemplo, </w:t>
      </w:r>
      <w:r w:rsidRPr="009618E5">
        <w:rPr>
          <w:rFonts w:cstheme="minorHAnsi"/>
        </w:rPr>
        <w:t xml:space="preserve">caem a menos da metade do ano anterior, para em seguida quase triplicar.   Vale observar que esta Receita deve ser destinada à Reserva do RPPS, ou seja, não está disponível para os gastos ordinários do Tesouro </w:t>
      </w:r>
      <w:r w:rsidR="00EE7B41">
        <w:rPr>
          <w:rFonts w:cstheme="minorHAnsi"/>
        </w:rPr>
        <w:t>E</w:t>
      </w:r>
      <w:r w:rsidRPr="009618E5">
        <w:rPr>
          <w:rFonts w:cstheme="minorHAnsi"/>
        </w:rPr>
        <w:t>stadual. Ainda m</w:t>
      </w:r>
      <w:r w:rsidR="00490DC0">
        <w:rPr>
          <w:rFonts w:cstheme="minorHAnsi"/>
        </w:rPr>
        <w:t>a</w:t>
      </w:r>
      <w:r w:rsidRPr="009618E5">
        <w:rPr>
          <w:rFonts w:cstheme="minorHAnsi"/>
        </w:rPr>
        <w:t xml:space="preserve">is </w:t>
      </w:r>
      <w:r w:rsidR="00EE7B41">
        <w:rPr>
          <w:rFonts w:cstheme="minorHAnsi"/>
        </w:rPr>
        <w:t xml:space="preserve">considerando </w:t>
      </w:r>
      <w:r w:rsidRPr="009618E5">
        <w:rPr>
          <w:rFonts w:cstheme="minorHAnsi"/>
        </w:rPr>
        <w:t xml:space="preserve">que a Receita de Contribuições Previdenciárias dos </w:t>
      </w:r>
      <w:r w:rsidR="00EE7B41">
        <w:rPr>
          <w:rFonts w:cstheme="minorHAnsi"/>
        </w:rPr>
        <w:t>S</w:t>
      </w:r>
      <w:r w:rsidRPr="009618E5">
        <w:rPr>
          <w:rFonts w:cstheme="minorHAnsi"/>
        </w:rPr>
        <w:t>ervidores e a de Contribuição Patronal suplantam o gasto com Inativos e Pensionistas</w:t>
      </w:r>
      <w:r w:rsidR="002674F8">
        <w:rPr>
          <w:rFonts w:cstheme="minorHAnsi"/>
        </w:rPr>
        <w:t>, como antes mencionado</w:t>
      </w:r>
      <w:r w:rsidRPr="009618E5">
        <w:rPr>
          <w:rFonts w:cstheme="minorHAnsi"/>
        </w:rPr>
        <w:t xml:space="preserve">.   </w:t>
      </w:r>
    </w:p>
    <w:p w14:paraId="13353A17" w14:textId="7BA6FB2C" w:rsidR="00490DC0" w:rsidRDefault="00490DC0" w:rsidP="00405C06">
      <w:pPr>
        <w:rPr>
          <w:rFonts w:cstheme="minorHAnsi"/>
        </w:rPr>
      </w:pPr>
      <w:r>
        <w:rPr>
          <w:rFonts w:cstheme="minorHAnsi"/>
        </w:rPr>
        <w:t xml:space="preserve">As Receitas de Operações de Crédito, que respondem pela quase totalidade da Receita de Capital, têm forte incremento </w:t>
      </w:r>
      <w:r w:rsidR="00835D0D">
        <w:rPr>
          <w:rFonts w:cstheme="minorHAnsi"/>
        </w:rPr>
        <w:t xml:space="preserve">entre </w:t>
      </w:r>
      <w:r>
        <w:rPr>
          <w:rFonts w:cstheme="minorHAnsi"/>
        </w:rPr>
        <w:t xml:space="preserve">2012 </w:t>
      </w:r>
      <w:r w:rsidR="00835D0D">
        <w:rPr>
          <w:rFonts w:cstheme="minorHAnsi"/>
        </w:rPr>
        <w:t>e</w:t>
      </w:r>
      <w:r>
        <w:rPr>
          <w:rFonts w:cstheme="minorHAnsi"/>
        </w:rPr>
        <w:t xml:space="preserve"> 2015, conforme será adiante detalhado, para </w:t>
      </w:r>
      <w:r w:rsidR="00B003EE">
        <w:rPr>
          <w:rFonts w:cstheme="minorHAnsi"/>
        </w:rPr>
        <w:t>caíram a</w:t>
      </w:r>
      <w:r>
        <w:rPr>
          <w:rFonts w:cstheme="minorHAnsi"/>
        </w:rPr>
        <w:t xml:space="preserve"> zero em 2018. </w:t>
      </w:r>
    </w:p>
    <w:p w14:paraId="14D64C5C" w14:textId="1954D8B1" w:rsidR="003679F5" w:rsidRDefault="000122EC" w:rsidP="00405C06">
      <w:pPr>
        <w:rPr>
          <w:rFonts w:cstheme="minorHAnsi"/>
        </w:rPr>
      </w:pPr>
      <w:r w:rsidRPr="00D20B1A">
        <w:rPr>
          <w:rFonts w:cstheme="minorHAnsi"/>
        </w:rPr>
        <w:t xml:space="preserve">Do lado das despesas, </w:t>
      </w:r>
      <w:r w:rsidR="003679F5">
        <w:rPr>
          <w:rFonts w:cstheme="minorHAnsi"/>
        </w:rPr>
        <w:t xml:space="preserve">os valores correntes, </w:t>
      </w:r>
      <w:r w:rsidR="0024461A">
        <w:rPr>
          <w:rFonts w:cstheme="minorHAnsi"/>
        </w:rPr>
        <w:t>apesar da trajetória de crescimento</w:t>
      </w:r>
      <w:r w:rsidR="003679F5">
        <w:rPr>
          <w:rFonts w:cstheme="minorHAnsi"/>
        </w:rPr>
        <w:t xml:space="preserve">, são mais estáveis e se reduzem entre 2015 e 2017, ajustando-se, de certa forma, à queda de arrecadação e permitindo </w:t>
      </w:r>
      <w:r w:rsidR="00241E33">
        <w:rPr>
          <w:rFonts w:cstheme="minorHAnsi"/>
        </w:rPr>
        <w:t xml:space="preserve">manter </w:t>
      </w:r>
      <w:r w:rsidR="00D2522E">
        <w:rPr>
          <w:rFonts w:cstheme="minorHAnsi"/>
        </w:rPr>
        <w:t>aportes de</w:t>
      </w:r>
      <w:r w:rsidR="00241E33">
        <w:rPr>
          <w:rFonts w:cstheme="minorHAnsi"/>
        </w:rPr>
        <w:t xml:space="preserve"> </w:t>
      </w:r>
      <w:r w:rsidR="003679F5">
        <w:rPr>
          <w:rFonts w:cstheme="minorHAnsi"/>
        </w:rPr>
        <w:t xml:space="preserve">recursos do Tesouro para </w:t>
      </w:r>
      <w:r w:rsidR="008C14FB">
        <w:rPr>
          <w:rFonts w:cstheme="minorHAnsi"/>
        </w:rPr>
        <w:t>Investimentos, ainda</w:t>
      </w:r>
      <w:r w:rsidR="00B003EE" w:rsidRPr="00B003EE">
        <w:rPr>
          <w:rFonts w:cstheme="minorHAnsi"/>
        </w:rPr>
        <w:t xml:space="preserve"> que reduzidos</w:t>
      </w:r>
      <w:r w:rsidR="00B003EE">
        <w:rPr>
          <w:rFonts w:cstheme="minorHAnsi"/>
        </w:rPr>
        <w:t>.</w:t>
      </w:r>
    </w:p>
    <w:p w14:paraId="2FFB388E" w14:textId="5AD5C989" w:rsidR="00F44A89" w:rsidRPr="00D20B1A" w:rsidRDefault="000468E1" w:rsidP="00405C06">
      <w:pPr>
        <w:rPr>
          <w:rFonts w:cstheme="minorHAnsi"/>
        </w:rPr>
      </w:pPr>
      <w:r>
        <w:rPr>
          <w:rFonts w:cstheme="minorHAnsi"/>
        </w:rPr>
        <w:t xml:space="preserve">As Despesas de Capital, concentradas em Investimentos até 2010, incluem, em 2012 a 2014 expressivos montantes de Inversões Financeiras em </w:t>
      </w:r>
      <w:r w:rsidR="00241E33">
        <w:rPr>
          <w:rFonts w:cstheme="minorHAnsi"/>
        </w:rPr>
        <w:t>aumento de capital de empresas controladas</w:t>
      </w:r>
      <w:r>
        <w:rPr>
          <w:rFonts w:cstheme="minorHAnsi"/>
        </w:rPr>
        <w:t>, sobretudo relacionado à federalização da Companhia de Eletricidade do Amapá – CEA</w:t>
      </w:r>
      <w:r>
        <w:rPr>
          <w:rStyle w:val="FootnoteReference"/>
          <w:rFonts w:cstheme="minorHAnsi"/>
        </w:rPr>
        <w:footnoteReference w:id="4"/>
      </w:r>
      <w:r>
        <w:rPr>
          <w:rFonts w:cstheme="minorHAnsi"/>
        </w:rPr>
        <w:t>. Além disso, em 2013, há despesa extraordinári</w:t>
      </w:r>
      <w:r w:rsidR="00241E33">
        <w:rPr>
          <w:rFonts w:cstheme="minorHAnsi"/>
        </w:rPr>
        <w:t>a</w:t>
      </w:r>
      <w:r>
        <w:rPr>
          <w:rFonts w:cstheme="minorHAnsi"/>
        </w:rPr>
        <w:t xml:space="preserve"> da amortização de dívida, possivelmente relacionada a reestruturação de empréstimos</w:t>
      </w:r>
      <w:r w:rsidR="00291283">
        <w:rPr>
          <w:rFonts w:cstheme="minorHAnsi"/>
        </w:rPr>
        <w:t xml:space="preserve"> do BNDES</w:t>
      </w:r>
      <w:r>
        <w:rPr>
          <w:rFonts w:cstheme="minorHAnsi"/>
        </w:rPr>
        <w:t xml:space="preserve">. </w:t>
      </w:r>
    </w:p>
    <w:p w14:paraId="204A9A7C" w14:textId="30E6A641" w:rsidR="00095BDA" w:rsidRDefault="00837964" w:rsidP="00405C06">
      <w:pPr>
        <w:rPr>
          <w:rFonts w:cstheme="minorHAnsi"/>
        </w:rPr>
      </w:pPr>
      <w:r>
        <w:rPr>
          <w:rFonts w:cstheme="minorHAnsi"/>
        </w:rPr>
        <w:t xml:space="preserve">No que diz respeito aos resultados fiscais, </w:t>
      </w:r>
      <w:r w:rsidR="00291283">
        <w:rPr>
          <w:rFonts w:cstheme="minorHAnsi"/>
        </w:rPr>
        <w:t>observe-se que o</w:t>
      </w:r>
      <w:r w:rsidR="009D57F5">
        <w:rPr>
          <w:rFonts w:cstheme="minorHAnsi"/>
        </w:rPr>
        <w:t xml:space="preserve"> </w:t>
      </w:r>
      <w:r w:rsidR="00291283">
        <w:rPr>
          <w:rFonts w:cstheme="minorHAnsi"/>
        </w:rPr>
        <w:t>R</w:t>
      </w:r>
      <w:r w:rsidR="009D57F5">
        <w:rPr>
          <w:rFonts w:cstheme="minorHAnsi"/>
        </w:rPr>
        <w:t xml:space="preserve">esultado </w:t>
      </w:r>
      <w:r w:rsidR="00291283">
        <w:rPr>
          <w:rFonts w:cstheme="minorHAnsi"/>
        </w:rPr>
        <w:t>G</w:t>
      </w:r>
      <w:r w:rsidR="009D57F5">
        <w:rPr>
          <w:rFonts w:cstheme="minorHAnsi"/>
        </w:rPr>
        <w:t>lobal- total das receitas menos total da</w:t>
      </w:r>
      <w:r w:rsidR="00930E32">
        <w:rPr>
          <w:rFonts w:cstheme="minorHAnsi"/>
        </w:rPr>
        <w:t>s</w:t>
      </w:r>
      <w:r w:rsidR="009D57F5">
        <w:rPr>
          <w:rFonts w:cstheme="minorHAnsi"/>
        </w:rPr>
        <w:t xml:space="preserve"> despesa</w:t>
      </w:r>
      <w:r w:rsidR="00930E32">
        <w:rPr>
          <w:rFonts w:cstheme="minorHAnsi"/>
        </w:rPr>
        <w:t>s</w:t>
      </w:r>
      <w:r w:rsidR="009D57F5">
        <w:rPr>
          <w:rFonts w:cstheme="minorHAnsi"/>
        </w:rPr>
        <w:t xml:space="preserve"> está fortemente apoiado na Receita de Valores </w:t>
      </w:r>
      <w:r w:rsidR="00930E32">
        <w:rPr>
          <w:rFonts w:cstheme="minorHAnsi"/>
        </w:rPr>
        <w:t>M</w:t>
      </w:r>
      <w:r w:rsidR="009D57F5">
        <w:rPr>
          <w:rFonts w:cstheme="minorHAnsi"/>
        </w:rPr>
        <w:t xml:space="preserve">obiliários do RPPS. Caso se expurgue este valor, uma vez que deve ser destinado </w:t>
      </w:r>
      <w:r w:rsidR="00291283">
        <w:rPr>
          <w:rFonts w:cstheme="minorHAnsi"/>
        </w:rPr>
        <w:t xml:space="preserve">basicamente </w:t>
      </w:r>
      <w:r w:rsidR="009D57F5">
        <w:rPr>
          <w:rFonts w:cstheme="minorHAnsi"/>
        </w:rPr>
        <w:t xml:space="preserve">à Reserva do RPPS, o Resultado se torna negativo em 10 dos 13 exercícios analisados. Também o Resultado Corrente encolhe, porém permanece positivo em todos os exercícios. </w:t>
      </w:r>
    </w:p>
    <w:p w14:paraId="6194A73E" w14:textId="749EE0B4" w:rsidR="009D57F5" w:rsidRDefault="000475E6" w:rsidP="00405C06">
      <w:pPr>
        <w:rPr>
          <w:rFonts w:cstheme="minorHAnsi"/>
        </w:rPr>
      </w:pPr>
      <w:r>
        <w:rPr>
          <w:rFonts w:cstheme="minorHAnsi"/>
        </w:rPr>
        <w:lastRenderedPageBreak/>
        <w:t xml:space="preserve">Ao longo do período analisado, a capacidade de investimentos com recursos próprios se reduz, o que por vezes fica ofuscado pelo ingresso de receitas extraordinárias, como as relativas à </w:t>
      </w:r>
      <w:r w:rsidR="00D2522E">
        <w:rPr>
          <w:rFonts w:cstheme="minorHAnsi"/>
        </w:rPr>
        <w:t xml:space="preserve">repatriação, </w:t>
      </w:r>
      <w:r w:rsidR="00095BDA">
        <w:rPr>
          <w:rFonts w:cstheme="minorHAnsi"/>
        </w:rPr>
        <w:t>p</w:t>
      </w:r>
      <w:r>
        <w:rPr>
          <w:rFonts w:cstheme="minorHAnsi"/>
        </w:rPr>
        <w:t xml:space="preserve">rincipalmente em 2016. </w:t>
      </w:r>
    </w:p>
    <w:p w14:paraId="78455EAC" w14:textId="7537307F" w:rsidR="00EC077B" w:rsidRDefault="00DF5073" w:rsidP="00405C06">
      <w:pPr>
        <w:rPr>
          <w:rFonts w:cstheme="minorHAnsi"/>
        </w:rPr>
      </w:pPr>
      <w:r w:rsidRPr="00862E8D">
        <w:rPr>
          <w:rFonts w:cstheme="minorHAnsi"/>
        </w:rPr>
        <w:t xml:space="preserve">Os Gráficos 1 e </w:t>
      </w:r>
      <w:r w:rsidR="004208FE" w:rsidRPr="00862E8D">
        <w:rPr>
          <w:rFonts w:cstheme="minorHAnsi"/>
        </w:rPr>
        <w:t>2 evidenciam</w:t>
      </w:r>
      <w:r w:rsidR="001F113C" w:rsidRPr="00862E8D">
        <w:rPr>
          <w:rFonts w:cstheme="minorHAnsi"/>
        </w:rPr>
        <w:t xml:space="preserve"> o processo de </w:t>
      </w:r>
      <w:r w:rsidR="00D05E2D" w:rsidRPr="00862E8D">
        <w:rPr>
          <w:rFonts w:cstheme="minorHAnsi"/>
        </w:rPr>
        <w:t xml:space="preserve">piora </w:t>
      </w:r>
      <w:r w:rsidR="001F113C" w:rsidRPr="00862E8D">
        <w:rPr>
          <w:rFonts w:cstheme="minorHAnsi"/>
        </w:rPr>
        <w:t xml:space="preserve">da situação fiscal: </w:t>
      </w:r>
      <w:r w:rsidR="00F912CD">
        <w:rPr>
          <w:rFonts w:cstheme="minorHAnsi"/>
        </w:rPr>
        <w:t>n</w:t>
      </w:r>
      <w:r w:rsidR="00580323" w:rsidRPr="00862E8D">
        <w:rPr>
          <w:rFonts w:cstheme="minorHAnsi"/>
        </w:rPr>
        <w:t xml:space="preserve">o Gráfico 2, os valores da Receita Corrente estão ajustados pela retirada da Receita de Valores Mobiliários do RPPS, de modo </w:t>
      </w:r>
      <w:r w:rsidR="00F912CD">
        <w:rPr>
          <w:rFonts w:cstheme="minorHAnsi"/>
        </w:rPr>
        <w:t xml:space="preserve">destacar </w:t>
      </w:r>
      <w:r w:rsidR="00580323" w:rsidRPr="00862E8D">
        <w:rPr>
          <w:rFonts w:cstheme="minorHAnsi"/>
        </w:rPr>
        <w:t xml:space="preserve">o estreitamento da poupança no período recente. Assim, </w:t>
      </w:r>
      <w:r w:rsidRPr="00862E8D">
        <w:rPr>
          <w:rFonts w:cstheme="minorHAnsi"/>
        </w:rPr>
        <w:t xml:space="preserve">as </w:t>
      </w:r>
      <w:r w:rsidR="00F912CD">
        <w:rPr>
          <w:rFonts w:cstheme="minorHAnsi"/>
        </w:rPr>
        <w:t>D</w:t>
      </w:r>
      <w:r w:rsidR="001F113C" w:rsidRPr="00862E8D">
        <w:rPr>
          <w:rFonts w:cstheme="minorHAnsi"/>
        </w:rPr>
        <w:t>espesa</w:t>
      </w:r>
      <w:r w:rsidRPr="00862E8D">
        <w:rPr>
          <w:rFonts w:cstheme="minorHAnsi"/>
        </w:rPr>
        <w:t>s</w:t>
      </w:r>
      <w:r w:rsidR="001F113C" w:rsidRPr="00862E8D">
        <w:rPr>
          <w:rFonts w:cstheme="minorHAnsi"/>
        </w:rPr>
        <w:t xml:space="preserve"> de </w:t>
      </w:r>
      <w:r w:rsidR="00F912CD">
        <w:rPr>
          <w:rFonts w:cstheme="minorHAnsi"/>
        </w:rPr>
        <w:t>C</w:t>
      </w:r>
      <w:r w:rsidR="001F113C" w:rsidRPr="00862E8D">
        <w:rPr>
          <w:rFonts w:cstheme="minorHAnsi"/>
        </w:rPr>
        <w:t>apital</w:t>
      </w:r>
      <w:r w:rsidR="005C5D8C" w:rsidRPr="00862E8D">
        <w:rPr>
          <w:rFonts w:cstheme="minorHAnsi"/>
        </w:rPr>
        <w:t xml:space="preserve">, em queda, </w:t>
      </w:r>
      <w:r w:rsidRPr="00862E8D">
        <w:rPr>
          <w:rFonts w:cstheme="minorHAnsi"/>
        </w:rPr>
        <w:t>fi</w:t>
      </w:r>
      <w:r w:rsidR="00580323" w:rsidRPr="00862E8D">
        <w:rPr>
          <w:rFonts w:cstheme="minorHAnsi"/>
        </w:rPr>
        <w:t xml:space="preserve">cam </w:t>
      </w:r>
      <w:r w:rsidR="00862E8D">
        <w:rPr>
          <w:rFonts w:cstheme="minorHAnsi"/>
        </w:rPr>
        <w:t xml:space="preserve">fortemente </w:t>
      </w:r>
      <w:r w:rsidR="008C14FB">
        <w:rPr>
          <w:rFonts w:cstheme="minorHAnsi"/>
        </w:rPr>
        <w:t xml:space="preserve">dependentes </w:t>
      </w:r>
      <w:r w:rsidR="005A68D0" w:rsidRPr="00862E8D">
        <w:rPr>
          <w:rFonts w:cstheme="minorHAnsi"/>
        </w:rPr>
        <w:t>do</w:t>
      </w:r>
      <w:r w:rsidR="005A68D0">
        <w:rPr>
          <w:rFonts w:cstheme="minorHAnsi"/>
        </w:rPr>
        <w:t xml:space="preserve"> </w:t>
      </w:r>
      <w:r w:rsidR="005A68D0" w:rsidRPr="00862E8D">
        <w:rPr>
          <w:rFonts w:cstheme="minorHAnsi"/>
        </w:rPr>
        <w:t>ingresso</w:t>
      </w:r>
      <w:r w:rsidR="001F113C" w:rsidRPr="00862E8D">
        <w:rPr>
          <w:rFonts w:cstheme="minorHAnsi"/>
        </w:rPr>
        <w:t xml:space="preserve"> de </w:t>
      </w:r>
      <w:r w:rsidR="00F912CD">
        <w:rPr>
          <w:rFonts w:cstheme="minorHAnsi"/>
        </w:rPr>
        <w:t>R</w:t>
      </w:r>
      <w:r w:rsidR="001F113C" w:rsidRPr="00862E8D">
        <w:rPr>
          <w:rFonts w:cstheme="minorHAnsi"/>
        </w:rPr>
        <w:t xml:space="preserve">eceitas </w:t>
      </w:r>
      <w:r w:rsidR="001F113C" w:rsidRPr="00B81ABA">
        <w:rPr>
          <w:rFonts w:cstheme="minorHAnsi"/>
        </w:rPr>
        <w:t xml:space="preserve">de </w:t>
      </w:r>
      <w:r w:rsidR="00F912CD" w:rsidRPr="00B81ABA">
        <w:rPr>
          <w:rFonts w:cstheme="minorHAnsi"/>
        </w:rPr>
        <w:t>C</w:t>
      </w:r>
      <w:r w:rsidR="001F113C" w:rsidRPr="00B81ABA">
        <w:rPr>
          <w:rFonts w:cstheme="minorHAnsi"/>
        </w:rPr>
        <w:t>apital</w:t>
      </w:r>
      <w:r w:rsidR="003833F1" w:rsidRPr="00B81ABA">
        <w:rPr>
          <w:rFonts w:cstheme="minorHAnsi"/>
        </w:rPr>
        <w:t xml:space="preserve"> e da possibilidade de acumular Restos a Pagar, como fonte de financiamento.</w:t>
      </w:r>
      <w:r w:rsidR="003833F1">
        <w:rPr>
          <w:rFonts w:cstheme="minorHAnsi"/>
        </w:rPr>
        <w:t xml:space="preserve"> </w:t>
      </w:r>
    </w:p>
    <w:p w14:paraId="10CCAE9D" w14:textId="70213C6F" w:rsidR="00B725B0" w:rsidRDefault="00B725B0" w:rsidP="00405C06">
      <w:pPr>
        <w:rPr>
          <w:rFonts w:cstheme="minorHAnsi"/>
        </w:rPr>
      </w:pPr>
    </w:p>
    <w:p w14:paraId="46187485" w14:textId="2E65565A" w:rsidR="00B725B0" w:rsidRDefault="00B725B0" w:rsidP="00405C06">
      <w:pPr>
        <w:rPr>
          <w:rFonts w:cstheme="minorHAnsi"/>
        </w:rPr>
      </w:pPr>
    </w:p>
    <w:p w14:paraId="00AE79B7" w14:textId="79D40D25" w:rsidR="00B725B0" w:rsidRDefault="00B725B0" w:rsidP="00405C06">
      <w:pPr>
        <w:rPr>
          <w:rFonts w:cstheme="minorHAnsi"/>
        </w:rPr>
      </w:pPr>
    </w:p>
    <w:p w14:paraId="57094FA8" w14:textId="585A5C69" w:rsidR="00B725B0" w:rsidRDefault="00B725B0" w:rsidP="00405C06">
      <w:pPr>
        <w:rPr>
          <w:rFonts w:cstheme="minorHAnsi"/>
        </w:rPr>
      </w:pPr>
    </w:p>
    <w:p w14:paraId="1D98080E" w14:textId="298B8619" w:rsidR="00B725B0" w:rsidRDefault="00B725B0" w:rsidP="00405C06">
      <w:pPr>
        <w:rPr>
          <w:rFonts w:cstheme="minorHAnsi"/>
        </w:rPr>
      </w:pPr>
    </w:p>
    <w:p w14:paraId="68A4360F" w14:textId="573C8096" w:rsidR="00B725B0" w:rsidRDefault="00B725B0" w:rsidP="00405C06">
      <w:pPr>
        <w:rPr>
          <w:rFonts w:cstheme="minorHAnsi"/>
        </w:rPr>
      </w:pPr>
    </w:p>
    <w:p w14:paraId="471DDF58" w14:textId="6A85D711" w:rsidR="00B725B0" w:rsidRDefault="00B725B0" w:rsidP="00405C06">
      <w:pPr>
        <w:rPr>
          <w:rFonts w:cstheme="minorHAnsi"/>
        </w:rPr>
      </w:pPr>
    </w:p>
    <w:p w14:paraId="2B988656" w14:textId="45691F13" w:rsidR="00B725B0" w:rsidRDefault="00B725B0" w:rsidP="00405C06">
      <w:pPr>
        <w:rPr>
          <w:rFonts w:cstheme="minorHAnsi"/>
        </w:rPr>
      </w:pPr>
    </w:p>
    <w:p w14:paraId="6CD9FA29" w14:textId="749ED425" w:rsidR="00B725B0" w:rsidRDefault="00B725B0" w:rsidP="00405C06">
      <w:pPr>
        <w:rPr>
          <w:rFonts w:cstheme="minorHAnsi"/>
        </w:rPr>
      </w:pPr>
    </w:p>
    <w:p w14:paraId="0C3D78FB" w14:textId="4C55CB52" w:rsidR="00B725B0" w:rsidRDefault="00B725B0" w:rsidP="00405C06">
      <w:pPr>
        <w:rPr>
          <w:rFonts w:cstheme="minorHAnsi"/>
        </w:rPr>
      </w:pPr>
    </w:p>
    <w:p w14:paraId="1265F2AA" w14:textId="63B67C36" w:rsidR="00B725B0" w:rsidRDefault="00B725B0" w:rsidP="00405C06">
      <w:pPr>
        <w:rPr>
          <w:rFonts w:cstheme="minorHAnsi"/>
        </w:rPr>
      </w:pPr>
    </w:p>
    <w:p w14:paraId="6AC803F9" w14:textId="77777777" w:rsidR="00B725B0" w:rsidRDefault="00B725B0" w:rsidP="00405C06">
      <w:pPr>
        <w:rPr>
          <w:rFonts w:cstheme="minorHAnsi"/>
        </w:rPr>
      </w:pPr>
    </w:p>
    <w:p w14:paraId="59E40AFA" w14:textId="25B3099C" w:rsidR="001209A6" w:rsidRDefault="00973774" w:rsidP="001209A6">
      <w:pPr>
        <w:pStyle w:val="Caption"/>
        <w:rPr>
          <w:rFonts w:asciiTheme="minorHAnsi" w:hAnsiTheme="minorHAnsi" w:cstheme="minorHAnsi"/>
        </w:rPr>
      </w:pPr>
      <w:bookmarkStart w:id="21" w:name="_Toc7196753"/>
      <w:r w:rsidRPr="0062099B">
        <w:rPr>
          <w:rFonts w:asciiTheme="minorHAnsi" w:hAnsiTheme="minorHAnsi" w:cstheme="minorHAnsi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6A66A05" wp14:editId="6454B3F9">
            <wp:simplePos x="0" y="0"/>
            <wp:positionH relativeFrom="margin">
              <wp:posOffset>134620</wp:posOffset>
            </wp:positionH>
            <wp:positionV relativeFrom="paragraph">
              <wp:posOffset>620395</wp:posOffset>
            </wp:positionV>
            <wp:extent cx="6188075" cy="3295015"/>
            <wp:effectExtent l="0" t="0" r="3175" b="635"/>
            <wp:wrapTight wrapText="bothSides">
              <wp:wrapPolygon edited="0">
                <wp:start x="0" y="0"/>
                <wp:lineTo x="0" y="21479"/>
                <wp:lineTo x="21545" y="21479"/>
                <wp:lineTo x="21545" y="0"/>
                <wp:lineTo x="0" y="0"/>
              </wp:wrapPolygon>
            </wp:wrapTight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075" cy="329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77B" w:rsidRPr="0062099B">
        <w:rPr>
          <w:rFonts w:asciiTheme="minorHAnsi" w:hAnsiTheme="minorHAnsi" w:cstheme="minorHAnsi"/>
        </w:rPr>
        <w:t xml:space="preserve">Gráfico </w:t>
      </w:r>
      <w:r w:rsidR="00902253" w:rsidRPr="0062099B">
        <w:rPr>
          <w:rFonts w:asciiTheme="minorHAnsi" w:hAnsiTheme="minorHAnsi" w:cstheme="minorHAnsi"/>
        </w:rPr>
        <w:fldChar w:fldCharType="begin"/>
      </w:r>
      <w:r w:rsidR="00902253" w:rsidRPr="0062099B">
        <w:rPr>
          <w:rFonts w:asciiTheme="minorHAnsi" w:hAnsiTheme="minorHAnsi" w:cstheme="minorHAnsi"/>
        </w:rPr>
        <w:instrText xml:space="preserve"> SEQ Gráfico \* ARABIC </w:instrText>
      </w:r>
      <w:r w:rsidR="00902253" w:rsidRPr="0062099B">
        <w:rPr>
          <w:rFonts w:asciiTheme="minorHAnsi" w:hAnsiTheme="minorHAnsi" w:cstheme="minorHAnsi"/>
        </w:rPr>
        <w:fldChar w:fldCharType="separate"/>
      </w:r>
      <w:r w:rsidR="00D224F2">
        <w:rPr>
          <w:rFonts w:asciiTheme="minorHAnsi" w:hAnsiTheme="minorHAnsi" w:cstheme="minorHAnsi"/>
          <w:noProof/>
        </w:rPr>
        <w:t>1</w:t>
      </w:r>
      <w:r w:rsidR="00902253" w:rsidRPr="0062099B">
        <w:rPr>
          <w:rFonts w:asciiTheme="minorHAnsi" w:hAnsiTheme="minorHAnsi" w:cstheme="minorHAnsi"/>
          <w:noProof/>
        </w:rPr>
        <w:fldChar w:fldCharType="end"/>
      </w:r>
      <w:r w:rsidR="00EC077B" w:rsidRPr="0062099B">
        <w:rPr>
          <w:rFonts w:asciiTheme="minorHAnsi" w:hAnsiTheme="minorHAnsi" w:cstheme="minorHAnsi"/>
        </w:rPr>
        <w:t xml:space="preserve">. </w:t>
      </w:r>
      <w:r w:rsidR="00882C27" w:rsidRPr="0062099B">
        <w:rPr>
          <w:rFonts w:asciiTheme="minorHAnsi" w:hAnsiTheme="minorHAnsi" w:cstheme="minorHAnsi"/>
        </w:rPr>
        <w:t xml:space="preserve">Evolução da </w:t>
      </w:r>
      <w:r w:rsidR="00EC077B" w:rsidRPr="0062099B">
        <w:rPr>
          <w:rFonts w:asciiTheme="minorHAnsi" w:hAnsiTheme="minorHAnsi" w:cstheme="minorHAnsi"/>
        </w:rPr>
        <w:t xml:space="preserve">Receita e Despesa </w:t>
      </w:r>
      <w:r w:rsidR="005242AF" w:rsidRPr="0062099B">
        <w:rPr>
          <w:rFonts w:asciiTheme="minorHAnsi" w:hAnsiTheme="minorHAnsi" w:cstheme="minorHAnsi"/>
        </w:rPr>
        <w:t>2006 a 2018</w:t>
      </w:r>
      <w:bookmarkEnd w:id="21"/>
    </w:p>
    <w:p w14:paraId="62EC2F06" w14:textId="6721FCEC" w:rsidR="001209A6" w:rsidRDefault="001209A6" w:rsidP="001209A6">
      <w:pPr>
        <w:pStyle w:val="Caption"/>
        <w:rPr>
          <w:rFonts w:asciiTheme="minorHAnsi" w:hAnsiTheme="minorHAnsi" w:cstheme="minorHAnsi"/>
          <w:highlight w:val="yellow"/>
        </w:rPr>
      </w:pPr>
    </w:p>
    <w:p w14:paraId="3F13A74E" w14:textId="5BF9A904" w:rsidR="00834C77" w:rsidRPr="00B725B0" w:rsidRDefault="00EC077B" w:rsidP="00783219">
      <w:pPr>
        <w:pStyle w:val="Caption"/>
        <w:rPr>
          <w:rFonts w:asciiTheme="minorHAnsi" w:hAnsiTheme="minorHAnsi" w:cstheme="minorHAnsi"/>
        </w:rPr>
      </w:pPr>
      <w:bookmarkStart w:id="22" w:name="_Toc7196754"/>
      <w:r w:rsidRPr="00B725B0">
        <w:rPr>
          <w:rFonts w:asciiTheme="minorHAnsi" w:hAnsiTheme="minorHAnsi" w:cstheme="minorHAnsi"/>
        </w:rPr>
        <w:t>Gráfi</w:t>
      </w:r>
      <w:r w:rsidR="00783219" w:rsidRPr="00B725B0">
        <w:rPr>
          <w:rFonts w:asciiTheme="minorHAnsi" w:hAnsiTheme="minorHAnsi" w:cstheme="minorHAnsi"/>
        </w:rPr>
        <w:t>co</w:t>
      </w:r>
      <w:r w:rsidR="00902253" w:rsidRPr="00B725B0">
        <w:rPr>
          <w:rFonts w:asciiTheme="minorHAnsi" w:hAnsiTheme="minorHAnsi" w:cstheme="minorHAnsi"/>
        </w:rPr>
        <w:fldChar w:fldCharType="begin"/>
      </w:r>
      <w:r w:rsidR="00902253" w:rsidRPr="00B725B0">
        <w:rPr>
          <w:rFonts w:asciiTheme="minorHAnsi" w:hAnsiTheme="minorHAnsi" w:cstheme="minorHAnsi"/>
        </w:rPr>
        <w:instrText xml:space="preserve"> SEQ Gráfico \* ARABIC </w:instrText>
      </w:r>
      <w:r w:rsidR="00902253" w:rsidRPr="00B725B0">
        <w:rPr>
          <w:rFonts w:asciiTheme="minorHAnsi" w:hAnsiTheme="minorHAnsi" w:cstheme="minorHAnsi"/>
        </w:rPr>
        <w:fldChar w:fldCharType="separate"/>
      </w:r>
      <w:r w:rsidR="00D224F2">
        <w:rPr>
          <w:rFonts w:asciiTheme="minorHAnsi" w:hAnsiTheme="minorHAnsi" w:cstheme="minorHAnsi"/>
          <w:noProof/>
        </w:rPr>
        <w:t>2</w:t>
      </w:r>
      <w:r w:rsidR="00902253" w:rsidRPr="00B725B0">
        <w:rPr>
          <w:rFonts w:asciiTheme="minorHAnsi" w:hAnsiTheme="minorHAnsi" w:cstheme="minorHAnsi"/>
        </w:rPr>
        <w:fldChar w:fldCharType="end"/>
      </w:r>
      <w:r w:rsidRPr="00B725B0">
        <w:rPr>
          <w:rFonts w:asciiTheme="minorHAnsi" w:hAnsiTheme="minorHAnsi" w:cstheme="minorHAnsi"/>
        </w:rPr>
        <w:t xml:space="preserve">. </w:t>
      </w:r>
      <w:r w:rsidR="00882C27" w:rsidRPr="00B725B0">
        <w:rPr>
          <w:rFonts w:asciiTheme="minorHAnsi" w:hAnsiTheme="minorHAnsi" w:cstheme="minorHAnsi"/>
        </w:rPr>
        <w:t xml:space="preserve">Evolução da </w:t>
      </w:r>
      <w:r w:rsidRPr="00B725B0">
        <w:rPr>
          <w:rFonts w:asciiTheme="minorHAnsi" w:hAnsiTheme="minorHAnsi" w:cstheme="minorHAnsi"/>
        </w:rPr>
        <w:t>Receita</w:t>
      </w:r>
      <w:r w:rsidR="000445BD" w:rsidRPr="00B725B0">
        <w:rPr>
          <w:rFonts w:asciiTheme="minorHAnsi" w:hAnsiTheme="minorHAnsi" w:cstheme="minorHAnsi"/>
        </w:rPr>
        <w:t>, excluída Rec</w:t>
      </w:r>
      <w:r w:rsidR="00D62B26" w:rsidRPr="00B725B0">
        <w:rPr>
          <w:rFonts w:asciiTheme="minorHAnsi" w:hAnsiTheme="minorHAnsi" w:cstheme="minorHAnsi"/>
        </w:rPr>
        <w:t xml:space="preserve">eita de </w:t>
      </w:r>
      <w:r w:rsidR="000445BD" w:rsidRPr="00B725B0">
        <w:rPr>
          <w:rFonts w:asciiTheme="minorHAnsi" w:hAnsiTheme="minorHAnsi" w:cstheme="minorHAnsi"/>
        </w:rPr>
        <w:t>Valores Mobiliários do RPPS e</w:t>
      </w:r>
      <w:r w:rsidRPr="00B725B0">
        <w:rPr>
          <w:rFonts w:asciiTheme="minorHAnsi" w:hAnsiTheme="minorHAnsi" w:cstheme="minorHAnsi"/>
        </w:rPr>
        <w:t xml:space="preserve"> Despesa </w:t>
      </w:r>
      <w:r w:rsidR="005242AF" w:rsidRPr="00B725B0">
        <w:rPr>
          <w:rFonts w:asciiTheme="minorHAnsi" w:hAnsiTheme="minorHAnsi" w:cstheme="minorHAnsi"/>
        </w:rPr>
        <w:t>2006 a 2018</w:t>
      </w:r>
      <w:bookmarkEnd w:id="22"/>
    </w:p>
    <w:p w14:paraId="2F6C6D86" w14:textId="2C313655" w:rsidR="00783219" w:rsidRDefault="00973774" w:rsidP="001209A6">
      <w:pPr>
        <w:pStyle w:val="BodyText"/>
        <w:spacing w:line="288" w:lineRule="auto"/>
        <w:ind w:left="0"/>
        <w:jc w:val="both"/>
        <w:rPr>
          <w:rFonts w:asciiTheme="minorHAnsi" w:hAnsiTheme="minorHAnsi" w:cstheme="minorHAnsi"/>
          <w:highlight w:val="yellow"/>
          <w:lang w:val="pt-BR"/>
        </w:rPr>
      </w:pPr>
      <w:r>
        <w:rPr>
          <w:rFonts w:asciiTheme="minorHAnsi" w:hAnsiTheme="minorHAnsi" w:cstheme="minorHAnsi"/>
          <w:noProof/>
          <w:highlight w:val="yellow"/>
          <w:lang w:val="pt-BR"/>
        </w:rPr>
        <w:drawing>
          <wp:inline distT="0" distB="0" distL="0" distR="0" wp14:anchorId="3EFA9069" wp14:editId="2817D2F6">
            <wp:extent cx="6359525" cy="3476625"/>
            <wp:effectExtent l="0" t="0" r="317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695" cy="348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581177" w14:textId="6C7F3FDF" w:rsidR="00834C77" w:rsidRPr="00D20B1A" w:rsidRDefault="0040701C" w:rsidP="00405C06">
      <w:pPr>
        <w:pStyle w:val="Heading2"/>
        <w:numPr>
          <w:ilvl w:val="0"/>
          <w:numId w:val="0"/>
        </w:numPr>
        <w:spacing w:before="480" w:after="120"/>
        <w:rPr>
          <w:rFonts w:cstheme="minorHAnsi"/>
          <w:b w:val="0"/>
          <w:i/>
        </w:rPr>
      </w:pPr>
      <w:bookmarkStart w:id="23" w:name="_Toc505510664"/>
      <w:bookmarkStart w:id="24" w:name="_Toc212982731"/>
      <w:r w:rsidRPr="00D20B1A">
        <w:rPr>
          <w:rFonts w:cstheme="minorHAnsi"/>
          <w:b w:val="0"/>
          <w:i/>
        </w:rPr>
        <w:lastRenderedPageBreak/>
        <w:t>2.</w:t>
      </w:r>
      <w:r w:rsidR="00DA63F1" w:rsidRPr="00D20B1A">
        <w:rPr>
          <w:rFonts w:cstheme="minorHAnsi"/>
          <w:b w:val="0"/>
          <w:i/>
        </w:rPr>
        <w:t>2</w:t>
      </w:r>
      <w:r w:rsidR="006D1B75" w:rsidRPr="00D20B1A">
        <w:rPr>
          <w:rFonts w:cstheme="minorHAnsi"/>
          <w:b w:val="0"/>
          <w:i/>
        </w:rPr>
        <w:t xml:space="preserve"> </w:t>
      </w:r>
      <w:r w:rsidR="00834C77" w:rsidRPr="00D20B1A">
        <w:rPr>
          <w:rFonts w:cstheme="minorHAnsi"/>
          <w:b w:val="0"/>
          <w:i/>
        </w:rPr>
        <w:t>Evolução da Receita Disponível</w:t>
      </w:r>
      <w:bookmarkEnd w:id="23"/>
      <w:r w:rsidR="00834C77" w:rsidRPr="00D20B1A">
        <w:rPr>
          <w:rFonts w:cstheme="minorHAnsi"/>
          <w:b w:val="0"/>
          <w:i/>
        </w:rPr>
        <w:t xml:space="preserve"> </w:t>
      </w:r>
      <w:bookmarkEnd w:id="24"/>
      <w:r w:rsidR="00834C77" w:rsidRPr="00D20B1A">
        <w:rPr>
          <w:rFonts w:cstheme="minorHAnsi"/>
          <w:b w:val="0"/>
          <w:i/>
        </w:rPr>
        <w:t xml:space="preserve"> </w:t>
      </w:r>
    </w:p>
    <w:p w14:paraId="5FA2DFAA" w14:textId="35976064" w:rsidR="00834C77" w:rsidRPr="00D20B1A" w:rsidRDefault="00834C77" w:rsidP="00405C06">
      <w:pPr>
        <w:rPr>
          <w:rFonts w:cstheme="minorHAnsi"/>
        </w:rPr>
      </w:pPr>
      <w:r w:rsidRPr="00D20B1A">
        <w:rPr>
          <w:rFonts w:cstheme="minorHAnsi"/>
        </w:rPr>
        <w:t xml:space="preserve">A estrutura da Receita é mais claramente apreendida quando se computam apenas as receitas que efetivamente ficam à disposição do Tesouro Estadual, </w:t>
      </w:r>
      <w:r w:rsidR="004208FE" w:rsidRPr="00D20B1A">
        <w:rPr>
          <w:rFonts w:cstheme="minorHAnsi"/>
        </w:rPr>
        <w:t>ou seja,</w:t>
      </w:r>
      <w:r w:rsidR="00DF5073" w:rsidRPr="00D20B1A">
        <w:rPr>
          <w:rFonts w:cstheme="minorHAnsi"/>
        </w:rPr>
        <w:t xml:space="preserve"> a Receita Disponível</w:t>
      </w:r>
      <w:r w:rsidR="00C65303" w:rsidRPr="00D20B1A">
        <w:rPr>
          <w:rFonts w:cstheme="minorHAnsi"/>
        </w:rPr>
        <w:t xml:space="preserve">, </w:t>
      </w:r>
      <w:r w:rsidRPr="00D20B1A">
        <w:rPr>
          <w:rFonts w:cstheme="minorHAnsi"/>
        </w:rPr>
        <w:t xml:space="preserve">conforme o tratamento metodológico descrito na Apresentação. </w:t>
      </w:r>
    </w:p>
    <w:p w14:paraId="066B6A02" w14:textId="02F0B763" w:rsidR="00F071D1" w:rsidRPr="00D20B1A" w:rsidRDefault="00834C77" w:rsidP="00405C06">
      <w:pPr>
        <w:rPr>
          <w:rFonts w:cstheme="minorHAnsi"/>
        </w:rPr>
      </w:pPr>
      <w:r w:rsidRPr="00D20B1A">
        <w:rPr>
          <w:rFonts w:cstheme="minorHAnsi"/>
        </w:rPr>
        <w:t>A Tabela 2 apresenta os componentes principais</w:t>
      </w:r>
      <w:r w:rsidR="00837411" w:rsidRPr="00D20B1A">
        <w:rPr>
          <w:rFonts w:cstheme="minorHAnsi"/>
        </w:rPr>
        <w:t xml:space="preserve"> da Receita Disponível</w:t>
      </w:r>
      <w:r w:rsidRPr="00D20B1A">
        <w:rPr>
          <w:rFonts w:cstheme="minorHAnsi"/>
        </w:rPr>
        <w:t xml:space="preserve">   e sua   evolução é evidenciada no Gráfico 3.</w:t>
      </w:r>
      <w:r w:rsidR="00822E70" w:rsidRPr="00D20B1A">
        <w:rPr>
          <w:rFonts w:cstheme="minorHAnsi"/>
        </w:rPr>
        <w:t xml:space="preserve"> A tabela 2 A, do Anexo, detalha</w:t>
      </w:r>
      <w:r w:rsidR="00DF055D" w:rsidRPr="00D20B1A">
        <w:rPr>
          <w:rFonts w:cstheme="minorHAnsi"/>
        </w:rPr>
        <w:t xml:space="preserve"> </w:t>
      </w:r>
      <w:r w:rsidR="00150860">
        <w:rPr>
          <w:rFonts w:cstheme="minorHAnsi"/>
        </w:rPr>
        <w:t xml:space="preserve">mais </w:t>
      </w:r>
      <w:r w:rsidR="00822E70" w:rsidRPr="00D20B1A">
        <w:rPr>
          <w:rFonts w:cstheme="minorHAnsi"/>
        </w:rPr>
        <w:t xml:space="preserve">a composição da Receita. </w:t>
      </w:r>
    </w:p>
    <w:p w14:paraId="589910A1" w14:textId="77777777" w:rsidR="008946A3" w:rsidRPr="00D20B1A" w:rsidRDefault="008946A3" w:rsidP="00405C06">
      <w:pPr>
        <w:pStyle w:val="Caption"/>
        <w:rPr>
          <w:rFonts w:asciiTheme="minorHAnsi" w:hAnsiTheme="minorHAnsi" w:cstheme="minorHAnsi"/>
        </w:rPr>
        <w:sectPr w:rsidR="008946A3" w:rsidRPr="00D20B1A" w:rsidSect="003D6996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0BEBE9F6" w14:textId="26C3D7FA" w:rsidR="00F071D1" w:rsidRPr="00D20B1A" w:rsidRDefault="00783219" w:rsidP="00405C06">
      <w:pPr>
        <w:pStyle w:val="Caption"/>
        <w:rPr>
          <w:rFonts w:asciiTheme="minorHAnsi" w:hAnsiTheme="minorHAnsi" w:cstheme="minorHAnsi"/>
        </w:rPr>
      </w:pPr>
      <w:bookmarkStart w:id="25" w:name="_Toc7196730"/>
      <w:r w:rsidRPr="0062099B"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123B9037" wp14:editId="1895E75E">
            <wp:simplePos x="0" y="0"/>
            <wp:positionH relativeFrom="margin">
              <wp:align>center</wp:align>
            </wp:positionH>
            <wp:positionV relativeFrom="paragraph">
              <wp:posOffset>469588</wp:posOffset>
            </wp:positionV>
            <wp:extent cx="10057130" cy="4933950"/>
            <wp:effectExtent l="0" t="0" r="1270" b="0"/>
            <wp:wrapTight wrapText="bothSides">
              <wp:wrapPolygon edited="0">
                <wp:start x="12888" y="167"/>
                <wp:lineTo x="0" y="584"/>
                <wp:lineTo x="0" y="11926"/>
                <wp:lineTo x="491" y="12343"/>
                <wp:lineTo x="0" y="12426"/>
                <wp:lineTo x="0" y="14678"/>
                <wp:lineTo x="409" y="15012"/>
                <wp:lineTo x="0" y="15178"/>
                <wp:lineTo x="0" y="17430"/>
                <wp:lineTo x="164" y="17680"/>
                <wp:lineTo x="0" y="18014"/>
                <wp:lineTo x="0" y="18848"/>
                <wp:lineTo x="164" y="19015"/>
                <wp:lineTo x="0" y="19432"/>
                <wp:lineTo x="0" y="21350"/>
                <wp:lineTo x="4214" y="21517"/>
                <wp:lineTo x="9410" y="21517"/>
                <wp:lineTo x="10638" y="21350"/>
                <wp:lineTo x="10842" y="21183"/>
                <wp:lineTo x="10801" y="20349"/>
                <wp:lineTo x="13706" y="20349"/>
                <wp:lineTo x="14402" y="20099"/>
                <wp:lineTo x="14443" y="16680"/>
                <wp:lineTo x="14034" y="16596"/>
                <wp:lineTo x="21562" y="16096"/>
                <wp:lineTo x="21562" y="584"/>
                <wp:lineTo x="14279" y="167"/>
                <wp:lineTo x="12888" y="167"/>
              </wp:wrapPolygon>
            </wp:wrapTight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7130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C06" w:rsidRPr="0062099B">
        <w:rPr>
          <w:rFonts w:asciiTheme="minorHAnsi" w:hAnsiTheme="minorHAnsi" w:cstheme="minorHAnsi"/>
        </w:rPr>
        <w:t xml:space="preserve">Tabela </w:t>
      </w:r>
      <w:r w:rsidR="00405C06" w:rsidRPr="0062099B">
        <w:rPr>
          <w:rFonts w:asciiTheme="minorHAnsi" w:hAnsiTheme="minorHAnsi" w:cstheme="minorHAnsi"/>
        </w:rPr>
        <w:fldChar w:fldCharType="begin"/>
      </w:r>
      <w:r w:rsidR="00405C06" w:rsidRPr="0062099B">
        <w:rPr>
          <w:rFonts w:asciiTheme="minorHAnsi" w:hAnsiTheme="minorHAnsi" w:cstheme="minorHAnsi"/>
        </w:rPr>
        <w:instrText xml:space="preserve"> SEQ Tabela \* ARABIC </w:instrText>
      </w:r>
      <w:r w:rsidR="00405C06" w:rsidRPr="0062099B">
        <w:rPr>
          <w:rFonts w:asciiTheme="minorHAnsi" w:hAnsiTheme="minorHAnsi" w:cstheme="minorHAnsi"/>
        </w:rPr>
        <w:fldChar w:fldCharType="separate"/>
      </w:r>
      <w:r w:rsidR="00D224F2">
        <w:rPr>
          <w:rFonts w:asciiTheme="minorHAnsi" w:hAnsiTheme="minorHAnsi" w:cstheme="minorHAnsi"/>
          <w:noProof/>
        </w:rPr>
        <w:t>2</w:t>
      </w:r>
      <w:r w:rsidR="00405C06" w:rsidRPr="0062099B">
        <w:rPr>
          <w:rFonts w:asciiTheme="minorHAnsi" w:hAnsiTheme="minorHAnsi" w:cstheme="minorHAnsi"/>
        </w:rPr>
        <w:fldChar w:fldCharType="end"/>
      </w:r>
      <w:r w:rsidR="00F071D1" w:rsidRPr="0062099B">
        <w:rPr>
          <w:rFonts w:asciiTheme="minorHAnsi" w:hAnsiTheme="minorHAnsi" w:cstheme="minorHAnsi"/>
        </w:rPr>
        <w:t xml:space="preserve">. Evolução da Receita Disponível </w:t>
      </w:r>
      <w:r w:rsidR="005242AF" w:rsidRPr="0062099B">
        <w:rPr>
          <w:rFonts w:asciiTheme="minorHAnsi" w:hAnsiTheme="minorHAnsi" w:cstheme="minorHAnsi"/>
        </w:rPr>
        <w:t>2006 a 2018</w:t>
      </w:r>
      <w:bookmarkEnd w:id="25"/>
    </w:p>
    <w:p w14:paraId="23B62337" w14:textId="33150EAB" w:rsidR="00783219" w:rsidRPr="00D20B1A" w:rsidRDefault="00783219" w:rsidP="008946A3">
      <w:pPr>
        <w:spacing w:before="120"/>
        <w:rPr>
          <w:rFonts w:cstheme="minorHAnsi"/>
          <w:sz w:val="16"/>
          <w:szCs w:val="16"/>
        </w:rPr>
        <w:sectPr w:rsidR="00783219" w:rsidRPr="00D20B1A" w:rsidSect="008946A3">
          <w:pgSz w:w="16838" w:h="11906" w:orient="landscape"/>
          <w:pgMar w:top="1080" w:right="1440" w:bottom="1080" w:left="1440" w:header="708" w:footer="708" w:gutter="0"/>
          <w:cols w:space="708"/>
          <w:docGrid w:linePitch="360"/>
        </w:sectPr>
      </w:pPr>
      <w:bookmarkStart w:id="26" w:name="_Hlk505458102"/>
    </w:p>
    <w:p w14:paraId="48F185C1" w14:textId="5BDF1E07" w:rsidR="00425BF1" w:rsidRDefault="00425BF1" w:rsidP="00405C06">
      <w:pPr>
        <w:pStyle w:val="Caption"/>
        <w:spacing w:before="240"/>
        <w:rPr>
          <w:rFonts w:asciiTheme="minorHAnsi" w:hAnsiTheme="minorHAnsi" w:cstheme="minorHAnsi"/>
        </w:rPr>
      </w:pPr>
      <w:bookmarkStart w:id="27" w:name="_Toc7196755"/>
      <w:bookmarkEnd w:id="26"/>
      <w:r w:rsidRPr="00D20B1A">
        <w:rPr>
          <w:rFonts w:asciiTheme="minorHAnsi" w:hAnsiTheme="minorHAnsi" w:cstheme="minorHAnsi"/>
        </w:rPr>
        <w:lastRenderedPageBreak/>
        <w:t xml:space="preserve">Gráfico </w:t>
      </w:r>
      <w:r w:rsidRPr="00D20B1A">
        <w:rPr>
          <w:rFonts w:asciiTheme="minorHAnsi" w:hAnsiTheme="minorHAnsi" w:cstheme="minorHAnsi"/>
        </w:rPr>
        <w:fldChar w:fldCharType="begin"/>
      </w:r>
      <w:r w:rsidRPr="00D20B1A">
        <w:rPr>
          <w:rFonts w:asciiTheme="minorHAnsi" w:hAnsiTheme="minorHAnsi" w:cstheme="minorHAnsi"/>
        </w:rPr>
        <w:instrText xml:space="preserve"> SEQ Gráfico \* ARABIC </w:instrText>
      </w:r>
      <w:r w:rsidRPr="00D20B1A">
        <w:rPr>
          <w:rFonts w:asciiTheme="minorHAnsi" w:hAnsiTheme="minorHAnsi" w:cstheme="minorHAnsi"/>
        </w:rPr>
        <w:fldChar w:fldCharType="separate"/>
      </w:r>
      <w:r w:rsidR="00D224F2">
        <w:rPr>
          <w:rFonts w:asciiTheme="minorHAnsi" w:hAnsiTheme="minorHAnsi" w:cstheme="minorHAnsi"/>
          <w:noProof/>
        </w:rPr>
        <w:t>3</w:t>
      </w:r>
      <w:r w:rsidRPr="00D20B1A">
        <w:rPr>
          <w:rFonts w:asciiTheme="minorHAnsi" w:hAnsiTheme="minorHAnsi" w:cstheme="minorHAnsi"/>
        </w:rPr>
        <w:fldChar w:fldCharType="end"/>
      </w:r>
      <w:r w:rsidRPr="00D20B1A">
        <w:rPr>
          <w:rFonts w:asciiTheme="minorHAnsi" w:hAnsiTheme="minorHAnsi" w:cstheme="minorHAnsi"/>
        </w:rPr>
        <w:t xml:space="preserve">. Composição da Receita Disponível </w:t>
      </w:r>
      <w:r w:rsidR="005242AF">
        <w:rPr>
          <w:rFonts w:asciiTheme="minorHAnsi" w:hAnsiTheme="minorHAnsi" w:cstheme="minorHAnsi"/>
        </w:rPr>
        <w:t>2006 a 2018</w:t>
      </w:r>
      <w:bookmarkEnd w:id="27"/>
    </w:p>
    <w:p w14:paraId="20D51A45" w14:textId="0AE9720B" w:rsidR="005E5AEB" w:rsidRDefault="005E5AEB" w:rsidP="005E5AEB">
      <w:r>
        <w:rPr>
          <w:noProof/>
        </w:rPr>
        <w:drawing>
          <wp:inline distT="0" distB="0" distL="0" distR="0" wp14:anchorId="3735FA5D" wp14:editId="5A83BCA8">
            <wp:extent cx="6450330" cy="3932555"/>
            <wp:effectExtent l="0" t="0" r="7620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0330" cy="3932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A4D1CB" w14:textId="3684FABE" w:rsidR="00BE0D76" w:rsidRDefault="00822E70" w:rsidP="00405C06">
      <w:pPr>
        <w:rPr>
          <w:rFonts w:cstheme="minorHAnsi"/>
        </w:rPr>
      </w:pPr>
      <w:r w:rsidRPr="00D20B1A">
        <w:rPr>
          <w:rFonts w:cstheme="minorHAnsi"/>
        </w:rPr>
        <w:t xml:space="preserve">O </w:t>
      </w:r>
      <w:r w:rsidR="00641DA2">
        <w:rPr>
          <w:rFonts w:cstheme="minorHAnsi"/>
        </w:rPr>
        <w:t>GEAP</w:t>
      </w:r>
      <w:r w:rsidRPr="00D20B1A">
        <w:rPr>
          <w:rFonts w:cstheme="minorHAnsi"/>
        </w:rPr>
        <w:t xml:space="preserve"> tem, na Receita Tributária, </w:t>
      </w:r>
      <w:r w:rsidR="007B6DF0">
        <w:rPr>
          <w:rFonts w:cstheme="minorHAnsi"/>
        </w:rPr>
        <w:t xml:space="preserve">apenas </w:t>
      </w:r>
      <w:r w:rsidRPr="00D20B1A">
        <w:rPr>
          <w:rFonts w:cstheme="minorHAnsi"/>
        </w:rPr>
        <w:t xml:space="preserve">cerca de </w:t>
      </w:r>
      <w:r w:rsidR="007B6DF0">
        <w:rPr>
          <w:rFonts w:cstheme="minorHAnsi"/>
        </w:rPr>
        <w:t>12</w:t>
      </w:r>
      <w:r w:rsidRPr="00D20B1A">
        <w:rPr>
          <w:rFonts w:cstheme="minorHAnsi"/>
        </w:rPr>
        <w:t>% da Receita Corrente Disponível.</w:t>
      </w:r>
      <w:r w:rsidR="002004A5">
        <w:rPr>
          <w:rFonts w:cstheme="minorHAnsi"/>
        </w:rPr>
        <w:t xml:space="preserve"> </w:t>
      </w:r>
      <w:r w:rsidR="008C32D0" w:rsidRPr="00D20B1A">
        <w:rPr>
          <w:rFonts w:cstheme="minorHAnsi"/>
        </w:rPr>
        <w:t xml:space="preserve"> </w:t>
      </w:r>
      <w:r w:rsidR="00837411" w:rsidRPr="00D20B1A">
        <w:rPr>
          <w:rFonts w:cstheme="minorHAnsi"/>
        </w:rPr>
        <w:t xml:space="preserve">O componente mais expressivo </w:t>
      </w:r>
      <w:r w:rsidR="004208FE" w:rsidRPr="00D20B1A">
        <w:rPr>
          <w:rFonts w:cstheme="minorHAnsi"/>
        </w:rPr>
        <w:t>é</w:t>
      </w:r>
      <w:r w:rsidR="00837411" w:rsidRPr="00D20B1A">
        <w:rPr>
          <w:rFonts w:cstheme="minorHAnsi"/>
        </w:rPr>
        <w:t xml:space="preserve">, de longe, o ICMS. </w:t>
      </w:r>
      <w:r w:rsidR="00D61ED4" w:rsidRPr="00D20B1A">
        <w:rPr>
          <w:rFonts w:cstheme="minorHAnsi"/>
        </w:rPr>
        <w:t>Ao longo do período 200</w:t>
      </w:r>
      <w:r w:rsidR="00EF01F6" w:rsidRPr="00D20B1A">
        <w:rPr>
          <w:rFonts w:cstheme="minorHAnsi"/>
        </w:rPr>
        <w:t>6</w:t>
      </w:r>
      <w:r w:rsidR="00D61ED4" w:rsidRPr="00D20B1A">
        <w:rPr>
          <w:rFonts w:cstheme="minorHAnsi"/>
        </w:rPr>
        <w:t>-201</w:t>
      </w:r>
      <w:r w:rsidR="002004A5">
        <w:rPr>
          <w:rFonts w:cstheme="minorHAnsi"/>
        </w:rPr>
        <w:t>0</w:t>
      </w:r>
      <w:r w:rsidR="00D61ED4" w:rsidRPr="00D20B1A">
        <w:rPr>
          <w:rFonts w:cstheme="minorHAnsi"/>
        </w:rPr>
        <w:t xml:space="preserve">, o ICMS </w:t>
      </w:r>
      <w:r w:rsidR="00684553">
        <w:rPr>
          <w:rFonts w:cstheme="minorHAnsi"/>
        </w:rPr>
        <w:t xml:space="preserve">teve crescimento </w:t>
      </w:r>
      <w:r w:rsidR="002004A5">
        <w:rPr>
          <w:rFonts w:cstheme="minorHAnsi"/>
        </w:rPr>
        <w:t>acelerad</w:t>
      </w:r>
      <w:r w:rsidR="00684553">
        <w:rPr>
          <w:rFonts w:cstheme="minorHAnsi"/>
        </w:rPr>
        <w:t>o</w:t>
      </w:r>
      <w:r w:rsidR="002004A5">
        <w:rPr>
          <w:rStyle w:val="FootnoteReference"/>
          <w:rFonts w:cstheme="minorHAnsi"/>
        </w:rPr>
        <w:footnoteReference w:id="5"/>
      </w:r>
      <w:r w:rsidR="00BE0D76">
        <w:rPr>
          <w:rFonts w:cstheme="minorHAnsi"/>
        </w:rPr>
        <w:t>- 38,5%</w:t>
      </w:r>
      <w:r w:rsidR="00684553">
        <w:rPr>
          <w:rFonts w:cstheme="minorHAnsi"/>
        </w:rPr>
        <w:t>, bem superior ao do PIB estadual</w:t>
      </w:r>
      <w:r w:rsidR="00BE0D76">
        <w:rPr>
          <w:rFonts w:cstheme="minorHAnsi"/>
        </w:rPr>
        <w:t>. Após leve queda em 2011, passa por extraordinária expansão em 2012</w:t>
      </w:r>
      <w:r w:rsidR="00635946">
        <w:rPr>
          <w:rFonts w:cstheme="minorHAnsi"/>
        </w:rPr>
        <w:t>, até 2014</w:t>
      </w:r>
      <w:r w:rsidR="00DA2757">
        <w:rPr>
          <w:rFonts w:cstheme="minorHAnsi"/>
        </w:rPr>
        <w:t xml:space="preserve">, abrangendo praticamente todos os setores </w:t>
      </w:r>
      <w:r w:rsidR="00DA2757" w:rsidRPr="0062099B">
        <w:rPr>
          <w:rFonts w:cstheme="minorHAnsi"/>
        </w:rPr>
        <w:t>sob a tributação estadual</w:t>
      </w:r>
      <w:r w:rsidR="00596AAF" w:rsidRPr="0062099B">
        <w:rPr>
          <w:rFonts w:cstheme="minorHAnsi"/>
        </w:rPr>
        <w:t xml:space="preserve">, de acordo com o Boletim do </w:t>
      </w:r>
      <w:r w:rsidR="003D70C1" w:rsidRPr="0062099B">
        <w:rPr>
          <w:rFonts w:cstheme="minorHAnsi"/>
        </w:rPr>
        <w:t xml:space="preserve">Conselho Nacional de Política Fazendária - </w:t>
      </w:r>
      <w:r w:rsidR="00596AAF" w:rsidRPr="0062099B">
        <w:rPr>
          <w:rFonts w:cstheme="minorHAnsi"/>
        </w:rPr>
        <w:t xml:space="preserve">Confaz </w:t>
      </w:r>
      <w:r w:rsidR="00DA2757" w:rsidRPr="0062099B">
        <w:rPr>
          <w:rStyle w:val="FootnoteReference"/>
          <w:rFonts w:cstheme="minorHAnsi"/>
        </w:rPr>
        <w:footnoteReference w:id="6"/>
      </w:r>
      <w:r w:rsidR="00596AAF" w:rsidRPr="0062099B">
        <w:rPr>
          <w:rFonts w:cstheme="minorHAnsi"/>
        </w:rPr>
        <w:t>.</w:t>
      </w:r>
      <w:r w:rsidR="002E1EE8" w:rsidRPr="0062099B">
        <w:rPr>
          <w:rFonts w:cstheme="minorHAnsi"/>
        </w:rPr>
        <w:t xml:space="preserve"> </w:t>
      </w:r>
      <w:r w:rsidR="00BE0D76" w:rsidRPr="0062099B">
        <w:rPr>
          <w:rFonts w:cstheme="minorHAnsi"/>
        </w:rPr>
        <w:t xml:space="preserve">Segundo informações </w:t>
      </w:r>
      <w:r w:rsidR="002E1EE8" w:rsidRPr="0062099B">
        <w:rPr>
          <w:rFonts w:cstheme="minorHAnsi"/>
        </w:rPr>
        <w:t>da Secretaria</w:t>
      </w:r>
      <w:r w:rsidR="00BE0D76" w:rsidRPr="0062099B">
        <w:rPr>
          <w:rFonts w:cstheme="minorHAnsi"/>
        </w:rPr>
        <w:t xml:space="preserve"> de </w:t>
      </w:r>
      <w:r w:rsidR="002E1EE8" w:rsidRPr="0062099B">
        <w:rPr>
          <w:rFonts w:cstheme="minorHAnsi"/>
        </w:rPr>
        <w:t xml:space="preserve">Fazenda, entre </w:t>
      </w:r>
      <w:r w:rsidR="00F64328" w:rsidRPr="0062099B">
        <w:rPr>
          <w:rFonts w:cstheme="minorHAnsi"/>
        </w:rPr>
        <w:t>os fatores</w:t>
      </w:r>
      <w:r w:rsidR="00DA2757" w:rsidRPr="0062099B">
        <w:rPr>
          <w:rFonts w:cstheme="minorHAnsi"/>
        </w:rPr>
        <w:t xml:space="preserve"> responsáveis</w:t>
      </w:r>
      <w:r w:rsidR="002E1EE8" w:rsidRPr="0062099B">
        <w:rPr>
          <w:rFonts w:cstheme="minorHAnsi"/>
        </w:rPr>
        <w:t xml:space="preserve"> pela elevação</w:t>
      </w:r>
      <w:r w:rsidR="0062099B" w:rsidRPr="0062099B">
        <w:rPr>
          <w:rFonts w:cstheme="minorHAnsi"/>
        </w:rPr>
        <w:t>,</w:t>
      </w:r>
      <w:r w:rsidR="002E1EE8" w:rsidRPr="0062099B">
        <w:rPr>
          <w:rFonts w:cstheme="minorHAnsi"/>
        </w:rPr>
        <w:t xml:space="preserve"> encontram-se:</w:t>
      </w:r>
      <w:r w:rsidR="00DA2757" w:rsidRPr="0062099B">
        <w:rPr>
          <w:rStyle w:val="FootnoteReference"/>
          <w:rFonts w:cstheme="minorHAnsi"/>
        </w:rPr>
        <w:footnoteReference w:id="7"/>
      </w:r>
      <w:r w:rsidR="00DA2757">
        <w:rPr>
          <w:rFonts w:cstheme="minorHAnsi"/>
        </w:rPr>
        <w:t xml:space="preserve"> </w:t>
      </w:r>
    </w:p>
    <w:p w14:paraId="3BDA4718" w14:textId="77777777" w:rsidR="0050709B" w:rsidRPr="00616F0D" w:rsidRDefault="0050709B" w:rsidP="00616F0D">
      <w:pPr>
        <w:rPr>
          <w:rFonts w:cstheme="minorHAnsi"/>
        </w:rPr>
      </w:pPr>
      <w:r w:rsidRPr="00616F0D">
        <w:rPr>
          <w:rFonts w:cstheme="minorHAnsi"/>
        </w:rPr>
        <w:t>1-Implementação de Protocolos com o Estado de São Paulo submetendo ao regime de Substituição Tributária diversos produtos, tais como: Materiais elétricos e eletrônicos, Materiais de construção, Higiene e limpeza, gêneros alimentícios, Cosméticos. Caso tenham origem em Estado não signatários do Protocolo, os contribuintes neste Estado ficam obrigados a recolher na forma de Antecipação ST, com geração de débito no Posto Fiscal de fronteira, nota por nota fiscal de entrada;</w:t>
      </w:r>
    </w:p>
    <w:p w14:paraId="3FE62535" w14:textId="77777777" w:rsidR="0050709B" w:rsidRPr="00616F0D" w:rsidRDefault="0050709B" w:rsidP="00616F0D">
      <w:pPr>
        <w:rPr>
          <w:rFonts w:cstheme="minorHAnsi"/>
        </w:rPr>
      </w:pPr>
      <w:r w:rsidRPr="00616F0D">
        <w:rPr>
          <w:rFonts w:cstheme="minorHAnsi"/>
        </w:rPr>
        <w:t>2-Implantação de monitoramento da entrada de mercadorias no Estado pela fronteira com Sistema GTRAN, através da consulta nacional das notas fiscais;</w:t>
      </w:r>
    </w:p>
    <w:p w14:paraId="7B2E32A6" w14:textId="4BA2948E" w:rsidR="0050709B" w:rsidRPr="00616F0D" w:rsidRDefault="0050709B" w:rsidP="00616F0D">
      <w:pPr>
        <w:rPr>
          <w:rFonts w:cstheme="minorHAnsi"/>
        </w:rPr>
      </w:pPr>
      <w:r w:rsidRPr="00616F0D">
        <w:rPr>
          <w:rFonts w:cstheme="minorHAnsi"/>
        </w:rPr>
        <w:lastRenderedPageBreak/>
        <w:t>3-Increment</w:t>
      </w:r>
      <w:r w:rsidR="002E1EE8" w:rsidRPr="00616F0D">
        <w:rPr>
          <w:rFonts w:cstheme="minorHAnsi"/>
        </w:rPr>
        <w:t>o</w:t>
      </w:r>
      <w:r w:rsidRPr="00616F0D">
        <w:rPr>
          <w:rFonts w:cstheme="minorHAnsi"/>
        </w:rPr>
        <w:t xml:space="preserve"> dos Documentos Fiscais Eletrônicos, eliminando a confecção e emissão de notas fiscais em blocos impressos por gráficas e disponibilizando a informação de vendas das empresas em tempo real pela SEFAZ VIRTUAL.</w:t>
      </w:r>
    </w:p>
    <w:p w14:paraId="58EF8A85" w14:textId="56F31FC8" w:rsidR="00635946" w:rsidRDefault="00A113CF" w:rsidP="008F74E7">
      <w:r w:rsidRPr="00B81ABA">
        <w:t>E</w:t>
      </w:r>
      <w:r w:rsidR="00635946" w:rsidRPr="00B81ABA">
        <w:t xml:space="preserve">m 2015 a 2017, o ICMS sofre o impacto da redução da atividade econômica, com ligeira recuperação em 2018, quando retorna a cerca de 80% da arrecadação média de 2013/2014. </w:t>
      </w:r>
      <w:r w:rsidR="00B559FD" w:rsidRPr="00B81ABA">
        <w:t>Um fator importante foi a recuperação da tributação sobre energia elétrica no Setor Terciário, quase inexistente</w:t>
      </w:r>
      <w:r w:rsidR="00B559FD" w:rsidRPr="00616F0D">
        <w:t xml:space="preserve"> em 2016/2017. </w:t>
      </w:r>
      <w:r w:rsidR="00F20151" w:rsidRPr="00616F0D">
        <w:t xml:space="preserve">Vale observar a forte concentração setorial da arrecadação. </w:t>
      </w:r>
      <w:r w:rsidR="00867079" w:rsidRPr="00616F0D">
        <w:t xml:space="preserve">Em 2018, </w:t>
      </w:r>
      <w:r w:rsidR="00B313A2" w:rsidRPr="00616F0D">
        <w:t xml:space="preserve">46% da arrecadação originou-se do Setor Terciário, em particular, do Comércio Varejista (20% do total) e 32%, do Setor de Petróleo, Combustíveis e Lubrificantes. </w:t>
      </w:r>
      <w:r w:rsidR="00B559FD" w:rsidRPr="00616F0D">
        <w:t xml:space="preserve">Como ocorre na maioria dos estados, há forte concentração da arrecadação em setores com preços administrados: cerca de 47% em 2018 originou-se dos setores de </w:t>
      </w:r>
      <w:r w:rsidR="007433FF">
        <w:t>C</w:t>
      </w:r>
      <w:r w:rsidR="00B559FD" w:rsidRPr="00616F0D">
        <w:t xml:space="preserve">omunicação, </w:t>
      </w:r>
      <w:r w:rsidR="007433FF">
        <w:t>E</w:t>
      </w:r>
      <w:r w:rsidR="00B559FD" w:rsidRPr="00616F0D">
        <w:t xml:space="preserve">nergia </w:t>
      </w:r>
      <w:r w:rsidR="007433FF">
        <w:t>E</w:t>
      </w:r>
      <w:r w:rsidR="00B559FD" w:rsidRPr="00616F0D">
        <w:t xml:space="preserve">létrica e </w:t>
      </w:r>
      <w:r w:rsidR="0030658E">
        <w:t>P</w:t>
      </w:r>
      <w:r w:rsidR="00B559FD" w:rsidRPr="00616F0D">
        <w:t xml:space="preserve">etróleo e </w:t>
      </w:r>
      <w:r w:rsidR="0030658E">
        <w:t>C</w:t>
      </w:r>
      <w:r w:rsidR="00B559FD" w:rsidRPr="00616F0D">
        <w:t xml:space="preserve">ombustíveis, sujeitos à regulação governamental. </w:t>
      </w:r>
    </w:p>
    <w:p w14:paraId="48172288" w14:textId="082F0630" w:rsidR="00935261" w:rsidRDefault="00935261" w:rsidP="00935261">
      <w:r>
        <w:t>O demonstrativo de estimativa e compensação de renúncia da receita</w:t>
      </w:r>
      <w:r>
        <w:rPr>
          <w:rStyle w:val="FootnoteReference"/>
        </w:rPr>
        <w:footnoteReference w:id="8"/>
      </w:r>
      <w:r>
        <w:t xml:space="preserve"> constante da Lei de Diretrizes Orçamentárias de</w:t>
      </w:r>
      <w:r w:rsidR="00EA746E">
        <w:t xml:space="preserve"> </w:t>
      </w:r>
      <w:r w:rsidR="00D5067D">
        <w:t>2019 informa</w:t>
      </w:r>
      <w:r w:rsidR="00EA746E">
        <w:t>, com respeito ao IPVA, que:</w:t>
      </w:r>
      <w:r>
        <w:t xml:space="preserve"> </w:t>
      </w:r>
    </w:p>
    <w:p w14:paraId="782255A0" w14:textId="39ECB70E" w:rsidR="00EA746E" w:rsidRDefault="00EA746E" w:rsidP="00B81ABA">
      <w:pPr>
        <w:spacing w:line="240" w:lineRule="auto"/>
      </w:pPr>
      <w:r>
        <w:t xml:space="preserve">“À título de IPVA, foram arrecadados R$ 25.401.455,65 </w:t>
      </w:r>
      <w:r w:rsidRPr="00B81ABA">
        <w:rPr>
          <w:b/>
        </w:rPr>
        <w:t>por cota única em 2017.</w:t>
      </w:r>
      <w:r>
        <w:t xml:space="preserve"> A arrecadação seria de R$</w:t>
      </w:r>
    </w:p>
    <w:p w14:paraId="583BD422" w14:textId="77777777" w:rsidR="00EA746E" w:rsidRDefault="00EA746E" w:rsidP="00B81ABA">
      <w:pPr>
        <w:spacing w:line="240" w:lineRule="auto"/>
      </w:pPr>
      <w:r>
        <w:t>31.751,819,56 se não houvesse o desconto de 20% concedido ao pagamento nessa modalidade. Dessa</w:t>
      </w:r>
    </w:p>
    <w:p w14:paraId="5925BCA3" w14:textId="52E9E6B3" w:rsidR="00EA746E" w:rsidRPr="00616F0D" w:rsidRDefault="00EA746E" w:rsidP="00B81ABA">
      <w:pPr>
        <w:spacing w:line="240" w:lineRule="auto"/>
      </w:pPr>
      <w:r>
        <w:t xml:space="preserve">forma, o Estado deixou de arrecadar R$ 6.350,363,91”. </w:t>
      </w:r>
      <w:r>
        <w:rPr>
          <w:rStyle w:val="FootnoteReference"/>
        </w:rPr>
        <w:footnoteReference w:id="9"/>
      </w:r>
    </w:p>
    <w:p w14:paraId="5BCE8110" w14:textId="77777777" w:rsidR="00C63BD3" w:rsidRDefault="00C63BD3" w:rsidP="00EA746E">
      <w:r>
        <w:t>Nesse ano, a arrecadação total foi de R$62,0 milhões.  Assim, do total arrecadado, a renúncia é de cerca de 10%.</w:t>
      </w:r>
    </w:p>
    <w:p w14:paraId="4DD35EB3" w14:textId="0A0AABC9" w:rsidR="00D5067D" w:rsidRPr="00B81ABA" w:rsidRDefault="00D5067D" w:rsidP="00EA746E">
      <w:r w:rsidRPr="00B81ABA">
        <w:t>A estimativa de renúncia do ICMS na LDO 2018 é de R$83,3 Milhões. Comparada com a arrecadação do ICMS em 2018 – R$845,0 milhões, o percentual é de cerca de 10%.</w:t>
      </w:r>
    </w:p>
    <w:p w14:paraId="7E586E18" w14:textId="35E9EF48" w:rsidR="00C63BD3" w:rsidRDefault="00C63BD3" w:rsidP="00EA746E">
      <w:bookmarkStart w:id="28" w:name="_Hlk8669321"/>
      <w:r w:rsidRPr="00B81ABA">
        <w:t xml:space="preserve">A estimativa de renúncia do ICMS na LDO 2019 é </w:t>
      </w:r>
      <w:r w:rsidR="00D5067D" w:rsidRPr="00B81ABA">
        <w:t xml:space="preserve">bem maior - </w:t>
      </w:r>
      <w:r w:rsidRPr="00B81ABA">
        <w:t xml:space="preserve">de R$118,00 Milhões. </w:t>
      </w:r>
      <w:r w:rsidR="00D5067D" w:rsidRPr="00B81ABA">
        <w:t xml:space="preserve">Caso a receita se mantenha no nível de 2018, </w:t>
      </w:r>
      <w:r w:rsidRPr="00B81ABA">
        <w:t xml:space="preserve">o </w:t>
      </w:r>
      <w:r w:rsidR="00D5067D" w:rsidRPr="00B81ABA">
        <w:t xml:space="preserve">percentual de gasto tributário se elevaria a </w:t>
      </w:r>
      <w:r w:rsidRPr="00B81ABA">
        <w:t>14%.</w:t>
      </w:r>
    </w:p>
    <w:bookmarkEnd w:id="28"/>
    <w:p w14:paraId="4D3FD4D0" w14:textId="5772261A" w:rsidR="001731DF" w:rsidRDefault="001731DF" w:rsidP="00EA746E">
      <w:r>
        <w:t xml:space="preserve">O PIB do Estado em 2016, última informação disponível, foi de R$14.339 milhões. </w:t>
      </w:r>
      <w:r w:rsidR="0011646F">
        <w:t xml:space="preserve">A </w:t>
      </w:r>
      <w:r w:rsidR="000E206F">
        <w:t>e</w:t>
      </w:r>
      <w:r w:rsidR="0011646F">
        <w:t>stimativa de renúncia de receita para 2016, constante da LDO 2015</w:t>
      </w:r>
      <w:r w:rsidR="0011646F">
        <w:rPr>
          <w:rStyle w:val="FootnoteReference"/>
        </w:rPr>
        <w:footnoteReference w:id="10"/>
      </w:r>
      <w:r w:rsidR="0011646F">
        <w:t xml:space="preserve"> foi de R$129,4 milhões, dos quais R$6,0 milhões de IPVA e R$123,6 milhões de ICMS. Considerando apenas o ICMS, a renúncia de receita situa-se em 0,86%</w:t>
      </w:r>
      <w:r w:rsidR="000E206F">
        <w:t xml:space="preserve"> do PIB</w:t>
      </w:r>
      <w:r w:rsidR="0011646F">
        <w:t>. Deve-se considerar, no entanto, que cerca de 46,2% do Valor Adicionado Bruto origina-se de atividades da administração, defesa, educação e saúde públicas e seguridade social, em geral sujeitas à imunidade recíproca (Constituição Federal, Art.150, VI</w:t>
      </w:r>
      <w:r w:rsidR="000E206F">
        <w:t>)</w:t>
      </w:r>
      <w:r w:rsidR="0011646F">
        <w:t xml:space="preserve">. </w:t>
      </w:r>
      <w:r w:rsidR="00C231C4">
        <w:t>Se considerada apenas a parcela do PIB gerada nas demais atividades econômicas (R$7.714,4 milhões), passa-se dos 0,86% para cerca de 1,6%</w:t>
      </w:r>
      <w:r w:rsidR="000E206F">
        <w:t xml:space="preserve"> do PIB, excluindo a administração pública e seguridade social</w:t>
      </w:r>
      <w:r w:rsidR="00C231C4">
        <w:t>.</w:t>
      </w:r>
    </w:p>
    <w:p w14:paraId="047D1756" w14:textId="7C1F0641" w:rsidR="00EA746E" w:rsidRDefault="00EA746E" w:rsidP="00EA746E">
      <w:r>
        <w:lastRenderedPageBreak/>
        <w:t>Informa</w:t>
      </w:r>
      <w:r w:rsidR="00C63BD3">
        <w:t xml:space="preserve"> o Estado, na LDO </w:t>
      </w:r>
      <w:r w:rsidR="00D5067D">
        <w:t xml:space="preserve">2018 e </w:t>
      </w:r>
      <w:r w:rsidR="00C63BD3">
        <w:t>2019</w:t>
      </w:r>
      <w:r>
        <w:t>, que os benefícios não comprometem as metas fiscais estabelecidas pelo Estado, uma vez que foram expurgadas do cálculo de receita, incluindo os com vigência iniciada há mais de três anos.</w:t>
      </w:r>
    </w:p>
    <w:p w14:paraId="521C5112" w14:textId="3841395F" w:rsidR="002E3EF0" w:rsidRDefault="005B6537" w:rsidP="008F74E7">
      <w:r w:rsidRPr="00616F0D">
        <w:t>Como anteriormente citado, as Transferências Intergovernamentais alcançam em média 6,3 vezes a</w:t>
      </w:r>
      <w:r w:rsidR="00406E2C" w:rsidRPr="00616F0D">
        <w:t xml:space="preserve"> </w:t>
      </w:r>
      <w:r w:rsidRPr="00616F0D">
        <w:t xml:space="preserve">Receita </w:t>
      </w:r>
      <w:r w:rsidR="00406E2C" w:rsidRPr="00616F0D">
        <w:t>T</w:t>
      </w:r>
      <w:r w:rsidRPr="00616F0D">
        <w:t>ributária</w:t>
      </w:r>
      <w:r w:rsidR="00F365B8">
        <w:t xml:space="preserve">, com destaque para o </w:t>
      </w:r>
      <w:r w:rsidR="00F365B8" w:rsidRPr="00F365B8">
        <w:t>Fundo de Participação dos Estados – FPE</w:t>
      </w:r>
      <w:r w:rsidR="002E3EF0">
        <w:t>, em média 70% do total</w:t>
      </w:r>
      <w:r w:rsidRPr="00616F0D">
        <w:t>.</w:t>
      </w:r>
      <w:r w:rsidR="00406E2C" w:rsidRPr="00616F0D">
        <w:t xml:space="preserve"> Em parte, justifica-se este resultado pelas regras que orientam a distribuição do FPE</w:t>
      </w:r>
      <w:r w:rsidR="00553748">
        <w:t xml:space="preserve">, </w:t>
      </w:r>
      <w:r w:rsidR="00553748" w:rsidRPr="00B81ABA">
        <w:t>extremamente favoráveis ao Amapá</w:t>
      </w:r>
      <w:r w:rsidR="00406E2C" w:rsidRPr="00B81ABA">
        <w:t xml:space="preserve">. </w:t>
      </w:r>
      <w:r w:rsidR="00553748" w:rsidRPr="00B81ABA">
        <w:t xml:space="preserve">Este </w:t>
      </w:r>
      <w:r w:rsidR="009924D2" w:rsidRPr="00B81ABA">
        <w:t>estado, Acre</w:t>
      </w:r>
      <w:r w:rsidR="00406E2C" w:rsidRPr="00B81ABA">
        <w:t xml:space="preserve"> e Roraima receberam, em 2017, montantes de FPE per capita que oscilaram entre R$3.400,00 e R$4.000,00, enquanto São Paulo recebeu R$ 19,00. Mesmo estados mais pobres, como Alagoas e Piauí receberam cerca de R$ 1.100,00 per capita. No que diz respeito à </w:t>
      </w:r>
      <w:r w:rsidR="00644AE7" w:rsidRPr="00B81ABA">
        <w:t>R</w:t>
      </w:r>
      <w:r w:rsidR="00406E2C" w:rsidRPr="00B81ABA">
        <w:t xml:space="preserve">eceita </w:t>
      </w:r>
      <w:r w:rsidR="00644AE7" w:rsidRPr="00B81ABA">
        <w:t>T</w:t>
      </w:r>
      <w:r w:rsidR="00406E2C" w:rsidRPr="00B81ABA">
        <w:t xml:space="preserve">ributária, a arrecadação do ICMS, componente de maior expressão, alcançou apenas R$ 945,00 per capita no Amapá, segundo menor montante entre os estados (após Maranhão - R$899,00). </w:t>
      </w:r>
      <w:r w:rsidR="002E3EF0" w:rsidRPr="00B81ABA">
        <w:t>Estes são os valores brutos. No entanto, enquanto sobre o FPE</w:t>
      </w:r>
      <w:r w:rsidR="0024372D" w:rsidRPr="00B81ABA">
        <w:t>,</w:t>
      </w:r>
      <w:r w:rsidR="002E3EF0" w:rsidRPr="00B81ABA">
        <w:t xml:space="preserve"> incide apenas a</w:t>
      </w:r>
      <w:r w:rsidR="00145C35" w:rsidRPr="00B81ABA">
        <w:t xml:space="preserve"> </w:t>
      </w:r>
      <w:r w:rsidR="0024372D" w:rsidRPr="00B81ABA">
        <w:t>contribuição de</w:t>
      </w:r>
      <w:r w:rsidR="002E3EF0" w:rsidRPr="00B81ABA">
        <w:t xml:space="preserve"> 20% </w:t>
      </w:r>
      <w:r w:rsidR="00145C35" w:rsidRPr="00B81ABA">
        <w:t>ao</w:t>
      </w:r>
      <w:r w:rsidR="002E3EF0" w:rsidRPr="00B81ABA">
        <w:t xml:space="preserve"> </w:t>
      </w:r>
      <w:proofErr w:type="spellStart"/>
      <w:r w:rsidR="002E3EF0" w:rsidRPr="00B81ABA">
        <w:t>Fundeb</w:t>
      </w:r>
      <w:proofErr w:type="spellEnd"/>
      <w:r w:rsidR="002E3EF0" w:rsidRPr="00B81ABA">
        <w:t xml:space="preserve">, sobre o ICMS, a dedução para os municípios </w:t>
      </w:r>
      <w:r w:rsidR="00552586" w:rsidRPr="00B81ABA">
        <w:t>e a</w:t>
      </w:r>
      <w:r w:rsidR="00145C35" w:rsidRPr="00B81ABA">
        <w:t xml:space="preserve"> contribuição ao </w:t>
      </w:r>
      <w:proofErr w:type="spellStart"/>
      <w:r w:rsidR="00145C35" w:rsidRPr="00B81ABA">
        <w:t>Fundeb</w:t>
      </w:r>
      <w:proofErr w:type="spellEnd"/>
      <w:r w:rsidR="00145C35" w:rsidRPr="00B81ABA">
        <w:t xml:space="preserve"> retiram do caixa estadual 40% do montante arrecadado.</w:t>
      </w:r>
    </w:p>
    <w:p w14:paraId="1F49306B" w14:textId="57C49EE6" w:rsidR="00406E2C" w:rsidRDefault="00406E2C" w:rsidP="008F74E7">
      <w:r w:rsidRPr="00616F0D">
        <w:t>Vale observar que quase metade da economia do Amapá gira em torno do setor público: cerca de 45% do PIB em 2002 a 2016 veio das atividades de administração, defesa, educação e saúde pública e seguridade social, apenas suplantado por Roraima, onde a participação alcança cerca de 50%.</w:t>
      </w:r>
      <w:r w:rsidR="00470E3F">
        <w:t xml:space="preserve"> De acordo com a Constituição Federal, Art. 150, VI, é vedada</w:t>
      </w:r>
      <w:r w:rsidR="00A43760">
        <w:t>”</w:t>
      </w:r>
      <w:r w:rsidR="00470E3F">
        <w:t xml:space="preserve"> à União, aos </w:t>
      </w:r>
      <w:r w:rsidR="00C84291">
        <w:t>E</w:t>
      </w:r>
      <w:r w:rsidR="00470E3F">
        <w:t xml:space="preserve">stados, Distrito federal e aos </w:t>
      </w:r>
      <w:r w:rsidR="00C84291">
        <w:t>M</w:t>
      </w:r>
      <w:r w:rsidR="00470E3F">
        <w:t>unicípio</w:t>
      </w:r>
      <w:r w:rsidR="00C84291">
        <w:t>s</w:t>
      </w:r>
      <w:r w:rsidR="00470E3F">
        <w:t xml:space="preserve"> a instituição de impostos uns dos outros</w:t>
      </w:r>
      <w:r w:rsidR="00C84291">
        <w:t xml:space="preserve"> sobre</w:t>
      </w:r>
      <w:r w:rsidR="00C84291" w:rsidRPr="00C84291">
        <w:t xml:space="preserve"> patrimônio, renda ou serviços</w:t>
      </w:r>
      <w:r w:rsidR="00552586">
        <w:t>.</w:t>
      </w:r>
      <w:r w:rsidR="00C84291">
        <w:rPr>
          <w:rStyle w:val="FootnoteReference"/>
          <w:rFonts w:cstheme="minorHAnsi"/>
        </w:rPr>
        <w:footnoteReference w:id="11"/>
      </w:r>
      <w:r w:rsidR="00470E3F">
        <w:t xml:space="preserve"> </w:t>
      </w:r>
    </w:p>
    <w:p w14:paraId="2D10D3F1" w14:textId="00C2B2A8" w:rsidR="00552586" w:rsidRDefault="00D444D9" w:rsidP="00C43349">
      <w:r>
        <w:t>Como mencionado, a</w:t>
      </w:r>
      <w:r w:rsidR="00552586">
        <w:t xml:space="preserve"> Transferência do FPE inclui, nos anos de 2016 e 2017, parcela relativa à </w:t>
      </w:r>
      <w:r w:rsidR="00552586" w:rsidRPr="00552586">
        <w:t xml:space="preserve">Lei nº 13254, de 13 de </w:t>
      </w:r>
      <w:proofErr w:type="gramStart"/>
      <w:r w:rsidR="00552586" w:rsidRPr="00552586">
        <w:t>Janeiro</w:t>
      </w:r>
      <w:proofErr w:type="gramEnd"/>
      <w:r w:rsidR="00552586" w:rsidRPr="00552586">
        <w:t xml:space="preserve"> de </w:t>
      </w:r>
      <w:r w:rsidR="00331F38" w:rsidRPr="00552586">
        <w:t>2016 (</w:t>
      </w:r>
      <w:r w:rsidR="00552586" w:rsidRPr="00552586">
        <w:t>Repatriação)</w:t>
      </w:r>
      <w:r w:rsidR="00552586">
        <w:t xml:space="preserve">. De acordo com informações obtidas no site da STN, </w:t>
      </w:r>
    </w:p>
    <w:p w14:paraId="61B54953" w14:textId="6DFDDD21" w:rsidR="009924D2" w:rsidRPr="00616F0D" w:rsidRDefault="009924D2" w:rsidP="00C43349">
      <w:r>
        <w:t>O Impost</w:t>
      </w:r>
      <w:r w:rsidR="00CA0181">
        <w:t>o</w:t>
      </w:r>
      <w:r>
        <w:t xml:space="preserve"> de Renda Retido na Fonte</w:t>
      </w:r>
      <w:r>
        <w:rPr>
          <w:rStyle w:val="FootnoteReference"/>
          <w:rFonts w:cstheme="minorHAnsi"/>
        </w:rPr>
        <w:footnoteReference w:id="12"/>
      </w:r>
      <w:r w:rsidR="00CA0181">
        <w:t xml:space="preserve">  tem forte oscilação ao longo do período, com </w:t>
      </w:r>
      <w:r w:rsidR="00F66214">
        <w:t xml:space="preserve">extraordinário crescimento a partir de 2016. </w:t>
      </w:r>
      <w:r w:rsidR="00A46386">
        <w:t xml:space="preserve">De acordo com a </w:t>
      </w:r>
      <w:r w:rsidR="00A35479">
        <w:t>Secretaria de Fazenda</w:t>
      </w:r>
      <w:r w:rsidR="00A46386">
        <w:t xml:space="preserve">, o Poder Executivo entende </w:t>
      </w:r>
      <w:r w:rsidR="00FE3B1B" w:rsidRPr="00A46386">
        <w:t>que</w:t>
      </w:r>
      <w:r w:rsidR="00FE3B1B">
        <w:t xml:space="preserve">, </w:t>
      </w:r>
      <w:r w:rsidR="00FE3B1B" w:rsidRPr="00A46386">
        <w:t>sendo</w:t>
      </w:r>
      <w:r w:rsidR="00A46386" w:rsidRPr="00A46386">
        <w:t xml:space="preserve"> </w:t>
      </w:r>
      <w:r w:rsidR="00FE3B1B">
        <w:t xml:space="preserve">o </w:t>
      </w:r>
      <w:r w:rsidR="00FE3B1B" w:rsidRPr="00A46386">
        <w:t>tributo</w:t>
      </w:r>
      <w:r w:rsidR="00A46386" w:rsidRPr="00A46386">
        <w:t xml:space="preserve"> federal</w:t>
      </w:r>
      <w:r w:rsidR="00FE3B1B">
        <w:t>,</w:t>
      </w:r>
      <w:r w:rsidR="00A46386" w:rsidRPr="00A46386">
        <w:t xml:space="preserve"> não pode fiscalizar os Poderes Legislativo e Judiciário e </w:t>
      </w:r>
      <w:r w:rsidR="00FE3B1B">
        <w:t xml:space="preserve">o </w:t>
      </w:r>
      <w:r w:rsidR="00A46386" w:rsidRPr="00A46386">
        <w:t>Ministério Público</w:t>
      </w:r>
      <w:r w:rsidR="00FE3B1B">
        <w:t>.</w:t>
      </w:r>
      <w:r w:rsidR="00A46386" w:rsidRPr="00A46386">
        <w:t xml:space="preserve"> </w:t>
      </w:r>
      <w:r w:rsidR="00FE3B1B">
        <w:t>De toda forma, ocorreu</w:t>
      </w:r>
      <w:r w:rsidR="00A46386" w:rsidRPr="00A46386">
        <w:t xml:space="preserve"> uma cobrança para regularização espontânea dos valores que estavam inadimplentes. Com a edição de Lei Estadual, o Tribunal de Justiça parcelou sua dívida de IRRF contribuindo com a elevação da arrecadação desta receita.</w:t>
      </w:r>
      <w:r w:rsidR="00FE3B1B">
        <w:t xml:space="preserve"> Quanto ao acréscimo a partir de 2016, resulta de </w:t>
      </w:r>
      <w:r w:rsidR="00A46386" w:rsidRPr="00A46386">
        <w:t xml:space="preserve">recolhimentos </w:t>
      </w:r>
      <w:r w:rsidR="00635707">
        <w:t xml:space="preserve">sobre </w:t>
      </w:r>
      <w:r w:rsidR="00635707" w:rsidRPr="00A46386">
        <w:t>fatos</w:t>
      </w:r>
      <w:r w:rsidR="00A46386" w:rsidRPr="00A46386">
        <w:t xml:space="preserve"> geradores </w:t>
      </w:r>
      <w:r w:rsidR="00FE3B1B">
        <w:t>do</w:t>
      </w:r>
      <w:r w:rsidR="00A46386" w:rsidRPr="00A46386">
        <w:t xml:space="preserve"> exercício de 2015</w:t>
      </w:r>
      <w:r w:rsidR="00FE3B1B">
        <w:t xml:space="preserve">. </w:t>
      </w:r>
    </w:p>
    <w:p w14:paraId="36B15C88" w14:textId="5E73B501" w:rsidR="003B61F6" w:rsidRPr="00616F0D" w:rsidRDefault="00A13371" w:rsidP="008F74E7">
      <w:r>
        <w:t xml:space="preserve">Cerca de um quarto das </w:t>
      </w:r>
      <w:r w:rsidR="004208FE" w:rsidRPr="00616F0D">
        <w:t>Transferências</w:t>
      </w:r>
      <w:r w:rsidR="001A559A" w:rsidRPr="00616F0D">
        <w:t xml:space="preserve"> Intergovernamentais, </w:t>
      </w:r>
      <w:r>
        <w:t xml:space="preserve">são </w:t>
      </w:r>
      <w:r w:rsidR="003B61F6" w:rsidRPr="00616F0D">
        <w:t>vinculadas a</w:t>
      </w:r>
      <w:r w:rsidR="00FF0900" w:rsidRPr="00616F0D">
        <w:t xml:space="preserve"> políticas especificas, como o </w:t>
      </w:r>
      <w:proofErr w:type="spellStart"/>
      <w:r w:rsidR="00FF0900" w:rsidRPr="00616F0D">
        <w:t>Fundeb</w:t>
      </w:r>
      <w:proofErr w:type="spellEnd"/>
      <w:r w:rsidR="00FF0900" w:rsidRPr="00616F0D">
        <w:t xml:space="preserve"> </w:t>
      </w:r>
      <w:r>
        <w:t xml:space="preserve">e FNDE </w:t>
      </w:r>
      <w:r w:rsidR="00FF0900" w:rsidRPr="00616F0D">
        <w:t>(educação), SUS (saúde</w:t>
      </w:r>
      <w:r w:rsidR="003B61F6" w:rsidRPr="00616F0D">
        <w:t>)</w:t>
      </w:r>
      <w:r w:rsidR="00FF0900" w:rsidRPr="00616F0D">
        <w:t>, além de convênios</w:t>
      </w:r>
      <w:r>
        <w:t xml:space="preserve">. </w:t>
      </w:r>
      <w:r w:rsidR="00FF0900" w:rsidRPr="00616F0D">
        <w:t xml:space="preserve"> </w:t>
      </w:r>
    </w:p>
    <w:p w14:paraId="410E1067" w14:textId="77777777" w:rsidR="00E13151" w:rsidRDefault="003B61F6" w:rsidP="00405C06">
      <w:pPr>
        <w:rPr>
          <w:rFonts w:cstheme="minorHAnsi"/>
        </w:rPr>
      </w:pPr>
      <w:r w:rsidRPr="00D20B1A">
        <w:rPr>
          <w:rFonts w:cstheme="minorHAnsi"/>
        </w:rPr>
        <w:lastRenderedPageBreak/>
        <w:t xml:space="preserve">A maior transferência é a do </w:t>
      </w:r>
      <w:proofErr w:type="spellStart"/>
      <w:r w:rsidR="001A559A" w:rsidRPr="00D20B1A">
        <w:rPr>
          <w:rFonts w:cstheme="minorHAnsi"/>
        </w:rPr>
        <w:t>Fundeb</w:t>
      </w:r>
      <w:proofErr w:type="spellEnd"/>
      <w:r w:rsidR="00B62956">
        <w:rPr>
          <w:rFonts w:cstheme="minorHAnsi"/>
        </w:rPr>
        <w:t xml:space="preserve">. Em 2007, o Fundef foi substituído pelo </w:t>
      </w:r>
      <w:proofErr w:type="spellStart"/>
      <w:r w:rsidR="00B62956">
        <w:rPr>
          <w:rFonts w:cstheme="minorHAnsi"/>
        </w:rPr>
        <w:t>Fundeb</w:t>
      </w:r>
      <w:proofErr w:type="spellEnd"/>
      <w:r w:rsidR="00B62956">
        <w:rPr>
          <w:rFonts w:cstheme="minorHAnsi"/>
        </w:rPr>
        <w:t xml:space="preserve">, aumentando aparcela de contribuição de estados e municípios ao Fundo, entre outras medidas.  </w:t>
      </w:r>
      <w:r w:rsidR="0024372D">
        <w:rPr>
          <w:rFonts w:cstheme="minorHAnsi"/>
        </w:rPr>
        <w:t>Esse aumento foi parcelado em 3 anos -2007 a 2009, o que explica o crescimento acelerado das deduções ao Fundo (contribuição do estado ao Fundo) e das receitas de transferências do Fundo</w:t>
      </w:r>
      <w:r w:rsidR="0024372D">
        <w:rPr>
          <w:rStyle w:val="FootnoteReference"/>
          <w:rFonts w:cstheme="minorHAnsi"/>
        </w:rPr>
        <w:footnoteReference w:id="13"/>
      </w:r>
      <w:r w:rsidR="0024372D">
        <w:rPr>
          <w:rFonts w:cstheme="minorHAnsi"/>
        </w:rPr>
        <w:t xml:space="preserve">. Embora mais lentamente, as receitas se expandiram até 2014. </w:t>
      </w:r>
      <w:r w:rsidR="005971A6">
        <w:rPr>
          <w:rFonts w:cstheme="minorHAnsi"/>
        </w:rPr>
        <w:t xml:space="preserve">Em </w:t>
      </w:r>
      <w:r w:rsidR="005971A6" w:rsidRPr="00D20B1A">
        <w:rPr>
          <w:rFonts w:cstheme="minorHAnsi"/>
        </w:rPr>
        <w:t>2018</w:t>
      </w:r>
      <w:r w:rsidR="00202931" w:rsidRPr="00D20B1A">
        <w:rPr>
          <w:rFonts w:cstheme="minorHAnsi"/>
        </w:rPr>
        <w:t xml:space="preserve">, </w:t>
      </w:r>
      <w:r w:rsidR="0024372D">
        <w:rPr>
          <w:rFonts w:cstheme="minorHAnsi"/>
        </w:rPr>
        <w:t xml:space="preserve">no entanto, </w:t>
      </w:r>
      <w:r w:rsidR="00FC012E" w:rsidRPr="00D20B1A">
        <w:rPr>
          <w:rFonts w:cstheme="minorHAnsi"/>
        </w:rPr>
        <w:t>retorn</w:t>
      </w:r>
      <w:r w:rsidR="00FC012E">
        <w:rPr>
          <w:rFonts w:cstheme="minorHAnsi"/>
        </w:rPr>
        <w:t xml:space="preserve">aram </w:t>
      </w:r>
      <w:r w:rsidR="00FC012E" w:rsidRPr="00D20B1A">
        <w:rPr>
          <w:rFonts w:cstheme="minorHAnsi"/>
        </w:rPr>
        <w:t>basicamente</w:t>
      </w:r>
      <w:r w:rsidR="00027F83" w:rsidRPr="00D20B1A">
        <w:rPr>
          <w:rFonts w:cstheme="minorHAnsi"/>
        </w:rPr>
        <w:t xml:space="preserve"> ao nível de 20</w:t>
      </w:r>
      <w:r w:rsidR="00A13371">
        <w:rPr>
          <w:rFonts w:cstheme="minorHAnsi"/>
        </w:rPr>
        <w:t>10</w:t>
      </w:r>
      <w:r w:rsidR="00027F83" w:rsidRPr="00D20B1A">
        <w:rPr>
          <w:rFonts w:cstheme="minorHAnsi"/>
        </w:rPr>
        <w:t xml:space="preserve">, face ao comportamento das </w:t>
      </w:r>
      <w:r w:rsidR="0024372D">
        <w:rPr>
          <w:rFonts w:cstheme="minorHAnsi"/>
        </w:rPr>
        <w:t xml:space="preserve">contribuições </w:t>
      </w:r>
      <w:r w:rsidR="00027F83" w:rsidRPr="00D20B1A">
        <w:rPr>
          <w:rFonts w:cstheme="minorHAnsi"/>
        </w:rPr>
        <w:t>que compõem o Fundo</w:t>
      </w:r>
      <w:r w:rsidR="00027F83" w:rsidRPr="00D20B1A">
        <w:rPr>
          <w:rStyle w:val="FootnoteReference"/>
          <w:rFonts w:cstheme="minorHAnsi"/>
        </w:rPr>
        <w:footnoteReference w:id="14"/>
      </w:r>
      <w:r w:rsidR="00027F83" w:rsidRPr="00D20B1A">
        <w:rPr>
          <w:rFonts w:cstheme="minorHAnsi"/>
        </w:rPr>
        <w:t xml:space="preserve">. </w:t>
      </w:r>
    </w:p>
    <w:p w14:paraId="1C107CDF" w14:textId="325AB1DC" w:rsidR="00273B6B" w:rsidRDefault="002628A5" w:rsidP="00405C06">
      <w:pPr>
        <w:rPr>
          <w:rFonts w:cstheme="minorHAnsi"/>
        </w:rPr>
      </w:pPr>
      <w:r w:rsidRPr="00D20B1A">
        <w:rPr>
          <w:rFonts w:cstheme="minorHAnsi"/>
        </w:rPr>
        <w:t>O rateio dos recursos aportados pelo estado e seus municípios ao Fundo depende do número de matrículas de cada rede</w:t>
      </w:r>
      <w:r w:rsidR="00D81213">
        <w:rPr>
          <w:rFonts w:cstheme="minorHAnsi"/>
        </w:rPr>
        <w:t xml:space="preserve"> </w:t>
      </w:r>
      <w:r w:rsidRPr="00D20B1A">
        <w:rPr>
          <w:rFonts w:cstheme="minorHAnsi"/>
        </w:rPr>
        <w:t xml:space="preserve">- estadual e municipal. </w:t>
      </w:r>
      <w:r w:rsidR="00DA51CF">
        <w:rPr>
          <w:rFonts w:cstheme="minorHAnsi"/>
        </w:rPr>
        <w:t xml:space="preserve">Em 2010, o total recolhido ao </w:t>
      </w:r>
      <w:proofErr w:type="spellStart"/>
      <w:r w:rsidR="00DA51CF">
        <w:rPr>
          <w:rFonts w:cstheme="minorHAnsi"/>
        </w:rPr>
        <w:t>Fundeb</w:t>
      </w:r>
      <w:proofErr w:type="spellEnd"/>
      <w:r w:rsidR="00DA51CF">
        <w:rPr>
          <w:rFonts w:cstheme="minorHAnsi"/>
        </w:rPr>
        <w:t xml:space="preserve"> pelo </w:t>
      </w:r>
      <w:r w:rsidR="00CA11FF">
        <w:rPr>
          <w:rFonts w:cstheme="minorHAnsi"/>
        </w:rPr>
        <w:t>e</w:t>
      </w:r>
      <w:r w:rsidR="004B7960">
        <w:rPr>
          <w:rFonts w:cstheme="minorHAnsi"/>
        </w:rPr>
        <w:t>stad</w:t>
      </w:r>
      <w:r w:rsidR="00CA11FF">
        <w:rPr>
          <w:rFonts w:cstheme="minorHAnsi"/>
        </w:rPr>
        <w:t>o</w:t>
      </w:r>
      <w:r w:rsidR="004B7960">
        <w:rPr>
          <w:rFonts w:cstheme="minorHAnsi"/>
        </w:rPr>
        <w:t xml:space="preserve"> </w:t>
      </w:r>
      <w:r w:rsidR="00DA51CF">
        <w:rPr>
          <w:rFonts w:cstheme="minorHAnsi"/>
        </w:rPr>
        <w:t xml:space="preserve">e por seus </w:t>
      </w:r>
      <w:r w:rsidR="00CA11FF">
        <w:rPr>
          <w:rFonts w:cstheme="minorHAnsi"/>
        </w:rPr>
        <w:t>m</w:t>
      </w:r>
      <w:r w:rsidR="00DA51CF">
        <w:rPr>
          <w:rFonts w:cstheme="minorHAnsi"/>
        </w:rPr>
        <w:t>unicípios alcançou R$ 768,0 milhões</w:t>
      </w:r>
      <w:r w:rsidR="00DA51CF">
        <w:rPr>
          <w:rStyle w:val="FootnoteReference"/>
          <w:rFonts w:cstheme="minorHAnsi"/>
        </w:rPr>
        <w:footnoteReference w:id="15"/>
      </w:r>
      <w:r w:rsidR="00DA51CF">
        <w:rPr>
          <w:rFonts w:cstheme="minorHAnsi"/>
        </w:rPr>
        <w:t xml:space="preserve">, dos quais </w:t>
      </w:r>
      <w:r w:rsidR="00CA11FF" w:rsidRPr="00CA11FF">
        <w:rPr>
          <w:rFonts w:cstheme="minorHAnsi"/>
        </w:rPr>
        <w:t>R$ 664 milhões</w:t>
      </w:r>
      <w:r w:rsidR="00CA11FF">
        <w:rPr>
          <w:rFonts w:cstheme="minorHAnsi"/>
        </w:rPr>
        <w:t xml:space="preserve"> de contribuição estadual. Nesse ano, </w:t>
      </w:r>
      <w:r w:rsidR="0036146D">
        <w:rPr>
          <w:rFonts w:cstheme="minorHAnsi"/>
        </w:rPr>
        <w:t>retornaram, aos</w:t>
      </w:r>
      <w:r w:rsidR="00DA51CF">
        <w:rPr>
          <w:rFonts w:cstheme="minorHAnsi"/>
        </w:rPr>
        <w:t xml:space="preserve"> cofres do GEAP</w:t>
      </w:r>
      <w:r w:rsidR="00F53BA2">
        <w:rPr>
          <w:rFonts w:cstheme="minorHAnsi"/>
        </w:rPr>
        <w:t xml:space="preserve">, como Transferência do </w:t>
      </w:r>
      <w:proofErr w:type="spellStart"/>
      <w:r w:rsidR="00F53BA2">
        <w:rPr>
          <w:rFonts w:cstheme="minorHAnsi"/>
        </w:rPr>
        <w:t>Fundeb</w:t>
      </w:r>
      <w:proofErr w:type="spellEnd"/>
      <w:r w:rsidR="00F53BA2">
        <w:rPr>
          <w:rFonts w:cstheme="minorHAnsi"/>
        </w:rPr>
        <w:t xml:space="preserve">, </w:t>
      </w:r>
      <w:r w:rsidR="00DA51CF">
        <w:rPr>
          <w:rFonts w:cstheme="minorHAnsi"/>
        </w:rPr>
        <w:t xml:space="preserve">R$552,0 – </w:t>
      </w:r>
      <w:r w:rsidR="00CA11FF">
        <w:rPr>
          <w:rFonts w:cstheme="minorHAnsi"/>
        </w:rPr>
        <w:t>83</w:t>
      </w:r>
      <w:r w:rsidR="00DA51CF">
        <w:rPr>
          <w:rFonts w:cstheme="minorHAnsi"/>
        </w:rPr>
        <w:t>% d</w:t>
      </w:r>
      <w:r w:rsidR="00CA11FF">
        <w:rPr>
          <w:rFonts w:cstheme="minorHAnsi"/>
        </w:rPr>
        <w:t>essa</w:t>
      </w:r>
      <w:r w:rsidR="00DA51CF">
        <w:rPr>
          <w:rFonts w:cstheme="minorHAnsi"/>
        </w:rPr>
        <w:t xml:space="preserve"> contribuição</w:t>
      </w:r>
      <w:r w:rsidR="00CA11FF">
        <w:rPr>
          <w:rFonts w:cstheme="minorHAnsi"/>
        </w:rPr>
        <w:t xml:space="preserve">. </w:t>
      </w:r>
      <w:r w:rsidR="0036146D">
        <w:rPr>
          <w:rFonts w:cstheme="minorHAnsi"/>
        </w:rPr>
        <w:t xml:space="preserve">Em 2018, o total recolhido ao </w:t>
      </w:r>
      <w:proofErr w:type="spellStart"/>
      <w:r w:rsidR="0036146D">
        <w:rPr>
          <w:rFonts w:cstheme="minorHAnsi"/>
        </w:rPr>
        <w:t>Fundeb</w:t>
      </w:r>
      <w:proofErr w:type="spellEnd"/>
      <w:r w:rsidR="0036146D">
        <w:rPr>
          <w:rFonts w:cstheme="minorHAnsi"/>
        </w:rPr>
        <w:t xml:space="preserve"> pelo </w:t>
      </w:r>
      <w:r w:rsidR="00CA11FF">
        <w:rPr>
          <w:rFonts w:cstheme="minorHAnsi"/>
        </w:rPr>
        <w:t>estado</w:t>
      </w:r>
      <w:r w:rsidR="0036146D">
        <w:rPr>
          <w:rFonts w:cstheme="minorHAnsi"/>
        </w:rPr>
        <w:t xml:space="preserve"> e por seus </w:t>
      </w:r>
      <w:r w:rsidR="00CA11FF">
        <w:rPr>
          <w:rFonts w:cstheme="minorHAnsi"/>
        </w:rPr>
        <w:t>m</w:t>
      </w:r>
      <w:r w:rsidR="0036146D">
        <w:rPr>
          <w:rFonts w:cstheme="minorHAnsi"/>
        </w:rPr>
        <w:t xml:space="preserve">unicípios alcançou R$ </w:t>
      </w:r>
      <w:r w:rsidR="00C84670">
        <w:rPr>
          <w:rFonts w:cstheme="minorHAnsi"/>
        </w:rPr>
        <w:t>857</w:t>
      </w:r>
      <w:r w:rsidR="0036146D">
        <w:rPr>
          <w:rFonts w:cstheme="minorHAnsi"/>
        </w:rPr>
        <w:t>,0 milhões</w:t>
      </w:r>
      <w:r w:rsidR="0036146D">
        <w:rPr>
          <w:rStyle w:val="FootnoteReference"/>
          <w:rFonts w:cstheme="minorHAnsi"/>
        </w:rPr>
        <w:footnoteReference w:id="16"/>
      </w:r>
      <w:r w:rsidR="0036146D">
        <w:rPr>
          <w:rFonts w:cstheme="minorHAnsi"/>
        </w:rPr>
        <w:t xml:space="preserve">, dos quais </w:t>
      </w:r>
      <w:r w:rsidR="00CA11FF" w:rsidRPr="00CA11FF">
        <w:rPr>
          <w:rFonts w:cstheme="minorHAnsi"/>
        </w:rPr>
        <w:t>R$ 750 milhões</w:t>
      </w:r>
      <w:r w:rsidR="00CA11FF" w:rsidRPr="00CA11FF">
        <w:t xml:space="preserve"> </w:t>
      </w:r>
      <w:r w:rsidR="00CA11FF" w:rsidRPr="00CA11FF">
        <w:rPr>
          <w:rFonts w:cstheme="minorHAnsi"/>
        </w:rPr>
        <w:t xml:space="preserve">de contribuição estadual. Nesse ano, retornaram, aos cofres do GEAP, como Transferência do </w:t>
      </w:r>
      <w:proofErr w:type="spellStart"/>
      <w:r w:rsidR="00CA11FF" w:rsidRPr="00CA11FF">
        <w:rPr>
          <w:rFonts w:cstheme="minorHAnsi"/>
        </w:rPr>
        <w:t>Fundeb</w:t>
      </w:r>
      <w:proofErr w:type="spellEnd"/>
      <w:r w:rsidR="00CA11FF" w:rsidRPr="00CA11FF">
        <w:rPr>
          <w:rFonts w:cstheme="minorHAnsi"/>
        </w:rPr>
        <w:t>,</w:t>
      </w:r>
      <w:r w:rsidR="00CA11FF">
        <w:rPr>
          <w:rFonts w:cstheme="minorHAnsi"/>
        </w:rPr>
        <w:t xml:space="preserve"> </w:t>
      </w:r>
      <w:r w:rsidR="0036146D">
        <w:rPr>
          <w:rFonts w:cstheme="minorHAnsi"/>
        </w:rPr>
        <w:t>R$5</w:t>
      </w:r>
      <w:r w:rsidR="00C84670">
        <w:rPr>
          <w:rFonts w:cstheme="minorHAnsi"/>
        </w:rPr>
        <w:t>42</w:t>
      </w:r>
      <w:r w:rsidR="0036146D">
        <w:rPr>
          <w:rFonts w:cstheme="minorHAnsi"/>
        </w:rPr>
        <w:t>,0</w:t>
      </w:r>
      <w:r w:rsidR="00CA11FF">
        <w:rPr>
          <w:rFonts w:cstheme="minorHAnsi"/>
        </w:rPr>
        <w:t xml:space="preserve"> milhões</w:t>
      </w:r>
      <w:r w:rsidR="0036146D">
        <w:rPr>
          <w:rFonts w:cstheme="minorHAnsi"/>
        </w:rPr>
        <w:t xml:space="preserve"> – </w:t>
      </w:r>
      <w:r w:rsidR="00C84670">
        <w:rPr>
          <w:rFonts w:cstheme="minorHAnsi"/>
        </w:rPr>
        <w:t>63</w:t>
      </w:r>
      <w:r w:rsidR="0036146D">
        <w:rPr>
          <w:rFonts w:cstheme="minorHAnsi"/>
        </w:rPr>
        <w:t>% da contribuição efetuada</w:t>
      </w:r>
      <w:r w:rsidR="00CA11FF">
        <w:rPr>
          <w:rFonts w:cstheme="minorHAnsi"/>
        </w:rPr>
        <w:t xml:space="preserve">. Essa redução relativa sugere </w:t>
      </w:r>
      <w:r w:rsidR="00C84670">
        <w:rPr>
          <w:rFonts w:cstheme="minorHAnsi"/>
        </w:rPr>
        <w:t xml:space="preserve">que, no período, a municipalização do ensino avançou. </w:t>
      </w:r>
      <w:r w:rsidR="005A1D6C">
        <w:rPr>
          <w:rFonts w:cstheme="minorHAnsi"/>
        </w:rPr>
        <w:t xml:space="preserve">Pelo Censo Escolar de 2018, </w:t>
      </w:r>
      <w:r w:rsidR="00E13151">
        <w:rPr>
          <w:rFonts w:cstheme="minorHAnsi"/>
        </w:rPr>
        <w:t>h</w:t>
      </w:r>
      <w:r w:rsidR="005A1D6C">
        <w:rPr>
          <w:rFonts w:cstheme="minorHAnsi"/>
        </w:rPr>
        <w:t xml:space="preserve">avia 226.171 matrículas ne Educação Básica, das quais 124.415 na rede estadual, concentradas nos anos finais do Ensino Fundamental e do Ensino Médio. </w:t>
      </w:r>
    </w:p>
    <w:p w14:paraId="4766159B" w14:textId="5A821BA1" w:rsidR="00146CAC" w:rsidRPr="00D20B1A" w:rsidRDefault="003C102E" w:rsidP="00405C06">
      <w:pPr>
        <w:rPr>
          <w:rFonts w:cstheme="minorHAnsi"/>
        </w:rPr>
      </w:pPr>
      <w:r w:rsidRPr="00D20B1A">
        <w:rPr>
          <w:rFonts w:cstheme="minorHAnsi"/>
        </w:rPr>
        <w:t>A</w:t>
      </w:r>
      <w:r w:rsidR="00966B00">
        <w:rPr>
          <w:rFonts w:cstheme="minorHAnsi"/>
        </w:rPr>
        <w:t>s</w:t>
      </w:r>
      <w:r w:rsidRPr="00D20B1A">
        <w:rPr>
          <w:rFonts w:cstheme="minorHAnsi"/>
        </w:rPr>
        <w:t xml:space="preserve"> transferência</w:t>
      </w:r>
      <w:r w:rsidR="00966B00">
        <w:rPr>
          <w:rFonts w:cstheme="minorHAnsi"/>
        </w:rPr>
        <w:t>s</w:t>
      </w:r>
      <w:r w:rsidRPr="00D20B1A">
        <w:rPr>
          <w:rFonts w:cstheme="minorHAnsi"/>
        </w:rPr>
        <w:t xml:space="preserve"> do </w:t>
      </w:r>
      <w:r w:rsidR="00966B00" w:rsidRPr="00D20B1A">
        <w:rPr>
          <w:rFonts w:cstheme="minorHAnsi"/>
        </w:rPr>
        <w:t xml:space="preserve">SUS </w:t>
      </w:r>
      <w:r w:rsidR="00966B00">
        <w:rPr>
          <w:rFonts w:cstheme="minorHAnsi"/>
        </w:rPr>
        <w:t>pouco oscilaram a partir de 2012.</w:t>
      </w:r>
      <w:r w:rsidRPr="00D20B1A">
        <w:rPr>
          <w:rFonts w:cstheme="minorHAnsi"/>
        </w:rPr>
        <w:t xml:space="preserve"> </w:t>
      </w:r>
      <w:r w:rsidR="00441F5E" w:rsidRPr="00D20B1A">
        <w:rPr>
          <w:rFonts w:cstheme="minorHAnsi"/>
        </w:rPr>
        <w:t>Em 201</w:t>
      </w:r>
      <w:r w:rsidR="00966B00">
        <w:rPr>
          <w:rFonts w:cstheme="minorHAnsi"/>
        </w:rPr>
        <w:t>8</w:t>
      </w:r>
      <w:r w:rsidR="00441F5E" w:rsidRPr="00D20B1A">
        <w:rPr>
          <w:rFonts w:cstheme="minorHAnsi"/>
        </w:rPr>
        <w:t>, as transferências do SUS e convênios financiaram 2</w:t>
      </w:r>
      <w:r w:rsidR="009D0766">
        <w:rPr>
          <w:rFonts w:cstheme="minorHAnsi"/>
        </w:rPr>
        <w:t>1,2</w:t>
      </w:r>
      <w:r w:rsidR="00441F5E" w:rsidRPr="00D20B1A">
        <w:rPr>
          <w:rFonts w:cstheme="minorHAnsi"/>
        </w:rPr>
        <w:t>% da despesa anual</w:t>
      </w:r>
      <w:r w:rsidR="009108BE">
        <w:rPr>
          <w:rFonts w:cstheme="minorHAnsi"/>
        </w:rPr>
        <w:t xml:space="preserve"> com Saúde</w:t>
      </w:r>
      <w:r w:rsidR="00441F5E" w:rsidRPr="00D20B1A">
        <w:rPr>
          <w:rFonts w:cstheme="minorHAnsi"/>
        </w:rPr>
        <w:t xml:space="preserve">. </w:t>
      </w:r>
      <w:r w:rsidR="00086817" w:rsidRPr="00D20B1A">
        <w:rPr>
          <w:rFonts w:cstheme="minorHAnsi"/>
        </w:rPr>
        <w:t xml:space="preserve">O </w:t>
      </w:r>
      <w:r w:rsidR="00641DA2">
        <w:rPr>
          <w:rFonts w:cstheme="minorHAnsi"/>
        </w:rPr>
        <w:t>GEAP</w:t>
      </w:r>
      <w:r w:rsidR="00086817" w:rsidRPr="00D20B1A">
        <w:rPr>
          <w:rFonts w:cstheme="minorHAnsi"/>
        </w:rPr>
        <w:t xml:space="preserve"> </w:t>
      </w:r>
      <w:bookmarkStart w:id="29" w:name="_Hlk505181857"/>
      <w:r w:rsidR="00086817" w:rsidRPr="00D20B1A">
        <w:rPr>
          <w:rFonts w:cstheme="minorHAnsi"/>
        </w:rPr>
        <w:t xml:space="preserve">aplicou, em </w:t>
      </w:r>
      <w:r w:rsidR="009108BE">
        <w:rPr>
          <w:rFonts w:cstheme="minorHAnsi"/>
        </w:rPr>
        <w:t>S</w:t>
      </w:r>
      <w:r w:rsidR="00086817" w:rsidRPr="00D20B1A">
        <w:rPr>
          <w:rFonts w:cstheme="minorHAnsi"/>
        </w:rPr>
        <w:t>aúde, 1</w:t>
      </w:r>
      <w:r w:rsidR="009D0766">
        <w:rPr>
          <w:rFonts w:cstheme="minorHAnsi"/>
        </w:rPr>
        <w:t>4,2</w:t>
      </w:r>
      <w:r w:rsidR="00086817" w:rsidRPr="00D20B1A">
        <w:rPr>
          <w:rFonts w:cstheme="minorHAnsi"/>
        </w:rPr>
        <w:t xml:space="preserve">% das receitas próprias e de </w:t>
      </w:r>
      <w:r w:rsidR="009108BE">
        <w:rPr>
          <w:rFonts w:cstheme="minorHAnsi"/>
        </w:rPr>
        <w:t>T</w:t>
      </w:r>
      <w:r w:rsidR="00086817" w:rsidRPr="00D20B1A">
        <w:rPr>
          <w:rFonts w:cstheme="minorHAnsi"/>
        </w:rPr>
        <w:t xml:space="preserve">ransferências (determinadas pela Constituição de 1988), </w:t>
      </w:r>
      <w:bookmarkEnd w:id="29"/>
      <w:r w:rsidR="00086817" w:rsidRPr="00D20B1A">
        <w:rPr>
          <w:rFonts w:cstheme="minorHAnsi"/>
        </w:rPr>
        <w:t xml:space="preserve">superando o mínimo de </w:t>
      </w:r>
      <w:r w:rsidR="00413D22">
        <w:rPr>
          <w:rFonts w:cstheme="minorHAnsi"/>
        </w:rPr>
        <w:t>12</w:t>
      </w:r>
      <w:r w:rsidR="00086817" w:rsidRPr="00D20B1A">
        <w:rPr>
          <w:rFonts w:cstheme="minorHAnsi"/>
        </w:rPr>
        <w:t>%.</w:t>
      </w:r>
    </w:p>
    <w:p w14:paraId="5817D1FA" w14:textId="3CA681EF" w:rsidR="004208FE" w:rsidRDefault="004208FE" w:rsidP="00405C06">
      <w:pPr>
        <w:spacing w:before="0" w:after="200"/>
        <w:rPr>
          <w:rFonts w:cstheme="minorHAnsi"/>
        </w:rPr>
      </w:pPr>
      <w:r w:rsidRPr="00F93A00">
        <w:rPr>
          <w:rFonts w:cstheme="minorHAnsi"/>
        </w:rPr>
        <w:t>As O</w:t>
      </w:r>
      <w:r w:rsidR="00093081" w:rsidRPr="00F93A00">
        <w:rPr>
          <w:rFonts w:cstheme="minorHAnsi"/>
        </w:rPr>
        <w:t>utras Receitas Correntes compreendem</w:t>
      </w:r>
      <w:r w:rsidR="00F93A00" w:rsidRPr="00F93A00">
        <w:rPr>
          <w:rFonts w:cstheme="minorHAnsi"/>
        </w:rPr>
        <w:t xml:space="preserve"> principalmente</w:t>
      </w:r>
      <w:r w:rsidR="00A87DF9" w:rsidRPr="00F93A00">
        <w:rPr>
          <w:rFonts w:cstheme="minorHAnsi"/>
        </w:rPr>
        <w:t xml:space="preserve">, como anteriormente </w:t>
      </w:r>
      <w:r w:rsidR="00F93A00" w:rsidRPr="00F93A00">
        <w:rPr>
          <w:rFonts w:cstheme="minorHAnsi"/>
        </w:rPr>
        <w:t>observado, de Receitas de Valores Mobiliários do Regime Próprio de Previdência do Servidores, que chegam a 92% do total em 2018</w:t>
      </w:r>
    </w:p>
    <w:p w14:paraId="5AD382CB" w14:textId="17768B2E" w:rsidR="009E62E4" w:rsidRPr="00F93A00" w:rsidRDefault="009E62E4" w:rsidP="00405C06">
      <w:pPr>
        <w:spacing w:before="0" w:after="200"/>
        <w:rPr>
          <w:rFonts w:cstheme="minorHAnsi"/>
        </w:rPr>
      </w:pPr>
      <w:r w:rsidRPr="009E62E4">
        <w:rPr>
          <w:rFonts w:cstheme="minorHAnsi"/>
        </w:rPr>
        <w:t>As Receitas de Operações de Crédito,</w:t>
      </w:r>
      <w:r>
        <w:rPr>
          <w:rFonts w:cstheme="minorHAnsi"/>
        </w:rPr>
        <w:t xml:space="preserve"> excepcionalmente elevadas </w:t>
      </w:r>
      <w:r w:rsidR="00B85A7F">
        <w:rPr>
          <w:rFonts w:cstheme="minorHAnsi"/>
        </w:rPr>
        <w:t xml:space="preserve">em </w:t>
      </w:r>
      <w:r w:rsidR="00B85A7F" w:rsidRPr="009E62E4">
        <w:rPr>
          <w:rFonts w:cstheme="minorHAnsi"/>
        </w:rPr>
        <w:t>2012</w:t>
      </w:r>
      <w:r w:rsidRPr="009E62E4">
        <w:rPr>
          <w:rFonts w:cstheme="minorHAnsi"/>
        </w:rPr>
        <w:t xml:space="preserve"> a 2015, </w:t>
      </w:r>
      <w:r>
        <w:rPr>
          <w:rFonts w:cstheme="minorHAnsi"/>
        </w:rPr>
        <w:t>dizem respeito</w:t>
      </w:r>
      <w:r w:rsidR="00851104">
        <w:rPr>
          <w:rFonts w:cstheme="minorHAnsi"/>
        </w:rPr>
        <w:t xml:space="preserve"> sobretudo a</w:t>
      </w:r>
      <w:r>
        <w:rPr>
          <w:rFonts w:cstheme="minorHAnsi"/>
        </w:rPr>
        <w:t xml:space="preserve"> operações </w:t>
      </w:r>
      <w:r w:rsidR="00B52994">
        <w:rPr>
          <w:rFonts w:cstheme="minorHAnsi"/>
        </w:rPr>
        <w:t xml:space="preserve">relacionadas </w:t>
      </w:r>
      <w:r w:rsidRPr="009E62E4">
        <w:rPr>
          <w:rFonts w:cstheme="minorHAnsi"/>
        </w:rPr>
        <w:t>à federalização da Companhia de Eletricidade do Amapá – CEA</w:t>
      </w:r>
      <w:r w:rsidR="00851104">
        <w:rPr>
          <w:rFonts w:cstheme="minorHAnsi"/>
        </w:rPr>
        <w:t xml:space="preserve"> e a empréstimos do BNDES</w:t>
      </w:r>
      <w:r w:rsidR="00B52994">
        <w:rPr>
          <w:rFonts w:cstheme="minorHAnsi"/>
        </w:rPr>
        <w:t xml:space="preserve">. Pelas informações colhidas calcula-se que cerca de R$390,0 Milhões, em 2013, </w:t>
      </w:r>
      <w:r w:rsidR="00851104">
        <w:rPr>
          <w:rFonts w:cstheme="minorHAnsi"/>
        </w:rPr>
        <w:t xml:space="preserve">referem-se </w:t>
      </w:r>
      <w:proofErr w:type="gramStart"/>
      <w:r w:rsidR="006A198F">
        <w:rPr>
          <w:rFonts w:cstheme="minorHAnsi"/>
        </w:rPr>
        <w:t>a</w:t>
      </w:r>
      <w:proofErr w:type="gramEnd"/>
      <w:r w:rsidR="006A198F">
        <w:rPr>
          <w:rFonts w:cstheme="minorHAnsi"/>
        </w:rPr>
        <w:t xml:space="preserve"> reestruturação</w:t>
      </w:r>
      <w:r w:rsidR="00B52994">
        <w:rPr>
          <w:rFonts w:cstheme="minorHAnsi"/>
        </w:rPr>
        <w:t xml:space="preserve"> de dívidas com o BNDES. As operações deste tipo, embora não impactem, a princípio, a situação patrimonial nem as contas de resultado, afetam os lançamentos da receita e despesa:  a parcela reestruturada é computada como </w:t>
      </w:r>
      <w:r w:rsidR="00924429">
        <w:rPr>
          <w:rFonts w:cstheme="minorHAnsi"/>
        </w:rPr>
        <w:t>Despesa com A</w:t>
      </w:r>
      <w:r w:rsidR="00B52994">
        <w:rPr>
          <w:rFonts w:cstheme="minorHAnsi"/>
        </w:rPr>
        <w:t xml:space="preserve">mortização da linha de crédito substituída e o montante </w:t>
      </w:r>
      <w:r w:rsidR="00B52994">
        <w:rPr>
          <w:rFonts w:cstheme="minorHAnsi"/>
        </w:rPr>
        <w:lastRenderedPageBreak/>
        <w:t xml:space="preserve">relativo à nova linha de crédito é lançado como </w:t>
      </w:r>
      <w:r w:rsidR="00924429">
        <w:rPr>
          <w:rFonts w:cstheme="minorHAnsi"/>
        </w:rPr>
        <w:t>Receita de O</w:t>
      </w:r>
      <w:r w:rsidR="00B52994">
        <w:rPr>
          <w:rFonts w:cstheme="minorHAnsi"/>
        </w:rPr>
        <w:t xml:space="preserve">perações de </w:t>
      </w:r>
      <w:r w:rsidR="00924429">
        <w:rPr>
          <w:rFonts w:cstheme="minorHAnsi"/>
        </w:rPr>
        <w:t>C</w:t>
      </w:r>
      <w:r w:rsidR="00B52994">
        <w:rPr>
          <w:rFonts w:cstheme="minorHAnsi"/>
        </w:rPr>
        <w:t xml:space="preserve">rédito. Em 2018, não há qualquer ingresso de </w:t>
      </w:r>
      <w:r w:rsidR="00B52994" w:rsidRPr="00B52994">
        <w:rPr>
          <w:rFonts w:cstheme="minorHAnsi"/>
        </w:rPr>
        <w:t>Receitas de Operações de Crédito</w:t>
      </w:r>
      <w:r w:rsidR="00B52994">
        <w:rPr>
          <w:rFonts w:cstheme="minorHAnsi"/>
        </w:rPr>
        <w:t xml:space="preserve">. </w:t>
      </w:r>
      <w:r w:rsidR="007A2DEA">
        <w:rPr>
          <w:rFonts w:cstheme="minorHAnsi"/>
        </w:rPr>
        <w:t xml:space="preserve">Na seção relativa à Dívida Pública, retomaremos este tema. </w:t>
      </w:r>
    </w:p>
    <w:p w14:paraId="5474C09F" w14:textId="7870E62F" w:rsidR="00834C77" w:rsidRPr="00D20B1A" w:rsidRDefault="00DA63F1" w:rsidP="00405C06">
      <w:pPr>
        <w:pStyle w:val="Heading2"/>
        <w:numPr>
          <w:ilvl w:val="0"/>
          <w:numId w:val="0"/>
        </w:numPr>
        <w:spacing w:before="480" w:after="120"/>
        <w:rPr>
          <w:rFonts w:cstheme="minorHAnsi"/>
          <w:b w:val="0"/>
          <w:i/>
        </w:rPr>
      </w:pPr>
      <w:bookmarkStart w:id="30" w:name="_Toc505510665"/>
      <w:r w:rsidRPr="00D20B1A">
        <w:rPr>
          <w:rFonts w:cstheme="minorHAnsi"/>
          <w:b w:val="0"/>
          <w:i/>
        </w:rPr>
        <w:t>2.3</w:t>
      </w:r>
      <w:r w:rsidR="00CD5E07">
        <w:rPr>
          <w:rFonts w:cstheme="minorHAnsi"/>
          <w:b w:val="0"/>
          <w:i/>
        </w:rPr>
        <w:t xml:space="preserve"> </w:t>
      </w:r>
      <w:r w:rsidR="00834C77" w:rsidRPr="00D20B1A">
        <w:rPr>
          <w:rFonts w:cstheme="minorHAnsi"/>
          <w:b w:val="0"/>
          <w:i/>
        </w:rPr>
        <w:t>Evolução da Despesa Líquida</w:t>
      </w:r>
      <w:bookmarkEnd w:id="30"/>
      <w:r w:rsidR="00834C77" w:rsidRPr="00D20B1A">
        <w:rPr>
          <w:rFonts w:cstheme="minorHAnsi"/>
          <w:b w:val="0"/>
          <w:i/>
        </w:rPr>
        <w:t xml:space="preserve"> </w:t>
      </w:r>
    </w:p>
    <w:p w14:paraId="4A25329D" w14:textId="1E3B9828" w:rsidR="00F51376" w:rsidRPr="00D20B1A" w:rsidRDefault="004E59D4" w:rsidP="00405C06">
      <w:pPr>
        <w:rPr>
          <w:rFonts w:cstheme="minorHAnsi"/>
        </w:rPr>
      </w:pPr>
      <w:r w:rsidRPr="00D20B1A">
        <w:rPr>
          <w:rFonts w:cstheme="minorHAnsi"/>
        </w:rPr>
        <w:t xml:space="preserve">A Tabela </w:t>
      </w:r>
      <w:r w:rsidR="00DC50EC" w:rsidRPr="00D20B1A">
        <w:rPr>
          <w:rFonts w:cstheme="minorHAnsi"/>
        </w:rPr>
        <w:t>3</w:t>
      </w:r>
      <w:r w:rsidR="00834C77" w:rsidRPr="00D20B1A">
        <w:rPr>
          <w:rFonts w:cstheme="minorHAnsi"/>
        </w:rPr>
        <w:t xml:space="preserve"> apresenta a composição da Despesa Líquida</w:t>
      </w:r>
      <w:r w:rsidR="00CD55CC" w:rsidRPr="00D20B1A">
        <w:rPr>
          <w:rFonts w:cstheme="minorHAnsi"/>
        </w:rPr>
        <w:t xml:space="preserve"> </w:t>
      </w:r>
      <w:r w:rsidR="00834C77" w:rsidRPr="00D20B1A">
        <w:rPr>
          <w:rFonts w:cstheme="minorHAnsi"/>
        </w:rPr>
        <w:t>entre 2</w:t>
      </w:r>
      <w:r w:rsidR="00076C24" w:rsidRPr="00D20B1A">
        <w:rPr>
          <w:rFonts w:cstheme="minorHAnsi"/>
        </w:rPr>
        <w:t>00</w:t>
      </w:r>
      <w:r w:rsidR="00BA3211" w:rsidRPr="00D20B1A">
        <w:rPr>
          <w:rFonts w:cstheme="minorHAnsi"/>
        </w:rPr>
        <w:t>6</w:t>
      </w:r>
      <w:r w:rsidR="00076C24" w:rsidRPr="00D20B1A">
        <w:rPr>
          <w:rFonts w:cstheme="minorHAnsi"/>
        </w:rPr>
        <w:t xml:space="preserve"> e 201</w:t>
      </w:r>
      <w:r w:rsidR="00850AD8">
        <w:rPr>
          <w:rFonts w:cstheme="minorHAnsi"/>
        </w:rPr>
        <w:t xml:space="preserve">8. A evolução de </w:t>
      </w:r>
      <w:r w:rsidR="00E05DBE" w:rsidRPr="00D20B1A">
        <w:rPr>
          <w:rFonts w:cstheme="minorHAnsi"/>
        </w:rPr>
        <w:t xml:space="preserve">seus </w:t>
      </w:r>
      <w:r w:rsidR="00A154B3" w:rsidRPr="00D20B1A">
        <w:rPr>
          <w:rFonts w:cstheme="minorHAnsi"/>
        </w:rPr>
        <w:t>principais componente</w:t>
      </w:r>
      <w:r w:rsidR="00850AD8">
        <w:rPr>
          <w:rFonts w:cstheme="minorHAnsi"/>
        </w:rPr>
        <w:t xml:space="preserve">s é visualizada </w:t>
      </w:r>
      <w:r w:rsidR="009A59B0" w:rsidRPr="00D20B1A">
        <w:rPr>
          <w:rFonts w:cstheme="minorHAnsi"/>
        </w:rPr>
        <w:t xml:space="preserve">no </w:t>
      </w:r>
      <w:r w:rsidR="007736AA" w:rsidRPr="00D20B1A">
        <w:rPr>
          <w:rFonts w:cstheme="minorHAnsi"/>
        </w:rPr>
        <w:t xml:space="preserve">Gráfico </w:t>
      </w:r>
      <w:r w:rsidR="00AB4B19" w:rsidRPr="00D20B1A">
        <w:rPr>
          <w:rFonts w:cstheme="minorHAnsi"/>
        </w:rPr>
        <w:t>4</w:t>
      </w:r>
      <w:r w:rsidR="00AB4B19">
        <w:rPr>
          <w:rFonts w:cstheme="minorHAnsi"/>
        </w:rPr>
        <w:t>.</w:t>
      </w:r>
      <w:r w:rsidR="009C519A">
        <w:rPr>
          <w:rFonts w:cstheme="minorHAnsi"/>
        </w:rPr>
        <w:t xml:space="preserve"> A Tabela 3-A do Anexo detalha mais a Despesa</w:t>
      </w:r>
      <w:r w:rsidR="009A59B0" w:rsidRPr="00D20B1A">
        <w:rPr>
          <w:rFonts w:cstheme="minorHAnsi"/>
        </w:rPr>
        <w:t>.</w:t>
      </w:r>
      <w:r w:rsidR="00850AD8">
        <w:rPr>
          <w:rFonts w:cstheme="minorHAnsi"/>
        </w:rPr>
        <w:t xml:space="preserve"> As Tabelas 4 e 5</w:t>
      </w:r>
      <w:r w:rsidR="00CD5E07">
        <w:rPr>
          <w:rFonts w:cstheme="minorHAnsi"/>
        </w:rPr>
        <w:t xml:space="preserve"> </w:t>
      </w:r>
      <w:r w:rsidR="00850AD8">
        <w:rPr>
          <w:rFonts w:cstheme="minorHAnsi"/>
        </w:rPr>
        <w:t xml:space="preserve">tratam </w:t>
      </w:r>
      <w:r w:rsidR="00430AF5">
        <w:rPr>
          <w:rFonts w:cstheme="minorHAnsi"/>
        </w:rPr>
        <w:t>da Despesa</w:t>
      </w:r>
      <w:r w:rsidR="00850AD8">
        <w:rPr>
          <w:rFonts w:cstheme="minorHAnsi"/>
        </w:rPr>
        <w:t xml:space="preserve"> de Pessoal e dos limites da Lei de Responsabilidade Fiscal.  </w:t>
      </w:r>
    </w:p>
    <w:p w14:paraId="25250CBE" w14:textId="77777777" w:rsidR="003D6996" w:rsidRPr="00D20B1A" w:rsidRDefault="003D6996" w:rsidP="00405C06">
      <w:pPr>
        <w:pStyle w:val="Caption"/>
        <w:rPr>
          <w:rFonts w:asciiTheme="minorHAnsi" w:hAnsiTheme="minorHAnsi" w:cstheme="minorHAnsi"/>
        </w:rPr>
        <w:sectPr w:rsidR="003D6996" w:rsidRPr="00D20B1A" w:rsidSect="003D6996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07522442" w14:textId="2E506FE8" w:rsidR="00834C77" w:rsidRPr="00D20B1A" w:rsidRDefault="004344C7" w:rsidP="00405C06">
      <w:pPr>
        <w:pStyle w:val="Caption"/>
        <w:rPr>
          <w:rFonts w:asciiTheme="minorHAnsi" w:hAnsiTheme="minorHAnsi" w:cstheme="minorHAnsi"/>
        </w:rPr>
      </w:pPr>
      <w:bookmarkStart w:id="31" w:name="_Toc7196731"/>
      <w:r w:rsidRPr="00741B52"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2C979D0F" wp14:editId="3626C180">
            <wp:simplePos x="0" y="0"/>
            <wp:positionH relativeFrom="margin">
              <wp:align>center</wp:align>
            </wp:positionH>
            <wp:positionV relativeFrom="paragraph">
              <wp:posOffset>487045</wp:posOffset>
            </wp:positionV>
            <wp:extent cx="10335895" cy="3571240"/>
            <wp:effectExtent l="0" t="0" r="8255" b="0"/>
            <wp:wrapSquare wrapText="bothSides"/>
            <wp:docPr id="38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5895" cy="357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88B" w:rsidRPr="00741B52">
        <w:rPr>
          <w:rFonts w:asciiTheme="minorHAnsi" w:hAnsiTheme="minorHAnsi" w:cstheme="minorHAnsi"/>
        </w:rPr>
        <w:t xml:space="preserve">Tabela </w:t>
      </w:r>
      <w:r w:rsidR="00902253" w:rsidRPr="00741B52">
        <w:rPr>
          <w:rFonts w:asciiTheme="minorHAnsi" w:hAnsiTheme="minorHAnsi" w:cstheme="minorHAnsi"/>
        </w:rPr>
        <w:fldChar w:fldCharType="begin"/>
      </w:r>
      <w:r w:rsidR="00902253" w:rsidRPr="00741B52">
        <w:rPr>
          <w:rFonts w:asciiTheme="minorHAnsi" w:hAnsiTheme="minorHAnsi" w:cstheme="minorHAnsi"/>
        </w:rPr>
        <w:instrText xml:space="preserve"> SEQ Tabela \* ARABIC </w:instrText>
      </w:r>
      <w:r w:rsidR="00902253" w:rsidRPr="00741B52">
        <w:rPr>
          <w:rFonts w:asciiTheme="minorHAnsi" w:hAnsiTheme="minorHAnsi" w:cstheme="minorHAnsi"/>
        </w:rPr>
        <w:fldChar w:fldCharType="separate"/>
      </w:r>
      <w:r w:rsidR="00D224F2">
        <w:rPr>
          <w:rFonts w:asciiTheme="minorHAnsi" w:hAnsiTheme="minorHAnsi" w:cstheme="minorHAnsi"/>
          <w:noProof/>
        </w:rPr>
        <w:t>3</w:t>
      </w:r>
      <w:r w:rsidR="00902253" w:rsidRPr="00741B52">
        <w:rPr>
          <w:rFonts w:asciiTheme="minorHAnsi" w:hAnsiTheme="minorHAnsi" w:cstheme="minorHAnsi"/>
          <w:noProof/>
        </w:rPr>
        <w:fldChar w:fldCharType="end"/>
      </w:r>
      <w:r w:rsidR="00C52BA6" w:rsidRPr="00741B52">
        <w:rPr>
          <w:rFonts w:asciiTheme="minorHAnsi" w:hAnsiTheme="minorHAnsi" w:cstheme="minorHAnsi"/>
        </w:rPr>
        <w:t xml:space="preserve">. </w:t>
      </w:r>
      <w:r w:rsidR="00834C77" w:rsidRPr="00741B52">
        <w:rPr>
          <w:rFonts w:asciiTheme="minorHAnsi" w:hAnsiTheme="minorHAnsi" w:cstheme="minorHAnsi"/>
        </w:rPr>
        <w:t xml:space="preserve">Composição da Despesa Líquida </w:t>
      </w:r>
      <w:r w:rsidR="005242AF" w:rsidRPr="00741B52">
        <w:rPr>
          <w:rFonts w:asciiTheme="minorHAnsi" w:hAnsiTheme="minorHAnsi" w:cstheme="minorHAnsi"/>
        </w:rPr>
        <w:t>2006 a 2018</w:t>
      </w:r>
      <w:bookmarkEnd w:id="31"/>
    </w:p>
    <w:p w14:paraId="3EA038FD" w14:textId="1197BBFF" w:rsidR="003D6996" w:rsidRPr="00D20B1A" w:rsidRDefault="003D6996" w:rsidP="003D6996">
      <w:pPr>
        <w:rPr>
          <w:rFonts w:cstheme="minorHAnsi"/>
        </w:rPr>
      </w:pPr>
    </w:p>
    <w:p w14:paraId="4C12C53E" w14:textId="1C132E15" w:rsidR="00CE001C" w:rsidRDefault="00CE001C" w:rsidP="003D6996">
      <w:pPr>
        <w:spacing w:before="120"/>
        <w:rPr>
          <w:rFonts w:cstheme="minorHAnsi"/>
          <w:sz w:val="16"/>
          <w:szCs w:val="16"/>
        </w:rPr>
      </w:pPr>
    </w:p>
    <w:p w14:paraId="4E776DC4" w14:textId="638842CA" w:rsidR="00CE001C" w:rsidRDefault="00CE001C" w:rsidP="003D6996">
      <w:pPr>
        <w:spacing w:before="120"/>
        <w:rPr>
          <w:rFonts w:cstheme="minorHAnsi"/>
          <w:sz w:val="16"/>
          <w:szCs w:val="16"/>
        </w:rPr>
      </w:pPr>
    </w:p>
    <w:p w14:paraId="56F38EDC" w14:textId="77777777" w:rsidR="00CE001C" w:rsidRDefault="00CE001C" w:rsidP="003D6996">
      <w:pPr>
        <w:spacing w:before="120"/>
        <w:rPr>
          <w:rFonts w:cstheme="minorHAnsi"/>
          <w:sz w:val="16"/>
          <w:szCs w:val="16"/>
        </w:rPr>
      </w:pPr>
    </w:p>
    <w:p w14:paraId="2F2FB90D" w14:textId="56BACA66" w:rsidR="00CE001C" w:rsidRPr="00D20B1A" w:rsidRDefault="00CE001C" w:rsidP="003D6996">
      <w:pPr>
        <w:spacing w:before="120"/>
        <w:rPr>
          <w:rFonts w:cstheme="minorHAnsi"/>
          <w:sz w:val="16"/>
          <w:szCs w:val="16"/>
        </w:rPr>
        <w:sectPr w:rsidR="00CE001C" w:rsidRPr="00D20B1A" w:rsidSect="003D6996">
          <w:pgSz w:w="16838" w:h="11906" w:orient="landscape"/>
          <w:pgMar w:top="1080" w:right="1440" w:bottom="1080" w:left="1440" w:header="708" w:footer="708" w:gutter="0"/>
          <w:cols w:space="708"/>
          <w:docGrid w:linePitch="360"/>
        </w:sectPr>
      </w:pPr>
    </w:p>
    <w:p w14:paraId="51FFFEF4" w14:textId="5EC2765D" w:rsidR="00C40997" w:rsidRPr="00D20B1A" w:rsidRDefault="008D198E" w:rsidP="00405C06">
      <w:pPr>
        <w:pStyle w:val="Caption"/>
        <w:rPr>
          <w:rFonts w:asciiTheme="minorHAnsi" w:hAnsiTheme="minorHAnsi" w:cstheme="minorHAnsi"/>
        </w:rPr>
      </w:pPr>
      <w:bookmarkStart w:id="32" w:name="_Toc7196756"/>
      <w:r w:rsidRPr="00741B52">
        <w:rPr>
          <w:rFonts w:cstheme="minorHAnsi"/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3385A051" wp14:editId="0F4F7193">
            <wp:simplePos x="0" y="0"/>
            <wp:positionH relativeFrom="margin">
              <wp:align>center</wp:align>
            </wp:positionH>
            <wp:positionV relativeFrom="paragraph">
              <wp:posOffset>558704</wp:posOffset>
            </wp:positionV>
            <wp:extent cx="6663690" cy="3562985"/>
            <wp:effectExtent l="0" t="0" r="3810" b="0"/>
            <wp:wrapSquare wrapText="bothSides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690" cy="3562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6678" w:rsidRPr="00741B52">
        <w:rPr>
          <w:rFonts w:asciiTheme="minorHAnsi" w:hAnsiTheme="minorHAnsi" w:cstheme="minorHAnsi"/>
        </w:rPr>
        <w:t xml:space="preserve">Gráfico </w:t>
      </w:r>
      <w:r w:rsidR="00656678" w:rsidRPr="00741B52">
        <w:rPr>
          <w:rFonts w:asciiTheme="minorHAnsi" w:hAnsiTheme="minorHAnsi" w:cstheme="minorHAnsi"/>
        </w:rPr>
        <w:fldChar w:fldCharType="begin"/>
      </w:r>
      <w:r w:rsidR="00656678" w:rsidRPr="00741B52">
        <w:rPr>
          <w:rFonts w:asciiTheme="minorHAnsi" w:hAnsiTheme="minorHAnsi" w:cstheme="minorHAnsi"/>
        </w:rPr>
        <w:instrText xml:space="preserve"> SEQ Gráfico \* ARABIC </w:instrText>
      </w:r>
      <w:r w:rsidR="00656678" w:rsidRPr="00741B52">
        <w:rPr>
          <w:rFonts w:asciiTheme="minorHAnsi" w:hAnsiTheme="minorHAnsi" w:cstheme="minorHAnsi"/>
        </w:rPr>
        <w:fldChar w:fldCharType="separate"/>
      </w:r>
      <w:r w:rsidR="00D224F2">
        <w:rPr>
          <w:rFonts w:asciiTheme="minorHAnsi" w:hAnsiTheme="minorHAnsi" w:cstheme="minorHAnsi"/>
          <w:noProof/>
        </w:rPr>
        <w:t>4</w:t>
      </w:r>
      <w:r w:rsidR="00656678" w:rsidRPr="00741B52">
        <w:rPr>
          <w:rFonts w:asciiTheme="minorHAnsi" w:hAnsiTheme="minorHAnsi" w:cstheme="minorHAnsi"/>
        </w:rPr>
        <w:fldChar w:fldCharType="end"/>
      </w:r>
      <w:r w:rsidR="00C40997" w:rsidRPr="00741B52">
        <w:rPr>
          <w:rFonts w:asciiTheme="minorHAnsi" w:hAnsiTheme="minorHAnsi" w:cstheme="minorHAnsi"/>
        </w:rPr>
        <w:t xml:space="preserve">. Composição da Despesa Líquida </w:t>
      </w:r>
      <w:r w:rsidR="005242AF" w:rsidRPr="00741B52">
        <w:rPr>
          <w:rFonts w:asciiTheme="minorHAnsi" w:hAnsiTheme="minorHAnsi" w:cstheme="minorHAnsi"/>
        </w:rPr>
        <w:t>2006 a 2018</w:t>
      </w:r>
      <w:bookmarkEnd w:id="32"/>
    </w:p>
    <w:p w14:paraId="1AC46270" w14:textId="77777777" w:rsidR="008D198E" w:rsidRDefault="008D198E" w:rsidP="00405C06">
      <w:pPr>
        <w:rPr>
          <w:rFonts w:cstheme="minorHAnsi"/>
        </w:rPr>
      </w:pPr>
    </w:p>
    <w:p w14:paraId="55625E55" w14:textId="5A1FB10A" w:rsidR="00264F87" w:rsidRPr="006A198F" w:rsidRDefault="00CD52E4" w:rsidP="00405C06">
      <w:pPr>
        <w:rPr>
          <w:rFonts w:cstheme="minorHAnsi"/>
        </w:rPr>
      </w:pPr>
      <w:r w:rsidRPr="006A198F">
        <w:rPr>
          <w:rFonts w:cstheme="minorHAnsi"/>
        </w:rPr>
        <w:t>Acompanhando, em parte, a Receita, a Despesa se reduz a partir de 2015</w:t>
      </w:r>
      <w:r w:rsidR="006710FC" w:rsidRPr="006A198F">
        <w:rPr>
          <w:rFonts w:cstheme="minorHAnsi"/>
        </w:rPr>
        <w:t xml:space="preserve">, embora seus componentes sigam trajetórias diversas. </w:t>
      </w:r>
      <w:r w:rsidR="00F6747F" w:rsidRPr="006A198F">
        <w:rPr>
          <w:rFonts w:cstheme="minorHAnsi"/>
        </w:rPr>
        <w:t>A</w:t>
      </w:r>
      <w:r w:rsidR="006710FC" w:rsidRPr="006A198F">
        <w:rPr>
          <w:rFonts w:cstheme="minorHAnsi"/>
        </w:rPr>
        <w:t xml:space="preserve"> </w:t>
      </w:r>
      <w:r w:rsidR="00F14ED8" w:rsidRPr="006A198F">
        <w:rPr>
          <w:rFonts w:cstheme="minorHAnsi"/>
        </w:rPr>
        <w:t>Despesa</w:t>
      </w:r>
      <w:r w:rsidR="006710FC" w:rsidRPr="006A198F">
        <w:rPr>
          <w:rFonts w:cstheme="minorHAnsi"/>
        </w:rPr>
        <w:t xml:space="preserve"> de Pessoal</w:t>
      </w:r>
      <w:r w:rsidR="00F21A40" w:rsidRPr="006A198F">
        <w:rPr>
          <w:rFonts w:cstheme="minorHAnsi"/>
        </w:rPr>
        <w:t xml:space="preserve"> cresce a cada ano até 2012, passando de R$1</w:t>
      </w:r>
      <w:r w:rsidR="00264F87" w:rsidRPr="006A198F">
        <w:rPr>
          <w:rFonts w:cstheme="minorHAnsi"/>
        </w:rPr>
        <w:t>.</w:t>
      </w:r>
      <w:r w:rsidR="00F21A40" w:rsidRPr="006A198F">
        <w:rPr>
          <w:rFonts w:cstheme="minorHAnsi"/>
        </w:rPr>
        <w:t>694 milhões em 2006, para R$2.745 milhões</w:t>
      </w:r>
      <w:r w:rsidR="00264F87" w:rsidRPr="006A198F">
        <w:rPr>
          <w:rFonts w:cstheme="minorHAnsi"/>
        </w:rPr>
        <w:t xml:space="preserve"> em 2012</w:t>
      </w:r>
      <w:r w:rsidR="00F21A40" w:rsidRPr="006A198F">
        <w:rPr>
          <w:rFonts w:cstheme="minorHAnsi"/>
        </w:rPr>
        <w:t xml:space="preserve"> – acréscimo real de 62% em 6 anos</w:t>
      </w:r>
      <w:r w:rsidR="00264F87" w:rsidRPr="006A198F">
        <w:rPr>
          <w:rFonts w:cstheme="minorHAnsi"/>
        </w:rPr>
        <w:t xml:space="preserve">. A partir de então, oscila, retornando, em 2018, ao nível de 2012. </w:t>
      </w:r>
      <w:r w:rsidR="00EF2F5C">
        <w:rPr>
          <w:rFonts w:cstheme="minorHAnsi"/>
        </w:rPr>
        <w:t xml:space="preserve">O conjunto das Outras Despesas Correntes </w:t>
      </w:r>
      <w:r w:rsidR="00EF2F5C" w:rsidRPr="006A198F">
        <w:rPr>
          <w:rFonts w:cstheme="minorHAnsi"/>
        </w:rPr>
        <w:t>mantém</w:t>
      </w:r>
      <w:r w:rsidR="00212EEA" w:rsidRPr="006A198F">
        <w:rPr>
          <w:rFonts w:cstheme="minorHAnsi"/>
        </w:rPr>
        <w:t xml:space="preserve"> razoável estabilidade entre 2008 e 2012. </w:t>
      </w:r>
      <w:r w:rsidR="00EF2F5C">
        <w:rPr>
          <w:rFonts w:cstheme="minorHAnsi"/>
        </w:rPr>
        <w:t xml:space="preserve">Seguem-se </w:t>
      </w:r>
      <w:r w:rsidR="00212EEA" w:rsidRPr="006A198F">
        <w:rPr>
          <w:rFonts w:cstheme="minorHAnsi"/>
        </w:rPr>
        <w:t xml:space="preserve">dois anos de aumento, </w:t>
      </w:r>
      <w:r w:rsidR="00EF2F5C">
        <w:rPr>
          <w:rFonts w:cstheme="minorHAnsi"/>
        </w:rPr>
        <w:t xml:space="preserve">após o que </w:t>
      </w:r>
      <w:r w:rsidR="001130AE">
        <w:rPr>
          <w:rFonts w:cstheme="minorHAnsi"/>
        </w:rPr>
        <w:t>caem</w:t>
      </w:r>
      <w:r w:rsidR="00EF2F5C">
        <w:rPr>
          <w:rFonts w:cstheme="minorHAnsi"/>
        </w:rPr>
        <w:t xml:space="preserve"> até chegar, em 2018, ao</w:t>
      </w:r>
      <w:r w:rsidR="00212EEA" w:rsidRPr="006A198F">
        <w:rPr>
          <w:rFonts w:cstheme="minorHAnsi"/>
        </w:rPr>
        <w:t xml:space="preserve"> nível de 2007.  Em 2015, o GEAP realizou transferências voluntárias a municípios- R$ 132,0 Milhões bem superiores à média dos outros anos - R$ 27,00 milhões. A partir de 2016, essas despesas voltam a seu padrão e a contração recai </w:t>
      </w:r>
      <w:r w:rsidR="00EF2F5C" w:rsidRPr="006A198F">
        <w:rPr>
          <w:rFonts w:cstheme="minorHAnsi"/>
        </w:rPr>
        <w:t>sobre as</w:t>
      </w:r>
      <w:r w:rsidR="00212EEA" w:rsidRPr="006A198F">
        <w:rPr>
          <w:rFonts w:cstheme="minorHAnsi"/>
        </w:rPr>
        <w:t xml:space="preserve"> </w:t>
      </w:r>
      <w:r w:rsidR="0039668D">
        <w:rPr>
          <w:rFonts w:cstheme="minorHAnsi"/>
        </w:rPr>
        <w:t>D</w:t>
      </w:r>
      <w:r w:rsidR="00212EEA" w:rsidRPr="006A198F">
        <w:rPr>
          <w:rFonts w:cstheme="minorHAnsi"/>
        </w:rPr>
        <w:t xml:space="preserve">espesas com </w:t>
      </w:r>
      <w:r w:rsidR="0039668D">
        <w:rPr>
          <w:rFonts w:cstheme="minorHAnsi"/>
        </w:rPr>
        <w:t>L</w:t>
      </w:r>
      <w:r w:rsidR="00212EEA" w:rsidRPr="006A198F">
        <w:rPr>
          <w:rFonts w:cstheme="minorHAnsi"/>
        </w:rPr>
        <w:t xml:space="preserve">ocação de </w:t>
      </w:r>
      <w:r w:rsidR="0039668D">
        <w:rPr>
          <w:rFonts w:cstheme="minorHAnsi"/>
        </w:rPr>
        <w:t>M</w:t>
      </w:r>
      <w:r w:rsidR="00212EEA" w:rsidRPr="006A198F">
        <w:rPr>
          <w:rFonts w:cstheme="minorHAnsi"/>
        </w:rPr>
        <w:t xml:space="preserve">ão de </w:t>
      </w:r>
      <w:r w:rsidR="0039668D">
        <w:rPr>
          <w:rFonts w:cstheme="minorHAnsi"/>
        </w:rPr>
        <w:t>O</w:t>
      </w:r>
      <w:r w:rsidR="00212EEA" w:rsidRPr="006A198F">
        <w:rPr>
          <w:rFonts w:cstheme="minorHAnsi"/>
        </w:rPr>
        <w:t xml:space="preserve">bra e </w:t>
      </w:r>
      <w:r w:rsidR="0039668D">
        <w:rPr>
          <w:rFonts w:cstheme="minorHAnsi"/>
        </w:rPr>
        <w:t>T</w:t>
      </w:r>
      <w:r w:rsidR="00212EEA" w:rsidRPr="006A198F">
        <w:rPr>
          <w:rFonts w:cstheme="minorHAnsi"/>
        </w:rPr>
        <w:t xml:space="preserve">ransferências a </w:t>
      </w:r>
      <w:r w:rsidR="0039668D">
        <w:rPr>
          <w:rFonts w:cstheme="minorHAnsi"/>
        </w:rPr>
        <w:t>E</w:t>
      </w:r>
      <w:r w:rsidR="00212EEA" w:rsidRPr="006A198F">
        <w:rPr>
          <w:rFonts w:cstheme="minorHAnsi"/>
        </w:rPr>
        <w:t xml:space="preserve">ntidades </w:t>
      </w:r>
      <w:r w:rsidR="0039668D">
        <w:rPr>
          <w:rFonts w:cstheme="minorHAnsi"/>
        </w:rPr>
        <w:t>S</w:t>
      </w:r>
      <w:r w:rsidR="00212EEA" w:rsidRPr="006A198F">
        <w:rPr>
          <w:rFonts w:cstheme="minorHAnsi"/>
        </w:rPr>
        <w:t xml:space="preserve">em </w:t>
      </w:r>
      <w:r w:rsidR="0039668D">
        <w:rPr>
          <w:rFonts w:cstheme="minorHAnsi"/>
        </w:rPr>
        <w:t>F</w:t>
      </w:r>
      <w:r w:rsidR="00212EEA" w:rsidRPr="006A198F">
        <w:rPr>
          <w:rFonts w:cstheme="minorHAnsi"/>
        </w:rPr>
        <w:t xml:space="preserve">ins </w:t>
      </w:r>
      <w:r w:rsidR="0039668D">
        <w:rPr>
          <w:rFonts w:cstheme="minorHAnsi"/>
        </w:rPr>
        <w:t>L</w:t>
      </w:r>
      <w:r w:rsidR="00212EEA" w:rsidRPr="006A198F">
        <w:rPr>
          <w:rFonts w:cstheme="minorHAnsi"/>
        </w:rPr>
        <w:t xml:space="preserve">ucrativos, contribuindo para o ajuste das despesas correntes. No entanto, como ocorreu na maioria dos estados, o fator determinante do ajuste foi a redução dos </w:t>
      </w:r>
      <w:r w:rsidR="005E411B">
        <w:rPr>
          <w:rFonts w:cstheme="minorHAnsi"/>
        </w:rPr>
        <w:t>I</w:t>
      </w:r>
      <w:r w:rsidR="00212EEA" w:rsidRPr="006A198F">
        <w:rPr>
          <w:rFonts w:cstheme="minorHAnsi"/>
        </w:rPr>
        <w:t>nvestimentos, que acompanhou a disponibilidade de</w:t>
      </w:r>
      <w:r w:rsidR="005E411B">
        <w:rPr>
          <w:rFonts w:cstheme="minorHAnsi"/>
        </w:rPr>
        <w:t xml:space="preserve"> </w:t>
      </w:r>
      <w:r w:rsidR="009F5B4E">
        <w:rPr>
          <w:rFonts w:cstheme="minorHAnsi"/>
        </w:rPr>
        <w:t>Re</w:t>
      </w:r>
      <w:r w:rsidR="009F5B4E" w:rsidRPr="006A198F">
        <w:rPr>
          <w:rFonts w:cstheme="minorHAnsi"/>
        </w:rPr>
        <w:t>ceitas</w:t>
      </w:r>
      <w:r w:rsidR="00212EEA" w:rsidRPr="006A198F">
        <w:rPr>
          <w:rFonts w:cstheme="minorHAnsi"/>
        </w:rPr>
        <w:t xml:space="preserve"> de </w:t>
      </w:r>
      <w:r w:rsidR="005E411B">
        <w:rPr>
          <w:rFonts w:cstheme="minorHAnsi"/>
        </w:rPr>
        <w:t>C</w:t>
      </w:r>
      <w:r w:rsidR="001479E9" w:rsidRPr="006A198F">
        <w:rPr>
          <w:rFonts w:cstheme="minorHAnsi"/>
        </w:rPr>
        <w:t>apital</w:t>
      </w:r>
      <w:r w:rsidR="001479E9">
        <w:rPr>
          <w:rFonts w:cstheme="minorHAnsi"/>
        </w:rPr>
        <w:t xml:space="preserve"> </w:t>
      </w:r>
      <w:r w:rsidR="001479E9" w:rsidRPr="006A198F">
        <w:rPr>
          <w:rFonts w:cstheme="minorHAnsi"/>
        </w:rPr>
        <w:t>(</w:t>
      </w:r>
      <w:r w:rsidR="00CD4B1B">
        <w:rPr>
          <w:rFonts w:cstheme="minorHAnsi"/>
        </w:rPr>
        <w:t>v</w:t>
      </w:r>
      <w:r w:rsidR="0070299A">
        <w:rPr>
          <w:rFonts w:cstheme="minorHAnsi"/>
        </w:rPr>
        <w:t>eja Seção 2.4</w:t>
      </w:r>
      <w:r w:rsidR="00CD4B1B">
        <w:rPr>
          <w:rFonts w:cstheme="minorHAnsi"/>
        </w:rPr>
        <w:t xml:space="preserve">). </w:t>
      </w:r>
    </w:p>
    <w:p w14:paraId="7F7254E5" w14:textId="39F478F9" w:rsidR="003E414A" w:rsidRDefault="008A7BEB" w:rsidP="00405C06">
      <w:pPr>
        <w:rPr>
          <w:rFonts w:cstheme="minorHAnsi"/>
        </w:rPr>
      </w:pPr>
      <w:r>
        <w:rPr>
          <w:rFonts w:cstheme="minorHAnsi"/>
        </w:rPr>
        <w:t xml:space="preserve">O </w:t>
      </w:r>
      <w:r w:rsidR="003E414A" w:rsidRPr="00590718">
        <w:rPr>
          <w:rFonts w:cstheme="minorHAnsi"/>
        </w:rPr>
        <w:t xml:space="preserve">Serviço da Dívida – Juros e Encargos e Amortizações </w:t>
      </w:r>
      <w:r>
        <w:rPr>
          <w:rFonts w:cstheme="minorHAnsi"/>
        </w:rPr>
        <w:t xml:space="preserve">foi o componente que mais se expandiu, face ao rápido crescimento do estoque </w:t>
      </w:r>
      <w:r w:rsidR="00014E54">
        <w:rPr>
          <w:rFonts w:cstheme="minorHAnsi"/>
        </w:rPr>
        <w:t>(veja</w:t>
      </w:r>
      <w:r>
        <w:rPr>
          <w:rFonts w:cstheme="minorHAnsi"/>
        </w:rPr>
        <w:t xml:space="preserve"> Seção </w:t>
      </w:r>
      <w:r w:rsidR="00014E54">
        <w:rPr>
          <w:rFonts w:cstheme="minorHAnsi"/>
        </w:rPr>
        <w:t>2.5)</w:t>
      </w:r>
      <w:r w:rsidR="00F14B55">
        <w:rPr>
          <w:rFonts w:cstheme="minorHAnsi"/>
        </w:rPr>
        <w:t>, passando de 2,2</w:t>
      </w:r>
      <w:r w:rsidR="00C753D8">
        <w:rPr>
          <w:rFonts w:cstheme="minorHAnsi"/>
        </w:rPr>
        <w:t>% da</w:t>
      </w:r>
      <w:r w:rsidR="00F14B55">
        <w:rPr>
          <w:rFonts w:cstheme="minorHAnsi"/>
        </w:rPr>
        <w:t xml:space="preserve"> Despesa Total entre 2006 e 2010 (média do período), para 5,8</w:t>
      </w:r>
      <w:r w:rsidR="00430AF5">
        <w:rPr>
          <w:rFonts w:cstheme="minorHAnsi"/>
        </w:rPr>
        <w:t>%,</w:t>
      </w:r>
      <w:r w:rsidR="00D27BD0">
        <w:rPr>
          <w:rFonts w:cstheme="minorHAnsi"/>
        </w:rPr>
        <w:t xml:space="preserve"> média 2016-2018. Em 2016 e 2018, superou a soma de Investimentos e Inversões Financeiras</w:t>
      </w:r>
      <w:r w:rsidR="00C753D8">
        <w:rPr>
          <w:rFonts w:cstheme="minorHAnsi"/>
        </w:rPr>
        <w:t xml:space="preserve">. Observe-se </w:t>
      </w:r>
      <w:r w:rsidR="001B4612">
        <w:rPr>
          <w:rFonts w:cstheme="minorHAnsi"/>
        </w:rPr>
        <w:t xml:space="preserve">que estas </w:t>
      </w:r>
      <w:r w:rsidR="00B80D4F">
        <w:rPr>
          <w:rFonts w:cstheme="minorHAnsi"/>
        </w:rPr>
        <w:t xml:space="preserve">despesas </w:t>
      </w:r>
      <w:r w:rsidR="001B4612">
        <w:rPr>
          <w:rFonts w:cstheme="minorHAnsi"/>
        </w:rPr>
        <w:t xml:space="preserve">contam com </w:t>
      </w:r>
      <w:r w:rsidR="00C753D8">
        <w:rPr>
          <w:rFonts w:cstheme="minorHAnsi"/>
        </w:rPr>
        <w:t>R</w:t>
      </w:r>
      <w:r w:rsidR="001B4612">
        <w:rPr>
          <w:rFonts w:cstheme="minorHAnsi"/>
        </w:rPr>
        <w:t xml:space="preserve">eceitas de </w:t>
      </w:r>
      <w:r w:rsidR="00C753D8">
        <w:rPr>
          <w:rFonts w:cstheme="minorHAnsi"/>
        </w:rPr>
        <w:t>Ca</w:t>
      </w:r>
      <w:r w:rsidR="001B4612">
        <w:rPr>
          <w:rFonts w:cstheme="minorHAnsi"/>
        </w:rPr>
        <w:t>pital</w:t>
      </w:r>
      <w:r w:rsidR="00B80D4F">
        <w:rPr>
          <w:rFonts w:cstheme="minorHAnsi"/>
        </w:rPr>
        <w:t xml:space="preserve"> para seu financiamento</w:t>
      </w:r>
      <w:r w:rsidR="001B4612">
        <w:rPr>
          <w:rFonts w:cstheme="minorHAnsi"/>
        </w:rPr>
        <w:t xml:space="preserve">, enquanto o </w:t>
      </w:r>
      <w:r w:rsidR="00C753D8">
        <w:rPr>
          <w:rFonts w:cstheme="minorHAnsi"/>
        </w:rPr>
        <w:t>S</w:t>
      </w:r>
      <w:r w:rsidR="001B4612">
        <w:rPr>
          <w:rFonts w:cstheme="minorHAnsi"/>
        </w:rPr>
        <w:t xml:space="preserve">erviço da </w:t>
      </w:r>
      <w:r w:rsidR="00C753D8">
        <w:rPr>
          <w:rFonts w:cstheme="minorHAnsi"/>
        </w:rPr>
        <w:t>D</w:t>
      </w:r>
      <w:r w:rsidR="001B4612">
        <w:rPr>
          <w:rFonts w:cstheme="minorHAnsi"/>
        </w:rPr>
        <w:t>ívida basicamente é financiado por receitas próprias</w:t>
      </w:r>
      <w:r w:rsidR="00C753D8">
        <w:rPr>
          <w:rFonts w:cstheme="minorHAnsi"/>
        </w:rPr>
        <w:t xml:space="preserve"> </w:t>
      </w:r>
      <w:r w:rsidR="00430AF5">
        <w:rPr>
          <w:rFonts w:cstheme="minorHAnsi"/>
        </w:rPr>
        <w:t>(salvo</w:t>
      </w:r>
      <w:r w:rsidR="00C753D8">
        <w:rPr>
          <w:rFonts w:cstheme="minorHAnsi"/>
        </w:rPr>
        <w:t xml:space="preserve"> em casos de reestruturação, por exemplo)</w:t>
      </w:r>
      <w:r w:rsidR="00D27BD0">
        <w:rPr>
          <w:rFonts w:cstheme="minorHAnsi"/>
        </w:rPr>
        <w:t xml:space="preserve">. </w:t>
      </w:r>
      <w:r w:rsidR="00F14B55">
        <w:rPr>
          <w:rFonts w:cstheme="minorHAnsi"/>
        </w:rPr>
        <w:t xml:space="preserve">Entre 2015 e 2017, </w:t>
      </w:r>
      <w:r w:rsidR="00B80D4F">
        <w:rPr>
          <w:rFonts w:cstheme="minorHAnsi"/>
        </w:rPr>
        <w:t xml:space="preserve">o </w:t>
      </w:r>
      <w:r w:rsidR="00B80D4F" w:rsidRPr="00B80D4F">
        <w:rPr>
          <w:rFonts w:cstheme="minorHAnsi"/>
        </w:rPr>
        <w:t xml:space="preserve">Serviço da Dívida </w:t>
      </w:r>
      <w:r w:rsidR="00F14B55">
        <w:rPr>
          <w:rFonts w:cstheme="minorHAnsi"/>
        </w:rPr>
        <w:t xml:space="preserve">oscilou em torno de 8% do saldo médio da Dívida Consolidada. Em 2018, passou a 9%, da Dívida Consolidada. </w:t>
      </w:r>
    </w:p>
    <w:p w14:paraId="5E762E35" w14:textId="27F2C617" w:rsidR="009F5B4E" w:rsidRPr="00590718" w:rsidRDefault="009F5B4E" w:rsidP="00405C06">
      <w:pPr>
        <w:rPr>
          <w:rFonts w:cstheme="minorHAnsi"/>
        </w:rPr>
      </w:pPr>
      <w:r>
        <w:rPr>
          <w:rFonts w:cstheme="minorHAnsi"/>
        </w:rPr>
        <w:lastRenderedPageBreak/>
        <w:t>O alto valor do Serviço da Dívida</w:t>
      </w:r>
      <w:r w:rsidR="00E23811">
        <w:rPr>
          <w:rFonts w:cstheme="minorHAnsi"/>
        </w:rPr>
        <w:t xml:space="preserve"> em 2013</w:t>
      </w:r>
      <w:r>
        <w:rPr>
          <w:rFonts w:cstheme="minorHAnsi"/>
        </w:rPr>
        <w:t xml:space="preserve">, em particular da Amortização da </w:t>
      </w:r>
      <w:r w:rsidR="00E23811">
        <w:rPr>
          <w:rFonts w:cstheme="minorHAnsi"/>
        </w:rPr>
        <w:t>Dívida</w:t>
      </w:r>
      <w:r>
        <w:rPr>
          <w:rFonts w:cstheme="minorHAnsi"/>
        </w:rPr>
        <w:t xml:space="preserve">, simultâneo à elevação da Receita de Operações de Crédito - veja-se Tabela 2 sugere que o GEAP reestruturou parte da dívida. Outro indício nesse sentido é a mudança da composição da dívida com o BNDES, </w:t>
      </w:r>
      <w:r w:rsidR="00E23811">
        <w:rPr>
          <w:rFonts w:cstheme="minorHAnsi"/>
        </w:rPr>
        <w:t>conforme Tabela</w:t>
      </w:r>
      <w:r>
        <w:rPr>
          <w:rFonts w:cstheme="minorHAnsi"/>
        </w:rPr>
        <w:t xml:space="preserve"> </w:t>
      </w:r>
      <w:r w:rsidR="00E23811">
        <w:rPr>
          <w:rFonts w:cstheme="minorHAnsi"/>
        </w:rPr>
        <w:t>8, Seção</w:t>
      </w:r>
      <w:r>
        <w:rPr>
          <w:rFonts w:cstheme="minorHAnsi"/>
        </w:rPr>
        <w:t xml:space="preserve"> 2.5. </w:t>
      </w:r>
    </w:p>
    <w:p w14:paraId="6D11B99B" w14:textId="27FB0555" w:rsidR="00FD3A2D" w:rsidRPr="00430AF5" w:rsidRDefault="000B6ADA" w:rsidP="00405C06">
      <w:pPr>
        <w:rPr>
          <w:rFonts w:cstheme="minorHAnsi"/>
        </w:rPr>
      </w:pPr>
      <w:r w:rsidRPr="00430AF5">
        <w:rPr>
          <w:rFonts w:cstheme="minorHAnsi"/>
        </w:rPr>
        <w:t xml:space="preserve">A Tabela </w:t>
      </w:r>
      <w:r w:rsidR="00BF5EA3" w:rsidRPr="00430AF5">
        <w:rPr>
          <w:rFonts w:cstheme="minorHAnsi"/>
        </w:rPr>
        <w:t>4 detalha</w:t>
      </w:r>
      <w:r w:rsidRPr="00430AF5">
        <w:rPr>
          <w:rFonts w:cstheme="minorHAnsi"/>
        </w:rPr>
        <w:t xml:space="preserve"> os componentes </w:t>
      </w:r>
      <w:r w:rsidR="000052F0" w:rsidRPr="00430AF5">
        <w:rPr>
          <w:rFonts w:cstheme="minorHAnsi"/>
        </w:rPr>
        <w:t xml:space="preserve">da </w:t>
      </w:r>
      <w:r w:rsidR="00834C77" w:rsidRPr="00430AF5">
        <w:rPr>
          <w:rFonts w:cstheme="minorHAnsi"/>
        </w:rPr>
        <w:t>Despesa de Pessoal</w:t>
      </w:r>
      <w:r w:rsidRPr="00430AF5">
        <w:rPr>
          <w:rFonts w:cstheme="minorHAnsi"/>
        </w:rPr>
        <w:t xml:space="preserve"> e respectivas </w:t>
      </w:r>
      <w:r w:rsidR="00347B5A" w:rsidRPr="00430AF5">
        <w:rPr>
          <w:rFonts w:cstheme="minorHAnsi"/>
        </w:rPr>
        <w:t>variações, evidenciando</w:t>
      </w:r>
      <w:r w:rsidRPr="00430AF5">
        <w:rPr>
          <w:rFonts w:cstheme="minorHAnsi"/>
        </w:rPr>
        <w:t xml:space="preserve"> </w:t>
      </w:r>
      <w:r w:rsidR="00347B5A" w:rsidRPr="00430AF5">
        <w:rPr>
          <w:rFonts w:cstheme="minorHAnsi"/>
        </w:rPr>
        <w:t xml:space="preserve">a despesa com </w:t>
      </w:r>
      <w:r w:rsidR="00C46F40">
        <w:rPr>
          <w:rFonts w:cstheme="minorHAnsi"/>
        </w:rPr>
        <w:t>A</w:t>
      </w:r>
      <w:r w:rsidR="00347B5A" w:rsidRPr="00430AF5">
        <w:rPr>
          <w:rFonts w:cstheme="minorHAnsi"/>
        </w:rPr>
        <w:t xml:space="preserve">tivos e o montante da Despesa com </w:t>
      </w:r>
      <w:r w:rsidR="00C46F40">
        <w:rPr>
          <w:rFonts w:cstheme="minorHAnsi"/>
        </w:rPr>
        <w:t>I</w:t>
      </w:r>
      <w:r w:rsidR="00347B5A" w:rsidRPr="00430AF5">
        <w:rPr>
          <w:rFonts w:cstheme="minorHAnsi"/>
        </w:rPr>
        <w:t xml:space="preserve">nativos e </w:t>
      </w:r>
      <w:r w:rsidR="00C46F40">
        <w:rPr>
          <w:rFonts w:cstheme="minorHAnsi"/>
        </w:rPr>
        <w:t>P</w:t>
      </w:r>
      <w:r w:rsidR="00347B5A" w:rsidRPr="00430AF5">
        <w:rPr>
          <w:rFonts w:cstheme="minorHAnsi"/>
        </w:rPr>
        <w:t>ensionistas suportada pelo Tesouro Estadual, ou seja, aquela que corresponde à cobertura do déficit previdenciário de cada exercício</w:t>
      </w:r>
      <w:r w:rsidR="00C46F40">
        <w:rPr>
          <w:rFonts w:cstheme="minorHAnsi"/>
        </w:rPr>
        <w:t xml:space="preserve">, zerada, no caso do </w:t>
      </w:r>
      <w:r w:rsidR="00CD5E07">
        <w:rPr>
          <w:rFonts w:cstheme="minorHAnsi"/>
        </w:rPr>
        <w:t>GEAP.</w:t>
      </w:r>
      <w:r w:rsidR="00347B5A" w:rsidRPr="00430AF5">
        <w:rPr>
          <w:rFonts w:cstheme="minorHAnsi"/>
        </w:rPr>
        <w:t xml:space="preserve"> </w:t>
      </w:r>
      <w:r w:rsidRPr="00430AF5">
        <w:rPr>
          <w:rFonts w:cstheme="minorHAnsi"/>
        </w:rPr>
        <w:t xml:space="preserve"> </w:t>
      </w:r>
    </w:p>
    <w:p w14:paraId="477FEDBD" w14:textId="5C490356" w:rsidR="00750335" w:rsidRPr="00B81ABA" w:rsidRDefault="00FD3A2D" w:rsidP="00405C06">
      <w:pPr>
        <w:rPr>
          <w:rFonts w:cstheme="minorHAnsi"/>
        </w:rPr>
      </w:pPr>
      <w:r w:rsidRPr="00430AF5">
        <w:rPr>
          <w:rFonts w:cstheme="minorHAnsi"/>
        </w:rPr>
        <w:t xml:space="preserve">Como na maioria dos estados, a </w:t>
      </w:r>
      <w:r w:rsidR="00523B95">
        <w:rPr>
          <w:rFonts w:cstheme="minorHAnsi"/>
        </w:rPr>
        <w:t>D</w:t>
      </w:r>
      <w:r w:rsidRPr="00430AF5">
        <w:rPr>
          <w:rFonts w:cstheme="minorHAnsi"/>
        </w:rPr>
        <w:t xml:space="preserve">espesa de </w:t>
      </w:r>
      <w:r w:rsidR="00523B95">
        <w:rPr>
          <w:rFonts w:cstheme="minorHAnsi"/>
        </w:rPr>
        <w:t>P</w:t>
      </w:r>
      <w:r w:rsidRPr="00430AF5">
        <w:rPr>
          <w:rFonts w:cstheme="minorHAnsi"/>
        </w:rPr>
        <w:t>essoal d</w:t>
      </w:r>
      <w:r w:rsidR="00702EBB">
        <w:rPr>
          <w:rFonts w:cstheme="minorHAnsi"/>
        </w:rPr>
        <w:t>o</w:t>
      </w:r>
      <w:r w:rsidRPr="00430AF5">
        <w:rPr>
          <w:rFonts w:cstheme="minorHAnsi"/>
        </w:rPr>
        <w:t xml:space="preserve"> </w:t>
      </w:r>
      <w:r w:rsidR="00E05C0E" w:rsidRPr="00430AF5">
        <w:rPr>
          <w:rFonts w:cstheme="minorHAnsi"/>
        </w:rPr>
        <w:t>Amapá</w:t>
      </w:r>
      <w:r w:rsidRPr="00430AF5">
        <w:rPr>
          <w:rFonts w:cstheme="minorHAnsi"/>
        </w:rPr>
        <w:t xml:space="preserve"> cresceu mais que a Receita</w:t>
      </w:r>
      <w:r w:rsidRPr="00D20B1A">
        <w:rPr>
          <w:rFonts w:cstheme="minorHAnsi"/>
        </w:rPr>
        <w:t xml:space="preserve"> Corrente</w:t>
      </w:r>
      <w:r w:rsidR="00430AF5">
        <w:rPr>
          <w:rFonts w:cstheme="minorHAnsi"/>
        </w:rPr>
        <w:t xml:space="preserve"> </w:t>
      </w:r>
      <w:r w:rsidR="00EE10F9">
        <w:rPr>
          <w:rFonts w:cstheme="minorHAnsi"/>
        </w:rPr>
        <w:t>Líquida</w:t>
      </w:r>
      <w:r w:rsidR="00430AF5">
        <w:rPr>
          <w:rFonts w:cstheme="minorHAnsi"/>
        </w:rPr>
        <w:t>, entre 2006</w:t>
      </w:r>
      <w:r w:rsidRPr="00D20B1A">
        <w:rPr>
          <w:rFonts w:cstheme="minorHAnsi"/>
        </w:rPr>
        <w:t xml:space="preserve"> </w:t>
      </w:r>
      <w:r w:rsidR="00430AF5">
        <w:rPr>
          <w:rFonts w:cstheme="minorHAnsi"/>
        </w:rPr>
        <w:t>e 2018</w:t>
      </w:r>
      <w:r w:rsidR="00523B95">
        <w:rPr>
          <w:rFonts w:cstheme="minorHAnsi"/>
        </w:rPr>
        <w:t>, passando de 51,1% para 56,7% da RCL</w:t>
      </w:r>
      <w:r w:rsidR="00430AF5">
        <w:rPr>
          <w:rFonts w:cstheme="minorHAnsi"/>
        </w:rPr>
        <w:t xml:space="preserve">. </w:t>
      </w:r>
      <w:r w:rsidRPr="00D20B1A">
        <w:rPr>
          <w:rFonts w:cstheme="minorHAnsi"/>
        </w:rPr>
        <w:t xml:space="preserve"> </w:t>
      </w:r>
      <w:r w:rsidR="00EE10F9">
        <w:rPr>
          <w:rFonts w:cstheme="minorHAnsi"/>
        </w:rPr>
        <w:t>A Despesa com Ativos, cerca de 90% do Total, cresceu 73% reais, enquanto a RCL se expandiu 54%. Os Contratos por Tempo Determinado e a Terceirização, antes inexpressivos, fecham o ano de 2018 em 6% da Despesa com Ativos.</w:t>
      </w:r>
      <w:r w:rsidR="00430AF5">
        <w:rPr>
          <w:rFonts w:cstheme="minorHAnsi"/>
        </w:rPr>
        <w:t xml:space="preserve"> </w:t>
      </w:r>
      <w:r w:rsidR="00EE10F9">
        <w:rPr>
          <w:rFonts w:cstheme="minorHAnsi"/>
        </w:rPr>
        <w:t>Em 2009, face principalmente à queda da RCL (devido à crise econômica), a Despesa de Pessoal mudou de patamar em relação à RCL, passando de cerca de 50% para 56</w:t>
      </w:r>
      <w:r w:rsidR="00EE10F9" w:rsidRPr="00B81ABA">
        <w:rPr>
          <w:rFonts w:cstheme="minorHAnsi"/>
        </w:rPr>
        <w:t>%</w:t>
      </w:r>
      <w:r w:rsidR="00FD1B48" w:rsidRPr="00B81ABA">
        <w:rPr>
          <w:rFonts w:cstheme="minorHAnsi"/>
        </w:rPr>
        <w:t xml:space="preserve">. Após a recuperação da RCL, a Despesa praticamente se estabilizou. Após substancial aumento em </w:t>
      </w:r>
      <w:r w:rsidR="00523B95" w:rsidRPr="00B81ABA">
        <w:rPr>
          <w:rFonts w:cstheme="minorHAnsi"/>
        </w:rPr>
        <w:t>2012, a Despesa</w:t>
      </w:r>
      <w:r w:rsidR="00FD1B48" w:rsidRPr="00B81ABA">
        <w:rPr>
          <w:rFonts w:cstheme="minorHAnsi"/>
        </w:rPr>
        <w:t xml:space="preserve"> com Ativos seguiu oscilando e fechou 2018 em nível próximo a 2012. </w:t>
      </w:r>
      <w:r w:rsidR="00D90D59" w:rsidRPr="00B81ABA">
        <w:rPr>
          <w:rFonts w:cstheme="minorHAnsi"/>
        </w:rPr>
        <w:t xml:space="preserve"> </w:t>
      </w:r>
    </w:p>
    <w:p w14:paraId="28814DFE" w14:textId="3BDE6F3A" w:rsidR="000F3E66" w:rsidRPr="00D20B1A" w:rsidRDefault="00D21BBC" w:rsidP="00405C06">
      <w:pPr>
        <w:rPr>
          <w:rFonts w:cstheme="minorHAnsi"/>
        </w:rPr>
      </w:pPr>
      <w:r w:rsidRPr="00B81ABA">
        <w:rPr>
          <w:rFonts w:cstheme="minorHAnsi"/>
        </w:rPr>
        <w:t>Como mencionado, o</w:t>
      </w:r>
      <w:r w:rsidR="004A4A9B" w:rsidRPr="00B81ABA">
        <w:rPr>
          <w:rFonts w:cstheme="minorHAnsi"/>
        </w:rPr>
        <w:t xml:space="preserve">s </w:t>
      </w:r>
      <w:r w:rsidRPr="00B81ABA">
        <w:rPr>
          <w:rFonts w:cstheme="minorHAnsi"/>
        </w:rPr>
        <w:t>I</w:t>
      </w:r>
      <w:r w:rsidR="004A4A9B" w:rsidRPr="00B81ABA">
        <w:rPr>
          <w:rFonts w:cstheme="minorHAnsi"/>
        </w:rPr>
        <w:t xml:space="preserve">nativos e </w:t>
      </w:r>
      <w:r w:rsidRPr="00B81ABA">
        <w:rPr>
          <w:rFonts w:cstheme="minorHAnsi"/>
        </w:rPr>
        <w:t>P</w:t>
      </w:r>
      <w:r w:rsidR="004A4A9B" w:rsidRPr="00B81ABA">
        <w:rPr>
          <w:rFonts w:cstheme="minorHAnsi"/>
        </w:rPr>
        <w:t xml:space="preserve">ensionistas </w:t>
      </w:r>
      <w:r w:rsidR="00FA1E68" w:rsidRPr="00B81ABA">
        <w:rPr>
          <w:rFonts w:cstheme="minorHAnsi"/>
        </w:rPr>
        <w:t xml:space="preserve">são inteiramente suportados pelas Contribuições dos Servidores e pela Contribuição Patronal, não </w:t>
      </w:r>
      <w:r w:rsidR="00BC247A" w:rsidRPr="00B81ABA">
        <w:rPr>
          <w:rFonts w:cstheme="minorHAnsi"/>
        </w:rPr>
        <w:t>exigindo aporte</w:t>
      </w:r>
      <w:r w:rsidR="00FA1E68" w:rsidRPr="00B81ABA">
        <w:rPr>
          <w:rFonts w:cstheme="minorHAnsi"/>
        </w:rPr>
        <w:t xml:space="preserve"> de Recursos do Tesouro estadual. </w:t>
      </w:r>
      <w:r w:rsidR="00E45225" w:rsidRPr="00B81ABA">
        <w:rPr>
          <w:rFonts w:cstheme="minorHAnsi"/>
        </w:rPr>
        <w:t xml:space="preserve">Cabe observar que pequena parcela dos Inativos é paga diretamente pelo Tesouro estadual. No entanto, não foi possível obter este valor discriminado. </w:t>
      </w:r>
      <w:r w:rsidR="00CD2C46" w:rsidRPr="00B81ABA">
        <w:rPr>
          <w:rFonts w:cstheme="minorHAnsi"/>
        </w:rPr>
        <w:t xml:space="preserve">A unidade gestora </w:t>
      </w:r>
      <w:r w:rsidR="0023254D" w:rsidRPr="00B81ABA">
        <w:rPr>
          <w:rFonts w:cstheme="minorHAnsi"/>
        </w:rPr>
        <w:t xml:space="preserve">do Regime Próprio de Previdência Social dos servidores públicos civis e militares é a </w:t>
      </w:r>
      <w:r w:rsidR="00CD2C46" w:rsidRPr="00B81ABA">
        <w:rPr>
          <w:rFonts w:cstheme="minorHAnsi"/>
        </w:rPr>
        <w:t>Amapá Previdência – AMPREV</w:t>
      </w:r>
      <w:r w:rsidR="00E45225" w:rsidRPr="00B81ABA">
        <w:rPr>
          <w:rFonts w:cstheme="minorHAnsi"/>
        </w:rPr>
        <w:t>.</w:t>
      </w:r>
      <w:r w:rsidR="00E45225">
        <w:rPr>
          <w:rFonts w:cstheme="minorHAnsi"/>
        </w:rPr>
        <w:t xml:space="preserve"> </w:t>
      </w:r>
    </w:p>
    <w:p w14:paraId="65F201FE" w14:textId="77777777" w:rsidR="003D6996" w:rsidRPr="00D20B1A" w:rsidRDefault="003D6996" w:rsidP="00405C06">
      <w:pPr>
        <w:pStyle w:val="Caption"/>
        <w:rPr>
          <w:rFonts w:asciiTheme="minorHAnsi" w:hAnsiTheme="minorHAnsi" w:cstheme="minorHAnsi"/>
        </w:rPr>
        <w:sectPr w:rsidR="003D6996" w:rsidRPr="00D20B1A" w:rsidSect="003D6996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3E4B304C" w14:textId="16053A0F" w:rsidR="00834C77" w:rsidRPr="00D20B1A" w:rsidRDefault="00C2088B" w:rsidP="004344C7">
      <w:pPr>
        <w:pStyle w:val="Caption"/>
        <w:rPr>
          <w:rFonts w:asciiTheme="minorHAnsi" w:hAnsiTheme="minorHAnsi" w:cstheme="minorHAnsi"/>
        </w:rPr>
      </w:pPr>
      <w:bookmarkStart w:id="33" w:name="_Toc7196732"/>
      <w:r w:rsidRPr="00D20B1A">
        <w:rPr>
          <w:rFonts w:asciiTheme="minorHAnsi" w:hAnsiTheme="minorHAnsi" w:cstheme="minorHAnsi"/>
        </w:rPr>
        <w:lastRenderedPageBreak/>
        <w:t xml:space="preserve">Tabela </w:t>
      </w:r>
      <w:r w:rsidR="00902253" w:rsidRPr="00D20B1A">
        <w:rPr>
          <w:rFonts w:asciiTheme="minorHAnsi" w:hAnsiTheme="minorHAnsi" w:cstheme="minorHAnsi"/>
        </w:rPr>
        <w:fldChar w:fldCharType="begin"/>
      </w:r>
      <w:r w:rsidR="00902253" w:rsidRPr="00D20B1A">
        <w:rPr>
          <w:rFonts w:asciiTheme="minorHAnsi" w:hAnsiTheme="minorHAnsi" w:cstheme="minorHAnsi"/>
        </w:rPr>
        <w:instrText xml:space="preserve"> SEQ Tabela \* ARABIC </w:instrText>
      </w:r>
      <w:r w:rsidR="00902253" w:rsidRPr="00D20B1A">
        <w:rPr>
          <w:rFonts w:asciiTheme="minorHAnsi" w:hAnsiTheme="minorHAnsi" w:cstheme="minorHAnsi"/>
        </w:rPr>
        <w:fldChar w:fldCharType="separate"/>
      </w:r>
      <w:r w:rsidR="00D224F2">
        <w:rPr>
          <w:rFonts w:asciiTheme="minorHAnsi" w:hAnsiTheme="minorHAnsi" w:cstheme="minorHAnsi"/>
          <w:noProof/>
        </w:rPr>
        <w:t>4</w:t>
      </w:r>
      <w:r w:rsidR="00902253" w:rsidRPr="00D20B1A">
        <w:rPr>
          <w:rFonts w:asciiTheme="minorHAnsi" w:hAnsiTheme="minorHAnsi" w:cstheme="minorHAnsi"/>
          <w:noProof/>
        </w:rPr>
        <w:fldChar w:fldCharType="end"/>
      </w:r>
      <w:r w:rsidR="00C52BA6" w:rsidRPr="00D20B1A">
        <w:rPr>
          <w:rFonts w:asciiTheme="minorHAnsi" w:hAnsiTheme="minorHAnsi" w:cstheme="minorHAnsi"/>
        </w:rPr>
        <w:t>.</w:t>
      </w:r>
      <w:r w:rsidR="00554DAC" w:rsidRPr="00D20B1A">
        <w:rPr>
          <w:rFonts w:asciiTheme="minorHAnsi" w:hAnsiTheme="minorHAnsi" w:cstheme="minorHAnsi"/>
        </w:rPr>
        <w:t xml:space="preserve"> </w:t>
      </w:r>
      <w:r w:rsidR="00394636" w:rsidRPr="00D20B1A">
        <w:rPr>
          <w:rFonts w:asciiTheme="minorHAnsi" w:hAnsiTheme="minorHAnsi" w:cstheme="minorHAnsi"/>
        </w:rPr>
        <w:t>Composição da</w:t>
      </w:r>
      <w:r w:rsidR="00982CB8" w:rsidRPr="00D20B1A">
        <w:rPr>
          <w:rFonts w:asciiTheme="minorHAnsi" w:hAnsiTheme="minorHAnsi" w:cstheme="minorHAnsi"/>
        </w:rPr>
        <w:t xml:space="preserve"> </w:t>
      </w:r>
      <w:r w:rsidR="00394636" w:rsidRPr="00D20B1A">
        <w:rPr>
          <w:rFonts w:asciiTheme="minorHAnsi" w:hAnsiTheme="minorHAnsi" w:cstheme="minorHAnsi"/>
        </w:rPr>
        <w:t xml:space="preserve">Despesa de </w:t>
      </w:r>
      <w:r w:rsidR="00364500" w:rsidRPr="00D20B1A">
        <w:rPr>
          <w:rFonts w:asciiTheme="minorHAnsi" w:hAnsiTheme="minorHAnsi" w:cstheme="minorHAnsi"/>
        </w:rPr>
        <w:t xml:space="preserve">Pessoal </w:t>
      </w:r>
      <w:r w:rsidR="005242AF">
        <w:rPr>
          <w:rFonts w:asciiTheme="minorHAnsi" w:hAnsiTheme="minorHAnsi" w:cstheme="minorHAnsi"/>
        </w:rPr>
        <w:t>2006 a 2018</w:t>
      </w:r>
      <w:bookmarkEnd w:id="33"/>
    </w:p>
    <w:p w14:paraId="4B5CC2F2" w14:textId="677B68F7" w:rsidR="004344C7" w:rsidRDefault="004344C7" w:rsidP="003D6996">
      <w:pPr>
        <w:spacing w:before="120"/>
        <w:rPr>
          <w:rFonts w:cstheme="minorHAnsi"/>
          <w:sz w:val="16"/>
          <w:szCs w:val="16"/>
        </w:rPr>
      </w:pPr>
      <w:r w:rsidRPr="004344C7">
        <w:rPr>
          <w:noProof/>
        </w:rPr>
        <w:drawing>
          <wp:anchor distT="0" distB="0" distL="114300" distR="114300" simplePos="0" relativeHeight="251665408" behindDoc="0" locked="0" layoutInCell="1" allowOverlap="1" wp14:anchorId="2C378DD8" wp14:editId="2925E7F9">
            <wp:simplePos x="0" y="0"/>
            <wp:positionH relativeFrom="margin">
              <wp:align>center</wp:align>
            </wp:positionH>
            <wp:positionV relativeFrom="paragraph">
              <wp:posOffset>527</wp:posOffset>
            </wp:positionV>
            <wp:extent cx="10173596" cy="2932981"/>
            <wp:effectExtent l="0" t="0" r="0" b="1270"/>
            <wp:wrapSquare wrapText="bothSides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3596" cy="2932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88C3F3" w14:textId="01E26729" w:rsidR="004344C7" w:rsidRPr="00D20B1A" w:rsidRDefault="004344C7" w:rsidP="003D6996">
      <w:pPr>
        <w:spacing w:before="120"/>
        <w:rPr>
          <w:rFonts w:cstheme="minorHAnsi"/>
          <w:sz w:val="16"/>
          <w:szCs w:val="16"/>
        </w:rPr>
        <w:sectPr w:rsidR="004344C7" w:rsidRPr="00D20B1A" w:rsidSect="003D6996">
          <w:pgSz w:w="16838" w:h="11906" w:orient="landscape"/>
          <w:pgMar w:top="1080" w:right="1440" w:bottom="1080" w:left="1440" w:header="708" w:footer="708" w:gutter="0"/>
          <w:cols w:space="708"/>
          <w:docGrid w:linePitch="360"/>
        </w:sectPr>
      </w:pPr>
    </w:p>
    <w:p w14:paraId="13BD6C07" w14:textId="06D2616F" w:rsidR="00D30EF6" w:rsidRPr="00D20B1A" w:rsidRDefault="00CF52A4" w:rsidP="00405C06">
      <w:pPr>
        <w:rPr>
          <w:rFonts w:cstheme="minorHAnsi"/>
        </w:rPr>
      </w:pPr>
      <w:r w:rsidRPr="00D20B1A">
        <w:rPr>
          <w:rFonts w:cstheme="minorHAnsi"/>
        </w:rPr>
        <w:lastRenderedPageBreak/>
        <w:t xml:space="preserve">De acordo com a LRF, a Despesa de Pessoal não pode superar 60% da RCL. Para o cálculo desse indicador, computa-se toda a Despesa de Pessoal, deduzindo a parcela paga com receitas de </w:t>
      </w:r>
      <w:r w:rsidR="003F2C42">
        <w:rPr>
          <w:rFonts w:cstheme="minorHAnsi"/>
        </w:rPr>
        <w:t>C</w:t>
      </w:r>
      <w:r w:rsidRPr="00D20B1A">
        <w:rPr>
          <w:rFonts w:cstheme="minorHAnsi"/>
        </w:rPr>
        <w:t xml:space="preserve">ontribuições </w:t>
      </w:r>
      <w:r w:rsidR="003F2C42">
        <w:rPr>
          <w:rFonts w:cstheme="minorHAnsi"/>
        </w:rPr>
        <w:t>P</w:t>
      </w:r>
      <w:r w:rsidRPr="00D20B1A">
        <w:rPr>
          <w:rFonts w:cstheme="minorHAnsi"/>
        </w:rPr>
        <w:t xml:space="preserve">atronais e dos </w:t>
      </w:r>
      <w:r w:rsidR="003F2C42">
        <w:rPr>
          <w:rFonts w:cstheme="minorHAnsi"/>
        </w:rPr>
        <w:t>S</w:t>
      </w:r>
      <w:r w:rsidRPr="00D20B1A">
        <w:rPr>
          <w:rFonts w:cstheme="minorHAnsi"/>
        </w:rPr>
        <w:t>ervidores</w:t>
      </w:r>
      <w:r w:rsidR="003F2C42">
        <w:rPr>
          <w:rFonts w:cstheme="minorHAnsi"/>
        </w:rPr>
        <w:t xml:space="preserve">, </w:t>
      </w:r>
      <w:r w:rsidRPr="00D20B1A">
        <w:rPr>
          <w:rFonts w:cstheme="minorHAnsi"/>
        </w:rPr>
        <w:t>de forma a avaliar o encargo do Tesouro com Pessoal. Além disso, são deduzidas despesas consideradas eventuais, como as sentenças judiciais e as D</w:t>
      </w:r>
      <w:r w:rsidR="00A443EC" w:rsidRPr="00D20B1A">
        <w:rPr>
          <w:rFonts w:cstheme="minorHAnsi"/>
        </w:rPr>
        <w:t xml:space="preserve">espesas de Exercícios Anteriores – </w:t>
      </w:r>
      <w:r w:rsidR="00B1655F" w:rsidRPr="00D20B1A">
        <w:rPr>
          <w:rFonts w:cstheme="minorHAnsi"/>
        </w:rPr>
        <w:t>DEA de</w:t>
      </w:r>
      <w:r w:rsidRPr="00D20B1A">
        <w:rPr>
          <w:rFonts w:cstheme="minorHAnsi"/>
        </w:rPr>
        <w:t xml:space="preserve"> pessoal. Os limites estabelecidos pela Lei repartem-se entre os Poderes</w:t>
      </w:r>
      <w:r w:rsidR="00B1655F" w:rsidRPr="00D20B1A">
        <w:rPr>
          <w:rFonts w:cstheme="minorHAnsi"/>
        </w:rPr>
        <w:t>, conforme a Tabela</w:t>
      </w:r>
      <w:r w:rsidRPr="00D20B1A">
        <w:rPr>
          <w:rFonts w:cstheme="minorHAnsi"/>
        </w:rPr>
        <w:t xml:space="preserve"> </w:t>
      </w:r>
      <w:r w:rsidR="00B1655F" w:rsidRPr="00D20B1A">
        <w:rPr>
          <w:rFonts w:cstheme="minorHAnsi"/>
        </w:rPr>
        <w:t>5</w:t>
      </w:r>
      <w:r w:rsidR="00DE76BC">
        <w:rPr>
          <w:rFonts w:cstheme="minorHAnsi"/>
        </w:rPr>
        <w:t xml:space="preserve">, que </w:t>
      </w:r>
      <w:r w:rsidR="00944FFD" w:rsidRPr="00D20B1A">
        <w:rPr>
          <w:rFonts w:cstheme="minorHAnsi"/>
        </w:rPr>
        <w:t>apresenta</w:t>
      </w:r>
      <w:r w:rsidRPr="00D20B1A">
        <w:rPr>
          <w:rFonts w:cstheme="minorHAnsi"/>
        </w:rPr>
        <w:t xml:space="preserve"> </w:t>
      </w:r>
      <w:r w:rsidR="00944FFD" w:rsidRPr="00D20B1A">
        <w:rPr>
          <w:rFonts w:cstheme="minorHAnsi"/>
        </w:rPr>
        <w:t>os índices</w:t>
      </w:r>
      <w:r w:rsidRPr="00D20B1A">
        <w:rPr>
          <w:rFonts w:cstheme="minorHAnsi"/>
        </w:rPr>
        <w:t xml:space="preserve"> divulgados no Relatório de Gestão Fiscal</w:t>
      </w:r>
      <w:r w:rsidR="00944FFD" w:rsidRPr="00D20B1A">
        <w:rPr>
          <w:rFonts w:cstheme="minorHAnsi"/>
        </w:rPr>
        <w:t xml:space="preserve"> </w:t>
      </w:r>
      <w:r w:rsidR="00B1655F" w:rsidRPr="00D20B1A">
        <w:rPr>
          <w:rFonts w:cstheme="minorHAnsi"/>
        </w:rPr>
        <w:t>–</w:t>
      </w:r>
      <w:r w:rsidR="00944FFD" w:rsidRPr="00D20B1A">
        <w:rPr>
          <w:rFonts w:cstheme="minorHAnsi"/>
        </w:rPr>
        <w:t xml:space="preserve"> RGF</w:t>
      </w:r>
      <w:r w:rsidR="00B1655F" w:rsidRPr="00D20B1A">
        <w:rPr>
          <w:rFonts w:cstheme="minorHAnsi"/>
        </w:rPr>
        <w:t xml:space="preserve"> do 6º bimestre de </w:t>
      </w:r>
      <w:r w:rsidR="00B1655F" w:rsidRPr="00B81ABA">
        <w:rPr>
          <w:rFonts w:cstheme="minorHAnsi"/>
        </w:rPr>
        <w:t xml:space="preserve">cada exercício. </w:t>
      </w:r>
      <w:r w:rsidR="000531A1" w:rsidRPr="00B81ABA">
        <w:rPr>
          <w:rFonts w:cstheme="minorHAnsi"/>
        </w:rPr>
        <w:t>Esses valores diferem dos encontrados ao longo desta análise, sendo sistematicamente menores.</w:t>
      </w:r>
      <w:r w:rsidR="00F97324" w:rsidRPr="00B81ABA">
        <w:rPr>
          <w:rFonts w:cstheme="minorHAnsi"/>
        </w:rPr>
        <w:t xml:space="preserve"> De acordo com o Boletim dos Entes Subnacionais, publicado pela STN – o índice seria 56,6%, bem próximo ao </w:t>
      </w:r>
      <w:r w:rsidR="00027603" w:rsidRPr="00B81ABA">
        <w:rPr>
          <w:rFonts w:cstheme="minorHAnsi"/>
        </w:rPr>
        <w:t>encontrado na Tabela anterior – 56,3%</w:t>
      </w:r>
      <w:r w:rsidR="00F97324" w:rsidRPr="00B81ABA">
        <w:rPr>
          <w:rFonts w:cstheme="minorHAnsi"/>
        </w:rPr>
        <w:t>.</w:t>
      </w:r>
      <w:r w:rsidR="00F97324">
        <w:rPr>
          <w:rFonts w:cstheme="minorHAnsi"/>
        </w:rPr>
        <w:t xml:space="preserve"> </w:t>
      </w:r>
    </w:p>
    <w:p w14:paraId="267CD19D" w14:textId="470CB647" w:rsidR="007E1DCF" w:rsidRPr="00D20B1A" w:rsidRDefault="00F375E8" w:rsidP="00405C06">
      <w:pPr>
        <w:pStyle w:val="Caption"/>
        <w:rPr>
          <w:rFonts w:asciiTheme="minorHAnsi" w:hAnsiTheme="minorHAnsi" w:cstheme="minorHAnsi"/>
        </w:rPr>
      </w:pPr>
      <w:bookmarkStart w:id="34" w:name="_Toc7196733"/>
      <w:r w:rsidRPr="00F375E8">
        <w:rPr>
          <w:noProof/>
        </w:rPr>
        <w:drawing>
          <wp:anchor distT="0" distB="0" distL="114300" distR="114300" simplePos="0" relativeHeight="251666432" behindDoc="0" locked="0" layoutInCell="1" allowOverlap="1" wp14:anchorId="5155D0B5" wp14:editId="06985EE1">
            <wp:simplePos x="0" y="0"/>
            <wp:positionH relativeFrom="margin">
              <wp:align>center</wp:align>
            </wp:positionH>
            <wp:positionV relativeFrom="paragraph">
              <wp:posOffset>452970</wp:posOffset>
            </wp:positionV>
            <wp:extent cx="5676265" cy="3096895"/>
            <wp:effectExtent l="0" t="0" r="635" b="0"/>
            <wp:wrapSquare wrapText="bothSides"/>
            <wp:docPr id="41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265" cy="309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2BB7" w:rsidRPr="00D20B1A">
        <w:rPr>
          <w:rFonts w:asciiTheme="minorHAnsi" w:hAnsiTheme="minorHAnsi" w:cstheme="minorHAnsi"/>
        </w:rPr>
        <w:t>T</w:t>
      </w:r>
      <w:r w:rsidR="00C2088B" w:rsidRPr="00D20B1A">
        <w:rPr>
          <w:rFonts w:asciiTheme="minorHAnsi" w:hAnsiTheme="minorHAnsi" w:cstheme="minorHAnsi"/>
        </w:rPr>
        <w:t xml:space="preserve">abela </w:t>
      </w:r>
      <w:r w:rsidR="00902253" w:rsidRPr="00D20B1A">
        <w:rPr>
          <w:rFonts w:asciiTheme="minorHAnsi" w:hAnsiTheme="minorHAnsi" w:cstheme="minorHAnsi"/>
        </w:rPr>
        <w:fldChar w:fldCharType="begin"/>
      </w:r>
      <w:r w:rsidR="00902253" w:rsidRPr="00D20B1A">
        <w:rPr>
          <w:rFonts w:asciiTheme="minorHAnsi" w:hAnsiTheme="minorHAnsi" w:cstheme="minorHAnsi"/>
        </w:rPr>
        <w:instrText xml:space="preserve"> SEQ Tabela \* ARABIC </w:instrText>
      </w:r>
      <w:r w:rsidR="00902253" w:rsidRPr="00D20B1A">
        <w:rPr>
          <w:rFonts w:asciiTheme="minorHAnsi" w:hAnsiTheme="minorHAnsi" w:cstheme="minorHAnsi"/>
        </w:rPr>
        <w:fldChar w:fldCharType="separate"/>
      </w:r>
      <w:r w:rsidR="00D224F2">
        <w:rPr>
          <w:rFonts w:asciiTheme="minorHAnsi" w:hAnsiTheme="minorHAnsi" w:cstheme="minorHAnsi"/>
          <w:noProof/>
        </w:rPr>
        <w:t>5</w:t>
      </w:r>
      <w:r w:rsidR="00902253" w:rsidRPr="00D20B1A">
        <w:rPr>
          <w:rFonts w:asciiTheme="minorHAnsi" w:hAnsiTheme="minorHAnsi" w:cstheme="minorHAnsi"/>
        </w:rPr>
        <w:fldChar w:fldCharType="end"/>
      </w:r>
      <w:r w:rsidR="00C52BA6" w:rsidRPr="00D20B1A">
        <w:rPr>
          <w:rFonts w:asciiTheme="minorHAnsi" w:hAnsiTheme="minorHAnsi" w:cstheme="minorHAnsi"/>
        </w:rPr>
        <w:t xml:space="preserve">. </w:t>
      </w:r>
      <w:r w:rsidR="00834C77" w:rsidRPr="00D20B1A">
        <w:rPr>
          <w:rFonts w:asciiTheme="minorHAnsi" w:hAnsiTheme="minorHAnsi" w:cstheme="minorHAnsi"/>
        </w:rPr>
        <w:t xml:space="preserve"> Despesa de Pessoal por Poder e Recei</w:t>
      </w:r>
      <w:r w:rsidR="00394636" w:rsidRPr="00D20B1A">
        <w:rPr>
          <w:rFonts w:asciiTheme="minorHAnsi" w:hAnsiTheme="minorHAnsi" w:cstheme="minorHAnsi"/>
        </w:rPr>
        <w:t xml:space="preserve">ta Corrente Líquida </w:t>
      </w:r>
      <w:r w:rsidR="005242AF">
        <w:rPr>
          <w:rFonts w:asciiTheme="minorHAnsi" w:hAnsiTheme="minorHAnsi" w:cstheme="minorHAnsi"/>
        </w:rPr>
        <w:t>2006 a 2018</w:t>
      </w:r>
      <w:bookmarkEnd w:id="34"/>
    </w:p>
    <w:p w14:paraId="373C3349" w14:textId="657BD733" w:rsidR="00F375E8" w:rsidRDefault="00F375E8" w:rsidP="00A342E3">
      <w:pPr>
        <w:spacing w:before="120"/>
        <w:rPr>
          <w:rFonts w:cstheme="minorHAnsi"/>
          <w:sz w:val="16"/>
          <w:szCs w:val="16"/>
        </w:rPr>
      </w:pPr>
    </w:p>
    <w:p w14:paraId="51645BB4" w14:textId="555CF522" w:rsidR="00F375E8" w:rsidRDefault="00F375E8" w:rsidP="00A342E3">
      <w:pPr>
        <w:spacing w:before="120"/>
        <w:rPr>
          <w:rFonts w:cstheme="minorHAnsi"/>
          <w:sz w:val="16"/>
          <w:szCs w:val="16"/>
        </w:rPr>
      </w:pPr>
    </w:p>
    <w:p w14:paraId="6E1135BB" w14:textId="77777777" w:rsidR="00834C77" w:rsidRPr="00D20B1A" w:rsidRDefault="00834C77" w:rsidP="00405C06">
      <w:pPr>
        <w:pStyle w:val="Heading2"/>
        <w:numPr>
          <w:ilvl w:val="1"/>
          <w:numId w:val="24"/>
        </w:numPr>
        <w:spacing w:before="480" w:after="120"/>
        <w:ind w:left="518" w:hanging="518"/>
        <w:rPr>
          <w:rFonts w:cstheme="minorHAnsi"/>
          <w:b w:val="0"/>
          <w:i/>
        </w:rPr>
      </w:pPr>
      <w:bookmarkStart w:id="35" w:name="_Toc505510666"/>
      <w:r w:rsidRPr="00D20B1A">
        <w:rPr>
          <w:rFonts w:cstheme="minorHAnsi"/>
          <w:b w:val="0"/>
          <w:i/>
        </w:rPr>
        <w:t xml:space="preserve">O </w:t>
      </w:r>
      <w:bookmarkStart w:id="36" w:name="_Hlk7193063"/>
      <w:r w:rsidRPr="00D20B1A">
        <w:rPr>
          <w:rFonts w:cstheme="minorHAnsi"/>
          <w:b w:val="0"/>
          <w:i/>
        </w:rPr>
        <w:t>Financiamento dos Investimentos e Inversões Financeiras</w:t>
      </w:r>
      <w:bookmarkEnd w:id="35"/>
    </w:p>
    <w:bookmarkEnd w:id="36"/>
    <w:p w14:paraId="254737A1" w14:textId="6FE8ED5D" w:rsidR="00834C77" w:rsidRPr="00D20B1A" w:rsidRDefault="00834C77" w:rsidP="00405C06">
      <w:pPr>
        <w:rPr>
          <w:rFonts w:cstheme="minorHAnsi"/>
        </w:rPr>
      </w:pPr>
      <w:r w:rsidRPr="00F673E3">
        <w:rPr>
          <w:rFonts w:cstheme="minorHAnsi"/>
        </w:rPr>
        <w:t>A composição das fontes de recursos para investimento pode ser visualizada n</w:t>
      </w:r>
      <w:r w:rsidR="00B254EC" w:rsidRPr="00F673E3">
        <w:rPr>
          <w:rFonts w:cstheme="minorHAnsi"/>
        </w:rPr>
        <w:t xml:space="preserve">o primeiro segmento da </w:t>
      </w:r>
      <w:r w:rsidR="00FD0274" w:rsidRPr="00F673E3">
        <w:rPr>
          <w:rFonts w:cstheme="minorHAnsi"/>
        </w:rPr>
        <w:t>Tabela a</w:t>
      </w:r>
      <w:r w:rsidRPr="00F673E3">
        <w:rPr>
          <w:rFonts w:cstheme="minorHAnsi"/>
        </w:rPr>
        <w:t xml:space="preserve"> seguir. Nela, parte-se da Receita Corrente, deduzindo as </w:t>
      </w:r>
      <w:r w:rsidR="0068666C">
        <w:rPr>
          <w:rFonts w:cstheme="minorHAnsi"/>
        </w:rPr>
        <w:t>D</w:t>
      </w:r>
      <w:r w:rsidRPr="00F673E3">
        <w:rPr>
          <w:rFonts w:cstheme="minorHAnsi"/>
        </w:rPr>
        <w:t xml:space="preserve">espesas </w:t>
      </w:r>
      <w:r w:rsidR="0068666C">
        <w:rPr>
          <w:rFonts w:cstheme="minorHAnsi"/>
        </w:rPr>
        <w:t>de P</w:t>
      </w:r>
      <w:r w:rsidRPr="00F673E3">
        <w:rPr>
          <w:rFonts w:cstheme="minorHAnsi"/>
        </w:rPr>
        <w:t>essoal</w:t>
      </w:r>
      <w:r w:rsidR="0068666C">
        <w:rPr>
          <w:rFonts w:cstheme="minorHAnsi"/>
        </w:rPr>
        <w:t xml:space="preserve"> </w:t>
      </w:r>
      <w:r w:rsidR="00881E98">
        <w:rPr>
          <w:rFonts w:cstheme="minorHAnsi"/>
        </w:rPr>
        <w:t>e as</w:t>
      </w:r>
      <w:r w:rsidR="001C7741">
        <w:rPr>
          <w:rFonts w:cstheme="minorHAnsi"/>
        </w:rPr>
        <w:t xml:space="preserve"> demais de custeio </w:t>
      </w:r>
      <w:r w:rsidR="0054771D">
        <w:rPr>
          <w:rFonts w:cstheme="minorHAnsi"/>
        </w:rPr>
        <w:t xml:space="preserve">e </w:t>
      </w:r>
      <w:r w:rsidR="0054771D" w:rsidRPr="00F673E3">
        <w:rPr>
          <w:rFonts w:cstheme="minorHAnsi"/>
        </w:rPr>
        <w:t>com</w:t>
      </w:r>
      <w:r w:rsidRPr="00F673E3">
        <w:rPr>
          <w:rFonts w:cstheme="minorHAnsi"/>
        </w:rPr>
        <w:t xml:space="preserve"> o </w:t>
      </w:r>
      <w:r w:rsidR="0068666C">
        <w:rPr>
          <w:rFonts w:cstheme="minorHAnsi"/>
        </w:rPr>
        <w:t>S</w:t>
      </w:r>
      <w:r w:rsidRPr="00F673E3">
        <w:rPr>
          <w:rFonts w:cstheme="minorHAnsi"/>
        </w:rPr>
        <w:t xml:space="preserve">erviço da </w:t>
      </w:r>
      <w:r w:rsidR="0068666C">
        <w:rPr>
          <w:rFonts w:cstheme="minorHAnsi"/>
        </w:rPr>
        <w:t>D</w:t>
      </w:r>
      <w:r w:rsidRPr="00F673E3">
        <w:rPr>
          <w:rFonts w:cstheme="minorHAnsi"/>
        </w:rPr>
        <w:t xml:space="preserve">ívida (juros + </w:t>
      </w:r>
      <w:r w:rsidR="001C7741">
        <w:rPr>
          <w:rFonts w:cstheme="minorHAnsi"/>
        </w:rPr>
        <w:t xml:space="preserve">encargos + </w:t>
      </w:r>
      <w:r w:rsidRPr="00F673E3">
        <w:rPr>
          <w:rFonts w:cstheme="minorHAnsi"/>
        </w:rPr>
        <w:t xml:space="preserve">amortização). </w:t>
      </w:r>
      <w:r w:rsidR="001C7741">
        <w:rPr>
          <w:rFonts w:cstheme="minorHAnsi"/>
        </w:rPr>
        <w:t xml:space="preserve">Deduzimos também as </w:t>
      </w:r>
      <w:bookmarkStart w:id="37" w:name="_Hlk7283820"/>
      <w:r w:rsidR="001C7741">
        <w:rPr>
          <w:rFonts w:cstheme="minorHAnsi"/>
        </w:rPr>
        <w:t>Receitas de Valores Mobiliários do RPPS</w:t>
      </w:r>
      <w:bookmarkEnd w:id="37"/>
      <w:r w:rsidR="001C7741">
        <w:rPr>
          <w:rFonts w:cstheme="minorHAnsi"/>
        </w:rPr>
        <w:t>, pelas razões antes apontadas</w:t>
      </w:r>
      <w:r w:rsidR="001C7741">
        <w:rPr>
          <w:rStyle w:val="FootnoteReference"/>
          <w:rFonts w:cstheme="minorHAnsi"/>
        </w:rPr>
        <w:footnoteReference w:id="17"/>
      </w:r>
      <w:r w:rsidR="001C7741">
        <w:rPr>
          <w:rFonts w:cstheme="minorHAnsi"/>
        </w:rPr>
        <w:t xml:space="preserve">.  </w:t>
      </w:r>
      <w:r w:rsidRPr="00F673E3">
        <w:rPr>
          <w:rFonts w:cstheme="minorHAnsi"/>
        </w:rPr>
        <w:t xml:space="preserve">Desse resultado, que se denominou Poupança Corrente, </w:t>
      </w:r>
      <w:r w:rsidR="000A4082">
        <w:rPr>
          <w:rFonts w:cstheme="minorHAnsi"/>
        </w:rPr>
        <w:t xml:space="preserve">subtrai-se </w:t>
      </w:r>
      <w:bookmarkStart w:id="38" w:name="_Hlk7284204"/>
      <w:r w:rsidR="0068666C">
        <w:rPr>
          <w:rFonts w:cstheme="minorHAnsi"/>
        </w:rPr>
        <w:t xml:space="preserve">o </w:t>
      </w:r>
      <w:r w:rsidR="000A4082">
        <w:rPr>
          <w:rFonts w:cstheme="minorHAnsi"/>
        </w:rPr>
        <w:t xml:space="preserve">Resultado </w:t>
      </w:r>
      <w:r w:rsidR="000A4082" w:rsidRPr="00F673E3">
        <w:rPr>
          <w:rFonts w:cstheme="minorHAnsi"/>
        </w:rPr>
        <w:t>do</w:t>
      </w:r>
      <w:r w:rsidRPr="00F673E3">
        <w:rPr>
          <w:rFonts w:cstheme="minorHAnsi"/>
        </w:rPr>
        <w:t xml:space="preserve"> </w:t>
      </w:r>
      <w:r w:rsidR="000A4082">
        <w:rPr>
          <w:rFonts w:cstheme="minorHAnsi"/>
        </w:rPr>
        <w:t>E</w:t>
      </w:r>
      <w:r w:rsidRPr="00F673E3">
        <w:rPr>
          <w:rFonts w:cstheme="minorHAnsi"/>
        </w:rPr>
        <w:t>xercício</w:t>
      </w:r>
      <w:bookmarkEnd w:id="38"/>
      <w:r w:rsidR="00C020A1">
        <w:rPr>
          <w:rFonts w:cstheme="minorHAnsi"/>
        </w:rPr>
        <w:t>. Quando superavitário</w:t>
      </w:r>
      <w:r w:rsidRPr="00F673E3">
        <w:rPr>
          <w:rFonts w:cstheme="minorHAnsi"/>
        </w:rPr>
        <w:t xml:space="preserve">, </w:t>
      </w:r>
      <w:r w:rsidR="00C020A1">
        <w:rPr>
          <w:rFonts w:cstheme="minorHAnsi"/>
        </w:rPr>
        <w:t xml:space="preserve">considera-se que </w:t>
      </w:r>
      <w:r w:rsidR="00B91E03">
        <w:rPr>
          <w:rFonts w:cstheme="minorHAnsi"/>
        </w:rPr>
        <w:t xml:space="preserve">essa </w:t>
      </w:r>
      <w:r w:rsidR="00B91E03" w:rsidRPr="00F673E3">
        <w:rPr>
          <w:rFonts w:cstheme="minorHAnsi"/>
        </w:rPr>
        <w:t>parcela</w:t>
      </w:r>
      <w:r w:rsidRPr="00F673E3">
        <w:rPr>
          <w:rFonts w:cstheme="minorHAnsi"/>
        </w:rPr>
        <w:t xml:space="preserve"> da </w:t>
      </w:r>
      <w:r w:rsidR="0068666C">
        <w:rPr>
          <w:rFonts w:cstheme="minorHAnsi"/>
        </w:rPr>
        <w:t>R</w:t>
      </w:r>
      <w:r w:rsidRPr="00F673E3">
        <w:rPr>
          <w:rFonts w:cstheme="minorHAnsi"/>
        </w:rPr>
        <w:t xml:space="preserve">eceita </w:t>
      </w:r>
      <w:bookmarkStart w:id="39" w:name="_Hlk7284297"/>
      <w:r w:rsidRPr="00F673E3">
        <w:rPr>
          <w:rFonts w:cstheme="minorHAnsi"/>
        </w:rPr>
        <w:t xml:space="preserve">não </w:t>
      </w:r>
      <w:r w:rsidR="00C020A1">
        <w:rPr>
          <w:rFonts w:cstheme="minorHAnsi"/>
        </w:rPr>
        <w:t xml:space="preserve">foi </w:t>
      </w:r>
      <w:r w:rsidRPr="00F673E3">
        <w:rPr>
          <w:rFonts w:cstheme="minorHAnsi"/>
        </w:rPr>
        <w:t>aplicada no próprio exercício fiscal</w:t>
      </w:r>
      <w:bookmarkEnd w:id="39"/>
      <w:r w:rsidR="0054771D">
        <w:rPr>
          <w:rStyle w:val="FootnoteReference"/>
          <w:rFonts w:cstheme="minorHAnsi"/>
        </w:rPr>
        <w:footnoteReference w:id="18"/>
      </w:r>
      <w:r w:rsidRPr="00F673E3">
        <w:rPr>
          <w:rFonts w:cstheme="minorHAnsi"/>
        </w:rPr>
        <w:t xml:space="preserve">. Nos anos em que ocorre déficit, os Restos a Pagar se </w:t>
      </w:r>
      <w:r w:rsidR="0068666C" w:rsidRPr="00F673E3">
        <w:rPr>
          <w:rFonts w:cstheme="minorHAnsi"/>
        </w:rPr>
        <w:t>constitu</w:t>
      </w:r>
      <w:r w:rsidR="0068666C">
        <w:rPr>
          <w:rFonts w:cstheme="minorHAnsi"/>
        </w:rPr>
        <w:t xml:space="preserve">iriam </w:t>
      </w:r>
      <w:r w:rsidR="0068666C" w:rsidRPr="00F673E3">
        <w:rPr>
          <w:rFonts w:cstheme="minorHAnsi"/>
        </w:rPr>
        <w:t>numa</w:t>
      </w:r>
      <w:r w:rsidRPr="00F673E3">
        <w:rPr>
          <w:rFonts w:cstheme="minorHAnsi"/>
        </w:rPr>
        <w:t xml:space="preserve"> fonte </w:t>
      </w:r>
      <w:r w:rsidRPr="00F673E3">
        <w:rPr>
          <w:rFonts w:cstheme="minorHAnsi"/>
        </w:rPr>
        <w:lastRenderedPageBreak/>
        <w:t xml:space="preserve">adicional de financiamento, que se soma à denominada Poupança Corrente.  Chega-se assim </w:t>
      </w:r>
      <w:r w:rsidR="0068666C">
        <w:rPr>
          <w:rFonts w:cstheme="minorHAnsi"/>
        </w:rPr>
        <w:t>à</w:t>
      </w:r>
      <w:r w:rsidR="0068666C" w:rsidRPr="0068666C">
        <w:rPr>
          <w:rFonts w:cstheme="minorHAnsi"/>
        </w:rPr>
        <w:t xml:space="preserve"> base de recursos para financiamento dos investimentos e inversões financeiras no período</w:t>
      </w:r>
      <w:r w:rsidRPr="00F673E3">
        <w:rPr>
          <w:rFonts w:cstheme="minorHAnsi"/>
        </w:rPr>
        <w:t xml:space="preserve">. A </w:t>
      </w:r>
      <w:r w:rsidR="0068666C">
        <w:rPr>
          <w:rFonts w:cstheme="minorHAnsi"/>
        </w:rPr>
        <w:t xml:space="preserve">estes, </w:t>
      </w:r>
      <w:r w:rsidRPr="00F673E3">
        <w:rPr>
          <w:rFonts w:cstheme="minorHAnsi"/>
        </w:rPr>
        <w:t>acrescentam</w:t>
      </w:r>
      <w:r w:rsidRPr="00D20B1A">
        <w:rPr>
          <w:rFonts w:cstheme="minorHAnsi"/>
        </w:rPr>
        <w:t xml:space="preserve">-se os ingressos de recursos captados sob a forma de Operações de Crédito e de Transferências de Capital, além do produto de Alienações de Bens e </w:t>
      </w:r>
      <w:r w:rsidR="0068666C">
        <w:rPr>
          <w:rFonts w:cstheme="minorHAnsi"/>
        </w:rPr>
        <w:t>demais</w:t>
      </w:r>
      <w:r w:rsidRPr="00D20B1A">
        <w:rPr>
          <w:rFonts w:cstheme="minorHAnsi"/>
        </w:rPr>
        <w:t xml:space="preserve"> Receitas de Capital. Essa estrutura específica de fontes condicionará a distribuição dos Investimentos/Inversões:  os recursos de Operações de Crédito e de Transferências de Capital são aplicados de acordo com os projetos a que se vinculam. O último bloco da </w:t>
      </w:r>
      <w:r w:rsidR="0068666C">
        <w:rPr>
          <w:rFonts w:cstheme="minorHAnsi"/>
        </w:rPr>
        <w:t>T</w:t>
      </w:r>
      <w:r w:rsidRPr="00D20B1A">
        <w:rPr>
          <w:rFonts w:cstheme="minorHAnsi"/>
        </w:rPr>
        <w:t>abela detalha a distribuição dos recursos entre Investimentos e Inversões.</w:t>
      </w:r>
      <w:r w:rsidR="0068666C">
        <w:rPr>
          <w:rFonts w:cstheme="minorHAnsi"/>
        </w:rPr>
        <w:t xml:space="preserve"> Como anteriormente observado</w:t>
      </w:r>
      <w:r w:rsidR="0068666C" w:rsidRPr="0068666C">
        <w:rPr>
          <w:rFonts w:cstheme="minorHAnsi"/>
        </w:rPr>
        <w:t>, as Inversões Financeiras dizem respeito a aumento de capital de empresas controladas, com destaque para a Companhia de Eletricidade do Amapá – CEA, em 2012-2014</w:t>
      </w:r>
      <w:r w:rsidR="00A83EF2">
        <w:rPr>
          <w:rFonts w:cstheme="minorHAnsi"/>
        </w:rPr>
        <w:t>.</w:t>
      </w:r>
    </w:p>
    <w:p w14:paraId="76E55765" w14:textId="057053D5" w:rsidR="00B91E03" w:rsidRDefault="00B91E03" w:rsidP="00405C06">
      <w:pPr>
        <w:rPr>
          <w:rFonts w:cstheme="minorHAnsi"/>
        </w:rPr>
      </w:pPr>
      <w:r>
        <w:rPr>
          <w:rFonts w:cstheme="minorHAnsi"/>
        </w:rPr>
        <w:t xml:space="preserve">Em 2013, como anteriormente observado (ver Serviço da Dívida, Seção 2.3), o GEAP </w:t>
      </w:r>
      <w:r w:rsidR="00B267CF">
        <w:rPr>
          <w:rFonts w:cstheme="minorHAnsi"/>
        </w:rPr>
        <w:t>reestruturou sua dívida com o BNDES</w:t>
      </w:r>
      <w:r w:rsidR="000D1576">
        <w:rPr>
          <w:rFonts w:cstheme="minorHAnsi"/>
        </w:rPr>
        <w:t xml:space="preserve">. </w:t>
      </w:r>
      <w:r w:rsidR="000D1576" w:rsidRPr="000D1576">
        <w:rPr>
          <w:rFonts w:cstheme="minorHAnsi"/>
        </w:rPr>
        <w:t xml:space="preserve">Essa hipótese está sendo considerada </w:t>
      </w:r>
      <w:r w:rsidR="000D1576" w:rsidRPr="00B81ABA">
        <w:rPr>
          <w:rFonts w:cstheme="minorHAnsi"/>
        </w:rPr>
        <w:t>com base em pesquisas em diversos sites e nos Balanços Estaduais, que apresentam a composição da dívida por credor. Nas notas explicativas ao Balanço de 2013, não há menção específica. Assim, não dispomos do valor exato da reestruturação, estimado em cerca de R$400,0 milhões. Quando ocorrem operações de reestruturação</w:t>
      </w:r>
      <w:r w:rsidR="000D1576" w:rsidRPr="000D1576">
        <w:rPr>
          <w:rFonts w:cstheme="minorHAnsi"/>
        </w:rPr>
        <w:t xml:space="preserve"> de dívidas, a situação patrimonial, em princípio, não se modifica. Os recursos tomados ao novo credor são registrados em Receitas de Operações de Crédito e o pagamento ao credor inicial, em Amortização /juros da dívida.  </w:t>
      </w:r>
      <w:r w:rsidR="000D1576">
        <w:rPr>
          <w:rFonts w:cstheme="minorHAnsi"/>
        </w:rPr>
        <w:t xml:space="preserve">Na Tabela acima, em 2013, o excepcionalmente elevado Serviço da Dívida reduz a Poupança Corrente, compensada pela extraordinária Receita de Operação de Crédito. </w:t>
      </w:r>
      <w:r w:rsidR="00B55F1D">
        <w:rPr>
          <w:rFonts w:cstheme="minorHAnsi"/>
        </w:rPr>
        <w:t xml:space="preserve">Se expurgados os R$ 400,0 milhões, </w:t>
      </w:r>
      <w:r w:rsidR="00C965FA">
        <w:rPr>
          <w:rFonts w:cstheme="minorHAnsi"/>
        </w:rPr>
        <w:t>o Serviço da Dívida se reduz a R$ 79,</w:t>
      </w:r>
      <w:r w:rsidR="00D71443">
        <w:rPr>
          <w:rFonts w:cstheme="minorHAnsi"/>
        </w:rPr>
        <w:t xml:space="preserve">0 </w:t>
      </w:r>
      <w:r w:rsidR="00C965FA">
        <w:rPr>
          <w:rFonts w:cstheme="minorHAnsi"/>
        </w:rPr>
        <w:t xml:space="preserve">milhões, </w:t>
      </w:r>
      <w:r w:rsidR="00D71443">
        <w:rPr>
          <w:rFonts w:cstheme="minorHAnsi"/>
        </w:rPr>
        <w:t>a Poupança</w:t>
      </w:r>
      <w:r w:rsidR="00B55F1D">
        <w:rPr>
          <w:rFonts w:cstheme="minorHAnsi"/>
        </w:rPr>
        <w:t xml:space="preserve"> Corrente</w:t>
      </w:r>
      <w:r w:rsidR="00C965FA">
        <w:rPr>
          <w:rFonts w:cstheme="minorHAnsi"/>
        </w:rPr>
        <w:t xml:space="preserve"> </w:t>
      </w:r>
      <w:r w:rsidR="00520C77">
        <w:rPr>
          <w:rFonts w:cstheme="minorHAnsi"/>
        </w:rPr>
        <w:t>alcançaria R</w:t>
      </w:r>
      <w:r w:rsidR="00B55F1D">
        <w:rPr>
          <w:rFonts w:cstheme="minorHAnsi"/>
        </w:rPr>
        <w:t xml:space="preserve">$316,0 milhões </w:t>
      </w:r>
      <w:r w:rsidR="00C965FA">
        <w:rPr>
          <w:rFonts w:cstheme="minorHAnsi"/>
        </w:rPr>
        <w:t xml:space="preserve">e </w:t>
      </w:r>
      <w:r w:rsidR="00B55F1D">
        <w:rPr>
          <w:rFonts w:cstheme="minorHAnsi"/>
        </w:rPr>
        <w:t xml:space="preserve">as Receitas de </w:t>
      </w:r>
      <w:r w:rsidR="00611935">
        <w:rPr>
          <w:rFonts w:cstheme="minorHAnsi"/>
        </w:rPr>
        <w:t>C</w:t>
      </w:r>
      <w:r w:rsidR="00B55F1D">
        <w:rPr>
          <w:rFonts w:cstheme="minorHAnsi"/>
        </w:rPr>
        <w:t>apital</w:t>
      </w:r>
      <w:r w:rsidR="00C965FA">
        <w:rPr>
          <w:rFonts w:cstheme="minorHAnsi"/>
        </w:rPr>
        <w:t xml:space="preserve"> </w:t>
      </w:r>
      <w:r w:rsidR="00DC2E7A">
        <w:rPr>
          <w:rFonts w:cstheme="minorHAnsi"/>
        </w:rPr>
        <w:t>seriam de</w:t>
      </w:r>
      <w:r w:rsidR="00B55F1D">
        <w:rPr>
          <w:rFonts w:cstheme="minorHAnsi"/>
        </w:rPr>
        <w:t xml:space="preserve"> R$ 723,0 milhões. </w:t>
      </w:r>
    </w:p>
    <w:p w14:paraId="66FC2A42" w14:textId="2E60B378" w:rsidR="00C965FA" w:rsidRDefault="00A611F4" w:rsidP="00405C06">
      <w:pPr>
        <w:rPr>
          <w:rFonts w:cstheme="minorHAnsi"/>
        </w:rPr>
      </w:pPr>
      <w:r>
        <w:rPr>
          <w:rFonts w:cstheme="minorHAnsi"/>
        </w:rPr>
        <w:t xml:space="preserve">A elevação de despesas e a queda de receitas explicam a queda da Poupança Corrente e a forte dependência dos </w:t>
      </w:r>
      <w:bookmarkStart w:id="41" w:name="_Hlk7288728"/>
      <w:r>
        <w:rPr>
          <w:rFonts w:cstheme="minorHAnsi"/>
        </w:rPr>
        <w:t xml:space="preserve">investimentos/inversões financeiras </w:t>
      </w:r>
      <w:bookmarkEnd w:id="41"/>
      <w:r>
        <w:rPr>
          <w:rFonts w:cstheme="minorHAnsi"/>
        </w:rPr>
        <w:t xml:space="preserve">em relação às Receitas de </w:t>
      </w:r>
      <w:r w:rsidR="0079011A">
        <w:rPr>
          <w:rFonts w:cstheme="minorHAnsi"/>
        </w:rPr>
        <w:t>Operações entre</w:t>
      </w:r>
      <w:r>
        <w:rPr>
          <w:rFonts w:cstheme="minorHAnsi"/>
        </w:rPr>
        <w:t xml:space="preserve"> 2012 e 20</w:t>
      </w:r>
      <w:r w:rsidR="00DC2E7A">
        <w:rPr>
          <w:rFonts w:cstheme="minorHAnsi"/>
        </w:rPr>
        <w:t>1</w:t>
      </w:r>
      <w:r>
        <w:rPr>
          <w:rFonts w:cstheme="minorHAnsi"/>
        </w:rPr>
        <w:t xml:space="preserve">5. Em 2016- 2018, quando essa fonte escasseia, os </w:t>
      </w:r>
      <w:r w:rsidRPr="00A611F4">
        <w:rPr>
          <w:rFonts w:cstheme="minorHAnsi"/>
        </w:rPr>
        <w:t>investimentos/inversões financeiras</w:t>
      </w:r>
      <w:r>
        <w:rPr>
          <w:rFonts w:cstheme="minorHAnsi"/>
        </w:rPr>
        <w:t xml:space="preserve"> situam-se nos menores níveis da série, num contexto de </w:t>
      </w:r>
      <w:r w:rsidR="00D71443">
        <w:rPr>
          <w:rFonts w:cstheme="minorHAnsi"/>
        </w:rPr>
        <w:t xml:space="preserve">aumento da rigidez orçamentária, frente ao avanço dos gastos de pessoal e da dívida. </w:t>
      </w:r>
    </w:p>
    <w:p w14:paraId="4A6B2B39" w14:textId="6EF54843" w:rsidR="00776A2C" w:rsidRPr="00D20B1A" w:rsidRDefault="00405C06" w:rsidP="00BF1E69">
      <w:pPr>
        <w:rPr>
          <w:rFonts w:cstheme="minorHAnsi"/>
        </w:rPr>
        <w:sectPr w:rsidR="00776A2C" w:rsidRPr="00D20B1A" w:rsidSect="00B537FE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  <w:r w:rsidRPr="00D20B1A">
        <w:rPr>
          <w:rFonts w:cstheme="minorHAnsi"/>
        </w:rPr>
        <w:br w:type="page"/>
      </w:r>
    </w:p>
    <w:p w14:paraId="3EAB9210" w14:textId="6CCA24EE" w:rsidR="00776A2C" w:rsidRPr="00D20B1A" w:rsidRDefault="00776A2C" w:rsidP="00776A2C">
      <w:pPr>
        <w:pStyle w:val="Caption"/>
        <w:rPr>
          <w:rFonts w:asciiTheme="minorHAnsi" w:hAnsiTheme="minorHAnsi" w:cstheme="minorHAnsi"/>
        </w:rPr>
      </w:pPr>
      <w:bookmarkStart w:id="42" w:name="_Toc7196734"/>
      <w:r w:rsidRPr="00777624">
        <w:rPr>
          <w:rFonts w:asciiTheme="minorHAnsi" w:hAnsiTheme="minorHAnsi" w:cstheme="minorHAnsi"/>
        </w:rPr>
        <w:lastRenderedPageBreak/>
        <w:t xml:space="preserve">Tabela </w:t>
      </w:r>
      <w:r w:rsidRPr="00777624">
        <w:rPr>
          <w:rFonts w:asciiTheme="minorHAnsi" w:hAnsiTheme="minorHAnsi" w:cstheme="minorHAnsi"/>
        </w:rPr>
        <w:fldChar w:fldCharType="begin"/>
      </w:r>
      <w:r w:rsidRPr="00777624">
        <w:rPr>
          <w:rFonts w:asciiTheme="minorHAnsi" w:hAnsiTheme="minorHAnsi" w:cstheme="minorHAnsi"/>
        </w:rPr>
        <w:instrText xml:space="preserve"> SEQ Tabela \* ARABIC </w:instrText>
      </w:r>
      <w:r w:rsidRPr="00777624">
        <w:rPr>
          <w:rFonts w:asciiTheme="minorHAnsi" w:hAnsiTheme="minorHAnsi" w:cstheme="minorHAnsi"/>
        </w:rPr>
        <w:fldChar w:fldCharType="separate"/>
      </w:r>
      <w:r w:rsidR="00D224F2">
        <w:rPr>
          <w:rFonts w:asciiTheme="minorHAnsi" w:hAnsiTheme="minorHAnsi" w:cstheme="minorHAnsi"/>
          <w:noProof/>
        </w:rPr>
        <w:t>6</w:t>
      </w:r>
      <w:r w:rsidRPr="00777624">
        <w:rPr>
          <w:rFonts w:asciiTheme="minorHAnsi" w:hAnsiTheme="minorHAnsi" w:cstheme="minorHAnsi"/>
        </w:rPr>
        <w:fldChar w:fldCharType="end"/>
      </w:r>
      <w:r w:rsidRPr="00777624">
        <w:rPr>
          <w:rFonts w:asciiTheme="minorHAnsi" w:hAnsiTheme="minorHAnsi" w:cstheme="minorHAnsi"/>
        </w:rPr>
        <w:t xml:space="preserve">. Investimentos e Inversões – Disponibilidade de Recursos e Distribuição das Aplicações </w:t>
      </w:r>
      <w:r w:rsidR="005242AF" w:rsidRPr="00777624">
        <w:rPr>
          <w:rFonts w:asciiTheme="minorHAnsi" w:hAnsiTheme="minorHAnsi" w:cstheme="minorHAnsi"/>
        </w:rPr>
        <w:t>2006 a 2018</w:t>
      </w:r>
      <w:bookmarkEnd w:id="42"/>
    </w:p>
    <w:p w14:paraId="08A2B0E6" w14:textId="2519C448" w:rsidR="00B537FE" w:rsidRPr="00D20B1A" w:rsidRDefault="00E44CE9" w:rsidP="00B537FE">
      <w:pPr>
        <w:jc w:val="center"/>
        <w:rPr>
          <w:rFonts w:cstheme="minorHAnsi"/>
        </w:rPr>
      </w:pPr>
      <w:r w:rsidRPr="00E44CE9">
        <w:rPr>
          <w:noProof/>
        </w:rPr>
        <w:drawing>
          <wp:inline distT="0" distB="0" distL="0" distR="0" wp14:anchorId="49235B30" wp14:editId="0C20A3B4">
            <wp:extent cx="8863330" cy="4444365"/>
            <wp:effectExtent l="0" t="0" r="0" b="0"/>
            <wp:docPr id="45" name="Image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44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98E41" w14:textId="77777777" w:rsidR="00E44CE9" w:rsidRDefault="00E44CE9" w:rsidP="00776A2C">
      <w:pPr>
        <w:pStyle w:val="Caption"/>
        <w:rPr>
          <w:rFonts w:asciiTheme="minorHAnsi" w:hAnsiTheme="minorHAnsi" w:cstheme="minorHAnsi"/>
        </w:rPr>
      </w:pPr>
    </w:p>
    <w:p w14:paraId="0BBA780A" w14:textId="15700056" w:rsidR="00B537FE" w:rsidRDefault="00B537FE" w:rsidP="00776A2C">
      <w:pPr>
        <w:pStyle w:val="Caption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</w:rPr>
        <w:br/>
      </w:r>
    </w:p>
    <w:p w14:paraId="45B3B01D" w14:textId="43B6665C" w:rsidR="00B537FE" w:rsidRPr="00D20B1A" w:rsidRDefault="00B537FE">
      <w:pPr>
        <w:spacing w:before="0" w:after="200" w:line="276" w:lineRule="auto"/>
        <w:jc w:val="left"/>
        <w:rPr>
          <w:rFonts w:cstheme="minorHAnsi"/>
          <w:sz w:val="16"/>
          <w:szCs w:val="16"/>
        </w:rPr>
        <w:sectPr w:rsidR="00B537FE" w:rsidRPr="00D20B1A" w:rsidSect="00776A2C">
          <w:pgSz w:w="16838" w:h="11906" w:orient="landscape"/>
          <w:pgMar w:top="1080" w:right="1440" w:bottom="1080" w:left="1440" w:header="708" w:footer="708" w:gutter="0"/>
          <w:cols w:space="708"/>
          <w:docGrid w:linePitch="360"/>
        </w:sectPr>
      </w:pPr>
    </w:p>
    <w:p w14:paraId="1EF651E4" w14:textId="77777777" w:rsidR="00834C77" w:rsidRPr="00D20B1A" w:rsidRDefault="00834C77" w:rsidP="00405C06">
      <w:pPr>
        <w:pStyle w:val="Heading2"/>
        <w:numPr>
          <w:ilvl w:val="1"/>
          <w:numId w:val="24"/>
        </w:numPr>
        <w:spacing w:before="480" w:after="120"/>
        <w:ind w:left="518" w:hanging="518"/>
        <w:rPr>
          <w:rFonts w:cstheme="minorHAnsi"/>
          <w:b w:val="0"/>
          <w:i/>
        </w:rPr>
      </w:pPr>
      <w:bookmarkStart w:id="43" w:name="_Toc212982732"/>
      <w:bookmarkStart w:id="44" w:name="_Toc121742316"/>
      <w:bookmarkStart w:id="45" w:name="_Toc151731441"/>
      <w:r w:rsidRPr="00D20B1A">
        <w:rPr>
          <w:rFonts w:cstheme="minorHAnsi"/>
          <w:b w:val="0"/>
          <w:i/>
        </w:rPr>
        <w:lastRenderedPageBreak/>
        <w:t xml:space="preserve"> </w:t>
      </w:r>
      <w:bookmarkStart w:id="46" w:name="_Toc505510667"/>
      <w:r w:rsidRPr="00D20B1A">
        <w:rPr>
          <w:rFonts w:cstheme="minorHAnsi"/>
          <w:b w:val="0"/>
          <w:i/>
        </w:rPr>
        <w:t>Dívida Pública</w:t>
      </w:r>
      <w:bookmarkEnd w:id="46"/>
    </w:p>
    <w:p w14:paraId="418B0402" w14:textId="57685526" w:rsidR="0042429E" w:rsidRDefault="000B763B" w:rsidP="00405C06">
      <w:pPr>
        <w:rPr>
          <w:rFonts w:cstheme="minorHAnsi"/>
        </w:rPr>
      </w:pPr>
      <w:r w:rsidRPr="00D20B1A">
        <w:rPr>
          <w:rFonts w:cstheme="minorHAnsi"/>
        </w:rPr>
        <w:t xml:space="preserve">A Dívida Consolidada </w:t>
      </w:r>
      <w:r w:rsidR="00940561" w:rsidRPr="00D20B1A">
        <w:rPr>
          <w:rFonts w:cstheme="minorHAnsi"/>
        </w:rPr>
        <w:t xml:space="preserve">bruta </w:t>
      </w:r>
      <w:r w:rsidRPr="00D20B1A">
        <w:rPr>
          <w:rFonts w:cstheme="minorHAnsi"/>
        </w:rPr>
        <w:t xml:space="preserve">do </w:t>
      </w:r>
      <w:r w:rsidR="00641DA2">
        <w:rPr>
          <w:rFonts w:cstheme="minorHAnsi"/>
        </w:rPr>
        <w:t>GEAP</w:t>
      </w:r>
      <w:r w:rsidR="002D6B81" w:rsidRPr="00D20B1A">
        <w:rPr>
          <w:rFonts w:cstheme="minorHAnsi"/>
        </w:rPr>
        <w:t>, em 31.</w:t>
      </w:r>
      <w:r w:rsidR="000D0E80" w:rsidRPr="00D20B1A">
        <w:rPr>
          <w:rFonts w:cstheme="minorHAnsi"/>
        </w:rPr>
        <w:t>08</w:t>
      </w:r>
      <w:r w:rsidR="002D6B81" w:rsidRPr="00D20B1A">
        <w:rPr>
          <w:rFonts w:cstheme="minorHAnsi"/>
        </w:rPr>
        <w:t>.201</w:t>
      </w:r>
      <w:r w:rsidR="00330227">
        <w:rPr>
          <w:rFonts w:cstheme="minorHAnsi"/>
        </w:rPr>
        <w:t>8</w:t>
      </w:r>
      <w:r w:rsidR="00385DF8" w:rsidRPr="00D20B1A">
        <w:rPr>
          <w:rFonts w:cstheme="minorHAnsi"/>
        </w:rPr>
        <w:t xml:space="preserve">, alcançou o montante de R$ </w:t>
      </w:r>
      <w:r w:rsidR="000D0E80" w:rsidRPr="00D20B1A">
        <w:rPr>
          <w:rFonts w:cstheme="minorHAnsi"/>
        </w:rPr>
        <w:t>2</w:t>
      </w:r>
      <w:r w:rsidR="00330227">
        <w:rPr>
          <w:rFonts w:cstheme="minorHAnsi"/>
        </w:rPr>
        <w:t>.646 m</w:t>
      </w:r>
      <w:r w:rsidR="00834C77" w:rsidRPr="00D20B1A">
        <w:rPr>
          <w:rFonts w:cstheme="minorHAnsi"/>
        </w:rPr>
        <w:t>ilhões</w:t>
      </w:r>
      <w:r w:rsidR="00385DF8" w:rsidRPr="00D20B1A">
        <w:rPr>
          <w:rFonts w:cstheme="minorHAnsi"/>
        </w:rPr>
        <w:t xml:space="preserve">, </w:t>
      </w:r>
      <w:r w:rsidR="00330227">
        <w:rPr>
          <w:rFonts w:cstheme="minorHAnsi"/>
        </w:rPr>
        <w:t>igual a 53,9% da RCL.</w:t>
      </w:r>
      <w:r w:rsidR="00385DF8" w:rsidRPr="00D20B1A">
        <w:rPr>
          <w:rFonts w:cstheme="minorHAnsi"/>
        </w:rPr>
        <w:t xml:space="preserve"> </w:t>
      </w:r>
      <w:r w:rsidR="006F4BE8" w:rsidRPr="00D20B1A">
        <w:rPr>
          <w:rFonts w:cstheme="minorHAnsi"/>
        </w:rPr>
        <w:t xml:space="preserve">A Dívida Consolidada </w:t>
      </w:r>
      <w:r w:rsidR="00F645D1">
        <w:rPr>
          <w:rFonts w:cstheme="minorHAnsi"/>
        </w:rPr>
        <w:t xml:space="preserve">(DC) </w:t>
      </w:r>
      <w:r w:rsidR="00330227">
        <w:rPr>
          <w:rFonts w:cstheme="minorHAnsi"/>
        </w:rPr>
        <w:t xml:space="preserve">do GEAP </w:t>
      </w:r>
      <w:r w:rsidR="006F4BE8" w:rsidRPr="00D20B1A">
        <w:rPr>
          <w:rFonts w:cstheme="minorHAnsi"/>
        </w:rPr>
        <w:t xml:space="preserve">compreende a Dívida </w:t>
      </w:r>
      <w:bookmarkStart w:id="47" w:name="_Hlk505359664"/>
      <w:r w:rsidR="009059FF" w:rsidRPr="00D20B1A">
        <w:rPr>
          <w:rFonts w:cstheme="minorHAnsi"/>
        </w:rPr>
        <w:t>Contratual</w:t>
      </w:r>
      <w:r w:rsidR="009059FF">
        <w:rPr>
          <w:rFonts w:cstheme="minorHAnsi"/>
        </w:rPr>
        <w:t xml:space="preserve"> </w:t>
      </w:r>
      <w:r w:rsidR="009059FF" w:rsidRPr="000353B7">
        <w:rPr>
          <w:rFonts w:cstheme="minorHAnsi"/>
        </w:rPr>
        <w:t>com</w:t>
      </w:r>
      <w:r w:rsidR="000353B7" w:rsidRPr="000353B7">
        <w:rPr>
          <w:rFonts w:cstheme="minorHAnsi"/>
        </w:rPr>
        <w:t xml:space="preserve"> instituições financeiras</w:t>
      </w:r>
      <w:r w:rsidR="00330227">
        <w:rPr>
          <w:rFonts w:cstheme="minorHAnsi"/>
        </w:rPr>
        <w:t>, o parcelamento de dívidas com a AMPREV e com o INSS</w:t>
      </w:r>
      <w:bookmarkEnd w:id="47"/>
      <w:r w:rsidR="00330227">
        <w:rPr>
          <w:rFonts w:cstheme="minorHAnsi"/>
        </w:rPr>
        <w:t xml:space="preserve">. </w:t>
      </w:r>
      <w:r w:rsidR="006F4BE8" w:rsidRPr="00D20B1A">
        <w:rPr>
          <w:rFonts w:cstheme="minorHAnsi"/>
        </w:rPr>
        <w:t xml:space="preserve"> </w:t>
      </w:r>
      <w:r w:rsidR="009742C5" w:rsidRPr="00D20B1A">
        <w:rPr>
          <w:rFonts w:cstheme="minorHAnsi"/>
        </w:rPr>
        <w:t xml:space="preserve">A Dívida Consolidada Líquida - DCL é   obtida a partir de DC, deduzindo o excesso de caixa e haveres financeiros sobre os Restos a Pagar Processados – RPP. </w:t>
      </w:r>
    </w:p>
    <w:p w14:paraId="535D11AA" w14:textId="7CC1623F" w:rsidR="00330227" w:rsidRDefault="00405355" w:rsidP="00405C06">
      <w:pPr>
        <w:rPr>
          <w:rFonts w:cstheme="minorHAnsi"/>
        </w:rPr>
      </w:pPr>
      <w:r>
        <w:rPr>
          <w:rFonts w:cstheme="minorHAnsi"/>
        </w:rPr>
        <w:t xml:space="preserve">A Tabela </w:t>
      </w:r>
      <w:r w:rsidR="00330227">
        <w:rPr>
          <w:rFonts w:cstheme="minorHAnsi"/>
        </w:rPr>
        <w:t>7</w:t>
      </w:r>
      <w:r>
        <w:rPr>
          <w:rFonts w:cstheme="minorHAnsi"/>
        </w:rPr>
        <w:t xml:space="preserve"> </w:t>
      </w:r>
      <w:r w:rsidR="00E07C94">
        <w:rPr>
          <w:rFonts w:cstheme="minorHAnsi"/>
        </w:rPr>
        <w:t xml:space="preserve">e o </w:t>
      </w:r>
      <w:r w:rsidR="0042429E">
        <w:rPr>
          <w:rFonts w:cstheme="minorHAnsi"/>
        </w:rPr>
        <w:t>G</w:t>
      </w:r>
      <w:r w:rsidR="00E07C94">
        <w:rPr>
          <w:rFonts w:cstheme="minorHAnsi"/>
        </w:rPr>
        <w:t xml:space="preserve">ráfico 5 </w:t>
      </w:r>
      <w:r>
        <w:rPr>
          <w:rFonts w:cstheme="minorHAnsi"/>
        </w:rPr>
        <w:t>apresenta</w:t>
      </w:r>
      <w:r w:rsidR="00E07C94">
        <w:rPr>
          <w:rFonts w:cstheme="minorHAnsi"/>
        </w:rPr>
        <w:t>m</w:t>
      </w:r>
      <w:r>
        <w:rPr>
          <w:rFonts w:cstheme="minorHAnsi"/>
        </w:rPr>
        <w:t xml:space="preserve"> a evolução da dívida</w:t>
      </w:r>
      <w:r w:rsidR="00E07C94">
        <w:rPr>
          <w:rFonts w:cstheme="minorHAnsi"/>
        </w:rPr>
        <w:t xml:space="preserve"> entre 200</w:t>
      </w:r>
      <w:r w:rsidR="00FE3B83">
        <w:rPr>
          <w:rFonts w:cstheme="minorHAnsi"/>
        </w:rPr>
        <w:t>8</w:t>
      </w:r>
      <w:r w:rsidR="00E07C94">
        <w:rPr>
          <w:rFonts w:cstheme="minorHAnsi"/>
        </w:rPr>
        <w:t xml:space="preserve"> e 201</w:t>
      </w:r>
      <w:r w:rsidR="00330227">
        <w:rPr>
          <w:rFonts w:cstheme="minorHAnsi"/>
        </w:rPr>
        <w:t>8</w:t>
      </w:r>
      <w:r w:rsidR="00E07C94">
        <w:rPr>
          <w:rFonts w:cstheme="minorHAnsi"/>
        </w:rPr>
        <w:t xml:space="preserve">, </w:t>
      </w:r>
      <w:r>
        <w:rPr>
          <w:rFonts w:cstheme="minorHAnsi"/>
        </w:rPr>
        <w:t>seus principais componentes</w:t>
      </w:r>
      <w:r w:rsidR="00E07C94">
        <w:rPr>
          <w:rFonts w:cstheme="minorHAnsi"/>
        </w:rPr>
        <w:t xml:space="preserve"> e os indicadores </w:t>
      </w:r>
      <w:r w:rsidR="00E37F57">
        <w:rPr>
          <w:rFonts w:cstheme="minorHAnsi"/>
        </w:rPr>
        <w:t xml:space="preserve">normalmente utilizados para avaliar o endividamento: a DC/ RCL (Receita Corrente Líquida) e a DCL/RCL. </w:t>
      </w:r>
      <w:r w:rsidR="00330227">
        <w:rPr>
          <w:rFonts w:cstheme="minorHAnsi"/>
        </w:rPr>
        <w:t>A Tabela 8 detalha a dívida por credor, no período 2011 a 201</w:t>
      </w:r>
      <w:r w:rsidR="005546AD">
        <w:rPr>
          <w:rFonts w:cstheme="minorHAnsi"/>
        </w:rPr>
        <w:t>8</w:t>
      </w:r>
      <w:r w:rsidR="00330227">
        <w:rPr>
          <w:rFonts w:cstheme="minorHAnsi"/>
        </w:rPr>
        <w:t xml:space="preserve">, quando a dívida </w:t>
      </w:r>
      <w:r w:rsidR="005546AD">
        <w:rPr>
          <w:rFonts w:cstheme="minorHAnsi"/>
        </w:rPr>
        <w:t>aumenta 265%</w:t>
      </w:r>
      <w:r w:rsidR="0055129E">
        <w:rPr>
          <w:rFonts w:cstheme="minorHAnsi"/>
        </w:rPr>
        <w:t xml:space="preserve">. </w:t>
      </w:r>
    </w:p>
    <w:p w14:paraId="61C3DC4E" w14:textId="77777777" w:rsidR="00237BBA" w:rsidRPr="00D20B1A" w:rsidRDefault="00237BBA" w:rsidP="00405C06">
      <w:pPr>
        <w:rPr>
          <w:rFonts w:cstheme="minorHAnsi"/>
        </w:rPr>
      </w:pPr>
    </w:p>
    <w:p w14:paraId="6520D0D2" w14:textId="699EE982" w:rsidR="0049211A" w:rsidRPr="00D20B1A" w:rsidRDefault="0049211A" w:rsidP="00405C06">
      <w:pPr>
        <w:pStyle w:val="Caption"/>
        <w:rPr>
          <w:rFonts w:asciiTheme="minorHAnsi" w:hAnsiTheme="minorHAnsi" w:cstheme="minorHAnsi"/>
        </w:rPr>
      </w:pPr>
      <w:bookmarkStart w:id="48" w:name="_Hlk7174997"/>
      <w:bookmarkStart w:id="49" w:name="_Toc7196736"/>
      <w:r w:rsidRPr="00777624">
        <w:rPr>
          <w:rFonts w:asciiTheme="minorHAnsi" w:hAnsiTheme="minorHAnsi" w:cstheme="minorHAnsi"/>
        </w:rPr>
        <w:t xml:space="preserve">Tabela </w:t>
      </w:r>
      <w:r w:rsidR="000B4C26">
        <w:rPr>
          <w:rFonts w:asciiTheme="minorHAnsi" w:hAnsiTheme="minorHAnsi" w:cstheme="minorHAnsi"/>
        </w:rPr>
        <w:t>7</w:t>
      </w:r>
      <w:r w:rsidRPr="00777624">
        <w:rPr>
          <w:rFonts w:asciiTheme="minorHAnsi" w:hAnsiTheme="minorHAnsi" w:cstheme="minorHAnsi"/>
        </w:rPr>
        <w:t xml:space="preserve">. </w:t>
      </w:r>
      <w:r w:rsidR="00622B52">
        <w:rPr>
          <w:rFonts w:asciiTheme="minorHAnsi" w:hAnsiTheme="minorHAnsi" w:cstheme="minorHAnsi"/>
        </w:rPr>
        <w:t xml:space="preserve">Evolução </w:t>
      </w:r>
      <w:r w:rsidRPr="00777624">
        <w:rPr>
          <w:rFonts w:asciiTheme="minorHAnsi" w:hAnsiTheme="minorHAnsi" w:cstheme="minorHAnsi"/>
        </w:rPr>
        <w:t xml:space="preserve">da Dívida e Indicadores Fiscais </w:t>
      </w:r>
      <w:r w:rsidR="005242AF" w:rsidRPr="00777624">
        <w:rPr>
          <w:rFonts w:asciiTheme="minorHAnsi" w:hAnsiTheme="minorHAnsi" w:cstheme="minorHAnsi"/>
        </w:rPr>
        <w:t>2006 a 201</w:t>
      </w:r>
      <w:bookmarkEnd w:id="48"/>
      <w:r w:rsidR="005242AF" w:rsidRPr="00777624">
        <w:rPr>
          <w:rFonts w:asciiTheme="minorHAnsi" w:hAnsiTheme="minorHAnsi" w:cstheme="minorHAnsi"/>
        </w:rPr>
        <w:t>8</w:t>
      </w:r>
      <w:bookmarkEnd w:id="49"/>
    </w:p>
    <w:p w14:paraId="46133252" w14:textId="0D8AB22C" w:rsidR="0049211A" w:rsidRPr="00D20B1A" w:rsidRDefault="00266C97" w:rsidP="00405C06">
      <w:pPr>
        <w:rPr>
          <w:rFonts w:cstheme="minorHAnsi"/>
        </w:rPr>
      </w:pPr>
      <w:r w:rsidRPr="00266C97">
        <w:rPr>
          <w:noProof/>
        </w:rPr>
        <w:drawing>
          <wp:inline distT="0" distB="0" distL="0" distR="0" wp14:anchorId="409586B4" wp14:editId="7BB4EE24">
            <wp:extent cx="6188710" cy="2843530"/>
            <wp:effectExtent l="0" t="0" r="254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284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D12E1" w14:textId="09928062" w:rsidR="00C62FBE" w:rsidRDefault="00C62FBE">
      <w:pPr>
        <w:spacing w:before="0" w:after="200" w:line="276" w:lineRule="auto"/>
        <w:jc w:val="left"/>
        <w:rPr>
          <w:rFonts w:cstheme="minorHAnsi"/>
        </w:rPr>
      </w:pPr>
      <w:r w:rsidRPr="00D20B1A">
        <w:rPr>
          <w:rFonts w:cstheme="minorHAnsi"/>
        </w:rPr>
        <w:br w:type="page"/>
      </w:r>
    </w:p>
    <w:p w14:paraId="5453F62F" w14:textId="744996BA" w:rsidR="00237BBA" w:rsidRDefault="00237BBA" w:rsidP="00C90467">
      <w:pPr>
        <w:spacing w:before="0" w:after="200" w:line="276" w:lineRule="auto"/>
        <w:jc w:val="center"/>
        <w:rPr>
          <w:rFonts w:eastAsia="Calibri" w:cstheme="minorHAnsi"/>
          <w:bCs/>
          <w:i/>
          <w:color w:val="808080"/>
          <w:sz w:val="20"/>
          <w:szCs w:val="18"/>
        </w:rPr>
      </w:pPr>
      <w:r w:rsidRPr="00777624">
        <w:rPr>
          <w:rFonts w:eastAsia="Calibri" w:cstheme="minorHAnsi"/>
          <w:bCs/>
          <w:i/>
          <w:color w:val="808080"/>
          <w:sz w:val="20"/>
          <w:szCs w:val="18"/>
        </w:rPr>
        <w:lastRenderedPageBreak/>
        <w:t>Tabela</w:t>
      </w:r>
      <w:r w:rsidR="009F5B4E">
        <w:rPr>
          <w:rFonts w:eastAsia="Calibri" w:cstheme="minorHAnsi"/>
          <w:bCs/>
          <w:i/>
          <w:color w:val="808080"/>
          <w:sz w:val="20"/>
          <w:szCs w:val="18"/>
        </w:rPr>
        <w:t xml:space="preserve"> 8</w:t>
      </w:r>
      <w:r w:rsidRPr="00777624">
        <w:rPr>
          <w:rFonts w:eastAsia="Calibri" w:cstheme="minorHAnsi"/>
          <w:bCs/>
          <w:i/>
          <w:color w:val="808080"/>
          <w:sz w:val="20"/>
          <w:szCs w:val="18"/>
        </w:rPr>
        <w:t xml:space="preserve">. </w:t>
      </w:r>
      <w:r w:rsidR="00622B52">
        <w:rPr>
          <w:rFonts w:eastAsia="Calibri" w:cstheme="minorHAnsi"/>
          <w:bCs/>
          <w:i/>
          <w:color w:val="808080"/>
          <w:sz w:val="20"/>
          <w:szCs w:val="18"/>
        </w:rPr>
        <w:t xml:space="preserve">Composição </w:t>
      </w:r>
      <w:r w:rsidR="00FE3B83" w:rsidRPr="00777624">
        <w:rPr>
          <w:rFonts w:eastAsia="Calibri" w:cstheme="minorHAnsi"/>
          <w:bCs/>
          <w:i/>
          <w:color w:val="808080"/>
          <w:sz w:val="20"/>
          <w:szCs w:val="18"/>
        </w:rPr>
        <w:t>da</w:t>
      </w:r>
      <w:r w:rsidRPr="00777624">
        <w:rPr>
          <w:rFonts w:eastAsia="Calibri" w:cstheme="minorHAnsi"/>
          <w:bCs/>
          <w:i/>
          <w:color w:val="808080"/>
          <w:sz w:val="20"/>
          <w:szCs w:val="18"/>
        </w:rPr>
        <w:t xml:space="preserve"> Dívida </w:t>
      </w:r>
      <w:r w:rsidR="00D65516">
        <w:rPr>
          <w:rFonts w:eastAsia="Calibri" w:cstheme="minorHAnsi"/>
          <w:bCs/>
          <w:i/>
          <w:color w:val="808080"/>
          <w:sz w:val="20"/>
          <w:szCs w:val="18"/>
        </w:rPr>
        <w:t>por Credor</w:t>
      </w:r>
      <w:r w:rsidRPr="00777624">
        <w:rPr>
          <w:rFonts w:eastAsia="Calibri" w:cstheme="minorHAnsi"/>
          <w:bCs/>
          <w:i/>
          <w:color w:val="808080"/>
          <w:sz w:val="20"/>
          <w:szCs w:val="18"/>
        </w:rPr>
        <w:t xml:space="preserve"> 2011 a 201</w:t>
      </w:r>
      <w:r w:rsidR="00266C97">
        <w:rPr>
          <w:rFonts w:eastAsia="Calibri" w:cstheme="minorHAnsi"/>
          <w:bCs/>
          <w:i/>
          <w:color w:val="808080"/>
          <w:sz w:val="20"/>
          <w:szCs w:val="18"/>
        </w:rPr>
        <w:t>8</w:t>
      </w:r>
    </w:p>
    <w:p w14:paraId="3CF61FE9" w14:textId="7CBD60DA" w:rsidR="00237BBA" w:rsidRDefault="00266C97">
      <w:pPr>
        <w:spacing w:before="0" w:after="200" w:line="276" w:lineRule="auto"/>
        <w:jc w:val="left"/>
        <w:rPr>
          <w:rFonts w:eastAsia="Calibri" w:cstheme="minorHAnsi"/>
          <w:bCs/>
          <w:i/>
          <w:color w:val="808080"/>
          <w:sz w:val="20"/>
          <w:szCs w:val="18"/>
        </w:rPr>
      </w:pPr>
      <w:r w:rsidRPr="00266C97">
        <w:rPr>
          <w:noProof/>
        </w:rPr>
        <w:drawing>
          <wp:inline distT="0" distB="0" distL="0" distR="0" wp14:anchorId="60CE0EDA" wp14:editId="5B946BF0">
            <wp:extent cx="6188710" cy="2889885"/>
            <wp:effectExtent l="0" t="0" r="2540" b="571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288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66A9B" w14:textId="029EAC0D" w:rsidR="00237BBA" w:rsidRDefault="00237BBA">
      <w:pPr>
        <w:spacing w:before="0" w:after="200" w:line="276" w:lineRule="auto"/>
        <w:jc w:val="left"/>
        <w:rPr>
          <w:rFonts w:eastAsia="Calibri" w:cstheme="minorHAnsi"/>
          <w:bCs/>
          <w:i/>
          <w:color w:val="808080"/>
          <w:sz w:val="20"/>
          <w:szCs w:val="18"/>
        </w:rPr>
      </w:pPr>
    </w:p>
    <w:p w14:paraId="70545CF8" w14:textId="67FDB6C5" w:rsidR="00C62FBE" w:rsidRPr="00D20B1A" w:rsidRDefault="00C62FBE" w:rsidP="00C62FBE">
      <w:pPr>
        <w:pStyle w:val="Caption"/>
        <w:rPr>
          <w:rFonts w:asciiTheme="minorHAnsi" w:hAnsiTheme="minorHAnsi" w:cstheme="minorHAnsi"/>
        </w:rPr>
      </w:pPr>
      <w:bookmarkStart w:id="50" w:name="_Hlk8665273"/>
      <w:bookmarkStart w:id="51" w:name="_Toc7196757"/>
      <w:r w:rsidRPr="002E0CC6">
        <w:rPr>
          <w:rFonts w:asciiTheme="minorHAnsi" w:hAnsiTheme="minorHAnsi" w:cstheme="minorHAnsi"/>
        </w:rPr>
        <w:t xml:space="preserve">Gráfico </w:t>
      </w:r>
      <w:r w:rsidRPr="002E0CC6">
        <w:rPr>
          <w:rFonts w:asciiTheme="minorHAnsi" w:hAnsiTheme="minorHAnsi" w:cstheme="minorHAnsi"/>
        </w:rPr>
        <w:fldChar w:fldCharType="begin"/>
      </w:r>
      <w:r w:rsidRPr="002E0CC6">
        <w:rPr>
          <w:rFonts w:asciiTheme="minorHAnsi" w:hAnsiTheme="minorHAnsi" w:cstheme="minorHAnsi"/>
        </w:rPr>
        <w:instrText xml:space="preserve"> SEQ Gráfico \* ARABIC </w:instrText>
      </w:r>
      <w:r w:rsidRPr="002E0CC6">
        <w:rPr>
          <w:rFonts w:asciiTheme="minorHAnsi" w:hAnsiTheme="minorHAnsi" w:cstheme="minorHAnsi"/>
        </w:rPr>
        <w:fldChar w:fldCharType="separate"/>
      </w:r>
      <w:r w:rsidR="00D224F2">
        <w:rPr>
          <w:rFonts w:asciiTheme="minorHAnsi" w:hAnsiTheme="minorHAnsi" w:cstheme="minorHAnsi"/>
          <w:noProof/>
        </w:rPr>
        <w:t>5</w:t>
      </w:r>
      <w:r w:rsidRPr="002E0CC6">
        <w:rPr>
          <w:rFonts w:asciiTheme="minorHAnsi" w:hAnsiTheme="minorHAnsi" w:cstheme="minorHAnsi"/>
        </w:rPr>
        <w:fldChar w:fldCharType="end"/>
      </w:r>
      <w:r w:rsidRPr="002E0CC6">
        <w:rPr>
          <w:rFonts w:asciiTheme="minorHAnsi" w:hAnsiTheme="minorHAnsi" w:cstheme="minorHAnsi"/>
        </w:rPr>
        <w:t>. Evolução d</w:t>
      </w:r>
      <w:bookmarkEnd w:id="50"/>
      <w:r w:rsidRPr="002E0CC6">
        <w:rPr>
          <w:rFonts w:asciiTheme="minorHAnsi" w:hAnsiTheme="minorHAnsi" w:cstheme="minorHAnsi"/>
        </w:rPr>
        <w:t>a Dívida e Relação DC/RCL -</w:t>
      </w:r>
      <w:r w:rsidR="000D4C9B" w:rsidRPr="002E0CC6">
        <w:rPr>
          <w:rFonts w:asciiTheme="minorHAnsi" w:hAnsiTheme="minorHAnsi" w:cstheme="minorHAnsi"/>
        </w:rPr>
        <w:t xml:space="preserve">2008 a </w:t>
      </w:r>
      <w:r w:rsidR="001A2B6B" w:rsidRPr="002E0CC6">
        <w:rPr>
          <w:rFonts w:asciiTheme="minorHAnsi" w:hAnsiTheme="minorHAnsi" w:cstheme="minorHAnsi"/>
        </w:rPr>
        <w:t>201</w:t>
      </w:r>
      <w:r w:rsidR="001A2B6B">
        <w:rPr>
          <w:rFonts w:asciiTheme="minorHAnsi" w:hAnsiTheme="minorHAnsi" w:cstheme="minorHAnsi"/>
        </w:rPr>
        <w:t>8</w:t>
      </w:r>
      <w:bookmarkEnd w:id="51"/>
    </w:p>
    <w:p w14:paraId="6AC67DBE" w14:textId="76DCD521" w:rsidR="00C62FBE" w:rsidRPr="00D20B1A" w:rsidRDefault="00266C97" w:rsidP="00C62FBE">
      <w:pPr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3F8D76D5" wp14:editId="1F1C4A9F">
            <wp:extent cx="6202393" cy="3736773"/>
            <wp:effectExtent l="0" t="0" r="8255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373" cy="374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7DC08C" w14:textId="4D083557" w:rsidR="00C90467" w:rsidRDefault="00C90467" w:rsidP="000053C2">
      <w:pPr>
        <w:rPr>
          <w:rFonts w:cstheme="minorHAnsi"/>
        </w:rPr>
      </w:pPr>
    </w:p>
    <w:p w14:paraId="093819E1" w14:textId="562CEF1E" w:rsidR="009059FF" w:rsidRDefault="00AB6E5B" w:rsidP="000053C2">
      <w:pPr>
        <w:rPr>
          <w:rFonts w:cstheme="minorHAnsi"/>
        </w:rPr>
      </w:pPr>
      <w:r w:rsidRPr="00D20B1A">
        <w:rPr>
          <w:rFonts w:cstheme="minorHAnsi"/>
        </w:rPr>
        <w:t xml:space="preserve">Para efeito de análise, o indicador mais significativo é a relação DC/RCL, uma vez que o caixa e haveres financeiros, além de oscilarem bastante, podem ter diversas vinculações. </w:t>
      </w:r>
      <w:r w:rsidR="0055129E" w:rsidRPr="0055129E">
        <w:rPr>
          <w:rFonts w:cstheme="minorHAnsi"/>
          <w:b/>
          <w:bCs/>
        </w:rPr>
        <w:t xml:space="preserve">No que diz respeito ao </w:t>
      </w:r>
      <w:r w:rsidR="0055129E" w:rsidRPr="0055129E">
        <w:rPr>
          <w:rFonts w:cstheme="minorHAnsi"/>
          <w:b/>
          <w:bCs/>
        </w:rPr>
        <w:lastRenderedPageBreak/>
        <w:t>comprometimento direto com a União, a parcela relativa aos empréstimos sob a Lei nº 9496 vem caindo, situando-se em 76,2 milhões em 2018.</w:t>
      </w:r>
      <w:r w:rsidR="0055129E">
        <w:rPr>
          <w:rFonts w:cstheme="minorHAnsi"/>
        </w:rPr>
        <w:t xml:space="preserve"> </w:t>
      </w:r>
      <w:r w:rsidRPr="00D20B1A">
        <w:rPr>
          <w:rFonts w:cstheme="minorHAnsi"/>
        </w:rPr>
        <w:t>A relação DC/RCL</w:t>
      </w:r>
      <w:r w:rsidR="00EE5280">
        <w:rPr>
          <w:rFonts w:cstheme="minorHAnsi"/>
        </w:rPr>
        <w:t xml:space="preserve"> aumentou fortemente a partir de 2012</w:t>
      </w:r>
      <w:r w:rsidR="009059FF">
        <w:rPr>
          <w:rFonts w:cstheme="minorHAnsi"/>
        </w:rPr>
        <w:t xml:space="preserve">, face a diversas operações de crédito e ao parcelamento de débitos com a AMPREV. </w:t>
      </w:r>
      <w:r w:rsidR="00EE5280">
        <w:rPr>
          <w:rFonts w:cstheme="minorHAnsi"/>
        </w:rPr>
        <w:t xml:space="preserve">  Os recursos obtidos com a operação </w:t>
      </w:r>
      <w:r w:rsidR="009059FF">
        <w:rPr>
          <w:rFonts w:cstheme="minorHAnsi"/>
        </w:rPr>
        <w:t>para federalização</w:t>
      </w:r>
      <w:r w:rsidR="00EE5280">
        <w:rPr>
          <w:rFonts w:cstheme="minorHAnsi"/>
        </w:rPr>
        <w:t xml:space="preserve"> da </w:t>
      </w:r>
      <w:r w:rsidR="002543AD">
        <w:rPr>
          <w:rFonts w:cstheme="minorHAnsi"/>
        </w:rPr>
        <w:t>CEA foram</w:t>
      </w:r>
      <w:r w:rsidR="00EE5280">
        <w:rPr>
          <w:rFonts w:cstheme="minorHAnsi"/>
        </w:rPr>
        <w:t xml:space="preserve"> aplicados </w:t>
      </w:r>
      <w:r w:rsidR="00490540">
        <w:rPr>
          <w:rFonts w:cstheme="minorHAnsi"/>
        </w:rPr>
        <w:t>em aumento de capital da empresa</w:t>
      </w:r>
      <w:r w:rsidR="009059FF">
        <w:rPr>
          <w:rFonts w:cstheme="minorHAnsi"/>
        </w:rPr>
        <w:t xml:space="preserve"> (vide Tabela 6). Os acordos de parcelamento de dívidas </w:t>
      </w:r>
      <w:r w:rsidR="001A4F23">
        <w:rPr>
          <w:rFonts w:cstheme="minorHAnsi"/>
        </w:rPr>
        <w:t xml:space="preserve">reconhecidas </w:t>
      </w:r>
      <w:r w:rsidR="009059FF">
        <w:rPr>
          <w:rFonts w:cstheme="minorHAnsi"/>
        </w:rPr>
        <w:t xml:space="preserve">com a AMPREV fizeram que o saldo devedor </w:t>
      </w:r>
      <w:r w:rsidR="001A4F23">
        <w:rPr>
          <w:rFonts w:cstheme="minorHAnsi"/>
        </w:rPr>
        <w:t>praticamente quadruplicasse</w:t>
      </w:r>
      <w:r w:rsidR="009059FF">
        <w:rPr>
          <w:rFonts w:cstheme="minorHAnsi"/>
        </w:rPr>
        <w:t xml:space="preserve"> entre 2011 e 2017. </w:t>
      </w:r>
      <w:r w:rsidR="001A4F23">
        <w:rPr>
          <w:rFonts w:cstheme="minorHAnsi"/>
        </w:rPr>
        <w:t xml:space="preserve">Entre 2017 e 2018, quase R$1,0 bilhão foi acrescido ao saldo reconhecido, ocasionando a republicação do Relatório de Gestão Fiscal.  </w:t>
      </w:r>
    </w:p>
    <w:bookmarkEnd w:id="43"/>
    <w:p w14:paraId="59DD391D" w14:textId="3B29602A" w:rsidR="00B85A7F" w:rsidRDefault="00C83B7F" w:rsidP="00B85A7F">
      <w:pPr>
        <w:rPr>
          <w:rFonts w:cstheme="minorHAnsi"/>
        </w:rPr>
      </w:pPr>
      <w:r w:rsidRPr="00C83B7F">
        <w:rPr>
          <w:rFonts w:cstheme="minorHAnsi"/>
        </w:rPr>
        <w:t xml:space="preserve">Em 2013, o GEAP tomou empréstimos do BNDES - </w:t>
      </w:r>
      <w:r w:rsidR="00B85A7F" w:rsidRPr="00C83B7F">
        <w:rPr>
          <w:rFonts w:cstheme="minorHAnsi"/>
        </w:rPr>
        <w:t xml:space="preserve">PDRI e </w:t>
      </w:r>
      <w:r w:rsidR="00755BD0" w:rsidRPr="00C83B7F">
        <w:rPr>
          <w:rFonts w:cstheme="minorHAnsi"/>
        </w:rPr>
        <w:t xml:space="preserve">PROINVEST, </w:t>
      </w:r>
      <w:r w:rsidRPr="00C83B7F">
        <w:rPr>
          <w:rFonts w:cstheme="minorHAnsi"/>
        </w:rPr>
        <w:t>quitando a operação nas linhas PEF I e PEF II</w:t>
      </w:r>
      <w:r>
        <w:rPr>
          <w:rFonts w:cstheme="minorHAnsi"/>
        </w:rPr>
        <w:t xml:space="preserve">, consideradas mais caras. </w:t>
      </w:r>
      <w:r w:rsidRPr="00C83B7F">
        <w:rPr>
          <w:rFonts w:cstheme="minorHAnsi"/>
        </w:rPr>
        <w:t xml:space="preserve"> </w:t>
      </w:r>
    </w:p>
    <w:p w14:paraId="3D5B10B6" w14:textId="6D66250D" w:rsidR="00F11675" w:rsidRPr="00F11675" w:rsidRDefault="00F11675" w:rsidP="00B85A7F">
      <w:pPr>
        <w:rPr>
          <w:rFonts w:cstheme="minorHAnsi"/>
          <w:b/>
          <w:bCs/>
        </w:rPr>
      </w:pPr>
      <w:r w:rsidRPr="00F11675">
        <w:rPr>
          <w:rFonts w:cstheme="minorHAnsi"/>
          <w:b/>
          <w:bCs/>
        </w:rPr>
        <w:t xml:space="preserve">No Cadastro da Dívida Pública (CDP) do Sistema de Análise da Dívida Pública, Operações de Crédito e Garantias da União, Estados e Municípios – SADIPEM, do Tesouro Nacional </w:t>
      </w:r>
      <w:r w:rsidRPr="00F11675">
        <w:rPr>
          <w:rStyle w:val="FootnoteReference"/>
          <w:rFonts w:cstheme="minorHAnsi"/>
          <w:b/>
          <w:bCs/>
        </w:rPr>
        <w:footnoteReference w:id="19"/>
      </w:r>
      <w:r w:rsidRPr="00F11675">
        <w:rPr>
          <w:rFonts w:cstheme="minorHAnsi"/>
          <w:b/>
          <w:bCs/>
        </w:rPr>
        <w:t xml:space="preserve">, não constam operações com garantia da União. </w:t>
      </w:r>
    </w:p>
    <w:p w14:paraId="4670ED51" w14:textId="069AC2D9" w:rsidR="00834C77" w:rsidRPr="00D20B1A" w:rsidRDefault="001839A2" w:rsidP="00405C06">
      <w:pPr>
        <w:pStyle w:val="Heading1"/>
        <w:pBdr>
          <w:bottom w:val="dotted" w:sz="4" w:space="1" w:color="A6A6A6" w:themeColor="background1" w:themeShade="A6"/>
        </w:pBdr>
        <w:spacing w:before="600"/>
        <w:ind w:left="374" w:hanging="363"/>
        <w:rPr>
          <w:rFonts w:cstheme="minorHAnsi"/>
        </w:rPr>
      </w:pPr>
      <w:bookmarkStart w:id="52" w:name="_Toc505510668"/>
      <w:r>
        <w:rPr>
          <w:rFonts w:cstheme="minorHAnsi"/>
        </w:rPr>
        <w:t>Considerações finais</w:t>
      </w:r>
      <w:bookmarkEnd w:id="52"/>
    </w:p>
    <w:p w14:paraId="7C16539B" w14:textId="1E65D467" w:rsidR="00914FA4" w:rsidRDefault="00EA364F" w:rsidP="00405C06">
      <w:pPr>
        <w:rPr>
          <w:rFonts w:cstheme="minorHAnsi"/>
        </w:rPr>
      </w:pPr>
      <w:r w:rsidRPr="00B81ABA">
        <w:rPr>
          <w:rFonts w:cstheme="minorHAnsi"/>
        </w:rPr>
        <w:t>A anál</w:t>
      </w:r>
      <w:r w:rsidR="000E1838" w:rsidRPr="00B81ABA">
        <w:rPr>
          <w:rFonts w:cstheme="minorHAnsi"/>
        </w:rPr>
        <w:t xml:space="preserve">ise do desempenho fiscal do </w:t>
      </w:r>
      <w:r w:rsidR="00641DA2" w:rsidRPr="00B81ABA">
        <w:rPr>
          <w:rFonts w:cstheme="minorHAnsi"/>
        </w:rPr>
        <w:t>GEAP</w:t>
      </w:r>
      <w:r w:rsidR="000E1838" w:rsidRPr="00B81ABA">
        <w:rPr>
          <w:rFonts w:cstheme="minorHAnsi"/>
        </w:rPr>
        <w:t xml:space="preserve"> no período </w:t>
      </w:r>
      <w:r w:rsidR="005242AF" w:rsidRPr="00B81ABA">
        <w:rPr>
          <w:rFonts w:cstheme="minorHAnsi"/>
        </w:rPr>
        <w:t>2006 a 2018</w:t>
      </w:r>
      <w:r w:rsidRPr="00B81ABA">
        <w:rPr>
          <w:rFonts w:cstheme="minorHAnsi"/>
        </w:rPr>
        <w:t xml:space="preserve"> </w:t>
      </w:r>
      <w:r w:rsidR="00EF617C" w:rsidRPr="00B81ABA">
        <w:rPr>
          <w:rFonts w:cstheme="minorHAnsi"/>
        </w:rPr>
        <w:t xml:space="preserve">evidenciou </w:t>
      </w:r>
      <w:r w:rsidR="005A0F51" w:rsidRPr="00B81ABA">
        <w:rPr>
          <w:rFonts w:cstheme="minorHAnsi"/>
        </w:rPr>
        <w:t xml:space="preserve">a piora </w:t>
      </w:r>
      <w:r w:rsidR="00A45EFC" w:rsidRPr="00B81ABA">
        <w:rPr>
          <w:rFonts w:cstheme="minorHAnsi"/>
        </w:rPr>
        <w:t>recente da</w:t>
      </w:r>
      <w:r w:rsidRPr="00B81ABA">
        <w:rPr>
          <w:rFonts w:cstheme="minorHAnsi"/>
        </w:rPr>
        <w:t xml:space="preserve"> situação fiscal.  O c</w:t>
      </w:r>
      <w:r w:rsidR="00834C77" w:rsidRPr="00B81ABA">
        <w:rPr>
          <w:rFonts w:cstheme="minorHAnsi"/>
        </w:rPr>
        <w:t>rescimento d</w:t>
      </w:r>
      <w:r w:rsidR="0018311B" w:rsidRPr="00B81ABA">
        <w:rPr>
          <w:rFonts w:cstheme="minorHAnsi"/>
        </w:rPr>
        <w:t xml:space="preserve">a </w:t>
      </w:r>
      <w:r w:rsidR="00C3061B" w:rsidRPr="00B81ABA">
        <w:rPr>
          <w:rFonts w:cstheme="minorHAnsi"/>
        </w:rPr>
        <w:t>D</w:t>
      </w:r>
      <w:r w:rsidR="00834C77" w:rsidRPr="00B81ABA">
        <w:rPr>
          <w:rFonts w:cstheme="minorHAnsi"/>
        </w:rPr>
        <w:t>espesa</w:t>
      </w:r>
      <w:r w:rsidRPr="00B81ABA">
        <w:rPr>
          <w:rFonts w:cstheme="minorHAnsi"/>
        </w:rPr>
        <w:t xml:space="preserve"> de </w:t>
      </w:r>
      <w:r w:rsidR="00C3061B" w:rsidRPr="00B81ABA">
        <w:rPr>
          <w:rFonts w:cstheme="minorHAnsi"/>
        </w:rPr>
        <w:t>P</w:t>
      </w:r>
      <w:r w:rsidR="00834C77" w:rsidRPr="00B81ABA">
        <w:rPr>
          <w:rFonts w:cstheme="minorHAnsi"/>
        </w:rPr>
        <w:t xml:space="preserve">essoal, </w:t>
      </w:r>
      <w:r w:rsidR="00EF617C" w:rsidRPr="00B81ABA">
        <w:rPr>
          <w:rFonts w:cstheme="minorHAnsi"/>
        </w:rPr>
        <w:t>em descompasso</w:t>
      </w:r>
      <w:r w:rsidR="000E1838" w:rsidRPr="00B81ABA">
        <w:rPr>
          <w:rFonts w:cstheme="minorHAnsi"/>
        </w:rPr>
        <w:t xml:space="preserve"> com </w:t>
      </w:r>
      <w:r w:rsidR="0018311B" w:rsidRPr="00B81ABA">
        <w:rPr>
          <w:rFonts w:cstheme="minorHAnsi"/>
        </w:rPr>
        <w:t xml:space="preserve">as </w:t>
      </w:r>
      <w:r w:rsidR="00C3061B" w:rsidRPr="00B81ABA">
        <w:rPr>
          <w:rFonts w:cstheme="minorHAnsi"/>
        </w:rPr>
        <w:t>R</w:t>
      </w:r>
      <w:r w:rsidR="0018311B" w:rsidRPr="00B81ABA">
        <w:rPr>
          <w:rFonts w:cstheme="minorHAnsi"/>
        </w:rPr>
        <w:t xml:space="preserve">eceitas </w:t>
      </w:r>
      <w:r w:rsidR="00C3061B" w:rsidRPr="00B81ABA">
        <w:rPr>
          <w:rFonts w:cstheme="minorHAnsi"/>
        </w:rPr>
        <w:t>C</w:t>
      </w:r>
      <w:r w:rsidR="0018311B" w:rsidRPr="00B81ABA">
        <w:rPr>
          <w:rFonts w:cstheme="minorHAnsi"/>
        </w:rPr>
        <w:t>orrentes, impactadas pela crise que</w:t>
      </w:r>
      <w:r w:rsidR="0018311B">
        <w:rPr>
          <w:rFonts w:cstheme="minorHAnsi"/>
        </w:rPr>
        <w:t xml:space="preserve"> se </w:t>
      </w:r>
      <w:r w:rsidR="00EF617C">
        <w:rPr>
          <w:rFonts w:cstheme="minorHAnsi"/>
        </w:rPr>
        <w:t xml:space="preserve">aprofundou a partir de 2015, erodiu a capacidade de investimento do </w:t>
      </w:r>
      <w:r w:rsidR="002B035B">
        <w:rPr>
          <w:rFonts w:cstheme="minorHAnsi"/>
        </w:rPr>
        <w:t xml:space="preserve">estado. Contribuiu, também, o crescimento da dívida, resultante principalmente da operação relacionada à federalização da CEA e </w:t>
      </w:r>
      <w:r w:rsidR="00CB2B00">
        <w:rPr>
          <w:rFonts w:cstheme="minorHAnsi"/>
        </w:rPr>
        <w:t>d</w:t>
      </w:r>
      <w:r w:rsidR="002B035B">
        <w:rPr>
          <w:rFonts w:cstheme="minorHAnsi"/>
        </w:rPr>
        <w:t xml:space="preserve">o reconhecimento de </w:t>
      </w:r>
      <w:r w:rsidR="00CB2B00">
        <w:rPr>
          <w:rFonts w:cstheme="minorHAnsi"/>
        </w:rPr>
        <w:t xml:space="preserve">substancial </w:t>
      </w:r>
      <w:r w:rsidR="002B035B">
        <w:rPr>
          <w:rFonts w:cstheme="minorHAnsi"/>
        </w:rPr>
        <w:t>dívida com a AMPREV, de que resultou o aumento do serviço da dívida, consumindo recursos do Tesouro estadual</w:t>
      </w:r>
      <w:r w:rsidR="005A0F51">
        <w:rPr>
          <w:rFonts w:cstheme="minorHAnsi"/>
        </w:rPr>
        <w:t>.</w:t>
      </w:r>
      <w:r w:rsidR="002B035B">
        <w:rPr>
          <w:rFonts w:cstheme="minorHAnsi"/>
        </w:rPr>
        <w:t xml:space="preserve"> Escasseando os recursos próprios e reduzindo-se o ingresso </w:t>
      </w:r>
      <w:r w:rsidR="008E7630">
        <w:rPr>
          <w:rFonts w:cstheme="minorHAnsi"/>
        </w:rPr>
        <w:t>de operações de crédito</w:t>
      </w:r>
      <w:r w:rsidR="002B035B">
        <w:rPr>
          <w:rFonts w:cstheme="minorHAnsi"/>
        </w:rPr>
        <w:t xml:space="preserve">, os </w:t>
      </w:r>
      <w:r w:rsidR="00AA6D23">
        <w:rPr>
          <w:rFonts w:cstheme="minorHAnsi"/>
        </w:rPr>
        <w:t>I</w:t>
      </w:r>
      <w:r w:rsidR="002B035B">
        <w:rPr>
          <w:rFonts w:cstheme="minorHAnsi"/>
        </w:rPr>
        <w:t>nvestimentos</w:t>
      </w:r>
      <w:r w:rsidR="00AA6D23">
        <w:rPr>
          <w:rFonts w:cstheme="minorHAnsi"/>
        </w:rPr>
        <w:t>/Inversões</w:t>
      </w:r>
      <w:r w:rsidR="002B035B">
        <w:rPr>
          <w:rFonts w:cstheme="minorHAnsi"/>
        </w:rPr>
        <w:t xml:space="preserve"> </w:t>
      </w:r>
      <w:r w:rsidR="00AA6D23">
        <w:rPr>
          <w:rFonts w:cstheme="minorHAnsi"/>
        </w:rPr>
        <w:t>encolheram, caindo, em 2016-</w:t>
      </w:r>
      <w:r w:rsidR="00A45EFC">
        <w:rPr>
          <w:rFonts w:cstheme="minorHAnsi"/>
        </w:rPr>
        <w:t>2018, a</w:t>
      </w:r>
      <w:r w:rsidR="00AA6D23">
        <w:rPr>
          <w:rFonts w:cstheme="minorHAnsi"/>
        </w:rPr>
        <w:t xml:space="preserve"> cerca </w:t>
      </w:r>
      <w:r w:rsidR="00A45EFC">
        <w:rPr>
          <w:rFonts w:cstheme="minorHAnsi"/>
        </w:rPr>
        <w:t>de 5</w:t>
      </w:r>
      <w:r w:rsidR="00AA6D23">
        <w:rPr>
          <w:rFonts w:cstheme="minorHAnsi"/>
        </w:rPr>
        <w:t xml:space="preserve">% da Despesa Total, menos da </w:t>
      </w:r>
      <w:r w:rsidR="00A45EFC">
        <w:rPr>
          <w:rFonts w:cstheme="minorHAnsi"/>
        </w:rPr>
        <w:t>metade da</w:t>
      </w:r>
      <w:r w:rsidR="00AA6D23">
        <w:rPr>
          <w:rFonts w:cstheme="minorHAnsi"/>
        </w:rPr>
        <w:t xml:space="preserve"> média de 11% do </w:t>
      </w:r>
      <w:r w:rsidR="00A45EFC">
        <w:rPr>
          <w:rFonts w:cstheme="minorHAnsi"/>
        </w:rPr>
        <w:t>período 2006</w:t>
      </w:r>
      <w:r w:rsidR="00AA6D23">
        <w:rPr>
          <w:rFonts w:cstheme="minorHAnsi"/>
        </w:rPr>
        <w:t>-</w:t>
      </w:r>
      <w:r w:rsidR="00DC6F70">
        <w:rPr>
          <w:rFonts w:cstheme="minorHAnsi"/>
        </w:rPr>
        <w:t>2008,</w:t>
      </w:r>
      <w:r w:rsidR="00AA6D23">
        <w:rPr>
          <w:rFonts w:cstheme="minorHAnsi"/>
        </w:rPr>
        <w:t xml:space="preserve"> </w:t>
      </w:r>
      <w:r w:rsidR="005A0F51">
        <w:rPr>
          <w:rFonts w:cstheme="minorHAnsi"/>
        </w:rPr>
        <w:t>e</w:t>
      </w:r>
      <w:r w:rsidR="00AA6D23">
        <w:rPr>
          <w:rFonts w:cstheme="minorHAnsi"/>
        </w:rPr>
        <w:t xml:space="preserve">m que </w:t>
      </w:r>
      <w:r w:rsidR="005A0F51">
        <w:rPr>
          <w:rFonts w:cstheme="minorHAnsi"/>
        </w:rPr>
        <w:t xml:space="preserve">o estado contou basicamente com recursos do </w:t>
      </w:r>
      <w:r w:rsidR="00155DEA">
        <w:rPr>
          <w:rFonts w:cstheme="minorHAnsi"/>
        </w:rPr>
        <w:t>T</w:t>
      </w:r>
      <w:r w:rsidR="005A0F51">
        <w:rPr>
          <w:rFonts w:cstheme="minorHAnsi"/>
        </w:rPr>
        <w:t xml:space="preserve">esouro estadual para </w:t>
      </w:r>
      <w:r w:rsidR="00DC6F70">
        <w:rPr>
          <w:rFonts w:cstheme="minorHAnsi"/>
        </w:rPr>
        <w:t>seu financiamento</w:t>
      </w:r>
      <w:r w:rsidR="00155DEA">
        <w:rPr>
          <w:rFonts w:cstheme="minorHAnsi"/>
        </w:rPr>
        <w:t xml:space="preserve">. </w:t>
      </w:r>
    </w:p>
    <w:p w14:paraId="35E4564D" w14:textId="16997BAF" w:rsidR="00744577" w:rsidRDefault="006D7542" w:rsidP="00405C06">
      <w:pPr>
        <w:rPr>
          <w:rFonts w:cstheme="minorHAnsi"/>
        </w:rPr>
      </w:pPr>
      <w:r>
        <w:rPr>
          <w:rFonts w:cstheme="minorHAnsi"/>
        </w:rPr>
        <w:t xml:space="preserve">Com o acréscimo recente na dívida com a AMPREV, </w:t>
      </w:r>
      <w:r w:rsidR="0055129E">
        <w:rPr>
          <w:rFonts w:cstheme="minorHAnsi"/>
        </w:rPr>
        <w:t>o GEAP</w:t>
      </w:r>
      <w:r>
        <w:rPr>
          <w:rFonts w:cstheme="minorHAnsi"/>
        </w:rPr>
        <w:t xml:space="preserve"> passou a ocupar o 11º lugar entre os 27 estados e o Distrito federal, no indicador DC/ RCL</w:t>
      </w:r>
      <w:r w:rsidR="00744577">
        <w:rPr>
          <w:rFonts w:cstheme="minorHAnsi"/>
        </w:rPr>
        <w:t xml:space="preserve">. </w:t>
      </w:r>
      <w:r w:rsidR="00140677">
        <w:rPr>
          <w:rFonts w:cstheme="minorHAnsi"/>
        </w:rPr>
        <w:t>A relação</w:t>
      </w:r>
      <w:r w:rsidR="00744577">
        <w:rPr>
          <w:rFonts w:cstheme="minorHAnsi"/>
        </w:rPr>
        <w:t xml:space="preserve"> Dívida Consolidada Bruta/RCL, utilizada pela STN no cálculo da C</w:t>
      </w:r>
      <w:r w:rsidR="00744577" w:rsidRPr="00744577">
        <w:rPr>
          <w:rFonts w:cstheme="minorHAnsi"/>
        </w:rPr>
        <w:t xml:space="preserve">apacidade de </w:t>
      </w:r>
      <w:r w:rsidR="00744577">
        <w:rPr>
          <w:rFonts w:cstheme="minorHAnsi"/>
        </w:rPr>
        <w:t>P</w:t>
      </w:r>
      <w:r w:rsidR="00744577" w:rsidRPr="00744577">
        <w:rPr>
          <w:rFonts w:cstheme="minorHAnsi"/>
        </w:rPr>
        <w:t>agamento</w:t>
      </w:r>
      <w:r w:rsidR="00744577">
        <w:rPr>
          <w:rFonts w:cstheme="minorHAnsi"/>
        </w:rPr>
        <w:t xml:space="preserve"> – CAPAG</w:t>
      </w:r>
      <w:r w:rsidR="0055129E">
        <w:rPr>
          <w:rFonts w:cstheme="minorHAnsi"/>
        </w:rPr>
        <w:t>,</w:t>
      </w:r>
      <w:r w:rsidR="00744577">
        <w:rPr>
          <w:rFonts w:cstheme="minorHAnsi"/>
        </w:rPr>
        <w:t xml:space="preserve"> passou de 63,2% em 2017, para </w:t>
      </w:r>
      <w:r>
        <w:rPr>
          <w:rFonts w:cstheme="minorHAnsi"/>
        </w:rPr>
        <w:t>74,1</w:t>
      </w:r>
      <w:r w:rsidR="00744577">
        <w:rPr>
          <w:rFonts w:cstheme="minorHAnsi"/>
        </w:rPr>
        <w:t>% em final de 2018</w:t>
      </w:r>
      <w:r>
        <w:rPr>
          <w:rFonts w:cstheme="minorHAnsi"/>
        </w:rPr>
        <w:t xml:space="preserve">, conforme republicação do Relatório de Gestão Fiscal. </w:t>
      </w:r>
    </w:p>
    <w:p w14:paraId="146BEC79" w14:textId="506DE46D" w:rsidR="00A92A47" w:rsidRDefault="00A92A47" w:rsidP="00A92A47">
      <w:pPr>
        <w:rPr>
          <w:rFonts w:cstheme="minorHAnsi"/>
        </w:rPr>
      </w:pPr>
      <w:r>
        <w:rPr>
          <w:rFonts w:cstheme="minorHAnsi"/>
        </w:rPr>
        <w:t xml:space="preserve">Em </w:t>
      </w:r>
      <w:r w:rsidRPr="00A92A47">
        <w:rPr>
          <w:rFonts w:cstheme="minorHAnsi"/>
        </w:rPr>
        <w:t>10</w:t>
      </w:r>
      <w:r>
        <w:rPr>
          <w:rFonts w:cstheme="minorHAnsi"/>
        </w:rPr>
        <w:t xml:space="preserve"> de Julho do corrente ano</w:t>
      </w:r>
      <w:r w:rsidRPr="00A92A47">
        <w:rPr>
          <w:rFonts w:cstheme="minorHAnsi"/>
        </w:rPr>
        <w:t xml:space="preserve">, o Estado do Amapá </w:t>
      </w:r>
      <w:r>
        <w:rPr>
          <w:rFonts w:cstheme="minorHAnsi"/>
        </w:rPr>
        <w:t xml:space="preserve">impetrou </w:t>
      </w:r>
      <w:r w:rsidRPr="00A92A47">
        <w:rPr>
          <w:rFonts w:cstheme="minorHAnsi"/>
        </w:rPr>
        <w:t>Ação Cível Originária</w:t>
      </w:r>
      <w:r w:rsidR="00265EB5">
        <w:rPr>
          <w:rFonts w:cstheme="minorHAnsi"/>
        </w:rPr>
        <w:t xml:space="preserve"> – ACO </w:t>
      </w:r>
      <w:r w:rsidR="00265EB5" w:rsidRPr="00F964C7">
        <w:rPr>
          <w:rFonts w:cstheme="minorHAnsi"/>
        </w:rPr>
        <w:t>n° 3.285</w:t>
      </w:r>
      <w:r>
        <w:rPr>
          <w:rFonts w:cstheme="minorHAnsi"/>
        </w:rPr>
        <w:t xml:space="preserve">, </w:t>
      </w:r>
      <w:r w:rsidR="005A060E">
        <w:rPr>
          <w:rFonts w:cstheme="minorHAnsi"/>
        </w:rPr>
        <w:t>r</w:t>
      </w:r>
      <w:r w:rsidR="005A060E" w:rsidRPr="00A92A47">
        <w:rPr>
          <w:rFonts w:cstheme="minorHAnsi"/>
        </w:rPr>
        <w:t>eque</w:t>
      </w:r>
      <w:r w:rsidR="005A060E">
        <w:rPr>
          <w:rFonts w:cstheme="minorHAnsi"/>
        </w:rPr>
        <w:t>rendo</w:t>
      </w:r>
      <w:r>
        <w:rPr>
          <w:rFonts w:cstheme="minorHAnsi"/>
        </w:rPr>
        <w:t>:</w:t>
      </w:r>
    </w:p>
    <w:p w14:paraId="33A5CF66" w14:textId="379C5ADF" w:rsidR="00A92A47" w:rsidRPr="002937D1" w:rsidRDefault="00A92A47" w:rsidP="00A92A47">
      <w:pPr>
        <w:rPr>
          <w:rFonts w:cstheme="minorHAnsi"/>
          <w:b/>
          <w:bCs/>
        </w:rPr>
      </w:pPr>
      <w:r w:rsidRPr="00A92A47">
        <w:rPr>
          <w:rFonts w:cstheme="minorHAnsi"/>
        </w:rPr>
        <w:t xml:space="preserve">a)  </w:t>
      </w:r>
      <w:r w:rsidRPr="002937D1">
        <w:rPr>
          <w:rFonts w:cstheme="minorHAnsi"/>
          <w:b/>
          <w:bCs/>
        </w:rPr>
        <w:t>o deferimento de liminar para:</w:t>
      </w:r>
    </w:p>
    <w:p w14:paraId="7B12483C" w14:textId="09294234" w:rsidR="00A92A47" w:rsidRPr="00A92A47" w:rsidRDefault="00A92A47" w:rsidP="00A92A47">
      <w:pPr>
        <w:rPr>
          <w:rFonts w:cstheme="minorHAnsi"/>
        </w:rPr>
      </w:pPr>
      <w:r w:rsidRPr="00A92A47">
        <w:rPr>
          <w:rFonts w:cstheme="minorHAnsi"/>
        </w:rPr>
        <w:t xml:space="preserve"> i) determinar à União a suspensão da execução das contragarantias dos contratos arrolados n</w:t>
      </w:r>
      <w:r w:rsidR="002937D1">
        <w:rPr>
          <w:rFonts w:cstheme="minorHAnsi"/>
        </w:rPr>
        <w:t>a</w:t>
      </w:r>
      <w:r w:rsidRPr="00A92A47">
        <w:rPr>
          <w:rFonts w:cstheme="minorHAnsi"/>
        </w:rPr>
        <w:t xml:space="preserve"> petição inicial, até o julgamento final de mérito da demanda;</w:t>
      </w:r>
    </w:p>
    <w:p w14:paraId="076A2375" w14:textId="60376D24" w:rsidR="00A92A47" w:rsidRPr="00A92A47" w:rsidRDefault="00A92A47" w:rsidP="00A92A47">
      <w:pPr>
        <w:rPr>
          <w:rFonts w:cstheme="minorHAnsi"/>
        </w:rPr>
      </w:pPr>
      <w:r w:rsidRPr="00A92A47">
        <w:rPr>
          <w:rFonts w:cstheme="minorHAnsi"/>
        </w:rPr>
        <w:lastRenderedPageBreak/>
        <w:t xml:space="preserve"> </w:t>
      </w:r>
      <w:proofErr w:type="spellStart"/>
      <w:r w:rsidRPr="00A92A47">
        <w:rPr>
          <w:rFonts w:cstheme="minorHAnsi"/>
        </w:rPr>
        <w:t>ii</w:t>
      </w:r>
      <w:proofErr w:type="spellEnd"/>
      <w:r w:rsidRPr="00A92A47">
        <w:rPr>
          <w:rFonts w:cstheme="minorHAnsi"/>
        </w:rPr>
        <w:t>) impedir a União de incluir o Estado do Amapá nos cadastros federais de inadimplência, em razão da mora no pagamento das parcelas referentes a es</w:t>
      </w:r>
      <w:r w:rsidR="002937D1">
        <w:rPr>
          <w:rFonts w:cstheme="minorHAnsi"/>
        </w:rPr>
        <w:t>s</w:t>
      </w:r>
      <w:r w:rsidRPr="00A92A47">
        <w:rPr>
          <w:rFonts w:cstheme="minorHAnsi"/>
        </w:rPr>
        <w:t>es contratos, até o julgamento final de mérito da demanda;</w:t>
      </w:r>
    </w:p>
    <w:p w14:paraId="0DDEE426" w14:textId="77777777" w:rsidR="00A92A47" w:rsidRPr="00A92A47" w:rsidRDefault="00A92A47" w:rsidP="00A92A47">
      <w:pPr>
        <w:rPr>
          <w:rFonts w:cstheme="minorHAnsi"/>
        </w:rPr>
      </w:pPr>
      <w:r w:rsidRPr="00A92A47">
        <w:rPr>
          <w:rFonts w:cstheme="minorHAnsi"/>
        </w:rPr>
        <w:t xml:space="preserve"> </w:t>
      </w:r>
      <w:proofErr w:type="spellStart"/>
      <w:r w:rsidRPr="00A92A47">
        <w:rPr>
          <w:rFonts w:cstheme="minorHAnsi"/>
        </w:rPr>
        <w:t>iii</w:t>
      </w:r>
      <w:proofErr w:type="spellEnd"/>
      <w:r w:rsidRPr="00A92A47">
        <w:rPr>
          <w:rFonts w:cstheme="minorHAnsi"/>
        </w:rPr>
        <w:t>) ordenar a imediata devolução de quaisquer valores bloqueados a título de contragarantia, em razão do inadimplemento dos contratos arrolados, até o julgamento final de mérito da demanda.</w:t>
      </w:r>
    </w:p>
    <w:p w14:paraId="3913BC99" w14:textId="75EA5F4A" w:rsidR="00A92A47" w:rsidRPr="002937D1" w:rsidRDefault="00A92A47" w:rsidP="00A92A47">
      <w:pPr>
        <w:rPr>
          <w:rFonts w:cstheme="minorHAnsi"/>
          <w:b/>
          <w:bCs/>
        </w:rPr>
      </w:pPr>
      <w:r w:rsidRPr="00A92A47">
        <w:rPr>
          <w:rFonts w:cstheme="minorHAnsi"/>
        </w:rPr>
        <w:t xml:space="preserve">b)    </w:t>
      </w:r>
      <w:r w:rsidRPr="002937D1">
        <w:rPr>
          <w:rFonts w:cstheme="minorHAnsi"/>
          <w:b/>
          <w:bCs/>
        </w:rPr>
        <w:t>no mérito:</w:t>
      </w:r>
    </w:p>
    <w:p w14:paraId="45370A5B" w14:textId="64379805" w:rsidR="00A92A47" w:rsidRPr="00A92A47" w:rsidRDefault="00A92A47" w:rsidP="00A92A47">
      <w:pPr>
        <w:rPr>
          <w:rFonts w:cstheme="minorHAnsi"/>
        </w:rPr>
      </w:pPr>
      <w:r w:rsidRPr="00A92A47">
        <w:rPr>
          <w:rFonts w:cstheme="minorHAnsi"/>
        </w:rPr>
        <w:t xml:space="preserve"> i) impedir a </w:t>
      </w:r>
      <w:r w:rsidR="002937D1" w:rsidRPr="00A92A47">
        <w:rPr>
          <w:rFonts w:cstheme="minorHAnsi"/>
        </w:rPr>
        <w:t>União de</w:t>
      </w:r>
      <w:r w:rsidRPr="00A92A47">
        <w:rPr>
          <w:rFonts w:cstheme="minorHAnsi"/>
        </w:rPr>
        <w:t xml:space="preserve"> executar contragarantias vinculadas aos contratos de financiamento firmados entre o Estado do Amapá e instituições financeiras federais sem a observância do devido processo legal, com a concessão de prazo adequado para o exercício da ampla defesa e contraditório e a consequente apreciação dos argumentos apresentados;</w:t>
      </w:r>
    </w:p>
    <w:p w14:paraId="6B95178D" w14:textId="70670EC3" w:rsidR="00A92A47" w:rsidRPr="00A92A47" w:rsidRDefault="00A92A47" w:rsidP="00A92A47">
      <w:pPr>
        <w:rPr>
          <w:rFonts w:cstheme="minorHAnsi"/>
        </w:rPr>
      </w:pPr>
      <w:r w:rsidRPr="00A92A47">
        <w:rPr>
          <w:rFonts w:cstheme="minorHAnsi"/>
        </w:rPr>
        <w:t xml:space="preserve"> </w:t>
      </w:r>
      <w:proofErr w:type="spellStart"/>
      <w:r w:rsidRPr="00A92A47">
        <w:rPr>
          <w:rFonts w:cstheme="minorHAnsi"/>
        </w:rPr>
        <w:t>ii</w:t>
      </w:r>
      <w:proofErr w:type="spellEnd"/>
      <w:r w:rsidRPr="00A92A47">
        <w:rPr>
          <w:rFonts w:cstheme="minorHAnsi"/>
        </w:rPr>
        <w:t>) impedir a União de executar as referidas contragarantias</w:t>
      </w:r>
      <w:r w:rsidR="002937D1">
        <w:rPr>
          <w:rFonts w:cstheme="minorHAnsi"/>
        </w:rPr>
        <w:t>,</w:t>
      </w:r>
      <w:r w:rsidRPr="00A92A47">
        <w:rPr>
          <w:rFonts w:cstheme="minorHAnsi"/>
        </w:rPr>
        <w:t xml:space="preserve"> até que se esgote o prazo para adesão ao Plano de Equilíbrio Fiscal dos Estados (PEF);</w:t>
      </w:r>
    </w:p>
    <w:p w14:paraId="51B57BE6" w14:textId="0582D1AD" w:rsidR="00A92A47" w:rsidRPr="00A92A47" w:rsidRDefault="00A92A47" w:rsidP="00A92A47">
      <w:pPr>
        <w:rPr>
          <w:rFonts w:cstheme="minorHAnsi"/>
        </w:rPr>
      </w:pPr>
      <w:proofErr w:type="spellStart"/>
      <w:r w:rsidRPr="00A92A47">
        <w:rPr>
          <w:rFonts w:cstheme="minorHAnsi"/>
        </w:rPr>
        <w:t>iii</w:t>
      </w:r>
      <w:proofErr w:type="spellEnd"/>
      <w:r w:rsidRPr="00A92A47">
        <w:rPr>
          <w:rFonts w:cstheme="minorHAnsi"/>
        </w:rPr>
        <w:t>) impedir a União de incluir o Estado do Amapá nos cadastros federais de inadimplência até que se esgote o prazo para adesão ao Plano de Equilíbrio Fiscal dos Estados (PEF);</w:t>
      </w:r>
    </w:p>
    <w:p w14:paraId="50ED2FB2" w14:textId="5D2DBBCF" w:rsidR="00A92A47" w:rsidRDefault="00265EB5" w:rsidP="00A92A47">
      <w:pPr>
        <w:rPr>
          <w:rFonts w:cstheme="minorHAnsi"/>
        </w:rPr>
      </w:pPr>
      <w:r>
        <w:rPr>
          <w:rFonts w:cstheme="minorHAnsi"/>
        </w:rPr>
        <w:t>Em decisão</w:t>
      </w:r>
      <w:r w:rsidR="002937D1">
        <w:rPr>
          <w:rFonts w:cstheme="minorHAnsi"/>
        </w:rPr>
        <w:t xml:space="preserve"> de 17/07, o</w:t>
      </w:r>
      <w:r w:rsidR="00A92A47" w:rsidRPr="00A92A47">
        <w:rPr>
          <w:rFonts w:cstheme="minorHAnsi"/>
        </w:rPr>
        <w:t xml:space="preserve"> Min. D</w:t>
      </w:r>
      <w:r w:rsidR="002937D1">
        <w:rPr>
          <w:rFonts w:cstheme="minorHAnsi"/>
        </w:rPr>
        <w:t>i</w:t>
      </w:r>
      <w:r w:rsidR="00A92A47" w:rsidRPr="00A92A47">
        <w:rPr>
          <w:rFonts w:cstheme="minorHAnsi"/>
        </w:rPr>
        <w:t xml:space="preserve">as </w:t>
      </w:r>
      <w:proofErr w:type="spellStart"/>
      <w:r w:rsidR="002937D1" w:rsidRPr="00A92A47">
        <w:rPr>
          <w:rFonts w:cstheme="minorHAnsi"/>
        </w:rPr>
        <w:t>Toffoli</w:t>
      </w:r>
      <w:proofErr w:type="spellEnd"/>
      <w:r w:rsidR="002937D1">
        <w:rPr>
          <w:rFonts w:cstheme="minorHAnsi"/>
        </w:rPr>
        <w:t xml:space="preserve"> (Presidente do Supremo Tribunal Federal – STF)</w:t>
      </w:r>
      <w:r w:rsidR="002937D1" w:rsidRPr="00A92A47">
        <w:rPr>
          <w:rFonts w:cstheme="minorHAnsi"/>
        </w:rPr>
        <w:t>,</w:t>
      </w:r>
      <w:r w:rsidR="00A92A47" w:rsidRPr="00A92A47">
        <w:rPr>
          <w:rFonts w:cstheme="minorHAnsi"/>
        </w:rPr>
        <w:t xml:space="preserve"> concede</w:t>
      </w:r>
      <w:r w:rsidR="002937D1">
        <w:rPr>
          <w:rFonts w:cstheme="minorHAnsi"/>
        </w:rPr>
        <w:t>u</w:t>
      </w:r>
      <w:r w:rsidR="00A92A47" w:rsidRPr="00A92A47">
        <w:rPr>
          <w:rFonts w:cstheme="minorHAnsi"/>
        </w:rPr>
        <w:t xml:space="preserve"> </w:t>
      </w:r>
      <w:r w:rsidR="00A92A47" w:rsidRPr="00011CA9">
        <w:rPr>
          <w:rFonts w:cstheme="minorHAnsi"/>
          <w:b/>
          <w:bCs/>
        </w:rPr>
        <w:t>medida cautelar de suspensão da exigibilidade</w:t>
      </w:r>
      <w:r w:rsidR="002937D1" w:rsidRPr="00011CA9">
        <w:rPr>
          <w:rFonts w:cstheme="minorHAnsi"/>
          <w:b/>
          <w:bCs/>
        </w:rPr>
        <w:t>,</w:t>
      </w:r>
      <w:r w:rsidR="00A92A47" w:rsidRPr="00011CA9">
        <w:rPr>
          <w:rFonts w:cstheme="minorHAnsi"/>
          <w:b/>
          <w:bCs/>
        </w:rPr>
        <w:t xml:space="preserve"> pela União</w:t>
      </w:r>
      <w:r w:rsidR="002937D1" w:rsidRPr="00011CA9">
        <w:rPr>
          <w:rFonts w:cstheme="minorHAnsi"/>
          <w:b/>
          <w:bCs/>
        </w:rPr>
        <w:t>,</w:t>
      </w:r>
      <w:r w:rsidR="00A92A47" w:rsidRPr="00011CA9">
        <w:rPr>
          <w:rFonts w:cstheme="minorHAnsi"/>
          <w:b/>
          <w:bCs/>
        </w:rPr>
        <w:t xml:space="preserve"> da contragarantia</w:t>
      </w:r>
      <w:r w:rsidR="002937D1" w:rsidRPr="00011CA9">
        <w:rPr>
          <w:rFonts w:cstheme="minorHAnsi"/>
          <w:b/>
          <w:bCs/>
        </w:rPr>
        <w:t>,</w:t>
      </w:r>
      <w:r w:rsidR="002937D1">
        <w:rPr>
          <w:rFonts w:cstheme="minorHAnsi"/>
        </w:rPr>
        <w:t xml:space="preserve"> definindo </w:t>
      </w:r>
      <w:r w:rsidR="00A92A47" w:rsidRPr="00A92A47">
        <w:rPr>
          <w:rFonts w:cstheme="minorHAnsi"/>
        </w:rPr>
        <w:t>que precisa</w:t>
      </w:r>
      <w:r w:rsidR="002937D1">
        <w:rPr>
          <w:rFonts w:cstheme="minorHAnsi"/>
        </w:rPr>
        <w:t>va</w:t>
      </w:r>
      <w:r w:rsidR="00A92A47" w:rsidRPr="00A92A47">
        <w:rPr>
          <w:rFonts w:cstheme="minorHAnsi"/>
        </w:rPr>
        <w:t xml:space="preserve"> </w:t>
      </w:r>
    </w:p>
    <w:p w14:paraId="4AAEA04F" w14:textId="0F0D275D" w:rsidR="00A92A47" w:rsidRPr="00A92A47" w:rsidRDefault="00A92A47" w:rsidP="00A92A47">
      <w:pPr>
        <w:pStyle w:val="Quote"/>
        <w:jc w:val="both"/>
      </w:pPr>
      <w:r w:rsidRPr="00A92A47">
        <w:t>"ouvir o estado autor, no prazo de 5 dias, sobre as considerações da União, especialmente no que respeita a seu comprometimento com o programa de ajuste de contas do regime de recuperação fiscal vigente (inserto na LC nº 159/2017), de modo a subsidiar o alcance da decisão desta Corte quanto ao requerimento liminar". Em adição, relevante também que o estado aponte se é viável a apresentação de proposta de quitação ou minoração do débito até a definição legislativa do PLC nº 149/2019, de modo a buscar a conciliação dos interesses envolvidos."</w:t>
      </w:r>
    </w:p>
    <w:p w14:paraId="0E0D3D72" w14:textId="1E255A68" w:rsidR="00A92A47" w:rsidRPr="00A92A47" w:rsidRDefault="006A6829" w:rsidP="00A92A47">
      <w:pPr>
        <w:rPr>
          <w:rFonts w:cstheme="minorHAnsi"/>
        </w:rPr>
      </w:pPr>
      <w:r>
        <w:rPr>
          <w:rFonts w:cstheme="minorHAnsi"/>
        </w:rPr>
        <w:t>Atendendo demanda do BID, o estado encaminhou, em 15 de agosto,</w:t>
      </w:r>
      <w:r w:rsidR="008E1CD9">
        <w:rPr>
          <w:rFonts w:cstheme="minorHAnsi"/>
        </w:rPr>
        <w:t xml:space="preserve"> </w:t>
      </w:r>
      <w:r w:rsidR="00A92A47" w:rsidRPr="00A92A47">
        <w:rPr>
          <w:rFonts w:cstheme="minorHAnsi"/>
        </w:rPr>
        <w:t xml:space="preserve">Nota </w:t>
      </w:r>
      <w:r w:rsidR="008E1CD9">
        <w:rPr>
          <w:rFonts w:cstheme="minorHAnsi"/>
        </w:rPr>
        <w:t>T</w:t>
      </w:r>
      <w:r w:rsidR="00A92A47" w:rsidRPr="00A92A47">
        <w:rPr>
          <w:rFonts w:cstheme="minorHAnsi"/>
        </w:rPr>
        <w:t xml:space="preserve">écnica, de 23/07/2019, onde os Secretários de Fazenda e de Planejamento detalham a crise estadual e </w:t>
      </w:r>
      <w:r w:rsidR="00B00A0C">
        <w:rPr>
          <w:rFonts w:cstheme="minorHAnsi"/>
        </w:rPr>
        <w:t xml:space="preserve">aventam  </w:t>
      </w:r>
      <w:r w:rsidR="00A92A47" w:rsidRPr="00A92A47">
        <w:rPr>
          <w:rFonts w:cstheme="minorHAnsi"/>
        </w:rPr>
        <w:t>possibilidades de se enquadrar</w:t>
      </w:r>
      <w:r w:rsidR="00B00A0C">
        <w:rPr>
          <w:rFonts w:cstheme="minorHAnsi"/>
        </w:rPr>
        <w:t xml:space="preserve"> o GEAP </w:t>
      </w:r>
      <w:r w:rsidR="00A92A47" w:rsidRPr="00A92A47">
        <w:rPr>
          <w:rFonts w:cstheme="minorHAnsi"/>
        </w:rPr>
        <w:t xml:space="preserve">na LC 159/2019, do </w:t>
      </w:r>
      <w:r w:rsidR="00B00A0C">
        <w:rPr>
          <w:rFonts w:cstheme="minorHAnsi"/>
        </w:rPr>
        <w:t>R</w:t>
      </w:r>
      <w:r w:rsidR="00A92A47" w:rsidRPr="00A92A47">
        <w:rPr>
          <w:rFonts w:cstheme="minorHAnsi"/>
        </w:rPr>
        <w:t xml:space="preserve">egime de </w:t>
      </w:r>
      <w:r w:rsidR="00B00A0C">
        <w:rPr>
          <w:rFonts w:cstheme="minorHAnsi"/>
        </w:rPr>
        <w:t>R</w:t>
      </w:r>
      <w:r w:rsidR="00A92A47" w:rsidRPr="00A92A47">
        <w:rPr>
          <w:rFonts w:cstheme="minorHAnsi"/>
        </w:rPr>
        <w:t xml:space="preserve">ecuperação </w:t>
      </w:r>
      <w:r w:rsidR="00B00A0C">
        <w:rPr>
          <w:rFonts w:cstheme="minorHAnsi"/>
        </w:rPr>
        <w:t>F</w:t>
      </w:r>
      <w:r w:rsidR="00A92A47" w:rsidRPr="00A92A47">
        <w:rPr>
          <w:rFonts w:cstheme="minorHAnsi"/>
        </w:rPr>
        <w:t>iscal ( possibilidade muito remosta ) ou na Lei do PEF</w:t>
      </w:r>
      <w:r w:rsidR="00B00A0C">
        <w:rPr>
          <w:rFonts w:cstheme="minorHAnsi"/>
        </w:rPr>
        <w:t xml:space="preserve">, </w:t>
      </w:r>
      <w:r w:rsidR="00A92A47" w:rsidRPr="00A92A47">
        <w:rPr>
          <w:rFonts w:cstheme="minorHAnsi"/>
        </w:rPr>
        <w:t xml:space="preserve">  que ainda está no Congresso - PLC nº 149/2019</w:t>
      </w:r>
      <w:r w:rsidR="00B00A0C">
        <w:rPr>
          <w:rFonts w:cstheme="minorHAnsi"/>
        </w:rPr>
        <w:t>.</w:t>
      </w:r>
    </w:p>
    <w:p w14:paraId="65B6723E" w14:textId="0EBEE4B5" w:rsidR="00A92A47" w:rsidRDefault="00A92A47" w:rsidP="00A92A47">
      <w:pPr>
        <w:rPr>
          <w:rFonts w:cstheme="minorHAnsi"/>
          <w:b/>
          <w:bCs/>
        </w:rPr>
      </w:pPr>
      <w:r w:rsidRPr="00A92A47">
        <w:rPr>
          <w:rFonts w:cstheme="minorHAnsi"/>
        </w:rPr>
        <w:t xml:space="preserve">Observe-se que a União informou ao Min Dias </w:t>
      </w:r>
      <w:proofErr w:type="spellStart"/>
      <w:r w:rsidRPr="00A92A47">
        <w:rPr>
          <w:rFonts w:cstheme="minorHAnsi"/>
        </w:rPr>
        <w:t>Toffoli</w:t>
      </w:r>
      <w:proofErr w:type="spellEnd"/>
      <w:r w:rsidRPr="00A92A47">
        <w:rPr>
          <w:rFonts w:cstheme="minorHAnsi"/>
        </w:rPr>
        <w:t xml:space="preserve"> que o Plano de Promoção do Equilíbrio Fiscal dos Estados</w:t>
      </w:r>
      <w:r w:rsidR="00B00A0C">
        <w:rPr>
          <w:rFonts w:cstheme="minorHAnsi"/>
        </w:rPr>
        <w:t xml:space="preserve"> - </w:t>
      </w:r>
      <w:r w:rsidRPr="00A92A47">
        <w:rPr>
          <w:rFonts w:cstheme="minorHAnsi"/>
        </w:rPr>
        <w:t>PEF permit</w:t>
      </w:r>
      <w:r w:rsidR="00B00A0C">
        <w:rPr>
          <w:rFonts w:cstheme="minorHAnsi"/>
        </w:rPr>
        <w:t>irá</w:t>
      </w:r>
      <w:r w:rsidRPr="00A92A47">
        <w:rPr>
          <w:rFonts w:cstheme="minorHAnsi"/>
        </w:rPr>
        <w:t xml:space="preserve"> a oferta de operações de crédito garantidas para Estados e Municípios que não possuem boa situação financeira, desde que estejam em uma trajetória de melhoria fiscal previamente pactuada</w:t>
      </w:r>
      <w:r w:rsidR="00B00A0C">
        <w:rPr>
          <w:rFonts w:cstheme="minorHAnsi"/>
        </w:rPr>
        <w:t xml:space="preserve">. No </w:t>
      </w:r>
      <w:r w:rsidR="00265EB5">
        <w:rPr>
          <w:rFonts w:cstheme="minorHAnsi"/>
        </w:rPr>
        <w:t xml:space="preserve">entanto, </w:t>
      </w:r>
      <w:r w:rsidR="00265EB5" w:rsidRPr="00A92A47">
        <w:rPr>
          <w:rFonts w:cstheme="minorHAnsi"/>
        </w:rPr>
        <w:t>esse</w:t>
      </w:r>
      <w:r w:rsidR="00B00A0C">
        <w:rPr>
          <w:rFonts w:cstheme="minorHAnsi"/>
        </w:rPr>
        <w:t xml:space="preserve"> Plano </w:t>
      </w:r>
      <w:r w:rsidRPr="006A6829">
        <w:rPr>
          <w:rFonts w:cstheme="minorHAnsi"/>
          <w:b/>
          <w:bCs/>
        </w:rPr>
        <w:t>não traz qualquer regra que suspenda a execução de contragarantias pela União.</w:t>
      </w:r>
    </w:p>
    <w:p w14:paraId="4C58B8B0" w14:textId="0544668B" w:rsidR="00011CA9" w:rsidRDefault="00011CA9" w:rsidP="00A92A47">
      <w:pPr>
        <w:rPr>
          <w:rFonts w:cstheme="minorHAnsi"/>
        </w:rPr>
      </w:pPr>
      <w:r>
        <w:rPr>
          <w:rFonts w:cstheme="minorHAnsi"/>
        </w:rPr>
        <w:t xml:space="preserve">Na </w:t>
      </w:r>
      <w:r w:rsidRPr="00011CA9">
        <w:rPr>
          <w:rFonts w:cstheme="minorHAnsi"/>
          <w:b/>
          <w:bCs/>
        </w:rPr>
        <w:t>Nota Técnica SEI nº 4/2019/CORFI/SURIN/STN/FAZENDA-</w:t>
      </w:r>
      <w:r w:rsidR="00C12BC1" w:rsidRPr="00011CA9">
        <w:rPr>
          <w:rFonts w:cstheme="minorHAnsi"/>
          <w:b/>
          <w:bCs/>
        </w:rPr>
        <w:t xml:space="preserve">ME, </w:t>
      </w:r>
      <w:r w:rsidR="00C12BC1" w:rsidRPr="00011CA9">
        <w:rPr>
          <w:rFonts w:cstheme="minorHAnsi"/>
        </w:rPr>
        <w:t>de</w:t>
      </w:r>
      <w:r w:rsidR="000970EE">
        <w:rPr>
          <w:rFonts w:cstheme="minorHAnsi"/>
        </w:rPr>
        <w:t xml:space="preserve"> 13/07/2019, </w:t>
      </w:r>
      <w:r w:rsidRPr="00011CA9">
        <w:rPr>
          <w:rFonts w:cstheme="minorHAnsi"/>
        </w:rPr>
        <w:t>a STN fornece subsídios à ação da AGU em pedido de liminar do Amapá contra a execução de contragarantias</w:t>
      </w:r>
      <w:r>
        <w:rPr>
          <w:rFonts w:cstheme="minorHAnsi"/>
        </w:rPr>
        <w:t>, afirmando, quanto à situação fiscal do Amapá</w:t>
      </w:r>
      <w:r w:rsidR="000970EE">
        <w:rPr>
          <w:rFonts w:cstheme="minorHAnsi"/>
        </w:rPr>
        <w:t xml:space="preserve">, que: </w:t>
      </w:r>
    </w:p>
    <w:p w14:paraId="7D345A1E" w14:textId="7F41130A" w:rsidR="000970EE" w:rsidRDefault="000970EE" w:rsidP="000970EE">
      <w:pPr>
        <w:rPr>
          <w:rFonts w:cstheme="minorHAnsi"/>
        </w:rPr>
      </w:pPr>
      <w:r w:rsidRPr="000970EE">
        <w:rPr>
          <w:rFonts w:cstheme="minorHAnsi"/>
        </w:rPr>
        <w:t>“</w:t>
      </w:r>
      <w:r>
        <w:rPr>
          <w:rFonts w:cstheme="minorHAnsi"/>
          <w:b/>
          <w:bCs/>
        </w:rPr>
        <w:t xml:space="preserve"> </w:t>
      </w:r>
      <w:r w:rsidRPr="000970EE">
        <w:rPr>
          <w:rFonts w:cstheme="minorHAnsi"/>
          <w:b/>
          <w:bCs/>
        </w:rPr>
        <w:t>7</w:t>
      </w:r>
      <w:r w:rsidRPr="000970EE">
        <w:rPr>
          <w:rFonts w:cstheme="minorHAnsi"/>
        </w:rPr>
        <w:t>. De acordo com a análise vigente, o Estado do Amapá apresenta, nos últimos dois anos, capacidade de pagamento conceito “B”. Seus indicadores</w:t>
      </w:r>
      <w:r>
        <w:rPr>
          <w:rFonts w:cstheme="minorHAnsi"/>
        </w:rPr>
        <w:t xml:space="preserve"> </w:t>
      </w:r>
      <w:r w:rsidRPr="000970EE">
        <w:rPr>
          <w:rFonts w:cstheme="minorHAnsi"/>
        </w:rPr>
        <w:t xml:space="preserve">relativos </w:t>
      </w:r>
      <w:proofErr w:type="gramStart"/>
      <w:r w:rsidRPr="000970EE">
        <w:rPr>
          <w:rFonts w:cstheme="minorHAnsi"/>
        </w:rPr>
        <w:t>a</w:t>
      </w:r>
      <w:proofErr w:type="gramEnd"/>
      <w:r w:rsidRPr="000970EE">
        <w:rPr>
          <w:rFonts w:cstheme="minorHAnsi"/>
        </w:rPr>
        <w:t xml:space="preserve"> poupança corrente e liquidez mostram-se em situação </w:t>
      </w:r>
      <w:r w:rsidRPr="000970EE">
        <w:rPr>
          <w:rFonts w:cstheme="minorHAnsi"/>
        </w:rPr>
        <w:lastRenderedPageBreak/>
        <w:t>particularmente confortável, de modo que o Estado tem poupança suficiente para</w:t>
      </w:r>
      <w:r>
        <w:rPr>
          <w:rFonts w:cstheme="minorHAnsi"/>
        </w:rPr>
        <w:t xml:space="preserve"> </w:t>
      </w:r>
      <w:r w:rsidRPr="000970EE">
        <w:rPr>
          <w:rFonts w:cstheme="minorHAnsi"/>
        </w:rPr>
        <w:t>absorver um eventual crescimento de suas despesas correntes em ritmo superior ao verificado para as receitas correntes, além de possuir recursos em</w:t>
      </w:r>
      <w:r>
        <w:rPr>
          <w:rFonts w:cstheme="minorHAnsi"/>
        </w:rPr>
        <w:t xml:space="preserve"> </w:t>
      </w:r>
      <w:r w:rsidRPr="000970EE">
        <w:rPr>
          <w:rFonts w:cstheme="minorHAnsi"/>
        </w:rPr>
        <w:t>caixa em montante suficiente para honrar as obrigações financeiras já contraídas. Também o indicador de endividamento do Estado não se apresenta</w:t>
      </w:r>
      <w:r>
        <w:rPr>
          <w:rFonts w:cstheme="minorHAnsi"/>
        </w:rPr>
        <w:t xml:space="preserve"> </w:t>
      </w:r>
      <w:r w:rsidRPr="000970EE">
        <w:rPr>
          <w:rFonts w:cstheme="minorHAnsi"/>
        </w:rPr>
        <w:t>deteriorado: a Dívida Consolidada Bruta do Estado corresponde a 74,85% da Receita Corrente Líquida verificada no exercício anterior, sendo que</w:t>
      </w:r>
      <w:r>
        <w:rPr>
          <w:rFonts w:cstheme="minorHAnsi"/>
        </w:rPr>
        <w:t xml:space="preserve"> </w:t>
      </w:r>
      <w:r w:rsidRPr="000970EE">
        <w:rPr>
          <w:rFonts w:cstheme="minorHAnsi"/>
        </w:rPr>
        <w:t>esse indicador supera 100% para os Estados habilitados ao Regime de Recuperação Fiscal. Vale destacar que a nota calculada com dados de 2018 é</w:t>
      </w:r>
      <w:r>
        <w:rPr>
          <w:rFonts w:cstheme="minorHAnsi"/>
        </w:rPr>
        <w:t xml:space="preserve"> </w:t>
      </w:r>
      <w:r w:rsidRPr="000970EE">
        <w:rPr>
          <w:rFonts w:cstheme="minorHAnsi"/>
        </w:rPr>
        <w:t>preliminar e poderá ser revista no momento do cálculo formal.</w:t>
      </w:r>
    </w:p>
    <w:p w14:paraId="60BEF4BE" w14:textId="0E9A2ECE" w:rsidR="000970EE" w:rsidRPr="000970EE" w:rsidRDefault="000970EE" w:rsidP="000970EE">
      <w:pPr>
        <w:rPr>
          <w:rFonts w:cstheme="minorHAnsi"/>
        </w:rPr>
      </w:pPr>
      <w:r w:rsidRPr="000970EE">
        <w:rPr>
          <w:rFonts w:cstheme="minorHAnsi"/>
        </w:rPr>
        <w:t>8. É oportuno esclarecer que, segundo seus próprios demonstrativos fiscais, o Amapá não se enquadra em nenhum dos três requisitos de adesão ao</w:t>
      </w:r>
      <w:r>
        <w:rPr>
          <w:rFonts w:cstheme="minorHAnsi"/>
        </w:rPr>
        <w:t xml:space="preserve"> </w:t>
      </w:r>
      <w:r w:rsidRPr="000970EE">
        <w:rPr>
          <w:rFonts w:cstheme="minorHAnsi"/>
        </w:rPr>
        <w:t>Regime de Recuperação Fiscal, a ser explorado mais a frente, estabelecidos no caput do art. 3º da Lei Complementar nº 159, de 19 de maio de 2017.</w:t>
      </w:r>
      <w:r>
        <w:rPr>
          <w:rFonts w:cstheme="minorHAnsi"/>
        </w:rPr>
        <w:t xml:space="preserve"> </w:t>
      </w:r>
    </w:p>
    <w:p w14:paraId="515B4F74" w14:textId="76D54D9A" w:rsidR="000970EE" w:rsidRPr="000970EE" w:rsidRDefault="000970EE" w:rsidP="000970EE">
      <w:pPr>
        <w:rPr>
          <w:rFonts w:cstheme="minorHAnsi"/>
        </w:rPr>
      </w:pPr>
      <w:r w:rsidRPr="000970EE">
        <w:rPr>
          <w:rFonts w:cstheme="minorHAnsi"/>
        </w:rPr>
        <w:t>9. Destaca-se que, dispondo de capacidade de pagamento conceito “B”, o Estado do Amapá atualmente faria jus à concessão de garantia da União em</w:t>
      </w:r>
      <w:r>
        <w:rPr>
          <w:rFonts w:cstheme="minorHAnsi"/>
        </w:rPr>
        <w:t xml:space="preserve"> </w:t>
      </w:r>
      <w:r w:rsidRPr="000970EE">
        <w:rPr>
          <w:rFonts w:cstheme="minorHAnsi"/>
        </w:rPr>
        <w:t xml:space="preserve">contratos de financiamento, conforme o art. 11 da Portaria MF nº 501/2017. </w:t>
      </w:r>
      <w:r w:rsidRPr="000970EE">
        <w:rPr>
          <w:rFonts w:cstheme="minorHAnsi"/>
          <w:b/>
          <w:bCs/>
        </w:rPr>
        <w:t>Sendo assim, o Amapá dispõe de amplo acesso ao mercado de crédito nacional e internacional</w:t>
      </w:r>
      <w:r w:rsidRPr="000970EE">
        <w:rPr>
          <w:rFonts w:cstheme="minorHAnsi"/>
        </w:rPr>
        <w:t>, em contraste com a situação de diversos Estados não habilitados a contratar operações de crédito com garantia da</w:t>
      </w:r>
      <w:r>
        <w:rPr>
          <w:rFonts w:cstheme="minorHAnsi"/>
        </w:rPr>
        <w:t xml:space="preserve"> </w:t>
      </w:r>
      <w:r w:rsidRPr="000970EE">
        <w:rPr>
          <w:rFonts w:cstheme="minorHAnsi"/>
        </w:rPr>
        <w:t>União e ainda com baixo espaço de poupança corrente e alto comprometimento de seu caixa com obrigações já contratadas. Com isso, o Estado teria</w:t>
      </w:r>
      <w:r>
        <w:rPr>
          <w:rFonts w:cstheme="minorHAnsi"/>
        </w:rPr>
        <w:t xml:space="preserve"> </w:t>
      </w:r>
      <w:r w:rsidRPr="000970EE">
        <w:rPr>
          <w:rFonts w:cstheme="minorHAnsi"/>
        </w:rPr>
        <w:t>condições de contratar novas operações de crédito, caso julgue oportuno reestruturar suas dívidas atuais.</w:t>
      </w:r>
    </w:p>
    <w:p w14:paraId="7A396C52" w14:textId="2C5A0C31" w:rsidR="000970EE" w:rsidRPr="000970EE" w:rsidRDefault="000970EE" w:rsidP="000970EE">
      <w:pPr>
        <w:rPr>
          <w:rFonts w:cstheme="minorHAnsi"/>
        </w:rPr>
      </w:pPr>
      <w:r w:rsidRPr="000970EE">
        <w:rPr>
          <w:rFonts w:cstheme="minorHAnsi"/>
        </w:rPr>
        <w:t xml:space="preserve">10. Vale frisar que </w:t>
      </w:r>
      <w:r w:rsidRPr="00C12BC1">
        <w:rPr>
          <w:rFonts w:cstheme="minorHAnsi"/>
          <w:b/>
          <w:bCs/>
        </w:rPr>
        <w:t>esta Coordenação nunca recebeu contato do Estado do Amapá indicando que teria problemas fiscais. Mais do que isso, o Estado não costuma responder os pedidos de informações adicionais que o Tesouro Nacional faz regularmente para realizar a avaliação da situação fiscal de todos os Estados</w:t>
      </w:r>
      <w:r w:rsidRPr="000970EE">
        <w:rPr>
          <w:rFonts w:cstheme="minorHAnsi"/>
        </w:rPr>
        <w:t>. De todo modo, segue-se uma análise com os dados disponíveis neste momento.</w:t>
      </w:r>
    </w:p>
    <w:p w14:paraId="1C20636E" w14:textId="38AC12E7" w:rsidR="000970EE" w:rsidRPr="00937538" w:rsidRDefault="000970EE" w:rsidP="000970EE">
      <w:pPr>
        <w:rPr>
          <w:rFonts w:cstheme="minorHAnsi"/>
          <w:b/>
          <w:bCs/>
        </w:rPr>
      </w:pPr>
      <w:r w:rsidRPr="000970EE">
        <w:rPr>
          <w:rFonts w:cstheme="minorHAnsi"/>
        </w:rPr>
        <w:t xml:space="preserve">11. Avaliando os demonstrativos contábeis e fiscais publicados pelo Estado no </w:t>
      </w:r>
      <w:proofErr w:type="spellStart"/>
      <w:r w:rsidRPr="000970EE">
        <w:rPr>
          <w:rFonts w:cstheme="minorHAnsi"/>
        </w:rPr>
        <w:t>Siconfi</w:t>
      </w:r>
      <w:proofErr w:type="spellEnd"/>
      <w:r w:rsidRPr="000970EE">
        <w:rPr>
          <w:rFonts w:cstheme="minorHAnsi"/>
        </w:rPr>
        <w:t>, podemos perceber que o Amapá declarou ter, ao final de 2018,</w:t>
      </w:r>
      <w:r>
        <w:rPr>
          <w:rFonts w:cstheme="minorHAnsi"/>
        </w:rPr>
        <w:t xml:space="preserve"> </w:t>
      </w:r>
      <w:r w:rsidRPr="000970EE">
        <w:rPr>
          <w:rFonts w:cstheme="minorHAnsi"/>
        </w:rPr>
        <w:t>uma disponibilidade de caixa líquida total de quase R$ 4 bilhões, segundo seu RGF do 3º quadrimestre</w:t>
      </w:r>
      <w:r w:rsidRPr="00937538">
        <w:rPr>
          <w:rFonts w:cstheme="minorHAnsi"/>
          <w:b/>
          <w:bCs/>
        </w:rPr>
        <w:t>. Em seu balanço anual (DCA) o Estado declarou R$ 4,7 bilhões em recursos de caixa e equivalentes de caixa. Esses valores se comparam a uma receita corrente líquida (RCL) de aproximadamente R$ 4,9 bilhões. Ou seja, segundo suas declarações, o Estado teria em caixa algo entre 80% e 90% de suas receitas anuais ao final de 2018, dando a entender que, em um caso extremo, poderia executar mais de nove meses de seu orçamento sem precisar arrecadar nenhum centavo.</w:t>
      </w:r>
    </w:p>
    <w:p w14:paraId="7E84687B" w14:textId="042A1527" w:rsidR="000970EE" w:rsidRDefault="000970EE" w:rsidP="000970EE">
      <w:pPr>
        <w:rPr>
          <w:rFonts w:cstheme="minorHAnsi"/>
        </w:rPr>
      </w:pPr>
      <w:r w:rsidRPr="000970EE">
        <w:rPr>
          <w:rFonts w:cstheme="minorHAnsi"/>
        </w:rPr>
        <w:t xml:space="preserve">12. Para efeito de comparação, os Estados de Minas Gerais e Rio Grande do Sul declararam em seus </w:t>
      </w:r>
      <w:proofErr w:type="spellStart"/>
      <w:r w:rsidRPr="000970EE">
        <w:rPr>
          <w:rFonts w:cstheme="minorHAnsi"/>
        </w:rPr>
        <w:t>RGFs</w:t>
      </w:r>
      <w:proofErr w:type="spellEnd"/>
      <w:r w:rsidRPr="000970EE">
        <w:rPr>
          <w:rFonts w:cstheme="minorHAnsi"/>
        </w:rPr>
        <w:t xml:space="preserve"> de fechamento de 2018 disponibilidades de</w:t>
      </w:r>
      <w:r>
        <w:rPr>
          <w:rFonts w:cstheme="minorHAnsi"/>
        </w:rPr>
        <w:t xml:space="preserve"> </w:t>
      </w:r>
      <w:r w:rsidRPr="000970EE">
        <w:rPr>
          <w:rFonts w:cstheme="minorHAnsi"/>
        </w:rPr>
        <w:t>caixa líquidas negativas de R$ 28 bilhões e R$ 22 bilhões, respectivamente.</w:t>
      </w:r>
      <w:r>
        <w:rPr>
          <w:rFonts w:cstheme="minorHAnsi"/>
        </w:rPr>
        <w:t>”</w:t>
      </w:r>
    </w:p>
    <w:p w14:paraId="72C0E524" w14:textId="6D239348" w:rsidR="000970EE" w:rsidRDefault="000970EE" w:rsidP="000970EE">
      <w:pPr>
        <w:rPr>
          <w:rFonts w:cstheme="minorHAnsi"/>
        </w:rPr>
      </w:pPr>
    </w:p>
    <w:p w14:paraId="51A6EF3A" w14:textId="69428BD4" w:rsidR="0078062B" w:rsidRDefault="009056B7" w:rsidP="00F964C7">
      <w:pPr>
        <w:rPr>
          <w:rFonts w:cstheme="minorHAnsi"/>
        </w:rPr>
      </w:pPr>
      <w:r>
        <w:rPr>
          <w:rFonts w:cstheme="minorHAnsi"/>
        </w:rPr>
        <w:lastRenderedPageBreak/>
        <w:t>Após a concessão de liminar, a</w:t>
      </w:r>
      <w:r w:rsidR="0078062B" w:rsidRPr="0078062B">
        <w:rPr>
          <w:rFonts w:cstheme="minorHAnsi"/>
        </w:rPr>
        <w:t xml:space="preserve"> nota de classificação da CAPAG do</w:t>
      </w:r>
      <w:r w:rsidR="00634C02">
        <w:rPr>
          <w:rFonts w:cstheme="minorHAnsi"/>
        </w:rPr>
        <w:t xml:space="preserve"> GEAP</w:t>
      </w:r>
      <w:r w:rsidR="004600B5">
        <w:rPr>
          <w:rFonts w:cstheme="minorHAnsi"/>
        </w:rPr>
        <w:t xml:space="preserve"> </w:t>
      </w:r>
      <w:r w:rsidR="00634C02">
        <w:rPr>
          <w:rFonts w:cstheme="minorHAnsi"/>
        </w:rPr>
        <w:t xml:space="preserve"> </w:t>
      </w:r>
      <w:r w:rsidR="0078062B" w:rsidRPr="0078062B">
        <w:rPr>
          <w:rFonts w:cstheme="minorHAnsi"/>
        </w:rPr>
        <w:t xml:space="preserve"> foi revis</w:t>
      </w:r>
      <w:r w:rsidR="00C6222C">
        <w:rPr>
          <w:rFonts w:cstheme="minorHAnsi"/>
        </w:rPr>
        <w:t>ta</w:t>
      </w:r>
      <w:r>
        <w:rPr>
          <w:rFonts w:cstheme="minorHAnsi"/>
        </w:rPr>
        <w:t xml:space="preserve"> pela STN, </w:t>
      </w:r>
      <w:r w:rsidR="0078062B">
        <w:rPr>
          <w:rFonts w:cstheme="minorHAnsi"/>
        </w:rPr>
        <w:t xml:space="preserve">passando </w:t>
      </w:r>
      <w:r w:rsidR="00F964C7">
        <w:rPr>
          <w:rFonts w:cstheme="minorHAnsi"/>
        </w:rPr>
        <w:t>C</w:t>
      </w:r>
      <w:r w:rsidR="00C6222C">
        <w:rPr>
          <w:rStyle w:val="FootnoteReference"/>
          <w:rFonts w:cstheme="minorHAnsi"/>
        </w:rPr>
        <w:footnoteReference w:id="20"/>
      </w:r>
      <w:r w:rsidR="00265EB5">
        <w:rPr>
          <w:rFonts w:cstheme="minorHAnsi"/>
        </w:rPr>
        <w:t xml:space="preserve">. Alega </w:t>
      </w:r>
      <w:r w:rsidR="0055129E">
        <w:rPr>
          <w:rFonts w:cstheme="minorHAnsi"/>
        </w:rPr>
        <w:t>a S</w:t>
      </w:r>
      <w:r>
        <w:rPr>
          <w:rFonts w:cstheme="minorHAnsi"/>
        </w:rPr>
        <w:t xml:space="preserve">ecretaria </w:t>
      </w:r>
      <w:r w:rsidR="00011CA9">
        <w:rPr>
          <w:rFonts w:cstheme="minorHAnsi"/>
        </w:rPr>
        <w:t>que o</w:t>
      </w:r>
      <w:r w:rsidR="00F964C7" w:rsidRPr="00F964C7">
        <w:rPr>
          <w:rFonts w:cstheme="minorHAnsi"/>
        </w:rPr>
        <w:t xml:space="preserve"> Estado, ao impetrar a ACO </w:t>
      </w:r>
      <w:bookmarkStart w:id="53" w:name="_Hlk17050824"/>
      <w:r w:rsidR="00F964C7" w:rsidRPr="00F964C7">
        <w:rPr>
          <w:rFonts w:cstheme="minorHAnsi"/>
        </w:rPr>
        <w:t>n° 3.285</w:t>
      </w:r>
      <w:bookmarkEnd w:id="53"/>
      <w:r w:rsidR="00F964C7" w:rsidRPr="00F964C7">
        <w:rPr>
          <w:rFonts w:cstheme="minorHAnsi"/>
        </w:rPr>
        <w:t>, declarou estar</w:t>
      </w:r>
      <w:r w:rsidR="00F964C7">
        <w:rPr>
          <w:rFonts w:cstheme="minorHAnsi"/>
        </w:rPr>
        <w:t xml:space="preserve"> </w:t>
      </w:r>
      <w:r w:rsidR="00F964C7" w:rsidRPr="00F964C7">
        <w:rPr>
          <w:rFonts w:cstheme="minorHAnsi"/>
        </w:rPr>
        <w:t>em grave crise fiscal e de liquidez</w:t>
      </w:r>
      <w:r w:rsidR="00F964C7">
        <w:rPr>
          <w:rStyle w:val="FootnoteReference"/>
          <w:rFonts w:cstheme="minorHAnsi"/>
        </w:rPr>
        <w:footnoteReference w:id="21"/>
      </w:r>
      <w:r w:rsidR="00634C02">
        <w:rPr>
          <w:rFonts w:cstheme="minorHAnsi"/>
        </w:rPr>
        <w:t xml:space="preserve">. </w:t>
      </w:r>
      <w:r w:rsidR="00265EB5">
        <w:rPr>
          <w:rFonts w:cstheme="minorHAnsi"/>
        </w:rPr>
        <w:t xml:space="preserve">O rebaixamento toma por base </w:t>
      </w:r>
      <w:r w:rsidR="00634C02" w:rsidRPr="00634C02">
        <w:rPr>
          <w:rFonts w:cstheme="minorHAnsi"/>
        </w:rPr>
        <w:t>o previsto no art. 5º da Portaria MF nº 501/2017</w:t>
      </w:r>
      <w:r w:rsidR="00634C02">
        <w:rPr>
          <w:rFonts w:cstheme="minorHAnsi"/>
        </w:rPr>
        <w:t xml:space="preserve">: </w:t>
      </w:r>
    </w:p>
    <w:p w14:paraId="1B20E10D" w14:textId="6B2F7B10" w:rsidR="00634C02" w:rsidRDefault="00634C02" w:rsidP="00634C02">
      <w:pPr>
        <w:pStyle w:val="Quote"/>
        <w:jc w:val="both"/>
      </w:pPr>
      <w:r>
        <w:t>“</w:t>
      </w:r>
      <w:r w:rsidRPr="00634C02">
        <w:t>Art. 5º Os resultados das classificações de capacidade de</w:t>
      </w:r>
      <w:r>
        <w:t xml:space="preserve"> </w:t>
      </w:r>
      <w:r w:rsidRPr="00634C02">
        <w:t>pagamento feitas conforme disposto no art. 3º poderão ser revistos</w:t>
      </w:r>
      <w:r>
        <w:t xml:space="preserve"> </w:t>
      </w:r>
      <w:r w:rsidRPr="00634C02">
        <w:t xml:space="preserve">pela STN </w:t>
      </w:r>
      <w:r w:rsidRPr="00634C02">
        <w:rPr>
          <w:b/>
          <w:bCs/>
          <w:i w:val="0"/>
          <w:iCs w:val="0"/>
          <w:u w:val="single"/>
        </w:rPr>
        <w:t>quando houver indícios de uma deterioração significativa da situação financeira do ente,</w:t>
      </w:r>
      <w:r w:rsidRPr="00634C02">
        <w:t xml:space="preserve"> por exemplo, quando o Estado, Município</w:t>
      </w:r>
      <w:r>
        <w:t xml:space="preserve"> </w:t>
      </w:r>
      <w:r w:rsidRPr="00634C02">
        <w:t>ou Distrito Federal sinalizar que deixou de atender ao requisito</w:t>
      </w:r>
      <w:r>
        <w:t xml:space="preserve"> </w:t>
      </w:r>
      <w:r w:rsidRPr="00634C02">
        <w:t>de elegibilidade do inciso I do art. 11, conforme acompanhamento</w:t>
      </w:r>
      <w:r>
        <w:t xml:space="preserve"> </w:t>
      </w:r>
      <w:r w:rsidRPr="00634C02">
        <w:t>a ser feito com base no Relatório Resumido de Execução</w:t>
      </w:r>
      <w:r>
        <w:t xml:space="preserve"> </w:t>
      </w:r>
      <w:r w:rsidRPr="00634C02">
        <w:t>Orçamentária do 6º bimestre, para o indicador de Poupança Corrente,</w:t>
      </w:r>
      <w:r>
        <w:t xml:space="preserve"> </w:t>
      </w:r>
      <w:r w:rsidRPr="00634C02">
        <w:t>e do Relatório de Gestão Fiscal do Poder Executivo do 3º quadrimestre,</w:t>
      </w:r>
      <w:r>
        <w:t xml:space="preserve"> </w:t>
      </w:r>
      <w:r w:rsidRPr="00634C02">
        <w:t>para os indicadores de Endividamento e Liquidez</w:t>
      </w:r>
      <w:r>
        <w:t>”</w:t>
      </w:r>
      <w:r w:rsidRPr="00634C02">
        <w:t>.</w:t>
      </w:r>
    </w:p>
    <w:p w14:paraId="6ABEF767" w14:textId="6C8FBADB" w:rsidR="00634C02" w:rsidRDefault="00265EB5" w:rsidP="00634C02">
      <w:pPr>
        <w:rPr>
          <w:rFonts w:cstheme="minorHAnsi"/>
        </w:rPr>
      </w:pPr>
      <w:r>
        <w:rPr>
          <w:rFonts w:cstheme="minorHAnsi"/>
        </w:rPr>
        <w:t xml:space="preserve">Assim, </w:t>
      </w:r>
      <w:r w:rsidR="009D399E">
        <w:rPr>
          <w:rFonts w:cstheme="minorHAnsi"/>
        </w:rPr>
        <w:t>atualmente, a</w:t>
      </w:r>
      <w:r>
        <w:rPr>
          <w:rFonts w:cstheme="minorHAnsi"/>
        </w:rPr>
        <w:t xml:space="preserve"> nota B da CAPAG, baseada nos indicadores da Tabela 9, passou a C. A Tabela 10 apresenta a evolução da CAPAG em 2017-2019. </w:t>
      </w:r>
    </w:p>
    <w:p w14:paraId="49FAFB57" w14:textId="0B25968A" w:rsidR="00140677" w:rsidRPr="00140677" w:rsidRDefault="00140677" w:rsidP="00140677">
      <w:pPr>
        <w:spacing w:before="0" w:after="200" w:line="276" w:lineRule="auto"/>
        <w:jc w:val="center"/>
        <w:rPr>
          <w:rFonts w:eastAsia="Calibri" w:cstheme="minorHAnsi"/>
          <w:bCs/>
          <w:i/>
          <w:color w:val="808080"/>
          <w:sz w:val="20"/>
          <w:szCs w:val="18"/>
        </w:rPr>
      </w:pPr>
      <w:bookmarkStart w:id="54" w:name="_Hlk17036265"/>
      <w:r w:rsidRPr="00140677">
        <w:rPr>
          <w:rFonts w:eastAsia="Calibri" w:cstheme="minorHAnsi"/>
          <w:bCs/>
          <w:i/>
          <w:color w:val="808080"/>
          <w:sz w:val="20"/>
          <w:szCs w:val="18"/>
        </w:rPr>
        <w:t xml:space="preserve">Tabela </w:t>
      </w:r>
      <w:r>
        <w:rPr>
          <w:rFonts w:eastAsia="Calibri" w:cstheme="minorHAnsi"/>
          <w:bCs/>
          <w:i/>
          <w:color w:val="808080"/>
          <w:sz w:val="20"/>
          <w:szCs w:val="18"/>
        </w:rPr>
        <w:t>9</w:t>
      </w:r>
      <w:r w:rsidRPr="00140677">
        <w:rPr>
          <w:rFonts w:eastAsia="Calibri" w:cstheme="minorHAnsi"/>
          <w:bCs/>
          <w:i/>
          <w:color w:val="808080"/>
          <w:sz w:val="20"/>
          <w:szCs w:val="18"/>
        </w:rPr>
        <w:t xml:space="preserve">. </w:t>
      </w:r>
      <w:bookmarkStart w:id="55" w:name="_Hlk8666323"/>
      <w:r w:rsidRPr="00140677">
        <w:rPr>
          <w:rFonts w:eastAsia="Calibri" w:cstheme="minorHAnsi"/>
          <w:bCs/>
          <w:i/>
          <w:color w:val="808080"/>
          <w:sz w:val="20"/>
          <w:szCs w:val="18"/>
        </w:rPr>
        <w:t>Capacidade de Pagamento (CAPAG) do Estado do Amapá</w:t>
      </w:r>
    </w:p>
    <w:bookmarkEnd w:id="54"/>
    <w:bookmarkEnd w:id="55"/>
    <w:p w14:paraId="3F631925" w14:textId="228421D6" w:rsidR="00140677" w:rsidRPr="00140677" w:rsidRDefault="003C423B" w:rsidP="00140677">
      <w:pPr>
        <w:spacing w:before="0" w:after="200" w:line="276" w:lineRule="auto"/>
        <w:jc w:val="center"/>
        <w:rPr>
          <w:rFonts w:eastAsia="Calibri" w:cstheme="minorHAnsi"/>
          <w:bCs/>
          <w:i/>
          <w:color w:val="808080"/>
          <w:sz w:val="20"/>
          <w:szCs w:val="18"/>
        </w:rPr>
      </w:pPr>
      <w:r w:rsidRPr="003C423B">
        <w:rPr>
          <w:noProof/>
        </w:rPr>
        <w:drawing>
          <wp:inline distT="0" distB="0" distL="0" distR="0" wp14:anchorId="1A261A0D" wp14:editId="0F7C28A2">
            <wp:extent cx="6188710" cy="1121410"/>
            <wp:effectExtent l="0" t="0" r="2540" b="254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DAB6E" w14:textId="63B85318" w:rsidR="00ED4131" w:rsidRPr="00140677" w:rsidRDefault="00ED4131" w:rsidP="00ED4131">
      <w:pPr>
        <w:spacing w:before="0" w:after="200" w:line="276" w:lineRule="auto"/>
        <w:jc w:val="center"/>
        <w:rPr>
          <w:rFonts w:eastAsia="Calibri" w:cstheme="minorHAnsi"/>
          <w:bCs/>
          <w:i/>
          <w:color w:val="808080"/>
          <w:sz w:val="20"/>
          <w:szCs w:val="18"/>
        </w:rPr>
      </w:pPr>
      <w:r w:rsidRPr="00140677">
        <w:rPr>
          <w:rFonts w:eastAsia="Calibri" w:cstheme="minorHAnsi"/>
          <w:bCs/>
          <w:i/>
          <w:color w:val="808080"/>
          <w:sz w:val="20"/>
          <w:szCs w:val="18"/>
        </w:rPr>
        <w:t xml:space="preserve">Tabela </w:t>
      </w:r>
      <w:r>
        <w:rPr>
          <w:rFonts w:eastAsia="Calibri" w:cstheme="minorHAnsi"/>
          <w:bCs/>
          <w:i/>
          <w:color w:val="808080"/>
          <w:sz w:val="20"/>
          <w:szCs w:val="18"/>
        </w:rPr>
        <w:t>10</w:t>
      </w:r>
      <w:r w:rsidRPr="00140677">
        <w:rPr>
          <w:rFonts w:eastAsia="Calibri" w:cstheme="minorHAnsi"/>
          <w:bCs/>
          <w:i/>
          <w:color w:val="808080"/>
          <w:sz w:val="20"/>
          <w:szCs w:val="18"/>
        </w:rPr>
        <w:t>. Capacidade de Pagamento (CAPAG) do Estado do Amapá</w:t>
      </w:r>
      <w:r>
        <w:rPr>
          <w:rFonts w:eastAsia="Calibri" w:cstheme="minorHAnsi"/>
          <w:bCs/>
          <w:i/>
          <w:color w:val="808080"/>
          <w:sz w:val="20"/>
          <w:szCs w:val="18"/>
        </w:rPr>
        <w:t xml:space="preserve"> 2017 a 2019</w:t>
      </w:r>
    </w:p>
    <w:p w14:paraId="32697B9A" w14:textId="0CC1AA0A" w:rsidR="00ED4131" w:rsidRDefault="00C86B56" w:rsidP="00C86B56">
      <w:pPr>
        <w:tabs>
          <w:tab w:val="left" w:pos="1402"/>
        </w:tabs>
        <w:rPr>
          <w:rFonts w:cstheme="minorHAnsi"/>
        </w:rPr>
      </w:pPr>
      <w:r>
        <w:rPr>
          <w:rFonts w:cstheme="minorHAnsi"/>
        </w:rPr>
        <w:tab/>
      </w:r>
      <w:r w:rsidRPr="00C86B56">
        <w:rPr>
          <w:noProof/>
        </w:rPr>
        <w:drawing>
          <wp:inline distT="0" distB="0" distL="0" distR="0" wp14:anchorId="5E136CE6" wp14:editId="3099864B">
            <wp:extent cx="2616200" cy="58039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AD1CF" w14:textId="77777777" w:rsidR="003F5538" w:rsidRDefault="007E3C8C" w:rsidP="00D06633">
      <w:r>
        <w:rPr>
          <w:rFonts w:cstheme="minorHAnsi"/>
        </w:rPr>
        <w:t>A</w:t>
      </w:r>
      <w:r w:rsidR="0054119B">
        <w:rPr>
          <w:rFonts w:cstheme="minorHAnsi"/>
        </w:rPr>
        <w:t xml:space="preserve">pesar da crise, o Resultado Primário mantém-se positivo desde 2016. O Gráfico abaixo replica valores da </w:t>
      </w:r>
      <w:r w:rsidR="00AE5820">
        <w:rPr>
          <w:rFonts w:cstheme="minorHAnsi"/>
        </w:rPr>
        <w:t xml:space="preserve">Tabela </w:t>
      </w:r>
      <w:r w:rsidR="00181EC3">
        <w:rPr>
          <w:rFonts w:cstheme="minorHAnsi"/>
        </w:rPr>
        <w:t>1.</w:t>
      </w:r>
      <w:r w:rsidR="00AE5820">
        <w:rPr>
          <w:rFonts w:cstheme="minorHAnsi"/>
        </w:rPr>
        <w:t xml:space="preserve"> </w:t>
      </w:r>
      <w:r w:rsidR="0054119B">
        <w:rPr>
          <w:rFonts w:cstheme="minorHAnsi"/>
        </w:rPr>
        <w:t xml:space="preserve"> </w:t>
      </w:r>
      <w:r w:rsidR="00AE5820">
        <w:rPr>
          <w:rFonts w:cstheme="minorHAnsi"/>
        </w:rPr>
        <w:t xml:space="preserve">O </w:t>
      </w:r>
      <w:r w:rsidR="00AE5820">
        <w:t>reequilíbrio recente no Resultado Primário e a Classificação CAPAG</w:t>
      </w:r>
      <w:r w:rsidR="00AE5820">
        <w:rPr>
          <w:rStyle w:val="FootnoteReference"/>
        </w:rPr>
        <w:footnoteReference w:id="22"/>
      </w:r>
      <w:r w:rsidR="00AE5820">
        <w:t xml:space="preserve"> </w:t>
      </w:r>
      <w:r w:rsidR="00181EC3">
        <w:t xml:space="preserve">são </w:t>
      </w:r>
      <w:r w:rsidR="00FB2AB5">
        <w:t>importantes</w:t>
      </w:r>
      <w:r w:rsidR="00181EC3">
        <w:t xml:space="preserve"> para que o GEAP</w:t>
      </w:r>
      <w:r w:rsidR="00AE5820">
        <w:t xml:space="preserve"> </w:t>
      </w:r>
      <w:r w:rsidR="00181EC3">
        <w:t xml:space="preserve">possa </w:t>
      </w:r>
      <w:r w:rsidR="00AE5820">
        <w:t xml:space="preserve">contratar novas operações de crédito. </w:t>
      </w:r>
    </w:p>
    <w:p w14:paraId="77CA62B8" w14:textId="059A3FB6" w:rsidR="0054119B" w:rsidRPr="00641231" w:rsidRDefault="0051175B" w:rsidP="003F5538">
      <w:pPr>
        <w:jc w:val="center"/>
        <w:rPr>
          <w:rFonts w:eastAsia="Calibri" w:cstheme="minorHAnsi"/>
          <w:bCs/>
          <w:i/>
          <w:color w:val="808080"/>
          <w:sz w:val="20"/>
          <w:szCs w:val="18"/>
        </w:rPr>
      </w:pPr>
      <w:r w:rsidRPr="00641231">
        <w:rPr>
          <w:rFonts w:eastAsia="Calibri" w:cstheme="minorHAnsi"/>
          <w:bCs/>
          <w:i/>
          <w:color w:val="808080"/>
          <w:sz w:val="20"/>
          <w:szCs w:val="18"/>
        </w:rPr>
        <w:t>Gráfico</w:t>
      </w:r>
      <w:r w:rsidR="00641231">
        <w:rPr>
          <w:rFonts w:eastAsia="Calibri" w:cstheme="minorHAnsi"/>
          <w:bCs/>
          <w:i/>
          <w:color w:val="808080"/>
          <w:sz w:val="20"/>
          <w:szCs w:val="18"/>
        </w:rPr>
        <w:t xml:space="preserve"> 6</w:t>
      </w:r>
      <w:r w:rsidRPr="00641231">
        <w:rPr>
          <w:rFonts w:eastAsia="Calibri" w:cstheme="minorHAnsi"/>
          <w:bCs/>
          <w:i/>
          <w:color w:val="808080"/>
          <w:sz w:val="20"/>
          <w:szCs w:val="18"/>
        </w:rPr>
        <w:t>. Evolução do Resultado Primário</w:t>
      </w:r>
    </w:p>
    <w:p w14:paraId="594B5066" w14:textId="2DF6967B" w:rsidR="00A506F7" w:rsidRDefault="00A506F7" w:rsidP="00512551">
      <w:pPr>
        <w:rPr>
          <w:rFonts w:cstheme="minorHAnsi"/>
        </w:rPr>
      </w:pPr>
      <w:r>
        <w:rPr>
          <w:rFonts w:cstheme="minorHAnsi"/>
          <w:noProof/>
        </w:rPr>
        <w:lastRenderedPageBreak/>
        <w:drawing>
          <wp:inline distT="0" distB="0" distL="0" distR="0" wp14:anchorId="4BA60870" wp14:editId="244703E2">
            <wp:extent cx="6215046" cy="287655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046" cy="287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36AD87" w14:textId="77777777" w:rsidR="007E3C8C" w:rsidRDefault="007E3C8C" w:rsidP="00512551">
      <w:pPr>
        <w:rPr>
          <w:rFonts w:cstheme="minorHAnsi"/>
        </w:rPr>
      </w:pPr>
    </w:p>
    <w:p w14:paraId="6F935817" w14:textId="3BD0AA52" w:rsidR="00512551" w:rsidRDefault="00624CF4" w:rsidP="00512551">
      <w:pPr>
        <w:rPr>
          <w:rFonts w:cstheme="minorHAnsi"/>
        </w:rPr>
      </w:pPr>
      <w:r w:rsidRPr="00624CF4">
        <w:rPr>
          <w:rFonts w:cstheme="minorHAnsi"/>
        </w:rPr>
        <w:t>O projeto de modernização da gestão fiscal do Estado de Amapá, BR-L1525 – PROFISCO II AP contribuirá para a retomada do equilíbrio, ao   implementar intervenções de modernização da gestão fiscal</w:t>
      </w:r>
      <w:r>
        <w:rPr>
          <w:rFonts w:cstheme="minorHAnsi"/>
        </w:rPr>
        <w:t xml:space="preserve">. No entanto, </w:t>
      </w:r>
      <w:r w:rsidR="00E615E4">
        <w:rPr>
          <w:rFonts w:cstheme="minorHAnsi"/>
        </w:rPr>
        <w:t xml:space="preserve">a recuperação econômica </w:t>
      </w:r>
      <w:r w:rsidR="00D06633">
        <w:rPr>
          <w:rFonts w:cstheme="minorHAnsi"/>
        </w:rPr>
        <w:t xml:space="preserve">e as medidas em curso, constantes da Nota Técnica em anexo </w:t>
      </w:r>
      <w:r w:rsidR="0055129E">
        <w:rPr>
          <w:rFonts w:cstheme="minorHAnsi"/>
        </w:rPr>
        <w:t xml:space="preserve">serão </w:t>
      </w:r>
      <w:r w:rsidR="00B43149">
        <w:rPr>
          <w:rFonts w:cstheme="minorHAnsi"/>
        </w:rPr>
        <w:t>cruciais para</w:t>
      </w:r>
      <w:r w:rsidR="00715708">
        <w:rPr>
          <w:rFonts w:cstheme="minorHAnsi"/>
        </w:rPr>
        <w:t xml:space="preserve"> reequilibrar as contas estaduais. </w:t>
      </w:r>
      <w:r>
        <w:rPr>
          <w:rFonts w:cstheme="minorHAnsi"/>
        </w:rPr>
        <w:t xml:space="preserve">Entre as medidas citadas na Nota, encontram-se: </w:t>
      </w:r>
    </w:p>
    <w:p w14:paraId="4F22F031" w14:textId="35CE57BB" w:rsidR="00624CF4" w:rsidRPr="00624CF4" w:rsidRDefault="00624CF4" w:rsidP="00624CF4">
      <w:pPr>
        <w:pStyle w:val="ListParagraph"/>
        <w:numPr>
          <w:ilvl w:val="0"/>
          <w:numId w:val="35"/>
        </w:numPr>
        <w:rPr>
          <w:rFonts w:cstheme="minorHAnsi"/>
        </w:rPr>
      </w:pPr>
      <w:r w:rsidRPr="00624CF4">
        <w:rPr>
          <w:rFonts w:cstheme="minorHAnsi"/>
        </w:rPr>
        <w:t>Privatização da Companhia de Eletricidade do Amapá- CEA e da Companhia de Água e Esgoto do Amapá- CAESA;</w:t>
      </w:r>
    </w:p>
    <w:p w14:paraId="5B5D6732" w14:textId="77777777" w:rsidR="00624CF4" w:rsidRPr="00624CF4" w:rsidRDefault="00624CF4" w:rsidP="00624CF4">
      <w:pPr>
        <w:pStyle w:val="ListParagraph"/>
        <w:numPr>
          <w:ilvl w:val="0"/>
          <w:numId w:val="35"/>
        </w:numPr>
        <w:rPr>
          <w:rFonts w:cstheme="minorHAnsi"/>
        </w:rPr>
      </w:pPr>
      <w:r w:rsidRPr="00624CF4">
        <w:rPr>
          <w:rFonts w:cstheme="minorHAnsi"/>
        </w:rPr>
        <w:t xml:space="preserve">Criação do Comitê de Controle e Qualificação do Gasto – CQG, inspirado nas experiências do Estado do Espírito Santo e do Distrito federal; </w:t>
      </w:r>
    </w:p>
    <w:p w14:paraId="040CED08" w14:textId="19624B21" w:rsidR="00624CF4" w:rsidRPr="00624CF4" w:rsidRDefault="00624CF4" w:rsidP="00624CF4">
      <w:pPr>
        <w:pStyle w:val="ListParagraph"/>
        <w:numPr>
          <w:ilvl w:val="0"/>
          <w:numId w:val="35"/>
        </w:numPr>
        <w:rPr>
          <w:rFonts w:cstheme="minorHAnsi"/>
        </w:rPr>
      </w:pPr>
      <w:r w:rsidRPr="00624CF4">
        <w:rPr>
          <w:rFonts w:cstheme="minorHAnsi"/>
        </w:rPr>
        <w:t>Contenção de despesa de pessoal</w:t>
      </w:r>
      <w:r>
        <w:rPr>
          <w:rFonts w:cstheme="minorHAnsi"/>
        </w:rPr>
        <w:t>;</w:t>
      </w:r>
      <w:r w:rsidRPr="00624CF4">
        <w:rPr>
          <w:rFonts w:cstheme="minorHAnsi"/>
        </w:rPr>
        <w:t xml:space="preserve"> </w:t>
      </w:r>
    </w:p>
    <w:p w14:paraId="34A651C4" w14:textId="78C7FB56" w:rsidR="00914FA4" w:rsidRDefault="00EF2E02" w:rsidP="00405C06">
      <w:pPr>
        <w:rPr>
          <w:rFonts w:cstheme="minorHAnsi"/>
        </w:rPr>
      </w:pPr>
      <w:r>
        <w:rPr>
          <w:rFonts w:cstheme="minorHAnsi"/>
        </w:rPr>
        <w:t xml:space="preserve">Para documentar os eventos recentes, anexamos adicionalmente </w:t>
      </w:r>
      <w:r w:rsidR="00682215">
        <w:rPr>
          <w:rFonts w:cstheme="minorHAnsi"/>
        </w:rPr>
        <w:t>ao presente</w:t>
      </w:r>
      <w:r>
        <w:rPr>
          <w:rFonts w:cstheme="minorHAnsi"/>
        </w:rPr>
        <w:t xml:space="preserve"> relatório: </w:t>
      </w:r>
    </w:p>
    <w:p w14:paraId="32BDCFD2" w14:textId="68CF7C3A" w:rsidR="009C1F05" w:rsidRPr="00896B86" w:rsidRDefault="009C1F05" w:rsidP="009C1F05">
      <w:pPr>
        <w:rPr>
          <w:rFonts w:cstheme="minorHAnsi"/>
          <w:b/>
          <w:bCs/>
        </w:rPr>
      </w:pPr>
      <w:r w:rsidRPr="00896B86">
        <w:rPr>
          <w:rFonts w:cstheme="minorHAnsi"/>
          <w:b/>
          <w:bCs/>
        </w:rPr>
        <w:t>1)      Texto da petição relativa à ACO nº 3.285, 10/07/2019;</w:t>
      </w:r>
    </w:p>
    <w:p w14:paraId="7EA20CEA" w14:textId="12F47EDE" w:rsidR="00011CA9" w:rsidRDefault="009C1F05" w:rsidP="00011CA9">
      <w:pPr>
        <w:rPr>
          <w:rFonts w:cstheme="minorHAnsi"/>
          <w:b/>
          <w:bCs/>
        </w:rPr>
      </w:pPr>
      <w:r w:rsidRPr="00896B86">
        <w:rPr>
          <w:rFonts w:cstheme="minorHAnsi"/>
          <w:b/>
          <w:bCs/>
        </w:rPr>
        <w:t xml:space="preserve">2)    </w:t>
      </w:r>
      <w:bookmarkStart w:id="56" w:name="_Hlk17227955"/>
      <w:r w:rsidR="00011CA9" w:rsidRPr="00011CA9">
        <w:rPr>
          <w:rFonts w:cstheme="minorHAnsi"/>
          <w:b/>
          <w:bCs/>
        </w:rPr>
        <w:t>Nota Técnica SEI nº 4/2019/CORFI/SURIN/STN/FAZENDA-ME</w:t>
      </w:r>
      <w:r w:rsidR="00011CA9" w:rsidRPr="00011CA9">
        <w:rPr>
          <w:rFonts w:cstheme="minorHAnsi"/>
        </w:rPr>
        <w:t xml:space="preserve">, onde a STN </w:t>
      </w:r>
      <w:r w:rsidR="00011CA9">
        <w:rPr>
          <w:rFonts w:cstheme="minorHAnsi"/>
        </w:rPr>
        <w:t xml:space="preserve"> fornece s</w:t>
      </w:r>
      <w:r w:rsidR="00011CA9" w:rsidRPr="00011CA9">
        <w:rPr>
          <w:rFonts w:cstheme="minorHAnsi"/>
        </w:rPr>
        <w:t>ubsídios à ação da AGU em pedido de liminar do Amapá contra a execução de contragarantias</w:t>
      </w:r>
      <w:r w:rsidR="00011CA9" w:rsidRPr="00011CA9">
        <w:rPr>
          <w:rFonts w:cstheme="minorHAnsi"/>
          <w:b/>
          <w:bCs/>
        </w:rPr>
        <w:t>.</w:t>
      </w:r>
      <w:bookmarkEnd w:id="56"/>
    </w:p>
    <w:p w14:paraId="412C08DF" w14:textId="2295BD74" w:rsidR="009C1F05" w:rsidRPr="00896B86" w:rsidRDefault="00011CA9" w:rsidP="009C1F05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3)</w:t>
      </w:r>
      <w:r w:rsidR="009C1F05" w:rsidRPr="00896B86">
        <w:rPr>
          <w:rFonts w:cstheme="minorHAnsi"/>
          <w:b/>
          <w:bCs/>
        </w:rPr>
        <w:t xml:space="preserve"> Decisão do Min. Duas </w:t>
      </w:r>
      <w:proofErr w:type="spellStart"/>
      <w:r w:rsidR="003F5538" w:rsidRPr="00896B86">
        <w:rPr>
          <w:rFonts w:cstheme="minorHAnsi"/>
          <w:b/>
          <w:bCs/>
        </w:rPr>
        <w:t>Toffoli</w:t>
      </w:r>
      <w:proofErr w:type="spellEnd"/>
      <w:r w:rsidR="003F5538" w:rsidRPr="00896B86">
        <w:rPr>
          <w:rFonts w:cstheme="minorHAnsi"/>
          <w:b/>
          <w:bCs/>
        </w:rPr>
        <w:t>, em</w:t>
      </w:r>
      <w:r w:rsidR="009C1F05" w:rsidRPr="00896B86">
        <w:rPr>
          <w:rFonts w:cstheme="minorHAnsi"/>
          <w:b/>
          <w:bCs/>
        </w:rPr>
        <w:t xml:space="preserve"> 17/07/2019;</w:t>
      </w:r>
    </w:p>
    <w:p w14:paraId="77995F73" w14:textId="23CBDF41" w:rsidR="009C1F05" w:rsidRDefault="00011CA9" w:rsidP="009C1F05">
      <w:pPr>
        <w:rPr>
          <w:rFonts w:cstheme="minorHAnsi"/>
        </w:rPr>
      </w:pPr>
      <w:r>
        <w:rPr>
          <w:rFonts w:cstheme="minorHAnsi"/>
          <w:b/>
          <w:bCs/>
        </w:rPr>
        <w:t>4</w:t>
      </w:r>
      <w:r w:rsidR="009C1F05" w:rsidRPr="00896B86">
        <w:rPr>
          <w:rFonts w:cstheme="minorHAnsi"/>
          <w:b/>
          <w:bCs/>
        </w:rPr>
        <w:t>)        Nota técnica</w:t>
      </w:r>
      <w:r w:rsidR="009C1F05" w:rsidRPr="009C1F05">
        <w:rPr>
          <w:rFonts w:cstheme="minorHAnsi"/>
        </w:rPr>
        <w:t xml:space="preserve">, de 23/07/2019, </w:t>
      </w:r>
      <w:r w:rsidR="009C1F05">
        <w:rPr>
          <w:rFonts w:cstheme="minorHAnsi"/>
        </w:rPr>
        <w:t>d</w:t>
      </w:r>
      <w:r w:rsidR="009C1F05" w:rsidRPr="009C1F05">
        <w:rPr>
          <w:rFonts w:cstheme="minorHAnsi"/>
        </w:rPr>
        <w:t>os Secretários de Fazenda e de Planejamento</w:t>
      </w:r>
      <w:r w:rsidR="009C1F05">
        <w:rPr>
          <w:rFonts w:cstheme="minorHAnsi"/>
        </w:rPr>
        <w:t>;</w:t>
      </w:r>
    </w:p>
    <w:p w14:paraId="36FE7E7F" w14:textId="47957DCF" w:rsidR="00A92A47" w:rsidRPr="00A92A47" w:rsidRDefault="00011CA9" w:rsidP="00A92A47">
      <w:pPr>
        <w:rPr>
          <w:rFonts w:cstheme="minorHAnsi"/>
        </w:rPr>
      </w:pPr>
      <w:r>
        <w:rPr>
          <w:rFonts w:cstheme="minorHAnsi"/>
          <w:b/>
          <w:bCs/>
        </w:rPr>
        <w:t>5</w:t>
      </w:r>
      <w:r w:rsidR="00A92A47" w:rsidRPr="00896B86">
        <w:rPr>
          <w:rFonts w:cstheme="minorHAnsi"/>
          <w:b/>
          <w:bCs/>
        </w:rPr>
        <w:t>) Ofício 924/2019 SEFAZ/</w:t>
      </w:r>
      <w:r w:rsidR="00682215" w:rsidRPr="00896B86">
        <w:rPr>
          <w:rFonts w:cstheme="minorHAnsi"/>
          <w:b/>
          <w:bCs/>
        </w:rPr>
        <w:t>GAB</w:t>
      </w:r>
      <w:r w:rsidR="00682215" w:rsidRPr="00A92A47">
        <w:rPr>
          <w:rFonts w:cstheme="minorHAnsi"/>
        </w:rPr>
        <w:t xml:space="preserve">, </w:t>
      </w:r>
      <w:r w:rsidR="009C1F05">
        <w:rPr>
          <w:rFonts w:cstheme="minorHAnsi"/>
        </w:rPr>
        <w:t>d</w:t>
      </w:r>
      <w:r w:rsidR="00A92A47" w:rsidRPr="00A92A47">
        <w:rPr>
          <w:rFonts w:cstheme="minorHAnsi"/>
        </w:rPr>
        <w:t xml:space="preserve">o Estado do </w:t>
      </w:r>
      <w:r w:rsidR="00682215" w:rsidRPr="00A92A47">
        <w:rPr>
          <w:rFonts w:cstheme="minorHAnsi"/>
        </w:rPr>
        <w:t>Amapá,</w:t>
      </w:r>
      <w:r w:rsidR="00A92A47" w:rsidRPr="00A92A47">
        <w:rPr>
          <w:rFonts w:cstheme="minorHAnsi"/>
        </w:rPr>
        <w:t xml:space="preserve"> encaminhado em 13 de agosto </w:t>
      </w:r>
      <w:r w:rsidR="009C1F05">
        <w:rPr>
          <w:rFonts w:cstheme="minorHAnsi"/>
        </w:rPr>
        <w:t xml:space="preserve">corrente </w:t>
      </w:r>
      <w:r w:rsidR="00A92A47" w:rsidRPr="00A92A47">
        <w:rPr>
          <w:rFonts w:cstheme="minorHAnsi"/>
        </w:rPr>
        <w:t xml:space="preserve">ao </w:t>
      </w:r>
      <w:r w:rsidR="00624CF4" w:rsidRPr="00A92A47">
        <w:rPr>
          <w:rFonts w:cstheme="minorHAnsi"/>
        </w:rPr>
        <w:t>BID, por</w:t>
      </w:r>
      <w:r w:rsidR="00A92A47" w:rsidRPr="00A92A47">
        <w:rPr>
          <w:rFonts w:cstheme="minorHAnsi"/>
        </w:rPr>
        <w:t xml:space="preserve"> mensagem eletrônica , explicando o conteúdo da  AÇÃO CÍVEL ORIGINÁRIA 3.285, do  AMAPÁ e a </w:t>
      </w:r>
      <w:r w:rsidR="00682215" w:rsidRPr="00A92A47">
        <w:rPr>
          <w:rFonts w:cstheme="minorHAnsi"/>
        </w:rPr>
        <w:t>decisão</w:t>
      </w:r>
      <w:r w:rsidR="00A92A47" w:rsidRPr="00A92A47">
        <w:rPr>
          <w:rFonts w:cstheme="minorHAnsi"/>
        </w:rPr>
        <w:t xml:space="preserve"> do Min. Dias </w:t>
      </w:r>
      <w:proofErr w:type="spellStart"/>
      <w:r w:rsidR="00A92A47" w:rsidRPr="00A92A47">
        <w:rPr>
          <w:rFonts w:cstheme="minorHAnsi"/>
        </w:rPr>
        <w:t>Toffoli</w:t>
      </w:r>
      <w:proofErr w:type="spellEnd"/>
      <w:r w:rsidR="00A92A47" w:rsidRPr="00A92A47">
        <w:rPr>
          <w:rFonts w:cstheme="minorHAnsi"/>
        </w:rPr>
        <w:t xml:space="preserve">. </w:t>
      </w:r>
    </w:p>
    <w:p w14:paraId="40F056ED" w14:textId="54A33811" w:rsidR="00A92A47" w:rsidRPr="00A92A47" w:rsidRDefault="00011CA9" w:rsidP="00A92A47">
      <w:pPr>
        <w:rPr>
          <w:rFonts w:cstheme="minorHAnsi"/>
        </w:rPr>
      </w:pPr>
      <w:r>
        <w:rPr>
          <w:rFonts w:cstheme="minorHAnsi"/>
          <w:b/>
          <w:bCs/>
        </w:rPr>
        <w:lastRenderedPageBreak/>
        <w:t>6</w:t>
      </w:r>
      <w:r w:rsidR="00A92A47" w:rsidRPr="00896B86">
        <w:rPr>
          <w:rFonts w:cstheme="minorHAnsi"/>
          <w:b/>
          <w:bCs/>
        </w:rPr>
        <w:t>) Certidão do Tribunal de Contas do Estado</w:t>
      </w:r>
      <w:r w:rsidR="00A92A47" w:rsidRPr="00A92A47">
        <w:rPr>
          <w:rFonts w:cstheme="minorHAnsi"/>
        </w:rPr>
        <w:t>, de 19 de junho de 2019, em que o TCE atesta que o Estado do Amapá, entre outros:</w:t>
      </w:r>
    </w:p>
    <w:p w14:paraId="5F43AC1F" w14:textId="1121B1E8" w:rsidR="00A92A47" w:rsidRPr="00682215" w:rsidRDefault="00A92A47" w:rsidP="00682215">
      <w:pPr>
        <w:pStyle w:val="ListParagraph"/>
        <w:numPr>
          <w:ilvl w:val="0"/>
          <w:numId w:val="32"/>
        </w:numPr>
        <w:rPr>
          <w:rFonts w:cstheme="minorHAnsi"/>
        </w:rPr>
      </w:pPr>
      <w:r w:rsidRPr="00682215">
        <w:rPr>
          <w:rFonts w:cstheme="minorHAnsi"/>
        </w:rPr>
        <w:t>cumpre a regra de ouro - art. 167, III, da Constituição Federal de 1988 - CF 88 e par. 2º da LRF;</w:t>
      </w:r>
    </w:p>
    <w:p w14:paraId="422EFBED" w14:textId="7A7E295B" w:rsidR="00A92A47" w:rsidRPr="00682215" w:rsidRDefault="00A92A47" w:rsidP="00682215">
      <w:pPr>
        <w:pStyle w:val="ListParagraph"/>
        <w:numPr>
          <w:ilvl w:val="0"/>
          <w:numId w:val="32"/>
        </w:numPr>
        <w:rPr>
          <w:rFonts w:cstheme="minorHAnsi"/>
        </w:rPr>
      </w:pPr>
      <w:r w:rsidRPr="00682215">
        <w:rPr>
          <w:rFonts w:cstheme="minorHAnsi"/>
        </w:rPr>
        <w:t xml:space="preserve">cumpre os pisos de comprometimento de despesas com saúde e educação; </w:t>
      </w:r>
    </w:p>
    <w:p w14:paraId="1F8384B2" w14:textId="4E0D69FB" w:rsidR="00A92A47" w:rsidRPr="00682215" w:rsidRDefault="00A92A47" w:rsidP="00682215">
      <w:pPr>
        <w:pStyle w:val="ListParagraph"/>
        <w:numPr>
          <w:ilvl w:val="0"/>
          <w:numId w:val="32"/>
        </w:numPr>
        <w:rPr>
          <w:rFonts w:cstheme="minorHAnsi"/>
        </w:rPr>
      </w:pPr>
      <w:r w:rsidRPr="00682215">
        <w:rPr>
          <w:rFonts w:cstheme="minorHAnsi"/>
        </w:rPr>
        <w:t xml:space="preserve">publica o Relatório Resumido de Execução Orçamentária </w:t>
      </w:r>
      <w:r w:rsidR="00682215" w:rsidRPr="00682215">
        <w:rPr>
          <w:rFonts w:cstheme="minorHAnsi"/>
        </w:rPr>
        <w:t>e os</w:t>
      </w:r>
      <w:r w:rsidRPr="00682215">
        <w:rPr>
          <w:rFonts w:cstheme="minorHAnsi"/>
        </w:rPr>
        <w:t xml:space="preserve"> Relatórios de Gestão Fiscal do Poder Executivo e de cada um dos demais poderes dentro dos </w:t>
      </w:r>
      <w:r w:rsidR="00682215" w:rsidRPr="00682215">
        <w:rPr>
          <w:rFonts w:cstheme="minorHAnsi"/>
        </w:rPr>
        <w:t>prazos.</w:t>
      </w:r>
    </w:p>
    <w:p w14:paraId="13867317" w14:textId="7778F7E7" w:rsidR="00A92A47" w:rsidRPr="00A92A47" w:rsidRDefault="00011CA9" w:rsidP="00A92A47">
      <w:pPr>
        <w:rPr>
          <w:rFonts w:cstheme="minorHAnsi"/>
        </w:rPr>
      </w:pPr>
      <w:r>
        <w:rPr>
          <w:rFonts w:cstheme="minorHAnsi"/>
          <w:b/>
          <w:bCs/>
        </w:rPr>
        <w:t>7</w:t>
      </w:r>
      <w:r w:rsidR="00A92A47" w:rsidRPr="00896B86">
        <w:rPr>
          <w:rFonts w:cstheme="minorHAnsi"/>
          <w:b/>
          <w:bCs/>
        </w:rPr>
        <w:t xml:space="preserve">)   Certidão Positiva com efeitos de negativa de débitos relativos aos tributos federais e à dívida ativa da União, da Receita Federal </w:t>
      </w:r>
      <w:r w:rsidR="00A92A47" w:rsidRPr="00A92A47">
        <w:rPr>
          <w:rFonts w:cstheme="minorHAnsi"/>
        </w:rPr>
        <w:t>_Procuradoria-Geral da Fazenda Nacional - PGFN, onde constam</w:t>
      </w:r>
      <w:r w:rsidR="009C1F05">
        <w:rPr>
          <w:rFonts w:cstheme="minorHAnsi"/>
        </w:rPr>
        <w:t>:</w:t>
      </w:r>
    </w:p>
    <w:p w14:paraId="27F9E557" w14:textId="690A9C5C" w:rsidR="00A92A47" w:rsidRPr="009C1F05" w:rsidRDefault="00A92A47" w:rsidP="009C1F05">
      <w:pPr>
        <w:pStyle w:val="ListParagraph"/>
        <w:numPr>
          <w:ilvl w:val="0"/>
          <w:numId w:val="33"/>
        </w:numPr>
        <w:rPr>
          <w:rFonts w:cstheme="minorHAnsi"/>
        </w:rPr>
      </w:pPr>
      <w:r w:rsidRPr="009C1F05">
        <w:rPr>
          <w:rFonts w:cstheme="minorHAnsi"/>
        </w:rPr>
        <w:t xml:space="preserve">débitos administrados pela Secretaria da receita Federal do Brasil (RFB) com exigibilidade suspensa  nos termos do art. 151 da Lei nº 5172/1966 -  Código Tributário Nacional -CTN, ou objeto de decisão judicial, que determine sua desconsideração para fins de certificação de regularidade fiscal, ou ainda não vencidos; </w:t>
      </w:r>
    </w:p>
    <w:p w14:paraId="38E005FC" w14:textId="5770A184" w:rsidR="00A92A47" w:rsidRPr="009C1F05" w:rsidRDefault="00A92A47" w:rsidP="009C1F05">
      <w:pPr>
        <w:pStyle w:val="ListParagraph"/>
        <w:numPr>
          <w:ilvl w:val="0"/>
          <w:numId w:val="33"/>
        </w:numPr>
        <w:rPr>
          <w:rFonts w:cstheme="minorHAnsi"/>
        </w:rPr>
      </w:pPr>
      <w:r w:rsidRPr="009C1F05">
        <w:rPr>
          <w:rFonts w:cstheme="minorHAnsi"/>
        </w:rPr>
        <w:t xml:space="preserve">débitos inscritos em Dívida Ativa da União, com exigibilidade suspensa nos termos do art. 151 do CTN, ou garantidos mediante bens e direitos, ou com embargos da Fazenda Pública em processos de execução fiscal, ou objeto de decisão </w:t>
      </w:r>
      <w:r w:rsidR="00682215" w:rsidRPr="009C1F05">
        <w:rPr>
          <w:rFonts w:cstheme="minorHAnsi"/>
        </w:rPr>
        <w:t>judicial que</w:t>
      </w:r>
      <w:r w:rsidRPr="009C1F05">
        <w:rPr>
          <w:rFonts w:cstheme="minorHAnsi"/>
        </w:rPr>
        <w:t xml:space="preserve"> determine sua desconsideração para fins de certificação de regularidade fiscal. </w:t>
      </w:r>
    </w:p>
    <w:p w14:paraId="44D4EF7C" w14:textId="72632937" w:rsidR="00A92A47" w:rsidRPr="00A92A47" w:rsidRDefault="00011CA9" w:rsidP="00A92A47">
      <w:pPr>
        <w:rPr>
          <w:rFonts w:cstheme="minorHAnsi"/>
        </w:rPr>
      </w:pPr>
      <w:r>
        <w:rPr>
          <w:rFonts w:cstheme="minorHAnsi"/>
          <w:b/>
          <w:bCs/>
        </w:rPr>
        <w:t>8</w:t>
      </w:r>
      <w:r w:rsidR="00A92A47" w:rsidRPr="00896B86">
        <w:rPr>
          <w:rFonts w:cstheme="minorHAnsi"/>
          <w:b/>
          <w:bCs/>
        </w:rPr>
        <w:t>) E</w:t>
      </w:r>
      <w:r w:rsidR="00682215" w:rsidRPr="00896B86">
        <w:rPr>
          <w:rFonts w:cstheme="minorHAnsi"/>
          <w:b/>
          <w:bCs/>
        </w:rPr>
        <w:t>x</w:t>
      </w:r>
      <w:r w:rsidR="00A92A47" w:rsidRPr="00896B86">
        <w:rPr>
          <w:rFonts w:cstheme="minorHAnsi"/>
          <w:b/>
          <w:bCs/>
        </w:rPr>
        <w:t xml:space="preserve">trato do </w:t>
      </w:r>
      <w:r w:rsidR="000F4727" w:rsidRPr="00896B86">
        <w:rPr>
          <w:rFonts w:cstheme="minorHAnsi"/>
          <w:b/>
          <w:bCs/>
        </w:rPr>
        <w:t xml:space="preserve">Cadastro Único de Convênios - </w:t>
      </w:r>
      <w:r w:rsidR="00A92A47" w:rsidRPr="00896B86">
        <w:rPr>
          <w:rFonts w:cstheme="minorHAnsi"/>
          <w:b/>
          <w:bCs/>
        </w:rPr>
        <w:t>CAUC</w:t>
      </w:r>
      <w:r w:rsidR="00A92A47" w:rsidRPr="00A92A47">
        <w:rPr>
          <w:rFonts w:cstheme="minorHAnsi"/>
        </w:rPr>
        <w:t xml:space="preserve"> </w:t>
      </w:r>
      <w:r w:rsidR="000F4727">
        <w:rPr>
          <w:rFonts w:cstheme="minorHAnsi"/>
        </w:rPr>
        <w:t xml:space="preserve">em </w:t>
      </w:r>
      <w:r w:rsidR="00A92A47" w:rsidRPr="00A92A47">
        <w:rPr>
          <w:rFonts w:cstheme="minorHAnsi"/>
        </w:rPr>
        <w:t xml:space="preserve">16/08/2019, em que a STN comprova que o Estado do Amapá atende aos requisitos fiscais </w:t>
      </w:r>
      <w:r w:rsidR="00682215" w:rsidRPr="00A92A47">
        <w:rPr>
          <w:rFonts w:cstheme="minorHAnsi"/>
        </w:rPr>
        <w:t>de:</w:t>
      </w:r>
    </w:p>
    <w:p w14:paraId="37F43AB2" w14:textId="77777777" w:rsidR="00A92A47" w:rsidRPr="00173133" w:rsidRDefault="00A92A47" w:rsidP="00173133">
      <w:pPr>
        <w:pStyle w:val="ListParagraph"/>
        <w:numPr>
          <w:ilvl w:val="0"/>
          <w:numId w:val="34"/>
        </w:numPr>
        <w:rPr>
          <w:rFonts w:cstheme="minorHAnsi"/>
        </w:rPr>
      </w:pPr>
      <w:r w:rsidRPr="00173133">
        <w:rPr>
          <w:rFonts w:cstheme="minorHAnsi"/>
        </w:rPr>
        <w:t>I - Obrigações de Adimplência Financeira, com a ressalva "a comprovar" da "regularidade quanto a Tributos, a Contribuições Previdenciárias Federais e à Dívida Ativa da União " - veja-se certidão da PGFN, acima;</w:t>
      </w:r>
    </w:p>
    <w:p w14:paraId="2F7C7F8E" w14:textId="77777777" w:rsidR="00A92A47" w:rsidRPr="00173133" w:rsidRDefault="00A92A47" w:rsidP="00173133">
      <w:pPr>
        <w:pStyle w:val="ListParagraph"/>
        <w:numPr>
          <w:ilvl w:val="0"/>
          <w:numId w:val="34"/>
        </w:numPr>
        <w:rPr>
          <w:rFonts w:cstheme="minorHAnsi"/>
        </w:rPr>
      </w:pPr>
      <w:r w:rsidRPr="00173133">
        <w:rPr>
          <w:rFonts w:cstheme="minorHAnsi"/>
        </w:rPr>
        <w:t>II - Adimplemento na Prestação de Contas de Convênios</w:t>
      </w:r>
    </w:p>
    <w:p w14:paraId="0ECFAA9A" w14:textId="77777777" w:rsidR="00A92A47" w:rsidRPr="00173133" w:rsidRDefault="00A92A47" w:rsidP="00173133">
      <w:pPr>
        <w:pStyle w:val="ListParagraph"/>
        <w:numPr>
          <w:ilvl w:val="0"/>
          <w:numId w:val="34"/>
        </w:numPr>
        <w:rPr>
          <w:rFonts w:cstheme="minorHAnsi"/>
        </w:rPr>
      </w:pPr>
      <w:r w:rsidRPr="00173133">
        <w:rPr>
          <w:rFonts w:cstheme="minorHAnsi"/>
        </w:rPr>
        <w:t>III - Obrigações de Transparência</w:t>
      </w:r>
    </w:p>
    <w:p w14:paraId="4FD09137" w14:textId="77777777" w:rsidR="00A92A47" w:rsidRPr="00173133" w:rsidRDefault="00A92A47" w:rsidP="00173133">
      <w:pPr>
        <w:pStyle w:val="ListParagraph"/>
        <w:numPr>
          <w:ilvl w:val="0"/>
          <w:numId w:val="34"/>
        </w:numPr>
        <w:rPr>
          <w:rFonts w:cstheme="minorHAnsi"/>
        </w:rPr>
      </w:pPr>
      <w:r w:rsidRPr="00173133">
        <w:rPr>
          <w:rFonts w:cstheme="minorHAnsi"/>
        </w:rPr>
        <w:t>IV - Adimplemento de Obrigações Constitucionais ou Legais</w:t>
      </w:r>
    </w:p>
    <w:p w14:paraId="0F5FB876" w14:textId="3398A569" w:rsidR="00A92A47" w:rsidRPr="00A92A47" w:rsidRDefault="00011CA9" w:rsidP="00A92A47">
      <w:pPr>
        <w:rPr>
          <w:rFonts w:cstheme="minorHAnsi"/>
        </w:rPr>
      </w:pPr>
      <w:r>
        <w:rPr>
          <w:rFonts w:cstheme="minorHAnsi"/>
          <w:b/>
          <w:bCs/>
        </w:rPr>
        <w:t>9</w:t>
      </w:r>
      <w:r w:rsidR="00A92A47" w:rsidRPr="00896B86">
        <w:rPr>
          <w:rFonts w:cstheme="minorHAnsi"/>
          <w:b/>
          <w:bCs/>
        </w:rPr>
        <w:t>)  Ofício 930/2019 SEFAZ/</w:t>
      </w:r>
      <w:r w:rsidR="00682215" w:rsidRPr="00896B86">
        <w:rPr>
          <w:rFonts w:cstheme="minorHAnsi"/>
          <w:b/>
          <w:bCs/>
        </w:rPr>
        <w:t>GAB,</w:t>
      </w:r>
      <w:r w:rsidR="00A92A47" w:rsidRPr="00896B86">
        <w:rPr>
          <w:rFonts w:cstheme="minorHAnsi"/>
          <w:b/>
          <w:bCs/>
        </w:rPr>
        <w:t xml:space="preserve"> </w:t>
      </w:r>
      <w:r w:rsidR="00FC09EE" w:rsidRPr="00896B86">
        <w:rPr>
          <w:rFonts w:cstheme="minorHAnsi"/>
          <w:b/>
          <w:bCs/>
        </w:rPr>
        <w:t xml:space="preserve">do </w:t>
      </w:r>
      <w:r w:rsidR="00A92A47" w:rsidRPr="00896B86">
        <w:rPr>
          <w:rFonts w:cstheme="minorHAnsi"/>
          <w:b/>
          <w:bCs/>
        </w:rPr>
        <w:t xml:space="preserve">Estado do </w:t>
      </w:r>
      <w:r w:rsidR="00FC09EE" w:rsidRPr="00896B86">
        <w:rPr>
          <w:rFonts w:cstheme="minorHAnsi"/>
          <w:b/>
          <w:bCs/>
        </w:rPr>
        <w:t>Amapá,</w:t>
      </w:r>
      <w:r w:rsidR="00A92A47" w:rsidRPr="00896B86">
        <w:rPr>
          <w:rFonts w:cstheme="minorHAnsi"/>
          <w:b/>
          <w:bCs/>
        </w:rPr>
        <w:t xml:space="preserve"> encaminhado</w:t>
      </w:r>
      <w:r w:rsidR="00FC09EE" w:rsidRPr="00896B86">
        <w:rPr>
          <w:rFonts w:cstheme="minorHAnsi"/>
          <w:b/>
          <w:bCs/>
        </w:rPr>
        <w:t xml:space="preserve"> ao BID</w:t>
      </w:r>
      <w:r w:rsidR="00FC09EE">
        <w:rPr>
          <w:rFonts w:cstheme="minorHAnsi"/>
        </w:rPr>
        <w:t xml:space="preserve"> </w:t>
      </w:r>
      <w:r w:rsidR="00A92A47" w:rsidRPr="00A92A47">
        <w:rPr>
          <w:rFonts w:cstheme="minorHAnsi"/>
        </w:rPr>
        <w:t xml:space="preserve"> em 16 de agosto</w:t>
      </w:r>
      <w:r w:rsidR="00FC09EE">
        <w:rPr>
          <w:rFonts w:cstheme="minorHAnsi"/>
        </w:rPr>
        <w:t xml:space="preserve"> corrente</w:t>
      </w:r>
      <w:r w:rsidR="00A92A47" w:rsidRPr="00A92A47">
        <w:rPr>
          <w:rFonts w:cstheme="minorHAnsi"/>
        </w:rPr>
        <w:t>,  por mensagem eletrônica ,  informa</w:t>
      </w:r>
      <w:r w:rsidR="00FC09EE">
        <w:rPr>
          <w:rFonts w:cstheme="minorHAnsi"/>
        </w:rPr>
        <w:t>ndo</w:t>
      </w:r>
      <w:r w:rsidR="00A92A47" w:rsidRPr="00A92A47">
        <w:rPr>
          <w:rFonts w:cstheme="minorHAnsi"/>
        </w:rPr>
        <w:t xml:space="preserve"> sobre as condições para a contratação do empréstimo. </w:t>
      </w:r>
    </w:p>
    <w:p w14:paraId="6634334C" w14:textId="77777777" w:rsidR="00A92A47" w:rsidRPr="00A92A47" w:rsidRDefault="00A92A47" w:rsidP="00A92A47">
      <w:pPr>
        <w:rPr>
          <w:rFonts w:cstheme="minorHAnsi"/>
        </w:rPr>
      </w:pPr>
    </w:p>
    <w:p w14:paraId="1821E2A8" w14:textId="6A557C4B" w:rsidR="00AD474B" w:rsidRDefault="00AD474B" w:rsidP="00405C06">
      <w:pPr>
        <w:rPr>
          <w:rFonts w:cstheme="minorHAnsi"/>
        </w:rPr>
      </w:pPr>
    </w:p>
    <w:p w14:paraId="6C8E43E7" w14:textId="5597ACBC" w:rsidR="00AD474B" w:rsidRDefault="00AD474B" w:rsidP="00405C06">
      <w:pPr>
        <w:rPr>
          <w:rFonts w:cstheme="minorHAnsi"/>
        </w:rPr>
      </w:pPr>
    </w:p>
    <w:p w14:paraId="36CA8163" w14:textId="0D83C263" w:rsidR="00AD474B" w:rsidRDefault="00AD474B" w:rsidP="00405C06">
      <w:pPr>
        <w:rPr>
          <w:rFonts w:cstheme="minorHAnsi"/>
        </w:rPr>
      </w:pPr>
    </w:p>
    <w:p w14:paraId="12C4FD26" w14:textId="75533661" w:rsidR="00AD474B" w:rsidRDefault="00AD474B" w:rsidP="00405C06">
      <w:pPr>
        <w:rPr>
          <w:rFonts w:cstheme="minorHAnsi"/>
        </w:rPr>
      </w:pPr>
    </w:p>
    <w:p w14:paraId="145A2259" w14:textId="478B0DA1" w:rsidR="00AD474B" w:rsidRDefault="00AD474B" w:rsidP="00405C06">
      <w:pPr>
        <w:rPr>
          <w:rFonts w:cstheme="minorHAnsi"/>
        </w:rPr>
      </w:pPr>
    </w:p>
    <w:p w14:paraId="3C96AC22" w14:textId="75CB9BCC" w:rsidR="00AD474B" w:rsidRDefault="00AD474B" w:rsidP="00405C06">
      <w:pPr>
        <w:rPr>
          <w:rFonts w:cstheme="minorHAnsi"/>
        </w:rPr>
      </w:pPr>
    </w:p>
    <w:p w14:paraId="1F24EAE8" w14:textId="77777777" w:rsidR="00AD474B" w:rsidRDefault="00AD474B" w:rsidP="00405C06">
      <w:pPr>
        <w:rPr>
          <w:rFonts w:cstheme="minorHAnsi"/>
        </w:rPr>
      </w:pPr>
    </w:p>
    <w:p w14:paraId="55D4B5CE" w14:textId="3505C870" w:rsidR="00834C77" w:rsidRPr="00D20B1A" w:rsidRDefault="00834C77" w:rsidP="00405C06">
      <w:pPr>
        <w:pStyle w:val="Heading1"/>
        <w:pBdr>
          <w:bottom w:val="dotted" w:sz="4" w:space="1" w:color="A6A6A6" w:themeColor="background1" w:themeShade="A6"/>
        </w:pBdr>
        <w:spacing w:before="600"/>
        <w:ind w:left="374" w:hanging="363"/>
        <w:rPr>
          <w:rFonts w:cstheme="minorHAnsi"/>
        </w:rPr>
      </w:pPr>
      <w:bookmarkStart w:id="57" w:name="_Toc212982734"/>
      <w:bookmarkStart w:id="58" w:name="_Toc505510669"/>
      <w:r w:rsidRPr="00D20B1A">
        <w:rPr>
          <w:rFonts w:cstheme="minorHAnsi"/>
        </w:rPr>
        <w:t>GLOSSÁRIO</w:t>
      </w:r>
      <w:bookmarkEnd w:id="44"/>
      <w:bookmarkEnd w:id="45"/>
      <w:bookmarkEnd w:id="57"/>
      <w:bookmarkEnd w:id="58"/>
    </w:p>
    <w:p w14:paraId="1B23496B" w14:textId="285750F5" w:rsidR="0013583A" w:rsidRDefault="0013583A" w:rsidP="00D20B1A">
      <w:pPr>
        <w:pStyle w:val="Glossrio"/>
        <w:spacing w:before="16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AMPREV </w:t>
      </w:r>
      <w:r w:rsidRPr="00D20B1A">
        <w:rPr>
          <w:rFonts w:asciiTheme="minorHAnsi" w:hAnsiTheme="minorHAnsi" w:cstheme="minorHAnsi"/>
        </w:rPr>
        <w:t>|</w:t>
      </w:r>
      <w:r>
        <w:rPr>
          <w:rFonts w:asciiTheme="minorHAnsi" w:hAnsiTheme="minorHAnsi" w:cstheme="minorHAnsi"/>
        </w:rPr>
        <w:t>Amapá Previdência</w:t>
      </w:r>
    </w:p>
    <w:p w14:paraId="184A32F8" w14:textId="516B442D" w:rsidR="004E6449" w:rsidRPr="00D20B1A" w:rsidRDefault="004E6449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 xml:space="preserve">BID </w:t>
      </w:r>
      <w:r w:rsidRPr="00D20B1A">
        <w:rPr>
          <w:rFonts w:asciiTheme="minorHAnsi" w:hAnsiTheme="minorHAnsi" w:cstheme="minorHAnsi"/>
        </w:rPr>
        <w:t>| Banco Interamericano de Desenvolvimento</w:t>
      </w:r>
    </w:p>
    <w:p w14:paraId="77F84801" w14:textId="189DC323" w:rsidR="004E6449" w:rsidRPr="00D20B1A" w:rsidRDefault="004E6449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 xml:space="preserve">BIRD </w:t>
      </w:r>
      <w:r w:rsidRPr="00D20B1A">
        <w:rPr>
          <w:rFonts w:asciiTheme="minorHAnsi" w:hAnsiTheme="minorHAnsi" w:cstheme="minorHAnsi"/>
        </w:rPr>
        <w:t>| Banco Internacional para Reconstrução e Desenvolvimento (Banco Mundial)</w:t>
      </w:r>
    </w:p>
    <w:p w14:paraId="1E419688" w14:textId="7CEB241A" w:rsidR="004E6449" w:rsidRPr="00D20B1A" w:rsidRDefault="004E6449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 xml:space="preserve">BNDES </w:t>
      </w:r>
      <w:bookmarkStart w:id="59" w:name="_Hlk6426555"/>
      <w:r w:rsidRPr="00D20B1A">
        <w:rPr>
          <w:rFonts w:asciiTheme="minorHAnsi" w:hAnsiTheme="minorHAnsi" w:cstheme="minorHAnsi"/>
        </w:rPr>
        <w:t xml:space="preserve">| </w:t>
      </w:r>
      <w:bookmarkEnd w:id="59"/>
      <w:r w:rsidRPr="00D20B1A">
        <w:rPr>
          <w:rFonts w:asciiTheme="minorHAnsi" w:hAnsiTheme="minorHAnsi" w:cstheme="minorHAnsi"/>
        </w:rPr>
        <w:t xml:space="preserve">Banco Nacional de Desenvolvimento Econômico e Social </w:t>
      </w:r>
    </w:p>
    <w:p w14:paraId="069A04A6" w14:textId="4E34AEE8" w:rsidR="0013583A" w:rsidRDefault="0013583A" w:rsidP="00D20B1A">
      <w:pPr>
        <w:pStyle w:val="Glossrio"/>
        <w:spacing w:before="16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CONFAZ </w:t>
      </w:r>
      <w:r w:rsidRPr="00D20B1A">
        <w:rPr>
          <w:rFonts w:asciiTheme="minorHAnsi" w:hAnsiTheme="minorHAnsi" w:cstheme="minorHAnsi"/>
        </w:rPr>
        <w:t>|</w:t>
      </w:r>
      <w:r w:rsidR="00F92667">
        <w:rPr>
          <w:rFonts w:asciiTheme="minorHAnsi" w:hAnsiTheme="minorHAnsi" w:cstheme="minorHAnsi"/>
        </w:rPr>
        <w:t xml:space="preserve"> Conselho Nacional de Política Fazendária</w:t>
      </w:r>
    </w:p>
    <w:p w14:paraId="5C4F903A" w14:textId="200BFA9C" w:rsidR="00834C77" w:rsidRPr="00D20B1A" w:rsidRDefault="00834C77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 xml:space="preserve">FPE </w:t>
      </w:r>
      <w:r w:rsidRPr="00D20B1A">
        <w:rPr>
          <w:rFonts w:asciiTheme="minorHAnsi" w:hAnsiTheme="minorHAnsi" w:cstheme="minorHAnsi"/>
        </w:rPr>
        <w:t>| Fundo de Participação dos Estados</w:t>
      </w:r>
    </w:p>
    <w:p w14:paraId="5F3A1863" w14:textId="77777777" w:rsidR="003A25A4" w:rsidRPr="00D20B1A" w:rsidRDefault="00834C77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proofErr w:type="spellStart"/>
      <w:r w:rsidRPr="00D20B1A">
        <w:rPr>
          <w:rFonts w:asciiTheme="minorHAnsi" w:hAnsiTheme="minorHAnsi" w:cstheme="minorHAnsi"/>
          <w:b/>
        </w:rPr>
        <w:t>Fundeb</w:t>
      </w:r>
      <w:proofErr w:type="spellEnd"/>
      <w:r w:rsidRPr="00D20B1A">
        <w:rPr>
          <w:rFonts w:asciiTheme="minorHAnsi" w:hAnsiTheme="minorHAnsi" w:cstheme="minorHAnsi"/>
          <w:b/>
        </w:rPr>
        <w:t xml:space="preserve"> </w:t>
      </w:r>
      <w:r w:rsidRPr="00D20B1A">
        <w:rPr>
          <w:rFonts w:asciiTheme="minorHAnsi" w:hAnsiTheme="minorHAnsi" w:cstheme="minorHAnsi"/>
        </w:rPr>
        <w:t>| Fundo de Manutenção e Desenvolvimento da Educação Básica e de Valorização dos Profissionais da Educação</w:t>
      </w:r>
    </w:p>
    <w:p w14:paraId="4EED4FCB" w14:textId="1DACA308" w:rsidR="00834C77" w:rsidRPr="00D20B1A" w:rsidRDefault="00834C77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</w:rPr>
        <w:t xml:space="preserve"> </w:t>
      </w:r>
      <w:r w:rsidR="003A25A4" w:rsidRPr="00D20B1A">
        <w:rPr>
          <w:rFonts w:asciiTheme="minorHAnsi" w:hAnsiTheme="minorHAnsi" w:cstheme="minorHAnsi"/>
          <w:b/>
        </w:rPr>
        <w:t xml:space="preserve">Fundef </w:t>
      </w:r>
      <w:r w:rsidR="003A25A4" w:rsidRPr="00D20B1A">
        <w:rPr>
          <w:rFonts w:asciiTheme="minorHAnsi" w:hAnsiTheme="minorHAnsi" w:cstheme="minorHAnsi"/>
        </w:rPr>
        <w:t xml:space="preserve">| Fundo de Manutenção e Desenvolvimento do Ensino Fundamental e de Valorização do Magistério </w:t>
      </w:r>
    </w:p>
    <w:p w14:paraId="32BD98BF" w14:textId="7F6A8DE0" w:rsidR="00852BAC" w:rsidRPr="00D20B1A" w:rsidRDefault="00641DA2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GEAP</w:t>
      </w:r>
      <w:r w:rsidR="00852BAC" w:rsidRPr="00D20B1A">
        <w:rPr>
          <w:rFonts w:asciiTheme="minorHAnsi" w:hAnsiTheme="minorHAnsi" w:cstheme="minorHAnsi"/>
        </w:rPr>
        <w:t xml:space="preserve"> | Governo do estado de </w:t>
      </w:r>
      <w:r w:rsidR="00E05C0E">
        <w:rPr>
          <w:rFonts w:asciiTheme="minorHAnsi" w:hAnsiTheme="minorHAnsi" w:cstheme="minorHAnsi"/>
        </w:rPr>
        <w:t>Amapá</w:t>
      </w:r>
    </w:p>
    <w:p w14:paraId="011B112A" w14:textId="6A126378" w:rsidR="00834C77" w:rsidRPr="00D20B1A" w:rsidRDefault="00834C77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>IBGE</w:t>
      </w:r>
      <w:r w:rsidRPr="00D20B1A">
        <w:rPr>
          <w:rFonts w:asciiTheme="minorHAnsi" w:hAnsiTheme="minorHAnsi" w:cstheme="minorHAnsi"/>
        </w:rPr>
        <w:t xml:space="preserve"> | Instituto Brasileiro de Geografia e Estatística</w:t>
      </w:r>
    </w:p>
    <w:p w14:paraId="6C15D501" w14:textId="247CFBCD" w:rsidR="00F456DA" w:rsidRPr="00D20B1A" w:rsidRDefault="00F456DA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>ICMS</w:t>
      </w:r>
      <w:r w:rsidRPr="00D20B1A">
        <w:rPr>
          <w:rFonts w:asciiTheme="minorHAnsi" w:hAnsiTheme="minorHAnsi" w:cstheme="minorHAnsi"/>
        </w:rPr>
        <w:t xml:space="preserve"> | Imposto sobre a Circulação de Mercadoria e sobre a Prestação de Serviços de Transporte Interestadual e Intermunicipal e de Comunicação</w:t>
      </w:r>
    </w:p>
    <w:p w14:paraId="29B3E937" w14:textId="3F6BB303" w:rsidR="00CE4FDA" w:rsidRDefault="00CE4FDA" w:rsidP="00D20B1A">
      <w:pPr>
        <w:pStyle w:val="Glossrio"/>
        <w:spacing w:before="16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INEP</w:t>
      </w:r>
      <w:r w:rsidRPr="00CE4FDA">
        <w:rPr>
          <w:rFonts w:asciiTheme="minorHAnsi" w:hAnsiTheme="minorHAnsi" w:cstheme="minorHAnsi"/>
        </w:rPr>
        <w:t xml:space="preserve"> |</w:t>
      </w:r>
      <w:r w:rsidR="00396515">
        <w:rPr>
          <w:rFonts w:asciiTheme="minorHAnsi" w:hAnsiTheme="minorHAnsi" w:cstheme="minorHAnsi"/>
        </w:rPr>
        <w:t xml:space="preserve">Instituto Nacional de Estudos e </w:t>
      </w:r>
      <w:r w:rsidR="00990846">
        <w:rPr>
          <w:rFonts w:asciiTheme="minorHAnsi" w:hAnsiTheme="minorHAnsi" w:cstheme="minorHAnsi"/>
        </w:rPr>
        <w:t>P</w:t>
      </w:r>
      <w:r w:rsidR="00396515">
        <w:rPr>
          <w:rFonts w:asciiTheme="minorHAnsi" w:hAnsiTheme="minorHAnsi" w:cstheme="minorHAnsi"/>
        </w:rPr>
        <w:t xml:space="preserve">esquisas Educacionais Anísio </w:t>
      </w:r>
      <w:r w:rsidR="00990846">
        <w:rPr>
          <w:rFonts w:asciiTheme="minorHAnsi" w:hAnsiTheme="minorHAnsi" w:cstheme="minorHAnsi"/>
        </w:rPr>
        <w:t>T</w:t>
      </w:r>
      <w:r w:rsidR="00396515">
        <w:rPr>
          <w:rFonts w:asciiTheme="minorHAnsi" w:hAnsiTheme="minorHAnsi" w:cstheme="minorHAnsi"/>
        </w:rPr>
        <w:t>eixeira</w:t>
      </w:r>
    </w:p>
    <w:p w14:paraId="066E39C0" w14:textId="5936E31E" w:rsidR="00834C77" w:rsidRPr="00D20B1A" w:rsidRDefault="00834C77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 xml:space="preserve">IPCA </w:t>
      </w:r>
      <w:r w:rsidRPr="00D20B1A">
        <w:rPr>
          <w:rFonts w:asciiTheme="minorHAnsi" w:hAnsiTheme="minorHAnsi" w:cstheme="minorHAnsi"/>
        </w:rPr>
        <w:t>| Índice de Preços ao Consumidor Ampliado</w:t>
      </w:r>
      <w:r w:rsidR="00F456DA" w:rsidRPr="00D20B1A">
        <w:rPr>
          <w:rFonts w:asciiTheme="minorHAnsi" w:hAnsiTheme="minorHAnsi" w:cstheme="minorHAnsi"/>
        </w:rPr>
        <w:t>, calculado pelo IBGE</w:t>
      </w:r>
    </w:p>
    <w:p w14:paraId="13521489" w14:textId="77777777" w:rsidR="00834C77" w:rsidRPr="00D20B1A" w:rsidRDefault="00834C77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>IPVA</w:t>
      </w:r>
      <w:r w:rsidRPr="00D20B1A">
        <w:rPr>
          <w:rFonts w:asciiTheme="minorHAnsi" w:hAnsiTheme="minorHAnsi" w:cstheme="minorHAnsi"/>
        </w:rPr>
        <w:t xml:space="preserve"> | Imposto sobre a Propriedade de Veículos Automotores </w:t>
      </w:r>
    </w:p>
    <w:p w14:paraId="4EEA9A5E" w14:textId="77777777" w:rsidR="00834C77" w:rsidRPr="00D20B1A" w:rsidRDefault="00834C77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>IRRF</w:t>
      </w:r>
      <w:r w:rsidRPr="00D20B1A">
        <w:rPr>
          <w:rFonts w:asciiTheme="minorHAnsi" w:hAnsiTheme="minorHAnsi" w:cstheme="minorHAnsi"/>
        </w:rPr>
        <w:t xml:space="preserve"> | Imposto de Renda Retido na Fonte</w:t>
      </w:r>
    </w:p>
    <w:p w14:paraId="1930F6BF" w14:textId="4FE129E0" w:rsidR="00834C77" w:rsidRPr="00D20B1A" w:rsidRDefault="00834C77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 xml:space="preserve">ITCD </w:t>
      </w:r>
      <w:r w:rsidRPr="00D20B1A">
        <w:rPr>
          <w:rFonts w:asciiTheme="minorHAnsi" w:hAnsiTheme="minorHAnsi" w:cstheme="minorHAnsi"/>
        </w:rPr>
        <w:t>| Imposto sobre Transmissão Causa Mortis e Doação de Quaisquer Bens ou Direitos.</w:t>
      </w:r>
    </w:p>
    <w:p w14:paraId="0C10468D" w14:textId="4755CAF3" w:rsidR="00F67E81" w:rsidRPr="00D20B1A" w:rsidRDefault="00F67E81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 xml:space="preserve">ITR </w:t>
      </w:r>
      <w:r w:rsidRPr="00D20B1A">
        <w:rPr>
          <w:rFonts w:asciiTheme="minorHAnsi" w:hAnsiTheme="minorHAnsi" w:cstheme="minorHAnsi"/>
        </w:rPr>
        <w:t>| Imposto Territorial Rural</w:t>
      </w:r>
    </w:p>
    <w:p w14:paraId="6A1008A5" w14:textId="50719E5D" w:rsidR="00F456DA" w:rsidRPr="00D20B1A" w:rsidRDefault="00F456DA" w:rsidP="00D20B1A">
      <w:pPr>
        <w:pStyle w:val="Glossrio"/>
        <w:spacing w:before="160" w:line="288" w:lineRule="auto"/>
        <w:rPr>
          <w:rFonts w:asciiTheme="minorHAnsi" w:hAnsiTheme="minorHAnsi" w:cstheme="minorHAnsi"/>
          <w:b/>
        </w:rPr>
      </w:pPr>
      <w:r w:rsidRPr="00D20B1A">
        <w:rPr>
          <w:rFonts w:asciiTheme="minorHAnsi" w:hAnsiTheme="minorHAnsi" w:cstheme="minorHAnsi"/>
          <w:b/>
        </w:rPr>
        <w:t xml:space="preserve">LRF </w:t>
      </w:r>
      <w:r w:rsidRPr="00D20B1A">
        <w:rPr>
          <w:rFonts w:asciiTheme="minorHAnsi" w:hAnsiTheme="minorHAnsi" w:cstheme="minorHAnsi"/>
        </w:rPr>
        <w:t>| Lei de Responsabilidade Fiscal</w:t>
      </w:r>
    </w:p>
    <w:p w14:paraId="16DFE381" w14:textId="61A35DAB" w:rsidR="0090194B" w:rsidRDefault="0090194B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PDRI </w:t>
      </w:r>
      <w:r w:rsidRPr="0090194B">
        <w:rPr>
          <w:rFonts w:asciiTheme="minorHAnsi" w:hAnsiTheme="minorHAnsi" w:cstheme="minorHAnsi"/>
        </w:rPr>
        <w:t xml:space="preserve">| Programa de Desenvolvimento Humano, Regional e Integrado </w:t>
      </w:r>
      <w:r w:rsidR="007452B9">
        <w:rPr>
          <w:rFonts w:asciiTheme="minorHAnsi" w:hAnsiTheme="minorHAnsi" w:cstheme="minorHAnsi"/>
        </w:rPr>
        <w:t>-BNDES</w:t>
      </w:r>
    </w:p>
    <w:p w14:paraId="67183C27" w14:textId="32813822" w:rsidR="007452B9" w:rsidRPr="007452B9" w:rsidRDefault="007452B9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7452B9">
        <w:rPr>
          <w:rFonts w:asciiTheme="minorHAnsi" w:hAnsiTheme="minorHAnsi" w:cstheme="minorHAnsi"/>
          <w:b/>
        </w:rPr>
        <w:t xml:space="preserve">PEF | </w:t>
      </w:r>
      <w:r w:rsidRPr="007452B9">
        <w:rPr>
          <w:rFonts w:asciiTheme="minorHAnsi" w:hAnsiTheme="minorHAnsi" w:cstheme="minorHAnsi"/>
        </w:rPr>
        <w:t>Plano Emergencial de Financiamento -BNDES</w:t>
      </w:r>
    </w:p>
    <w:p w14:paraId="59419AD9" w14:textId="6B7DAB6F" w:rsidR="0090194B" w:rsidRPr="0090194B" w:rsidRDefault="0090194B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90194B">
        <w:rPr>
          <w:rFonts w:asciiTheme="minorHAnsi" w:hAnsiTheme="minorHAnsi" w:cstheme="minorHAnsi"/>
          <w:b/>
        </w:rPr>
        <w:lastRenderedPageBreak/>
        <w:t xml:space="preserve">PROINVESTE </w:t>
      </w:r>
      <w:r w:rsidRPr="0090194B">
        <w:rPr>
          <w:rFonts w:asciiTheme="minorHAnsi" w:hAnsiTheme="minorHAnsi" w:cstheme="minorHAnsi"/>
        </w:rPr>
        <w:t>|</w:t>
      </w:r>
      <w:r>
        <w:rPr>
          <w:rFonts w:asciiTheme="minorHAnsi" w:hAnsiTheme="minorHAnsi" w:cstheme="minorHAnsi"/>
        </w:rPr>
        <w:t xml:space="preserve">Programa de </w:t>
      </w:r>
      <w:r w:rsidRPr="0090194B">
        <w:rPr>
          <w:rFonts w:asciiTheme="minorHAnsi" w:hAnsiTheme="minorHAnsi" w:cstheme="minorHAnsi"/>
        </w:rPr>
        <w:t>Apoio ao Investimento dos Estados e Distrito Federal</w:t>
      </w:r>
      <w:r w:rsidR="007452B9">
        <w:rPr>
          <w:rFonts w:asciiTheme="minorHAnsi" w:hAnsiTheme="minorHAnsi" w:cstheme="minorHAnsi"/>
        </w:rPr>
        <w:t xml:space="preserve"> -BNDES</w:t>
      </w:r>
    </w:p>
    <w:p w14:paraId="0676B4C3" w14:textId="78635C7B" w:rsidR="00834C77" w:rsidRPr="00D20B1A" w:rsidRDefault="00834C77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 xml:space="preserve">RCL </w:t>
      </w:r>
      <w:r w:rsidRPr="00D20B1A">
        <w:rPr>
          <w:rFonts w:asciiTheme="minorHAnsi" w:hAnsiTheme="minorHAnsi" w:cstheme="minorHAnsi"/>
        </w:rPr>
        <w:t>| Receita Corrente Líquida</w:t>
      </w:r>
    </w:p>
    <w:p w14:paraId="1301593C" w14:textId="404F054C" w:rsidR="00834C77" w:rsidRPr="00D20B1A" w:rsidRDefault="00834C77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>RPPS</w:t>
      </w:r>
      <w:r w:rsidRPr="00D20B1A">
        <w:rPr>
          <w:rFonts w:asciiTheme="minorHAnsi" w:hAnsiTheme="minorHAnsi" w:cstheme="minorHAnsi"/>
        </w:rPr>
        <w:t xml:space="preserve"> | Regime Próprio de Previdência dos Servidores</w:t>
      </w:r>
    </w:p>
    <w:p w14:paraId="35C915B5" w14:textId="77777777" w:rsidR="00834C77" w:rsidRPr="00D20B1A" w:rsidRDefault="00834C77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 xml:space="preserve">STN </w:t>
      </w:r>
      <w:r w:rsidRPr="00D20B1A">
        <w:rPr>
          <w:rFonts w:asciiTheme="minorHAnsi" w:hAnsiTheme="minorHAnsi" w:cstheme="minorHAnsi"/>
        </w:rPr>
        <w:t>| Secretaria do Tesouro Nacional/Ministério da Fazenda</w:t>
      </w:r>
    </w:p>
    <w:p w14:paraId="29F52752" w14:textId="3A8BD627" w:rsidR="00680600" w:rsidRDefault="00834C77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  <w:r w:rsidRPr="00D20B1A">
        <w:rPr>
          <w:rFonts w:asciiTheme="minorHAnsi" w:hAnsiTheme="minorHAnsi" w:cstheme="minorHAnsi"/>
          <w:b/>
        </w:rPr>
        <w:t xml:space="preserve">SUS </w:t>
      </w:r>
      <w:r w:rsidRPr="00D20B1A">
        <w:rPr>
          <w:rFonts w:asciiTheme="minorHAnsi" w:hAnsiTheme="minorHAnsi" w:cstheme="minorHAnsi"/>
        </w:rPr>
        <w:t>| Sistema Único Saúde</w:t>
      </w:r>
      <w:bookmarkStart w:id="60" w:name="_Toc212982735"/>
    </w:p>
    <w:p w14:paraId="21A36F56" w14:textId="3142EBBD" w:rsidR="00AD474B" w:rsidRDefault="00AD474B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6F5A6DFA" w14:textId="26FA8549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73D81AC2" w14:textId="313CE284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07CAC1A4" w14:textId="2D6AEE62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7A47EB35" w14:textId="54CBEA0F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2DDF2B79" w14:textId="473C3FD8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6D6A13D0" w14:textId="4AE8E79C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640A1639" w14:textId="25D765DF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536BE43E" w14:textId="22FBB95C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2E02C7C7" w14:textId="02D3E04E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1550BD39" w14:textId="5F62751D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5F33CF8C" w14:textId="468888B7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7EF1B2D0" w14:textId="6C943F1B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0E45EBB8" w14:textId="40E6DFA1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741DF11C" w14:textId="2B549D10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681A3505" w14:textId="40F8B241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1FDB2E6C" w14:textId="5D7C8F5D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0E94BAAE" w14:textId="7ACA5B28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40180558" w14:textId="7491C586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1753AD9A" w14:textId="0037B39B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73F1FFCC" w14:textId="25EF21AF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61EC0014" w14:textId="77777777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78C8655C" w14:textId="77777777" w:rsidR="00925EC8" w:rsidRDefault="00925EC8" w:rsidP="00D20B1A">
      <w:pPr>
        <w:pStyle w:val="Glossrio"/>
        <w:spacing w:before="160" w:line="288" w:lineRule="auto"/>
        <w:rPr>
          <w:rFonts w:asciiTheme="minorHAnsi" w:hAnsiTheme="minorHAnsi" w:cstheme="minorHAnsi"/>
        </w:rPr>
      </w:pPr>
    </w:p>
    <w:p w14:paraId="6EBA95B9" w14:textId="1CF57101" w:rsidR="00711563" w:rsidRPr="00D20B1A" w:rsidRDefault="00F071D1" w:rsidP="00405C06">
      <w:pPr>
        <w:pStyle w:val="Heading1"/>
        <w:pBdr>
          <w:bottom w:val="dotted" w:sz="4" w:space="1" w:color="A6A6A6" w:themeColor="background1" w:themeShade="A6"/>
        </w:pBdr>
        <w:spacing w:before="600"/>
        <w:ind w:left="374" w:hanging="363"/>
        <w:rPr>
          <w:rFonts w:cstheme="minorHAnsi"/>
        </w:rPr>
      </w:pPr>
      <w:bookmarkStart w:id="61" w:name="_Toc505510670"/>
      <w:bookmarkEnd w:id="60"/>
      <w:r w:rsidRPr="00D20B1A">
        <w:rPr>
          <w:rFonts w:cstheme="minorHAnsi"/>
        </w:rPr>
        <w:lastRenderedPageBreak/>
        <w:t>ANEXO</w:t>
      </w:r>
      <w:bookmarkEnd w:id="61"/>
      <w:r w:rsidRPr="00D20B1A">
        <w:rPr>
          <w:rFonts w:cstheme="minorHAnsi"/>
        </w:rPr>
        <w:t xml:space="preserve"> </w:t>
      </w:r>
    </w:p>
    <w:p w14:paraId="7514D0E0" w14:textId="6CC93182" w:rsidR="005C74F9" w:rsidRPr="00D20B1A" w:rsidRDefault="00F84717" w:rsidP="00F84717">
      <w:pPr>
        <w:pStyle w:val="Caption"/>
        <w:rPr>
          <w:rFonts w:asciiTheme="minorHAnsi" w:hAnsiTheme="minorHAnsi" w:cstheme="minorHAnsi"/>
        </w:rPr>
      </w:pPr>
      <w:bookmarkStart w:id="62" w:name="_Toc7196737"/>
      <w:r w:rsidRPr="002E0CC6">
        <w:rPr>
          <w:rFonts w:asciiTheme="minorHAnsi" w:hAnsiTheme="minorHAnsi" w:cstheme="minorHAnsi"/>
        </w:rPr>
        <w:t xml:space="preserve">Tabela </w:t>
      </w:r>
      <w:r w:rsidRPr="002E0CC6">
        <w:rPr>
          <w:rFonts w:asciiTheme="minorHAnsi" w:hAnsiTheme="minorHAnsi" w:cstheme="minorHAnsi"/>
          <w:sz w:val="2"/>
          <w:szCs w:val="2"/>
        </w:rPr>
        <w:fldChar w:fldCharType="begin"/>
      </w:r>
      <w:r w:rsidRPr="002E0CC6">
        <w:rPr>
          <w:rFonts w:asciiTheme="minorHAnsi" w:hAnsiTheme="minorHAnsi" w:cstheme="minorHAnsi"/>
          <w:sz w:val="2"/>
          <w:szCs w:val="2"/>
        </w:rPr>
        <w:instrText xml:space="preserve"> SEQ Tabela \* ARABIC </w:instrText>
      </w:r>
      <w:r w:rsidRPr="002E0CC6">
        <w:rPr>
          <w:rFonts w:asciiTheme="minorHAnsi" w:hAnsiTheme="minorHAnsi" w:cstheme="minorHAnsi"/>
          <w:sz w:val="2"/>
          <w:szCs w:val="2"/>
        </w:rPr>
        <w:fldChar w:fldCharType="separate"/>
      </w:r>
      <w:r w:rsidR="00D224F2">
        <w:rPr>
          <w:rFonts w:asciiTheme="minorHAnsi" w:hAnsiTheme="minorHAnsi" w:cstheme="minorHAnsi"/>
          <w:noProof/>
          <w:sz w:val="2"/>
          <w:szCs w:val="2"/>
        </w:rPr>
        <w:t>7</w:t>
      </w:r>
      <w:r w:rsidRPr="002E0CC6">
        <w:rPr>
          <w:rFonts w:asciiTheme="minorHAnsi" w:hAnsiTheme="minorHAnsi" w:cstheme="minorHAnsi"/>
          <w:sz w:val="2"/>
          <w:szCs w:val="2"/>
        </w:rPr>
        <w:fldChar w:fldCharType="end"/>
      </w:r>
      <w:r w:rsidRPr="002E0CC6">
        <w:rPr>
          <w:rFonts w:asciiTheme="minorHAnsi" w:hAnsiTheme="minorHAnsi" w:cstheme="minorHAnsi"/>
        </w:rPr>
        <w:t>2A</w:t>
      </w:r>
      <w:r w:rsidR="005C74F9" w:rsidRPr="002E0CC6">
        <w:rPr>
          <w:rFonts w:asciiTheme="minorHAnsi" w:hAnsiTheme="minorHAnsi" w:cstheme="minorHAnsi"/>
        </w:rPr>
        <w:t xml:space="preserve">. Evolução da Receita Disponível </w:t>
      </w:r>
      <w:r w:rsidR="005242AF" w:rsidRPr="002E0CC6">
        <w:rPr>
          <w:rFonts w:asciiTheme="minorHAnsi" w:hAnsiTheme="minorHAnsi" w:cstheme="minorHAnsi"/>
        </w:rPr>
        <w:t>2006 a 2018</w:t>
      </w:r>
      <w:bookmarkEnd w:id="62"/>
    </w:p>
    <w:p w14:paraId="73FDA33C" w14:textId="0BE809A7" w:rsidR="00F071D1" w:rsidRPr="00D20B1A" w:rsidRDefault="00C90467" w:rsidP="00405C06">
      <w:pPr>
        <w:rPr>
          <w:rFonts w:cstheme="minorHAnsi"/>
        </w:rPr>
      </w:pPr>
      <w:r w:rsidRPr="00C90467">
        <w:rPr>
          <w:noProof/>
        </w:rPr>
        <w:drawing>
          <wp:anchor distT="0" distB="0" distL="114300" distR="114300" simplePos="0" relativeHeight="251668480" behindDoc="0" locked="0" layoutInCell="1" allowOverlap="1" wp14:anchorId="0B37E08A" wp14:editId="7BFB73A2">
            <wp:simplePos x="0" y="0"/>
            <wp:positionH relativeFrom="margin">
              <wp:align>center</wp:align>
            </wp:positionH>
            <wp:positionV relativeFrom="paragraph">
              <wp:posOffset>358607</wp:posOffset>
            </wp:positionV>
            <wp:extent cx="7299325" cy="5382260"/>
            <wp:effectExtent l="0" t="0" r="0" b="8890"/>
            <wp:wrapSquare wrapText="bothSides"/>
            <wp:docPr id="56" name="Image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1730" cy="5384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A07C6B" w14:textId="5FF317E1" w:rsidR="004C4D5E" w:rsidRPr="00D20B1A" w:rsidRDefault="004C4D5E" w:rsidP="00405C06">
      <w:pPr>
        <w:rPr>
          <w:rFonts w:cstheme="minorHAnsi"/>
        </w:rPr>
      </w:pPr>
    </w:p>
    <w:p w14:paraId="735F0733" w14:textId="4346A7BD" w:rsidR="00EA6609" w:rsidRPr="00D20B1A" w:rsidRDefault="00EA6609" w:rsidP="00405C06">
      <w:pPr>
        <w:pStyle w:val="Caption"/>
        <w:rPr>
          <w:rFonts w:asciiTheme="minorHAnsi" w:hAnsiTheme="minorHAnsi" w:cstheme="minorHAnsi"/>
        </w:rPr>
      </w:pPr>
    </w:p>
    <w:p w14:paraId="793245D1" w14:textId="77777777" w:rsidR="00EA6609" w:rsidRPr="00D20B1A" w:rsidRDefault="00EA6609" w:rsidP="00405C06">
      <w:pPr>
        <w:pStyle w:val="Caption"/>
        <w:rPr>
          <w:rFonts w:asciiTheme="minorHAnsi" w:hAnsiTheme="minorHAnsi" w:cstheme="minorHAnsi"/>
        </w:rPr>
      </w:pPr>
    </w:p>
    <w:p w14:paraId="1250779C" w14:textId="77777777" w:rsidR="00D20B1A" w:rsidRPr="00D20B1A" w:rsidRDefault="00D20B1A">
      <w:pPr>
        <w:spacing w:before="0" w:after="200" w:line="276" w:lineRule="auto"/>
        <w:jc w:val="left"/>
        <w:rPr>
          <w:rFonts w:eastAsia="Calibri" w:cstheme="minorHAnsi"/>
          <w:bCs/>
          <w:i/>
          <w:color w:val="808080"/>
          <w:sz w:val="20"/>
          <w:szCs w:val="18"/>
        </w:rPr>
      </w:pPr>
      <w:r w:rsidRPr="00D20B1A">
        <w:rPr>
          <w:rFonts w:cstheme="minorHAnsi"/>
        </w:rPr>
        <w:br w:type="page"/>
      </w:r>
    </w:p>
    <w:p w14:paraId="1FD1304B" w14:textId="5083A001" w:rsidR="004C4D5E" w:rsidRPr="00D20B1A" w:rsidRDefault="00C90467" w:rsidP="00405C06">
      <w:pPr>
        <w:pStyle w:val="Caption"/>
        <w:rPr>
          <w:rFonts w:asciiTheme="minorHAnsi" w:hAnsiTheme="minorHAnsi" w:cstheme="minorHAnsi"/>
        </w:rPr>
      </w:pPr>
      <w:bookmarkStart w:id="63" w:name="_Toc7196738"/>
      <w:r w:rsidRPr="002E0CC6"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0A9E080E" wp14:editId="2A45B9F4">
            <wp:simplePos x="0" y="0"/>
            <wp:positionH relativeFrom="margin">
              <wp:align>center</wp:align>
            </wp:positionH>
            <wp:positionV relativeFrom="paragraph">
              <wp:posOffset>313700</wp:posOffset>
            </wp:positionV>
            <wp:extent cx="7307580" cy="3711575"/>
            <wp:effectExtent l="0" t="0" r="7620" b="3175"/>
            <wp:wrapSquare wrapText="bothSides"/>
            <wp:docPr id="58" name="Image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7580" cy="371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4D5E" w:rsidRPr="002E0CC6">
        <w:rPr>
          <w:rFonts w:asciiTheme="minorHAnsi" w:hAnsiTheme="minorHAnsi" w:cstheme="minorHAnsi"/>
        </w:rPr>
        <w:t xml:space="preserve">Tabela </w:t>
      </w:r>
      <w:r w:rsidR="004C4D5E" w:rsidRPr="002E0CC6">
        <w:rPr>
          <w:rFonts w:asciiTheme="minorHAnsi" w:hAnsiTheme="minorHAnsi" w:cstheme="minorHAnsi"/>
          <w:sz w:val="2"/>
          <w:szCs w:val="2"/>
        </w:rPr>
        <w:fldChar w:fldCharType="begin"/>
      </w:r>
      <w:r w:rsidR="004C4D5E" w:rsidRPr="002E0CC6">
        <w:rPr>
          <w:rFonts w:asciiTheme="minorHAnsi" w:hAnsiTheme="minorHAnsi" w:cstheme="minorHAnsi"/>
          <w:sz w:val="2"/>
          <w:szCs w:val="2"/>
        </w:rPr>
        <w:instrText xml:space="preserve"> SEQ Tabela \* ARABIC </w:instrText>
      </w:r>
      <w:r w:rsidR="004C4D5E" w:rsidRPr="002E0CC6">
        <w:rPr>
          <w:rFonts w:asciiTheme="minorHAnsi" w:hAnsiTheme="minorHAnsi" w:cstheme="minorHAnsi"/>
          <w:sz w:val="2"/>
          <w:szCs w:val="2"/>
        </w:rPr>
        <w:fldChar w:fldCharType="separate"/>
      </w:r>
      <w:r w:rsidR="00D224F2">
        <w:rPr>
          <w:rFonts w:asciiTheme="minorHAnsi" w:hAnsiTheme="minorHAnsi" w:cstheme="minorHAnsi"/>
          <w:noProof/>
          <w:sz w:val="2"/>
          <w:szCs w:val="2"/>
        </w:rPr>
        <w:t>8</w:t>
      </w:r>
      <w:r w:rsidR="004C4D5E" w:rsidRPr="002E0CC6">
        <w:rPr>
          <w:rFonts w:asciiTheme="minorHAnsi" w:hAnsiTheme="minorHAnsi" w:cstheme="minorHAnsi"/>
          <w:noProof/>
          <w:sz w:val="2"/>
          <w:szCs w:val="2"/>
        </w:rPr>
        <w:fldChar w:fldCharType="end"/>
      </w:r>
      <w:r w:rsidR="00D20B1A" w:rsidRPr="002E0CC6">
        <w:rPr>
          <w:rFonts w:asciiTheme="minorHAnsi" w:hAnsiTheme="minorHAnsi" w:cstheme="minorHAnsi"/>
          <w:noProof/>
        </w:rPr>
        <w:t>3A</w:t>
      </w:r>
      <w:r w:rsidR="004C4D5E" w:rsidRPr="002E0CC6">
        <w:rPr>
          <w:rFonts w:asciiTheme="minorHAnsi" w:hAnsiTheme="minorHAnsi" w:cstheme="minorHAnsi"/>
        </w:rPr>
        <w:t xml:space="preserve">. Composição da Despesa Líquida </w:t>
      </w:r>
      <w:r w:rsidR="005242AF" w:rsidRPr="002E0CC6">
        <w:rPr>
          <w:rFonts w:asciiTheme="minorHAnsi" w:hAnsiTheme="minorHAnsi" w:cstheme="minorHAnsi"/>
        </w:rPr>
        <w:t>2006 a 2018</w:t>
      </w:r>
      <w:bookmarkEnd w:id="63"/>
    </w:p>
    <w:p w14:paraId="6CFF78FB" w14:textId="3C6AADDB" w:rsidR="004C4D5E" w:rsidRPr="00D20B1A" w:rsidRDefault="004C4D5E" w:rsidP="00405C06">
      <w:pPr>
        <w:rPr>
          <w:rFonts w:cstheme="minorHAnsi"/>
        </w:rPr>
      </w:pPr>
    </w:p>
    <w:sectPr w:rsidR="004C4D5E" w:rsidRPr="00D20B1A" w:rsidSect="00D20B1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B498C" w14:textId="77777777" w:rsidR="004C6140" w:rsidRDefault="004C6140" w:rsidP="007415B5">
      <w:pPr>
        <w:spacing w:before="0" w:after="0" w:line="240" w:lineRule="auto"/>
      </w:pPr>
      <w:r>
        <w:separator/>
      </w:r>
    </w:p>
  </w:endnote>
  <w:endnote w:type="continuationSeparator" w:id="0">
    <w:p w14:paraId="2BF1EE43" w14:textId="77777777" w:rsidR="004C6140" w:rsidRDefault="004C6140" w:rsidP="007415B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F5422" w14:textId="77777777" w:rsidR="00C36DD2" w:rsidRDefault="00C36DD2">
    <w:pPr>
      <w:pStyle w:val="Footer"/>
      <w:jc w:val="center"/>
    </w:pPr>
  </w:p>
  <w:sdt>
    <w:sdtPr>
      <w:rPr>
        <w:color w:val="808080" w:themeColor="background1" w:themeShade="80"/>
      </w:rPr>
      <w:id w:val="-705024044"/>
      <w:docPartObj>
        <w:docPartGallery w:val="Page Numbers (Bottom of Page)"/>
        <w:docPartUnique/>
      </w:docPartObj>
    </w:sdtPr>
    <w:sdtEndPr/>
    <w:sdtContent>
      <w:p w14:paraId="3B5B96B6" w14:textId="0E8877AF" w:rsidR="00C36DD2" w:rsidRPr="003E481C" w:rsidRDefault="00C36DD2" w:rsidP="003E481C">
        <w:pPr>
          <w:pStyle w:val="Footer"/>
          <w:jc w:val="center"/>
          <w:rPr>
            <w:color w:val="808080" w:themeColor="background1" w:themeShade="80"/>
          </w:rPr>
        </w:pPr>
        <w:r w:rsidRPr="004B75CA">
          <w:rPr>
            <w:color w:val="808080" w:themeColor="background1" w:themeShade="80"/>
            <w:sz w:val="20"/>
            <w:szCs w:val="20"/>
          </w:rPr>
          <w:t xml:space="preserve">| </w:t>
        </w:r>
        <w:r w:rsidRPr="004B75CA">
          <w:rPr>
            <w:b/>
            <w:color w:val="607731"/>
            <w:sz w:val="20"/>
            <w:szCs w:val="20"/>
          </w:rPr>
          <w:fldChar w:fldCharType="begin"/>
        </w:r>
        <w:r w:rsidRPr="004B75CA">
          <w:rPr>
            <w:b/>
            <w:color w:val="607731"/>
            <w:sz w:val="20"/>
            <w:szCs w:val="20"/>
          </w:rPr>
          <w:instrText xml:space="preserve"> PAGE   \* MERGEFORMAT </w:instrText>
        </w:r>
        <w:r w:rsidRPr="004B75CA">
          <w:rPr>
            <w:b/>
            <w:color w:val="607731"/>
            <w:sz w:val="20"/>
            <w:szCs w:val="20"/>
          </w:rPr>
          <w:fldChar w:fldCharType="separate"/>
        </w:r>
        <w:r>
          <w:rPr>
            <w:b/>
            <w:noProof/>
            <w:color w:val="607731"/>
            <w:sz w:val="20"/>
            <w:szCs w:val="20"/>
          </w:rPr>
          <w:t>1</w:t>
        </w:r>
        <w:r w:rsidRPr="004B75CA">
          <w:rPr>
            <w:b/>
            <w:color w:val="607731"/>
            <w:sz w:val="20"/>
            <w:szCs w:val="20"/>
          </w:rPr>
          <w:fldChar w:fldCharType="end"/>
        </w:r>
        <w:r w:rsidRPr="004B75CA">
          <w:rPr>
            <w:color w:val="808080" w:themeColor="background1" w:themeShade="80"/>
            <w:sz w:val="20"/>
            <w:szCs w:val="20"/>
          </w:rPr>
          <w:t xml:space="preserve"> |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5516292"/>
      <w:docPartObj>
        <w:docPartGallery w:val="Page Numbers (Bottom of Page)"/>
        <w:docPartUnique/>
      </w:docPartObj>
    </w:sdtPr>
    <w:sdtEndPr/>
    <w:sdtContent>
      <w:p w14:paraId="359C6421" w14:textId="2ACDCE29" w:rsidR="00C36DD2" w:rsidRDefault="00C36DD2" w:rsidP="00D9107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CD7A9" w14:textId="77777777" w:rsidR="004C6140" w:rsidRDefault="004C6140" w:rsidP="007415B5">
      <w:pPr>
        <w:spacing w:before="0" w:after="0" w:line="240" w:lineRule="auto"/>
      </w:pPr>
      <w:r>
        <w:separator/>
      </w:r>
    </w:p>
  </w:footnote>
  <w:footnote w:type="continuationSeparator" w:id="0">
    <w:p w14:paraId="45C78773" w14:textId="77777777" w:rsidR="004C6140" w:rsidRDefault="004C6140" w:rsidP="007415B5">
      <w:pPr>
        <w:spacing w:before="0" w:after="0" w:line="240" w:lineRule="auto"/>
      </w:pPr>
      <w:r>
        <w:continuationSeparator/>
      </w:r>
    </w:p>
  </w:footnote>
  <w:footnote w:id="1">
    <w:p w14:paraId="6E37A989" w14:textId="3C7B02F7" w:rsidR="00C36DD2" w:rsidRDefault="00C36DD2">
      <w:pPr>
        <w:pStyle w:val="FootnoteText"/>
      </w:pPr>
      <w:r>
        <w:rPr>
          <w:rStyle w:val="FootnoteReference"/>
        </w:rPr>
        <w:footnoteRef/>
      </w:r>
      <w:r>
        <w:t xml:space="preserve"> Analisando as contas apresentadas polos estados brasileiros no período 2006 a 2010, disponíveis no site da STN, observa-se que apenas poucos estados, além do Amapá costumam apresentar diferenças significativas entre </w:t>
      </w:r>
      <w:r w:rsidRPr="000D1A5D">
        <w:t>receitas e despesas intraorçamentárias</w:t>
      </w:r>
      <w:r>
        <w:t xml:space="preserve">, entre os quais o Distrito Federal, em alguns anos, Rondônia, Roraima, Maranhão e Sergipe. </w:t>
      </w:r>
    </w:p>
  </w:footnote>
  <w:footnote w:id="2">
    <w:p w14:paraId="32AAB816" w14:textId="1CCC0AAF" w:rsidR="00C36DD2" w:rsidRDefault="00C36DD2">
      <w:pPr>
        <w:pStyle w:val="FootnoteText"/>
      </w:pPr>
      <w:r>
        <w:rPr>
          <w:rStyle w:val="FootnoteReference"/>
        </w:rPr>
        <w:footnoteRef/>
      </w:r>
      <w:r>
        <w:t xml:space="preserve"> IBGE, Contas Regionais, atualização mais recente. </w:t>
      </w:r>
    </w:p>
  </w:footnote>
  <w:footnote w:id="3">
    <w:p w14:paraId="420785C2" w14:textId="41D79698" w:rsidR="00C36DD2" w:rsidRPr="00B62956" w:rsidRDefault="00C36DD2">
      <w:pPr>
        <w:pStyle w:val="FootnoteText"/>
        <w:rPr>
          <w:rFonts w:asciiTheme="minorHAnsi" w:hAnsiTheme="minorHAnsi" w:cstheme="minorHAnsi"/>
        </w:rPr>
      </w:pPr>
      <w:r>
        <w:rPr>
          <w:rStyle w:val="FootnoteReference"/>
        </w:rPr>
        <w:footnoteRef/>
      </w:r>
      <w:r>
        <w:t xml:space="preserve"> </w:t>
      </w:r>
      <w:r w:rsidRPr="00B62956">
        <w:rPr>
          <w:rFonts w:asciiTheme="minorHAnsi" w:hAnsiTheme="minorHAnsi" w:cstheme="minorHAnsi"/>
        </w:rPr>
        <w:t xml:space="preserve">dispõe sobre o Regime Especial de Regularização Cambial e Tributária (RERCT de Recursos, Bens Ou Direitos de Origem Lícita, não Declarados ou Declarados Incorretamente, Remetidos, Mantidos no Exterior ou Repatriados Por Residentes Domiciliados No País. </w:t>
      </w:r>
      <w:r>
        <w:rPr>
          <w:rFonts w:asciiTheme="minorHAnsi" w:hAnsiTheme="minorHAnsi" w:cstheme="minorHAnsi"/>
        </w:rPr>
        <w:t>A receita estadual da repatriação deriva da partilha</w:t>
      </w:r>
      <w:r w:rsidRPr="00D2522E">
        <w:rPr>
          <w:rFonts w:asciiTheme="minorHAnsi" w:hAnsiTheme="minorHAnsi" w:cstheme="minorHAnsi"/>
        </w:rPr>
        <w:t>, com estados e municípios</w:t>
      </w:r>
      <w:r>
        <w:rPr>
          <w:rFonts w:asciiTheme="minorHAnsi" w:hAnsiTheme="minorHAnsi" w:cstheme="minorHAnsi"/>
        </w:rPr>
        <w:t>,</w:t>
      </w:r>
      <w:r w:rsidRPr="00D2522E">
        <w:rPr>
          <w:rFonts w:asciiTheme="minorHAnsi" w:hAnsiTheme="minorHAnsi" w:cstheme="minorHAnsi"/>
        </w:rPr>
        <w:t xml:space="preserve"> do Imposto de Renda e multas</w:t>
      </w:r>
      <w:r>
        <w:rPr>
          <w:rFonts w:asciiTheme="minorHAnsi" w:hAnsiTheme="minorHAnsi" w:cstheme="minorHAnsi"/>
        </w:rPr>
        <w:t>.</w:t>
      </w:r>
      <w:r w:rsidRPr="00D2522E">
        <w:t xml:space="preserve"> </w:t>
      </w:r>
      <w:r w:rsidRPr="00D2522E">
        <w:rPr>
          <w:rFonts w:asciiTheme="minorHAnsi" w:hAnsiTheme="minorHAnsi" w:cstheme="minorHAnsi"/>
        </w:rPr>
        <w:t>via FPE e FPM</w:t>
      </w:r>
      <w:r>
        <w:rPr>
          <w:rFonts w:asciiTheme="minorHAnsi" w:hAnsiTheme="minorHAnsi" w:cstheme="minorHAnsi"/>
        </w:rPr>
        <w:t>.</w:t>
      </w:r>
      <w:r w:rsidRPr="00D2522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</w:p>
  </w:footnote>
  <w:footnote w:id="4">
    <w:p w14:paraId="732C90CD" w14:textId="2050BEAD" w:rsidR="00C36DD2" w:rsidRPr="006D22ED" w:rsidRDefault="00C36DD2" w:rsidP="000468E1">
      <w:pPr>
        <w:pStyle w:val="FootnoteText"/>
        <w:rPr>
          <w:rFonts w:asciiTheme="minorHAnsi" w:hAnsiTheme="minorHAnsi" w:cstheme="minorHAnsi"/>
        </w:rPr>
      </w:pPr>
      <w:r>
        <w:rPr>
          <w:rStyle w:val="FootnoteReference"/>
        </w:rPr>
        <w:footnoteRef/>
      </w:r>
      <w:r>
        <w:t xml:space="preserve"> </w:t>
      </w:r>
      <w:r w:rsidRPr="006D22ED">
        <w:rPr>
          <w:rFonts w:asciiTheme="minorHAnsi" w:hAnsiTheme="minorHAnsi" w:cstheme="minorHAnsi"/>
        </w:rPr>
        <w:t xml:space="preserve">Como citado, não há informações detalhadas, nos Balanços do Governo Estadual, </w:t>
      </w:r>
      <w:r>
        <w:rPr>
          <w:rFonts w:asciiTheme="minorHAnsi" w:hAnsiTheme="minorHAnsi" w:cstheme="minorHAnsi"/>
        </w:rPr>
        <w:t>s</w:t>
      </w:r>
      <w:r w:rsidRPr="006D22ED">
        <w:rPr>
          <w:rFonts w:asciiTheme="minorHAnsi" w:hAnsiTheme="minorHAnsi" w:cstheme="minorHAnsi"/>
        </w:rPr>
        <w:t xml:space="preserve">obre a(s) empresa(s)controladas beneficiárias dos aportes de capital.  No entanto, observando o Orçamento de Investimentos do Governo Estadual, constante da LOA 2019, verifica-se que a CEA é, de longe, a empresa controlada de maior expressão.  </w:t>
      </w:r>
    </w:p>
  </w:footnote>
  <w:footnote w:id="5">
    <w:p w14:paraId="080584CE" w14:textId="16DA65D3" w:rsidR="00C36DD2" w:rsidRPr="00635946" w:rsidRDefault="00C36DD2">
      <w:pPr>
        <w:pStyle w:val="FootnoteText"/>
      </w:pPr>
      <w:r w:rsidRPr="00635946">
        <w:rPr>
          <w:rStyle w:val="FootnoteReference"/>
        </w:rPr>
        <w:footnoteRef/>
      </w:r>
      <w:r w:rsidRPr="00635946">
        <w:t xml:space="preserve"> Recorde-se que, como os valores estão a preços de 2018, as variações são reais, ou seja, já expurgadas do fator inflacionário. </w:t>
      </w:r>
    </w:p>
  </w:footnote>
  <w:footnote w:id="6">
    <w:p w14:paraId="1B4B0D28" w14:textId="5170731F" w:rsidR="00C36DD2" w:rsidRPr="00635946" w:rsidRDefault="00C36DD2">
      <w:pPr>
        <w:pStyle w:val="FootnoteText"/>
      </w:pPr>
      <w:r w:rsidRPr="00635946">
        <w:rPr>
          <w:rStyle w:val="FootnoteReference"/>
        </w:rPr>
        <w:footnoteRef/>
      </w:r>
      <w:r w:rsidRPr="00635946">
        <w:t xml:space="preserve"> A distribuição setorial da arrecadação estadual está no site do CONFAZ. Entre os setores, encontram-se Primário, Secundário, Terciário, Energia Elétrica, Petróleo, Combustíveis. </w:t>
      </w:r>
    </w:p>
  </w:footnote>
  <w:footnote w:id="7">
    <w:p w14:paraId="1822DA80" w14:textId="3F2D3D26" w:rsidR="00C36DD2" w:rsidRDefault="00C36DD2">
      <w:pPr>
        <w:pStyle w:val="FootnoteText"/>
      </w:pPr>
      <w:r w:rsidRPr="00635946">
        <w:rPr>
          <w:rStyle w:val="FootnoteReference"/>
        </w:rPr>
        <w:footnoteRef/>
      </w:r>
      <w:r w:rsidRPr="00635946">
        <w:t xml:space="preserve"> Ofício nº 010/2019–COARE /SEFAZ</w:t>
      </w:r>
      <w:r w:rsidRPr="00DA2757">
        <w:t xml:space="preserve">                                          </w:t>
      </w:r>
    </w:p>
  </w:footnote>
  <w:footnote w:id="8">
    <w:p w14:paraId="1542994E" w14:textId="5C3985BA" w:rsidR="00C36DD2" w:rsidRDefault="00C36D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35261">
        <w:t>que cumpre o disposto no artigo 4°, §2°, inciso V da LRF,</w:t>
      </w:r>
    </w:p>
  </w:footnote>
  <w:footnote w:id="9">
    <w:p w14:paraId="72444880" w14:textId="46DBAA3B" w:rsidR="00C36DD2" w:rsidRDefault="00C36DD2">
      <w:pPr>
        <w:pStyle w:val="FootnoteText"/>
      </w:pPr>
      <w:r>
        <w:rPr>
          <w:rStyle w:val="FootnoteReference"/>
        </w:rPr>
        <w:footnoteRef/>
      </w:r>
      <w:r>
        <w:t xml:space="preserve"> Em valores correntes</w:t>
      </w:r>
    </w:p>
  </w:footnote>
  <w:footnote w:id="10">
    <w:p w14:paraId="6A7B2E32" w14:textId="7B24EE12" w:rsidR="00C36DD2" w:rsidRDefault="00C36DD2">
      <w:pPr>
        <w:pStyle w:val="FootnoteText"/>
      </w:pPr>
      <w:r>
        <w:rPr>
          <w:rStyle w:val="FootnoteReference"/>
        </w:rPr>
        <w:footnoteRef/>
      </w:r>
      <w:r>
        <w:t xml:space="preserve"> A estimativa de renúncia da LDO 2016 não está disponível. </w:t>
      </w:r>
    </w:p>
  </w:footnote>
  <w:footnote w:id="11">
    <w:p w14:paraId="77A09255" w14:textId="6471C9AB" w:rsidR="00C36DD2" w:rsidRPr="00C84291" w:rsidRDefault="00C36DD2" w:rsidP="00C84291">
      <w:pPr>
        <w:pStyle w:val="FootnoteText"/>
        <w:rPr>
          <w:rFonts w:asciiTheme="minorHAnsi" w:hAnsiTheme="minorHAnsi" w:cstheme="minorHAnsi"/>
        </w:rPr>
      </w:pPr>
      <w:r>
        <w:rPr>
          <w:rStyle w:val="FootnoteReference"/>
        </w:rPr>
        <w:footnoteRef/>
      </w:r>
      <w:r>
        <w:t xml:space="preserve"> </w:t>
      </w:r>
      <w:r w:rsidRPr="00C84291">
        <w:rPr>
          <w:rFonts w:asciiTheme="minorHAnsi" w:hAnsiTheme="minorHAnsi" w:cstheme="minorHAnsi"/>
        </w:rPr>
        <w:t>A imunidade recíproca é extensiva às autarquias e às fundações públicas, no que se refere ao patrimônio, à renda e aos serviços, vinculados a suas finalidades essenciais ou às delas decorrentes (CF/88, art. 150, § 2º).</w:t>
      </w:r>
      <w:r>
        <w:rPr>
          <w:rFonts w:asciiTheme="minorHAnsi" w:hAnsiTheme="minorHAnsi" w:cstheme="minorHAnsi"/>
        </w:rPr>
        <w:t xml:space="preserve">No caso de  </w:t>
      </w:r>
      <w:r w:rsidRPr="00C84291">
        <w:rPr>
          <w:rFonts w:asciiTheme="minorHAnsi" w:hAnsiTheme="minorHAnsi" w:cstheme="minorHAnsi"/>
        </w:rPr>
        <w:t xml:space="preserve"> empresas públicas ou sociedades de economia mista</w:t>
      </w:r>
      <w:r>
        <w:rPr>
          <w:rFonts w:asciiTheme="minorHAnsi" w:hAnsiTheme="minorHAnsi" w:cstheme="minorHAnsi"/>
        </w:rPr>
        <w:t xml:space="preserve">, há condições a preencher para gozar da  imunidade </w:t>
      </w:r>
      <w:r w:rsidRPr="00C84291">
        <w:rPr>
          <w:rFonts w:asciiTheme="minorHAnsi" w:hAnsiTheme="minorHAnsi" w:cstheme="minorHAnsi"/>
        </w:rPr>
        <w:t>.</w:t>
      </w:r>
    </w:p>
    <w:p w14:paraId="661ACEDF" w14:textId="77777777" w:rsidR="00C36DD2" w:rsidRPr="00C84291" w:rsidRDefault="00C36DD2" w:rsidP="00C84291">
      <w:pPr>
        <w:pStyle w:val="FootnoteText"/>
        <w:rPr>
          <w:rFonts w:asciiTheme="minorHAnsi" w:hAnsiTheme="minorHAnsi" w:cstheme="minorHAnsi"/>
        </w:rPr>
      </w:pPr>
    </w:p>
    <w:p w14:paraId="7815F357" w14:textId="2D7F34ED" w:rsidR="00C36DD2" w:rsidRDefault="00C36DD2" w:rsidP="00C84291">
      <w:pPr>
        <w:pStyle w:val="FootnoteText"/>
      </w:pPr>
      <w:r>
        <w:t>Porém, há algumas exceções</w:t>
      </w:r>
    </w:p>
  </w:footnote>
  <w:footnote w:id="12">
    <w:p w14:paraId="0D6C61B1" w14:textId="7D21A58C" w:rsidR="00C36DD2" w:rsidRPr="00CA0181" w:rsidRDefault="00C36DD2">
      <w:pPr>
        <w:pStyle w:val="FootnoteText"/>
        <w:rPr>
          <w:rFonts w:asciiTheme="minorHAnsi" w:hAnsiTheme="minorHAnsi" w:cstheme="minorHAnsi"/>
        </w:rPr>
      </w:pPr>
      <w:r>
        <w:rPr>
          <w:rStyle w:val="FootnoteReference"/>
        </w:rPr>
        <w:footnoteRef/>
      </w:r>
      <w:r>
        <w:t xml:space="preserve"> </w:t>
      </w:r>
      <w:r w:rsidRPr="00F66214">
        <w:rPr>
          <w:rFonts w:asciiTheme="minorHAnsi" w:hAnsiTheme="minorHAnsi" w:cstheme="minorHAnsi"/>
        </w:rPr>
        <w:t>Até 2002, o IRRF era classificado como transferência intergovernamental. A partir desse ano, por determinação da STN, passou a ser classificada entre as receitas tributárias, no entanto, para fins de análise, foi aqui incluída entre as transferências intergovernamentais, já que compete à União instituir e cobrar o imposto.</w:t>
      </w:r>
      <w:r>
        <w:rPr>
          <w:rFonts w:asciiTheme="minorHAnsi" w:hAnsiTheme="minorHAnsi" w:cstheme="minorHAnsi"/>
        </w:rPr>
        <w:t xml:space="preserve"> </w:t>
      </w:r>
      <w:r w:rsidRPr="00DD2A3E">
        <w:rPr>
          <w:rFonts w:asciiTheme="minorHAnsi" w:hAnsiTheme="minorHAnsi" w:cstheme="minorHAnsi"/>
        </w:rPr>
        <w:t>De acordo com a Constituição Federal, pertence aos estados e aos municípios a arrecadação do IRRF, cuja base de incidência</w:t>
      </w:r>
      <w:r>
        <w:rPr>
          <w:rFonts w:asciiTheme="minorHAnsi" w:hAnsiTheme="minorHAnsi" w:cstheme="minorHAnsi"/>
        </w:rPr>
        <w:t xml:space="preserve"> </w:t>
      </w:r>
      <w:r w:rsidRPr="00DD2A3E">
        <w:rPr>
          <w:rFonts w:asciiTheme="minorHAnsi" w:hAnsiTheme="minorHAnsi" w:cstheme="minorHAnsi"/>
        </w:rPr>
        <w:t xml:space="preserve">é </w:t>
      </w:r>
      <w:r>
        <w:rPr>
          <w:rFonts w:asciiTheme="minorHAnsi" w:hAnsiTheme="minorHAnsi" w:cstheme="minorHAnsi"/>
        </w:rPr>
        <w:t xml:space="preserve">basicamente </w:t>
      </w:r>
      <w:r w:rsidRPr="00DD2A3E">
        <w:rPr>
          <w:rFonts w:asciiTheme="minorHAnsi" w:hAnsiTheme="minorHAnsi" w:cstheme="minorHAnsi"/>
        </w:rPr>
        <w:t>composta pelo pagamento da folha de pessoal. Isso explica por que, mesmo em época de retração de receitas, o IRRF cresça</w:t>
      </w:r>
      <w:r>
        <w:rPr>
          <w:rFonts w:asciiTheme="minorHAnsi" w:hAnsiTheme="minorHAnsi" w:cstheme="minorHAnsi"/>
        </w:rPr>
        <w:t xml:space="preserve"> se afolha salarial se expandir</w:t>
      </w:r>
      <w:r w:rsidRPr="00DD2A3E">
        <w:rPr>
          <w:rFonts w:asciiTheme="minorHAnsi" w:hAnsiTheme="minorHAnsi" w:cstheme="minorHAnsi"/>
        </w:rPr>
        <w:t>.</w:t>
      </w:r>
    </w:p>
  </w:footnote>
  <w:footnote w:id="13">
    <w:p w14:paraId="42D31EAF" w14:textId="0C33CA61" w:rsidR="00C36DD2" w:rsidRDefault="00C36D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4372D">
        <w:t xml:space="preserve">O </w:t>
      </w:r>
      <w:r w:rsidRPr="0024372D">
        <w:rPr>
          <w:rFonts w:asciiTheme="minorHAnsi" w:hAnsiTheme="minorHAnsi" w:cstheme="minorHAnsi"/>
        </w:rPr>
        <w:t xml:space="preserve">Fundef foi criado pela Emenda Constitucional – EC nº 14, de setembro de 1996. Sua implantação, em nível nacional, ocorreu a partir de 1º de janeiro de 1998. Em 2006, pela EC nº 53, o Fundef deu lugar </w:t>
      </w:r>
      <w:r w:rsidRPr="0024372D">
        <w:rPr>
          <w:rFonts w:asciiTheme="minorHAnsi" w:hAnsiTheme="minorHAnsi" w:cstheme="minorHAnsi"/>
        </w:rPr>
        <w:t>Fundeb. O Fundef dava cobertura apenas ao Ensino Fundamental, enquanto o Fundeb abrange todas as etapas da Educação Básica, incluindo, por exemplo, o Ensino Médio prestado pelos estados e o Ensino Infantil, a cargo dos municípios.  A transição para as regras novo Fundo se deu em 2007-2009. A base de cálculo do Fundeb é maior do que a do Fundef, pois foram acrescentados novos tributos estaduais (IPVA e ITCMD) e, no caso dos municípios, sua cota-parte na transferência do ITR. As alíquotas de contribuição ao Fundef eram de 15%, enquanto, no Fundeb, são de 20%, sendo a diferença alcançada nos 3 anos entre 2007 e 2009. Em cada estado, constitui-se um fundo, que recebe contribuições do próprio estado e de cada município. Os recursos arrecadados são rateados, entre o estado e seus municípios, proporcionalmente ao número de alunos. Caso a arrecadação não alcance um piso estabelecido nacionalmente, a União faz uma transferência complementar (beneficiam-se estados mais pobres). As contribuições ao Fundef/Fundeb são contabilizadas como deduções de receita e o retorno da parcela do estado/ município é contabilizada como transferências intergovernamentais</w:t>
      </w:r>
      <w:r w:rsidRPr="0024372D">
        <w:t>.</w:t>
      </w:r>
    </w:p>
  </w:footnote>
  <w:footnote w:id="14">
    <w:p w14:paraId="2E3CCC1D" w14:textId="2674C5A6" w:rsidR="00C36DD2" w:rsidRPr="004B6FD6" w:rsidRDefault="00C36DD2" w:rsidP="004B6FD6">
      <w:pPr>
        <w:pStyle w:val="FootnoteText"/>
        <w:ind w:left="113" w:hanging="113"/>
        <w:rPr>
          <w:rFonts w:asciiTheme="minorHAnsi" w:hAnsiTheme="minorHAnsi" w:cstheme="minorHAnsi"/>
        </w:rPr>
      </w:pPr>
      <w:r w:rsidRPr="004B6FD6">
        <w:rPr>
          <w:rStyle w:val="FootnoteReference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O estado contribui com</w:t>
      </w:r>
      <w:r w:rsidRPr="004B6FD6">
        <w:rPr>
          <w:rFonts w:asciiTheme="minorHAnsi" w:hAnsiTheme="minorHAnsi" w:cstheme="minorHAnsi"/>
        </w:rPr>
        <w:t>: 20% da parcela disponível do ICMS (75% da arrecadação, uma vez que 25% são transferidos aos municípios), do IPVA</w:t>
      </w:r>
      <w:r>
        <w:rPr>
          <w:rFonts w:asciiTheme="minorHAnsi" w:hAnsiTheme="minorHAnsi" w:cstheme="minorHAnsi"/>
        </w:rPr>
        <w:t xml:space="preserve"> </w:t>
      </w:r>
      <w:r w:rsidRPr="004B6FD6">
        <w:rPr>
          <w:rFonts w:asciiTheme="minorHAnsi" w:hAnsiTheme="minorHAnsi" w:cstheme="minorHAnsi"/>
        </w:rPr>
        <w:t xml:space="preserve">(50% da arrecadação, o restante transferido aos municípios), do ITCD, das transferências do IPI-ex (75% da transferência recebida) e do ICMS-LC87/96. Os </w:t>
      </w:r>
      <w:r>
        <w:rPr>
          <w:rFonts w:asciiTheme="minorHAnsi" w:hAnsiTheme="minorHAnsi" w:cstheme="minorHAnsi"/>
        </w:rPr>
        <w:t>m</w:t>
      </w:r>
      <w:r w:rsidRPr="004B6FD6">
        <w:rPr>
          <w:rFonts w:asciiTheme="minorHAnsi" w:hAnsiTheme="minorHAnsi" w:cstheme="minorHAnsi"/>
        </w:rPr>
        <w:t>unicípios contribuem com 20% das transferências que recebem do FPM, ICMS, I</w:t>
      </w:r>
      <w:r>
        <w:rPr>
          <w:rFonts w:asciiTheme="minorHAnsi" w:hAnsiTheme="minorHAnsi" w:cstheme="minorHAnsi"/>
        </w:rPr>
        <w:t>PVA</w:t>
      </w:r>
      <w:r w:rsidRPr="004B6FD6">
        <w:rPr>
          <w:rFonts w:asciiTheme="minorHAnsi" w:hAnsiTheme="minorHAnsi" w:cstheme="minorHAnsi"/>
        </w:rPr>
        <w:t xml:space="preserve">, </w:t>
      </w:r>
      <w:r w:rsidRPr="004B6FD6">
        <w:rPr>
          <w:rFonts w:asciiTheme="minorHAnsi" w:hAnsiTheme="minorHAnsi" w:cstheme="minorHAnsi"/>
        </w:rPr>
        <w:t>IPI_ex e LC87/96</w:t>
      </w:r>
      <w:r>
        <w:rPr>
          <w:rFonts w:asciiTheme="minorHAnsi" w:hAnsiTheme="minorHAnsi" w:cstheme="minorHAnsi"/>
        </w:rPr>
        <w:t xml:space="preserve"> e </w:t>
      </w:r>
      <w:r w:rsidRPr="004B6FD6">
        <w:rPr>
          <w:rFonts w:asciiTheme="minorHAnsi" w:hAnsiTheme="minorHAnsi" w:cstheme="minorHAnsi"/>
        </w:rPr>
        <w:t xml:space="preserve">Quota -parte do ITR. </w:t>
      </w:r>
      <w:r>
        <w:rPr>
          <w:rFonts w:asciiTheme="minorHAnsi" w:hAnsiTheme="minorHAnsi" w:cstheme="minorHAnsi"/>
        </w:rPr>
        <w:t>Nos estados mais pobres, em que as contribuições não alcançam um valor mínimo por aluno, a União complementa.</w:t>
      </w:r>
    </w:p>
  </w:footnote>
  <w:footnote w:id="15">
    <w:p w14:paraId="52C1D620" w14:textId="5E04C274" w:rsidR="00C36DD2" w:rsidRDefault="00C36DD2">
      <w:pPr>
        <w:pStyle w:val="FootnoteText"/>
      </w:pPr>
      <w:r>
        <w:rPr>
          <w:rStyle w:val="FootnoteReference"/>
        </w:rPr>
        <w:footnoteRef/>
      </w:r>
      <w:r>
        <w:t xml:space="preserve"> a preços de 2018</w:t>
      </w:r>
    </w:p>
  </w:footnote>
  <w:footnote w:id="16">
    <w:p w14:paraId="15E52C38" w14:textId="77777777" w:rsidR="00C36DD2" w:rsidRDefault="00C36DD2" w:rsidP="0036146D">
      <w:pPr>
        <w:pStyle w:val="FootnoteText"/>
      </w:pPr>
      <w:r>
        <w:rPr>
          <w:rStyle w:val="FootnoteReference"/>
        </w:rPr>
        <w:footnoteRef/>
      </w:r>
      <w:r>
        <w:t xml:space="preserve"> a preços de 2018</w:t>
      </w:r>
    </w:p>
  </w:footnote>
  <w:footnote w:id="17">
    <w:p w14:paraId="34D5DE7A" w14:textId="68F7C634" w:rsidR="00C36DD2" w:rsidRDefault="00C36DD2">
      <w:pPr>
        <w:pStyle w:val="FootnoteText"/>
      </w:pPr>
      <w:r>
        <w:rPr>
          <w:rStyle w:val="FootnoteReference"/>
        </w:rPr>
        <w:footnoteRef/>
      </w:r>
      <w:r>
        <w:t xml:space="preserve"> As </w:t>
      </w:r>
      <w:r w:rsidRPr="001C7741">
        <w:t>Receitas de Valores Mobiliários do RPPS</w:t>
      </w:r>
      <w:r>
        <w:t xml:space="preserve">, por sua vinculação previdenciária, não pode ser considerada uma fonte para financiamento de investimentos pelo Tesouro estadual. Por outro lado, as Inversões Financeiras dizem respeito a aumento de capital de empresas controladas. </w:t>
      </w:r>
    </w:p>
  </w:footnote>
  <w:footnote w:id="18">
    <w:p w14:paraId="3894A283" w14:textId="3E80EAC0" w:rsidR="00C36DD2" w:rsidRDefault="00C36DD2">
      <w:pPr>
        <w:pStyle w:val="FootnoteText"/>
      </w:pPr>
      <w:r>
        <w:rPr>
          <w:rStyle w:val="FootnoteReference"/>
        </w:rPr>
        <w:footnoteRef/>
      </w:r>
      <w:r>
        <w:t xml:space="preserve"> Como as </w:t>
      </w:r>
      <w:r>
        <w:rPr>
          <w:rFonts w:cstheme="minorHAnsi"/>
        </w:rPr>
        <w:t xml:space="preserve">Receitas de Valores Mobiliários do RPPS foram excluídas da Receita Total, devem também ser deduzidas do Resultado do Exercício; </w:t>
      </w:r>
      <w:bookmarkStart w:id="40" w:name="_Hlk7284320"/>
      <w:r>
        <w:rPr>
          <w:rFonts w:cstheme="minorHAnsi"/>
        </w:rPr>
        <w:t xml:space="preserve">Se o </w:t>
      </w:r>
      <w:r w:rsidRPr="000A4082">
        <w:rPr>
          <w:rFonts w:cstheme="minorHAnsi"/>
        </w:rPr>
        <w:t>Resultado do Exercício</w:t>
      </w:r>
      <w:r>
        <w:rPr>
          <w:rFonts w:cstheme="minorHAnsi"/>
        </w:rPr>
        <w:t xml:space="preserve"> for positivo, considera-se que parte dessa Poupança foi mantida em caixa, ou seja, </w:t>
      </w:r>
      <w:r w:rsidRPr="000A4082">
        <w:rPr>
          <w:rFonts w:cstheme="minorHAnsi"/>
        </w:rPr>
        <w:t xml:space="preserve">não </w:t>
      </w:r>
      <w:r>
        <w:rPr>
          <w:rFonts w:cstheme="minorHAnsi"/>
        </w:rPr>
        <w:t xml:space="preserve">foi </w:t>
      </w:r>
      <w:r w:rsidRPr="000A4082">
        <w:rPr>
          <w:rFonts w:cstheme="minorHAnsi"/>
        </w:rPr>
        <w:t>aplicada no próprio exercício fiscal</w:t>
      </w:r>
      <w:bookmarkEnd w:id="40"/>
      <w:r>
        <w:rPr>
          <w:rFonts w:cstheme="minorHAnsi"/>
        </w:rPr>
        <w:t xml:space="preserve">. </w:t>
      </w:r>
      <w:r w:rsidRPr="000A4082">
        <w:rPr>
          <w:rFonts w:cstheme="minorHAnsi"/>
        </w:rPr>
        <w:t xml:space="preserve">Se o Resultado do Exercício for </w:t>
      </w:r>
      <w:r>
        <w:rPr>
          <w:rFonts w:cstheme="minorHAnsi"/>
        </w:rPr>
        <w:t>negativo</w:t>
      </w:r>
      <w:r w:rsidRPr="000A4082">
        <w:rPr>
          <w:rFonts w:cstheme="minorHAnsi"/>
        </w:rPr>
        <w:t xml:space="preserve">, </w:t>
      </w:r>
      <w:r>
        <w:rPr>
          <w:rFonts w:cstheme="minorHAnsi"/>
        </w:rPr>
        <w:t xml:space="preserve">os Restos a Pagar assim gerados acrescem-se à Poupança, como fonte adicional para  financiamento das despesas. </w:t>
      </w:r>
    </w:p>
  </w:footnote>
  <w:footnote w:id="19">
    <w:p w14:paraId="0FA85030" w14:textId="4BCADAAC" w:rsidR="00F11675" w:rsidRDefault="00F1167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11675">
        <w:t>https://sadipem.tesouro.gov.br/</w:t>
      </w:r>
    </w:p>
  </w:footnote>
  <w:footnote w:id="20">
    <w:p w14:paraId="4AAB96E6" w14:textId="1BBB2D48" w:rsidR="00C6222C" w:rsidRDefault="00C6222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6222C">
        <w:t>Última Atualização</w:t>
      </w:r>
      <w:r>
        <w:t xml:space="preserve"> em </w:t>
      </w:r>
      <w:r w:rsidRPr="00C6222C">
        <w:t xml:space="preserve">2 de </w:t>
      </w:r>
      <w:r w:rsidRPr="00C6222C">
        <w:t>Maio de 2019</w:t>
      </w:r>
      <w:r>
        <w:t>.</w:t>
      </w:r>
    </w:p>
  </w:footnote>
  <w:footnote w:id="21">
    <w:p w14:paraId="36BA331D" w14:textId="44855235" w:rsidR="00F964C7" w:rsidRDefault="00F964C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964C7">
        <w:t xml:space="preserve">Boletim de Finanças dos Entes Subnacionais Secretaria do Tesouro Nacional Secretaria Especial de Fazenda Ministério da Economia, de </w:t>
      </w:r>
      <w:r w:rsidRPr="00F964C7">
        <w:t>Agosto/2019</w:t>
      </w:r>
    </w:p>
  </w:footnote>
  <w:footnote w:id="22">
    <w:p w14:paraId="0C3DC2DE" w14:textId="51A47BF7" w:rsidR="00C36DD2" w:rsidRDefault="00C36DD2" w:rsidP="00AE5820">
      <w:pPr>
        <w:pStyle w:val="FootnoteText"/>
      </w:pPr>
      <w:r>
        <w:rPr>
          <w:rStyle w:val="FootnoteReference"/>
        </w:rPr>
        <w:footnoteRef/>
      </w:r>
      <w:r>
        <w:t xml:space="preserve"> Outras exigência da   Portaria nº 501, de 2017, além de nota final A ou B</w:t>
      </w:r>
      <w:r>
        <w:t>, ,é a necessidade  de comprovar suficiência de</w:t>
      </w:r>
    </w:p>
    <w:p w14:paraId="2C360FF5" w14:textId="75EC1916" w:rsidR="00C36DD2" w:rsidRDefault="00C36DD2" w:rsidP="00181EC3">
      <w:pPr>
        <w:pStyle w:val="FootnoteText"/>
      </w:pPr>
      <w:r>
        <w:t>contragarantias 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3101D"/>
    <w:multiLevelType w:val="hybridMultilevel"/>
    <w:tmpl w:val="DA42A2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24105"/>
    <w:multiLevelType w:val="hybridMultilevel"/>
    <w:tmpl w:val="38D6BC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26D73"/>
    <w:multiLevelType w:val="multilevel"/>
    <w:tmpl w:val="0A8015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21736D60"/>
    <w:multiLevelType w:val="hybridMultilevel"/>
    <w:tmpl w:val="BDB43DCA"/>
    <w:lvl w:ilvl="0" w:tplc="F57C5EB4">
      <w:start w:val="1"/>
      <w:numFmt w:val="bullet"/>
      <w:pStyle w:val="marcador"/>
      <w:lvlText w:val=""/>
      <w:lvlJc w:val="left"/>
      <w:pPr>
        <w:ind w:left="1672" w:hanging="360"/>
      </w:pPr>
      <w:rPr>
        <w:rFonts w:ascii="Symbol" w:hAnsi="Symbol" w:hint="default"/>
        <w:b w:val="0"/>
        <w:i w:val="0"/>
        <w:color w:val="DDBA8B"/>
        <w:sz w:val="22"/>
      </w:rPr>
    </w:lvl>
    <w:lvl w:ilvl="1" w:tplc="04160003" w:tentative="1">
      <w:start w:val="1"/>
      <w:numFmt w:val="bullet"/>
      <w:lvlText w:val="o"/>
      <w:lvlJc w:val="left"/>
      <w:pPr>
        <w:ind w:left="239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1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3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5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7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9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1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32" w:hanging="360"/>
      </w:pPr>
      <w:rPr>
        <w:rFonts w:ascii="Wingdings" w:hAnsi="Wingdings" w:hint="default"/>
      </w:rPr>
    </w:lvl>
  </w:abstractNum>
  <w:abstractNum w:abstractNumId="4" w15:restartNumberingAfterBreak="0">
    <w:nsid w:val="22A95460"/>
    <w:multiLevelType w:val="hybridMultilevel"/>
    <w:tmpl w:val="9CC4ABD4"/>
    <w:lvl w:ilvl="0" w:tplc="653AE31E">
      <w:start w:val="1"/>
      <w:numFmt w:val="decimal"/>
      <w:pStyle w:val="Heading1"/>
      <w:lvlText w:val="%1.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67B9B"/>
    <w:multiLevelType w:val="multilevel"/>
    <w:tmpl w:val="6356393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DB66085"/>
    <w:multiLevelType w:val="hybridMultilevel"/>
    <w:tmpl w:val="BB121264"/>
    <w:lvl w:ilvl="0" w:tplc="E140EE0E">
      <w:start w:val="1"/>
      <w:numFmt w:val="lowerLetter"/>
      <w:pStyle w:val="marcadorcomletras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color w:val="808080"/>
        <w:sz w:val="22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E5BC5"/>
    <w:multiLevelType w:val="hybridMultilevel"/>
    <w:tmpl w:val="9AFA0158"/>
    <w:lvl w:ilvl="0" w:tplc="2FDA300C">
      <w:start w:val="1"/>
      <w:numFmt w:val="bullet"/>
      <w:lvlText w:val="○"/>
      <w:lvlJc w:val="left"/>
      <w:pPr>
        <w:tabs>
          <w:tab w:val="num" w:pos="-349"/>
        </w:tabs>
        <w:ind w:left="720" w:hanging="360"/>
      </w:pPr>
      <w:rPr>
        <w:rFonts w:ascii="Arial" w:hAnsi="Arial" w:hint="default"/>
        <w:b w:val="0"/>
        <w:i w:val="0"/>
        <w:color w:val="808080"/>
        <w:sz w:val="2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748F2C">
      <w:start w:val="1"/>
      <w:numFmt w:val="bullet"/>
      <w:pStyle w:val="marcador2"/>
      <w:lvlText w:val="○"/>
      <w:lvlJc w:val="left"/>
      <w:pPr>
        <w:tabs>
          <w:tab w:val="num" w:pos="1091"/>
        </w:tabs>
        <w:ind w:left="2160" w:hanging="360"/>
      </w:pPr>
      <w:rPr>
        <w:rFonts w:ascii="Arial" w:hAnsi="Arial" w:hint="default"/>
        <w:b w:val="0"/>
        <w:i w:val="0"/>
        <w:color w:val="808080"/>
        <w:sz w:val="18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917AD"/>
    <w:multiLevelType w:val="hybridMultilevel"/>
    <w:tmpl w:val="B32E6C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96757"/>
    <w:multiLevelType w:val="multilevel"/>
    <w:tmpl w:val="70A83E0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80A1828"/>
    <w:multiLevelType w:val="multilevel"/>
    <w:tmpl w:val="FA92399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CCB7B80"/>
    <w:multiLevelType w:val="multilevel"/>
    <w:tmpl w:val="719855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C2F635F"/>
    <w:multiLevelType w:val="hybridMultilevel"/>
    <w:tmpl w:val="543CF136"/>
    <w:lvl w:ilvl="0" w:tplc="4B1A7BC4">
      <w:start w:val="1"/>
      <w:numFmt w:val="decimal"/>
      <w:pStyle w:val="Heading2"/>
      <w:lvlText w:val="%1.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D3134"/>
    <w:multiLevelType w:val="hybridMultilevel"/>
    <w:tmpl w:val="83ACFB2E"/>
    <w:lvl w:ilvl="0" w:tplc="AC8E341C">
      <w:start w:val="1"/>
      <w:numFmt w:val="bullet"/>
      <w:pStyle w:val="MARCADOR1"/>
      <w:lvlText w:val="■"/>
      <w:lvlJc w:val="left"/>
      <w:pPr>
        <w:tabs>
          <w:tab w:val="num" w:pos="-349"/>
        </w:tabs>
        <w:ind w:left="720" w:hanging="360"/>
      </w:pPr>
      <w:rPr>
        <w:rFonts w:ascii="Arial" w:hAnsi="Arial" w:hint="default"/>
        <w:b w:val="0"/>
        <w:i w:val="0"/>
        <w:color w:val="3F92DD"/>
        <w:sz w:val="16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73884"/>
    <w:multiLevelType w:val="multilevel"/>
    <w:tmpl w:val="DDA814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562F1079"/>
    <w:multiLevelType w:val="hybridMultilevel"/>
    <w:tmpl w:val="A53A11B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999999"/>
        <w:sz w:val="20"/>
        <w:szCs w:val="20"/>
      </w:rPr>
    </w:lvl>
    <w:lvl w:ilvl="1" w:tplc="92F64FF2">
      <w:start w:val="1"/>
      <w:numFmt w:val="bullet"/>
      <w:pStyle w:val="Estilo1"/>
      <w:lvlText w:val=""/>
      <w:lvlJc w:val="left"/>
      <w:pPr>
        <w:tabs>
          <w:tab w:val="num" w:pos="1376"/>
        </w:tabs>
        <w:ind w:left="1376" w:hanging="360"/>
      </w:pPr>
      <w:rPr>
        <w:rFonts w:ascii="Symbol" w:hAnsi="Symbol" w:hint="default"/>
        <w:b w:val="0"/>
        <w:i w:val="0"/>
        <w:color w:val="B0BB45"/>
        <w:sz w:val="20"/>
        <w:szCs w:val="20"/>
      </w:rPr>
    </w:lvl>
    <w:lvl w:ilvl="2" w:tplc="FFFFFFFF">
      <w:start w:val="1"/>
      <w:numFmt w:val="bullet"/>
      <w:lvlText w:val=""/>
      <w:lvlJc w:val="left"/>
      <w:pPr>
        <w:tabs>
          <w:tab w:val="num" w:pos="2096"/>
        </w:tabs>
        <w:ind w:left="209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16"/>
        </w:tabs>
        <w:ind w:left="2816" w:hanging="360"/>
      </w:pPr>
      <w:rPr>
        <w:rFonts w:ascii="Symbol" w:hAnsi="Symbol" w:hint="default"/>
        <w:b w:val="0"/>
        <w:i w:val="0"/>
        <w:color w:val="999999"/>
        <w:sz w:val="20"/>
        <w:szCs w:val="20"/>
      </w:rPr>
    </w:lvl>
    <w:lvl w:ilvl="4" w:tplc="FFFFFFFF">
      <w:start w:val="1"/>
      <w:numFmt w:val="bullet"/>
      <w:lvlText w:val="o"/>
      <w:lvlJc w:val="left"/>
      <w:pPr>
        <w:tabs>
          <w:tab w:val="num" w:pos="3536"/>
        </w:tabs>
        <w:ind w:left="35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56"/>
        </w:tabs>
        <w:ind w:left="42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76"/>
        </w:tabs>
        <w:ind w:left="49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96"/>
        </w:tabs>
        <w:ind w:left="56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16"/>
        </w:tabs>
        <w:ind w:left="6416" w:hanging="360"/>
      </w:pPr>
      <w:rPr>
        <w:rFonts w:ascii="Wingdings" w:hAnsi="Wingdings" w:hint="default"/>
      </w:rPr>
    </w:lvl>
  </w:abstractNum>
  <w:abstractNum w:abstractNumId="16" w15:restartNumberingAfterBreak="0">
    <w:nsid w:val="59C76E66"/>
    <w:multiLevelType w:val="hybridMultilevel"/>
    <w:tmpl w:val="FFA85D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309B7"/>
    <w:multiLevelType w:val="multilevel"/>
    <w:tmpl w:val="448C38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642945F6"/>
    <w:multiLevelType w:val="multilevel"/>
    <w:tmpl w:val="F0E04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6F50E3B"/>
    <w:multiLevelType w:val="hybridMultilevel"/>
    <w:tmpl w:val="39003F3A"/>
    <w:lvl w:ilvl="0" w:tplc="97A4F5E6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32B47" w:themeColor="accent1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3F5603"/>
    <w:multiLevelType w:val="hybridMultilevel"/>
    <w:tmpl w:val="750A9132"/>
    <w:lvl w:ilvl="0" w:tplc="D124CA9C">
      <w:start w:val="1"/>
      <w:numFmt w:val="decimal"/>
      <w:pStyle w:val="Heading3"/>
      <w:lvlText w:val="%1.1.1."/>
      <w:lvlJc w:val="left"/>
      <w:pPr>
        <w:ind w:left="7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E05731"/>
    <w:multiLevelType w:val="hybridMultilevel"/>
    <w:tmpl w:val="2360A3A8"/>
    <w:lvl w:ilvl="0" w:tplc="01FA3B18">
      <w:start w:val="1"/>
      <w:numFmt w:val="bullet"/>
      <w:pStyle w:val="PargrafoItem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32B47" w:themeColor="accent1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C92754"/>
    <w:multiLevelType w:val="hybridMultilevel"/>
    <w:tmpl w:val="EC46FA6C"/>
    <w:lvl w:ilvl="0" w:tplc="8FFC1C88">
      <w:start w:val="1"/>
      <w:numFmt w:val="bullet"/>
      <w:pStyle w:val="PargrafoItensdoAnexo"/>
      <w:lvlText w:val=""/>
      <w:lvlJc w:val="left"/>
      <w:pPr>
        <w:tabs>
          <w:tab w:val="num" w:pos="1855"/>
        </w:tabs>
        <w:ind w:left="1855" w:hanging="720"/>
      </w:pPr>
      <w:rPr>
        <w:rFonts w:ascii="Wingdings 2" w:hAnsi="Wingdings 2" w:hint="default"/>
        <w:color w:val="C0C0C0"/>
        <w:u w:val="none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0"/>
  </w:num>
  <w:num w:numId="4">
    <w:abstractNumId w:val="22"/>
  </w:num>
  <w:num w:numId="5">
    <w:abstractNumId w:val="13"/>
  </w:num>
  <w:num w:numId="6">
    <w:abstractNumId w:val="3"/>
  </w:num>
  <w:num w:numId="7">
    <w:abstractNumId w:val="15"/>
  </w:num>
  <w:num w:numId="8">
    <w:abstractNumId w:val="6"/>
  </w:num>
  <w:num w:numId="9">
    <w:abstractNumId w:val="7"/>
  </w:num>
  <w:num w:numId="10">
    <w:abstractNumId w:val="21"/>
  </w:num>
  <w:num w:numId="11">
    <w:abstractNumId w:val="19"/>
  </w:num>
  <w:num w:numId="12">
    <w:abstractNumId w:val="2"/>
  </w:num>
  <w:num w:numId="13">
    <w:abstractNumId w:val="14"/>
  </w:num>
  <w:num w:numId="14">
    <w:abstractNumId w:val="4"/>
  </w:num>
  <w:num w:numId="15">
    <w:abstractNumId w:val="4"/>
  </w:num>
  <w:num w:numId="16">
    <w:abstractNumId w:val="12"/>
  </w:num>
  <w:num w:numId="17">
    <w:abstractNumId w:val="10"/>
  </w:num>
  <w:num w:numId="18">
    <w:abstractNumId w:val="17"/>
  </w:num>
  <w:num w:numId="19">
    <w:abstractNumId w:val="12"/>
  </w:num>
  <w:num w:numId="20">
    <w:abstractNumId w:val="18"/>
  </w:num>
  <w:num w:numId="21">
    <w:abstractNumId w:val="5"/>
  </w:num>
  <w:num w:numId="22">
    <w:abstractNumId w:val="12"/>
  </w:num>
  <w:num w:numId="23">
    <w:abstractNumId w:val="11"/>
  </w:num>
  <w:num w:numId="24">
    <w:abstractNumId w:val="9"/>
  </w:num>
  <w:num w:numId="25">
    <w:abstractNumId w:val="4"/>
  </w:num>
  <w:num w:numId="26">
    <w:abstractNumId w:val="12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1"/>
  </w:num>
  <w:num w:numId="33">
    <w:abstractNumId w:val="0"/>
  </w:num>
  <w:num w:numId="34">
    <w:abstractNumId w:val="8"/>
  </w:num>
  <w:num w:numId="35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5B5"/>
    <w:rsid w:val="000052A6"/>
    <w:rsid w:val="000052F0"/>
    <w:rsid w:val="000053C2"/>
    <w:rsid w:val="000056B5"/>
    <w:rsid w:val="0001031A"/>
    <w:rsid w:val="00011CA9"/>
    <w:rsid w:val="000122EC"/>
    <w:rsid w:val="00014E54"/>
    <w:rsid w:val="00015F80"/>
    <w:rsid w:val="00020CF1"/>
    <w:rsid w:val="00023C99"/>
    <w:rsid w:val="00024736"/>
    <w:rsid w:val="00026CD1"/>
    <w:rsid w:val="00027603"/>
    <w:rsid w:val="00027F83"/>
    <w:rsid w:val="0003029C"/>
    <w:rsid w:val="0003121D"/>
    <w:rsid w:val="000353B7"/>
    <w:rsid w:val="000357FC"/>
    <w:rsid w:val="00040510"/>
    <w:rsid w:val="000445BD"/>
    <w:rsid w:val="000468E1"/>
    <w:rsid w:val="000475E6"/>
    <w:rsid w:val="00052491"/>
    <w:rsid w:val="000531A1"/>
    <w:rsid w:val="00055EE8"/>
    <w:rsid w:val="00056AF4"/>
    <w:rsid w:val="00057FA1"/>
    <w:rsid w:val="00063F51"/>
    <w:rsid w:val="0006518F"/>
    <w:rsid w:val="00066203"/>
    <w:rsid w:val="00066F4F"/>
    <w:rsid w:val="00072335"/>
    <w:rsid w:val="0007495B"/>
    <w:rsid w:val="00075037"/>
    <w:rsid w:val="00076C24"/>
    <w:rsid w:val="000771B7"/>
    <w:rsid w:val="00081B7A"/>
    <w:rsid w:val="00086817"/>
    <w:rsid w:val="00090F57"/>
    <w:rsid w:val="00093081"/>
    <w:rsid w:val="00095BDA"/>
    <w:rsid w:val="000960AD"/>
    <w:rsid w:val="000970EE"/>
    <w:rsid w:val="000A25B8"/>
    <w:rsid w:val="000A27C7"/>
    <w:rsid w:val="000A2F8D"/>
    <w:rsid w:val="000A4082"/>
    <w:rsid w:val="000A4887"/>
    <w:rsid w:val="000B1880"/>
    <w:rsid w:val="000B36B9"/>
    <w:rsid w:val="000B44FD"/>
    <w:rsid w:val="000B4C26"/>
    <w:rsid w:val="000B546F"/>
    <w:rsid w:val="000B6ADA"/>
    <w:rsid w:val="000B71F8"/>
    <w:rsid w:val="000B763B"/>
    <w:rsid w:val="000C2C74"/>
    <w:rsid w:val="000C3296"/>
    <w:rsid w:val="000C38A2"/>
    <w:rsid w:val="000C51FE"/>
    <w:rsid w:val="000C5F19"/>
    <w:rsid w:val="000C6744"/>
    <w:rsid w:val="000C7C24"/>
    <w:rsid w:val="000D0E80"/>
    <w:rsid w:val="000D1576"/>
    <w:rsid w:val="000D1A5D"/>
    <w:rsid w:val="000D4C9B"/>
    <w:rsid w:val="000D5D1C"/>
    <w:rsid w:val="000D6E70"/>
    <w:rsid w:val="000E1838"/>
    <w:rsid w:val="000E206F"/>
    <w:rsid w:val="000E23C2"/>
    <w:rsid w:val="000E4FB1"/>
    <w:rsid w:val="000E7AC7"/>
    <w:rsid w:val="000E7DA3"/>
    <w:rsid w:val="000F3E66"/>
    <w:rsid w:val="000F4727"/>
    <w:rsid w:val="000F5AD1"/>
    <w:rsid w:val="000F76CD"/>
    <w:rsid w:val="00102639"/>
    <w:rsid w:val="001036F9"/>
    <w:rsid w:val="0010395F"/>
    <w:rsid w:val="00107809"/>
    <w:rsid w:val="001130AE"/>
    <w:rsid w:val="0011646F"/>
    <w:rsid w:val="001209A6"/>
    <w:rsid w:val="00122145"/>
    <w:rsid w:val="001232FE"/>
    <w:rsid w:val="001262A6"/>
    <w:rsid w:val="0012764B"/>
    <w:rsid w:val="0013254A"/>
    <w:rsid w:val="001341E2"/>
    <w:rsid w:val="00135815"/>
    <w:rsid w:val="0013583A"/>
    <w:rsid w:val="00137EBA"/>
    <w:rsid w:val="0014046D"/>
    <w:rsid w:val="00140677"/>
    <w:rsid w:val="001420CF"/>
    <w:rsid w:val="00143886"/>
    <w:rsid w:val="00145C35"/>
    <w:rsid w:val="00146CAC"/>
    <w:rsid w:val="001479E9"/>
    <w:rsid w:val="0015057F"/>
    <w:rsid w:val="00150860"/>
    <w:rsid w:val="00150A0A"/>
    <w:rsid w:val="00152173"/>
    <w:rsid w:val="0015550B"/>
    <w:rsid w:val="00155DEA"/>
    <w:rsid w:val="00156D6E"/>
    <w:rsid w:val="00166CA8"/>
    <w:rsid w:val="00173133"/>
    <w:rsid w:val="001731DF"/>
    <w:rsid w:val="001758CF"/>
    <w:rsid w:val="0018078E"/>
    <w:rsid w:val="00181EC3"/>
    <w:rsid w:val="001820E8"/>
    <w:rsid w:val="0018311B"/>
    <w:rsid w:val="001839A2"/>
    <w:rsid w:val="00184ED7"/>
    <w:rsid w:val="001856E2"/>
    <w:rsid w:val="00186D1D"/>
    <w:rsid w:val="00192D64"/>
    <w:rsid w:val="001976BB"/>
    <w:rsid w:val="001A11B6"/>
    <w:rsid w:val="001A2B6B"/>
    <w:rsid w:val="001A3C3A"/>
    <w:rsid w:val="001A4F23"/>
    <w:rsid w:val="001A559A"/>
    <w:rsid w:val="001A6EA0"/>
    <w:rsid w:val="001A7225"/>
    <w:rsid w:val="001B152F"/>
    <w:rsid w:val="001B331A"/>
    <w:rsid w:val="001B44FD"/>
    <w:rsid w:val="001B4612"/>
    <w:rsid w:val="001B48D3"/>
    <w:rsid w:val="001B5E1A"/>
    <w:rsid w:val="001B656B"/>
    <w:rsid w:val="001B6CBF"/>
    <w:rsid w:val="001C0336"/>
    <w:rsid w:val="001C0B07"/>
    <w:rsid w:val="001C4CB3"/>
    <w:rsid w:val="001C713A"/>
    <w:rsid w:val="001C7741"/>
    <w:rsid w:val="001D2E05"/>
    <w:rsid w:val="001D4A7D"/>
    <w:rsid w:val="001D5553"/>
    <w:rsid w:val="001E12E7"/>
    <w:rsid w:val="001E2735"/>
    <w:rsid w:val="001E435C"/>
    <w:rsid w:val="001E776A"/>
    <w:rsid w:val="001F0768"/>
    <w:rsid w:val="001F079E"/>
    <w:rsid w:val="001F113C"/>
    <w:rsid w:val="001F604F"/>
    <w:rsid w:val="002004A5"/>
    <w:rsid w:val="00202931"/>
    <w:rsid w:val="002029FE"/>
    <w:rsid w:val="00202D2F"/>
    <w:rsid w:val="00205262"/>
    <w:rsid w:val="00206B50"/>
    <w:rsid w:val="0021027B"/>
    <w:rsid w:val="00210BD8"/>
    <w:rsid w:val="002112A0"/>
    <w:rsid w:val="00212710"/>
    <w:rsid w:val="00212EEA"/>
    <w:rsid w:val="00213D9A"/>
    <w:rsid w:val="00215D0F"/>
    <w:rsid w:val="00217629"/>
    <w:rsid w:val="00220CDC"/>
    <w:rsid w:val="0023254D"/>
    <w:rsid w:val="002329EC"/>
    <w:rsid w:val="00233EC7"/>
    <w:rsid w:val="002359BC"/>
    <w:rsid w:val="00237656"/>
    <w:rsid w:val="00237BBA"/>
    <w:rsid w:val="00241E33"/>
    <w:rsid w:val="002425B2"/>
    <w:rsid w:val="0024372D"/>
    <w:rsid w:val="0024461A"/>
    <w:rsid w:val="002452B7"/>
    <w:rsid w:val="00246439"/>
    <w:rsid w:val="00251B74"/>
    <w:rsid w:val="00253787"/>
    <w:rsid w:val="002543AD"/>
    <w:rsid w:val="00254B14"/>
    <w:rsid w:val="00255863"/>
    <w:rsid w:val="002628A5"/>
    <w:rsid w:val="00264264"/>
    <w:rsid w:val="002642E4"/>
    <w:rsid w:val="00264F87"/>
    <w:rsid w:val="00265EB5"/>
    <w:rsid w:val="00266C97"/>
    <w:rsid w:val="002674F8"/>
    <w:rsid w:val="002703E6"/>
    <w:rsid w:val="0027270B"/>
    <w:rsid w:val="00273B6B"/>
    <w:rsid w:val="00276895"/>
    <w:rsid w:val="002828B9"/>
    <w:rsid w:val="002877AC"/>
    <w:rsid w:val="00291283"/>
    <w:rsid w:val="002937D1"/>
    <w:rsid w:val="002938D1"/>
    <w:rsid w:val="00296BF3"/>
    <w:rsid w:val="002A10DF"/>
    <w:rsid w:val="002A2298"/>
    <w:rsid w:val="002A36D4"/>
    <w:rsid w:val="002A5958"/>
    <w:rsid w:val="002A698E"/>
    <w:rsid w:val="002A7F0B"/>
    <w:rsid w:val="002B035B"/>
    <w:rsid w:val="002B3DB6"/>
    <w:rsid w:val="002B4E84"/>
    <w:rsid w:val="002B6422"/>
    <w:rsid w:val="002B75AA"/>
    <w:rsid w:val="002B785A"/>
    <w:rsid w:val="002C0D41"/>
    <w:rsid w:val="002C0D4E"/>
    <w:rsid w:val="002C45E3"/>
    <w:rsid w:val="002C62CB"/>
    <w:rsid w:val="002D01B5"/>
    <w:rsid w:val="002D305C"/>
    <w:rsid w:val="002D6936"/>
    <w:rsid w:val="002D6B81"/>
    <w:rsid w:val="002E0CC6"/>
    <w:rsid w:val="002E1EE8"/>
    <w:rsid w:val="002E2000"/>
    <w:rsid w:val="002E3EF0"/>
    <w:rsid w:val="002E6D06"/>
    <w:rsid w:val="002F0757"/>
    <w:rsid w:val="002F28A9"/>
    <w:rsid w:val="002F3627"/>
    <w:rsid w:val="002F3E58"/>
    <w:rsid w:val="002F42C2"/>
    <w:rsid w:val="002F4CDF"/>
    <w:rsid w:val="002F60DA"/>
    <w:rsid w:val="00300908"/>
    <w:rsid w:val="00301759"/>
    <w:rsid w:val="003059D6"/>
    <w:rsid w:val="0030658E"/>
    <w:rsid w:val="00316D48"/>
    <w:rsid w:val="0032059C"/>
    <w:rsid w:val="00320A0A"/>
    <w:rsid w:val="00323240"/>
    <w:rsid w:val="00330227"/>
    <w:rsid w:val="00330233"/>
    <w:rsid w:val="00331CE3"/>
    <w:rsid w:val="00331F38"/>
    <w:rsid w:val="003322D3"/>
    <w:rsid w:val="00334484"/>
    <w:rsid w:val="00341173"/>
    <w:rsid w:val="003427DE"/>
    <w:rsid w:val="00342B85"/>
    <w:rsid w:val="003438C9"/>
    <w:rsid w:val="00343DBA"/>
    <w:rsid w:val="003461E7"/>
    <w:rsid w:val="0034682F"/>
    <w:rsid w:val="00347B5A"/>
    <w:rsid w:val="00353BA6"/>
    <w:rsid w:val="00357279"/>
    <w:rsid w:val="0036146D"/>
    <w:rsid w:val="00364500"/>
    <w:rsid w:val="0036776C"/>
    <w:rsid w:val="003679F5"/>
    <w:rsid w:val="00372116"/>
    <w:rsid w:val="00372768"/>
    <w:rsid w:val="00374536"/>
    <w:rsid w:val="00374701"/>
    <w:rsid w:val="003763F5"/>
    <w:rsid w:val="0037772A"/>
    <w:rsid w:val="003803F0"/>
    <w:rsid w:val="003807A4"/>
    <w:rsid w:val="003810FD"/>
    <w:rsid w:val="00381B10"/>
    <w:rsid w:val="003833F1"/>
    <w:rsid w:val="00383586"/>
    <w:rsid w:val="00385DF8"/>
    <w:rsid w:val="0038663F"/>
    <w:rsid w:val="00387340"/>
    <w:rsid w:val="00390E8B"/>
    <w:rsid w:val="00391405"/>
    <w:rsid w:val="00391EEA"/>
    <w:rsid w:val="003944CF"/>
    <w:rsid w:val="00394636"/>
    <w:rsid w:val="00396515"/>
    <w:rsid w:val="0039668D"/>
    <w:rsid w:val="003A25A4"/>
    <w:rsid w:val="003A6C2B"/>
    <w:rsid w:val="003A7F38"/>
    <w:rsid w:val="003B24BA"/>
    <w:rsid w:val="003B2D1E"/>
    <w:rsid w:val="003B39DC"/>
    <w:rsid w:val="003B457F"/>
    <w:rsid w:val="003B61F6"/>
    <w:rsid w:val="003B643F"/>
    <w:rsid w:val="003C0A0C"/>
    <w:rsid w:val="003C102E"/>
    <w:rsid w:val="003C423B"/>
    <w:rsid w:val="003C61A1"/>
    <w:rsid w:val="003D45FE"/>
    <w:rsid w:val="003D660A"/>
    <w:rsid w:val="003D6996"/>
    <w:rsid w:val="003D70C1"/>
    <w:rsid w:val="003E0A35"/>
    <w:rsid w:val="003E2E42"/>
    <w:rsid w:val="003E414A"/>
    <w:rsid w:val="003E41EA"/>
    <w:rsid w:val="003E481C"/>
    <w:rsid w:val="003F179A"/>
    <w:rsid w:val="003F2C42"/>
    <w:rsid w:val="003F4AFC"/>
    <w:rsid w:val="003F5538"/>
    <w:rsid w:val="003F57D7"/>
    <w:rsid w:val="003F7376"/>
    <w:rsid w:val="00403042"/>
    <w:rsid w:val="00403ECC"/>
    <w:rsid w:val="00405355"/>
    <w:rsid w:val="00405C06"/>
    <w:rsid w:val="00406E2C"/>
    <w:rsid w:val="0040701C"/>
    <w:rsid w:val="00411E20"/>
    <w:rsid w:val="00413D22"/>
    <w:rsid w:val="004157B5"/>
    <w:rsid w:val="0041692C"/>
    <w:rsid w:val="00416B96"/>
    <w:rsid w:val="00416E0C"/>
    <w:rsid w:val="004208FE"/>
    <w:rsid w:val="00423ECC"/>
    <w:rsid w:val="0042429E"/>
    <w:rsid w:val="0042485E"/>
    <w:rsid w:val="004256AF"/>
    <w:rsid w:val="00425BF1"/>
    <w:rsid w:val="00427BA9"/>
    <w:rsid w:val="004308CB"/>
    <w:rsid w:val="00430AF5"/>
    <w:rsid w:val="004326FF"/>
    <w:rsid w:val="004344C7"/>
    <w:rsid w:val="0043467F"/>
    <w:rsid w:val="00437640"/>
    <w:rsid w:val="004377A5"/>
    <w:rsid w:val="00440E6E"/>
    <w:rsid w:val="00440EA3"/>
    <w:rsid w:val="00440F81"/>
    <w:rsid w:val="004411BA"/>
    <w:rsid w:val="00441F5E"/>
    <w:rsid w:val="00443365"/>
    <w:rsid w:val="00446534"/>
    <w:rsid w:val="00451465"/>
    <w:rsid w:val="00454084"/>
    <w:rsid w:val="00455031"/>
    <w:rsid w:val="004600B5"/>
    <w:rsid w:val="00462722"/>
    <w:rsid w:val="00463092"/>
    <w:rsid w:val="00466E2C"/>
    <w:rsid w:val="00470E3F"/>
    <w:rsid w:val="004711A9"/>
    <w:rsid w:val="0047753B"/>
    <w:rsid w:val="00482B60"/>
    <w:rsid w:val="0048373D"/>
    <w:rsid w:val="004872C0"/>
    <w:rsid w:val="00487796"/>
    <w:rsid w:val="00487C14"/>
    <w:rsid w:val="00490540"/>
    <w:rsid w:val="00490DC0"/>
    <w:rsid w:val="0049211A"/>
    <w:rsid w:val="00493664"/>
    <w:rsid w:val="00494E03"/>
    <w:rsid w:val="0049784F"/>
    <w:rsid w:val="004A14F8"/>
    <w:rsid w:val="004A1BFD"/>
    <w:rsid w:val="004A2401"/>
    <w:rsid w:val="004A4A9B"/>
    <w:rsid w:val="004A6191"/>
    <w:rsid w:val="004B059A"/>
    <w:rsid w:val="004B05F4"/>
    <w:rsid w:val="004B3FD1"/>
    <w:rsid w:val="004B42E5"/>
    <w:rsid w:val="004B6FD6"/>
    <w:rsid w:val="004B75CA"/>
    <w:rsid w:val="004B7960"/>
    <w:rsid w:val="004C0E16"/>
    <w:rsid w:val="004C27DE"/>
    <w:rsid w:val="004C291A"/>
    <w:rsid w:val="004C4A08"/>
    <w:rsid w:val="004C4D5E"/>
    <w:rsid w:val="004C6140"/>
    <w:rsid w:val="004C6A0C"/>
    <w:rsid w:val="004D0677"/>
    <w:rsid w:val="004D2D2D"/>
    <w:rsid w:val="004D4251"/>
    <w:rsid w:val="004D6416"/>
    <w:rsid w:val="004D73ED"/>
    <w:rsid w:val="004E3AB6"/>
    <w:rsid w:val="004E3E11"/>
    <w:rsid w:val="004E59D4"/>
    <w:rsid w:val="004E6449"/>
    <w:rsid w:val="004E6859"/>
    <w:rsid w:val="004F36FB"/>
    <w:rsid w:val="004F496F"/>
    <w:rsid w:val="00500385"/>
    <w:rsid w:val="00504FE9"/>
    <w:rsid w:val="00505397"/>
    <w:rsid w:val="005057A3"/>
    <w:rsid w:val="0050709B"/>
    <w:rsid w:val="00507A2B"/>
    <w:rsid w:val="005104BE"/>
    <w:rsid w:val="00511421"/>
    <w:rsid w:val="0051175B"/>
    <w:rsid w:val="00512551"/>
    <w:rsid w:val="0051275E"/>
    <w:rsid w:val="0051459F"/>
    <w:rsid w:val="00517518"/>
    <w:rsid w:val="00517D50"/>
    <w:rsid w:val="0052023D"/>
    <w:rsid w:val="00520C77"/>
    <w:rsid w:val="00523B95"/>
    <w:rsid w:val="005242AF"/>
    <w:rsid w:val="00525E11"/>
    <w:rsid w:val="00536A2F"/>
    <w:rsid w:val="00537924"/>
    <w:rsid w:val="00540648"/>
    <w:rsid w:val="0054119B"/>
    <w:rsid w:val="00541C8A"/>
    <w:rsid w:val="005428EF"/>
    <w:rsid w:val="00543A04"/>
    <w:rsid w:val="00545464"/>
    <w:rsid w:val="005455A9"/>
    <w:rsid w:val="0054771D"/>
    <w:rsid w:val="0055129E"/>
    <w:rsid w:val="00552586"/>
    <w:rsid w:val="00553748"/>
    <w:rsid w:val="005540A9"/>
    <w:rsid w:val="00554298"/>
    <w:rsid w:val="005546AD"/>
    <w:rsid w:val="00554704"/>
    <w:rsid w:val="00554DAC"/>
    <w:rsid w:val="0055555C"/>
    <w:rsid w:val="00556814"/>
    <w:rsid w:val="005628E2"/>
    <w:rsid w:val="005635B9"/>
    <w:rsid w:val="00565257"/>
    <w:rsid w:val="00567310"/>
    <w:rsid w:val="005703EF"/>
    <w:rsid w:val="00574A57"/>
    <w:rsid w:val="005758A8"/>
    <w:rsid w:val="00580213"/>
    <w:rsid w:val="00580323"/>
    <w:rsid w:val="0058269A"/>
    <w:rsid w:val="005852CB"/>
    <w:rsid w:val="005869D2"/>
    <w:rsid w:val="00590718"/>
    <w:rsid w:val="00592BEA"/>
    <w:rsid w:val="00596AAF"/>
    <w:rsid w:val="005971A6"/>
    <w:rsid w:val="00597CE6"/>
    <w:rsid w:val="005A060E"/>
    <w:rsid w:val="005A0F51"/>
    <w:rsid w:val="005A1D6C"/>
    <w:rsid w:val="005A25AD"/>
    <w:rsid w:val="005A68D0"/>
    <w:rsid w:val="005B2672"/>
    <w:rsid w:val="005B5C63"/>
    <w:rsid w:val="005B6537"/>
    <w:rsid w:val="005C197E"/>
    <w:rsid w:val="005C5348"/>
    <w:rsid w:val="005C5D8C"/>
    <w:rsid w:val="005C74F9"/>
    <w:rsid w:val="005D2EE7"/>
    <w:rsid w:val="005D3151"/>
    <w:rsid w:val="005E1174"/>
    <w:rsid w:val="005E3536"/>
    <w:rsid w:val="005E411B"/>
    <w:rsid w:val="005E46A8"/>
    <w:rsid w:val="005E4F93"/>
    <w:rsid w:val="005E5AEB"/>
    <w:rsid w:val="005F34EB"/>
    <w:rsid w:val="005F3C17"/>
    <w:rsid w:val="005F3DDC"/>
    <w:rsid w:val="005F6338"/>
    <w:rsid w:val="0060141D"/>
    <w:rsid w:val="006027A0"/>
    <w:rsid w:val="00605D7C"/>
    <w:rsid w:val="006105AA"/>
    <w:rsid w:val="0061139B"/>
    <w:rsid w:val="00611935"/>
    <w:rsid w:val="00612CE5"/>
    <w:rsid w:val="00612E5F"/>
    <w:rsid w:val="00613B49"/>
    <w:rsid w:val="00616F0D"/>
    <w:rsid w:val="00620950"/>
    <w:rsid w:val="0062099B"/>
    <w:rsid w:val="0062111C"/>
    <w:rsid w:val="00622B52"/>
    <w:rsid w:val="00623C98"/>
    <w:rsid w:val="00624CF4"/>
    <w:rsid w:val="006267EF"/>
    <w:rsid w:val="00632DF5"/>
    <w:rsid w:val="0063470A"/>
    <w:rsid w:val="00634C02"/>
    <w:rsid w:val="00635707"/>
    <w:rsid w:val="00635946"/>
    <w:rsid w:val="00635C2F"/>
    <w:rsid w:val="00636184"/>
    <w:rsid w:val="00641231"/>
    <w:rsid w:val="006415EB"/>
    <w:rsid w:val="00641DA2"/>
    <w:rsid w:val="0064264E"/>
    <w:rsid w:val="00644AE7"/>
    <w:rsid w:val="006458D9"/>
    <w:rsid w:val="00647E9F"/>
    <w:rsid w:val="00650131"/>
    <w:rsid w:val="00651D3D"/>
    <w:rsid w:val="006545CE"/>
    <w:rsid w:val="00654764"/>
    <w:rsid w:val="00656678"/>
    <w:rsid w:val="0065737B"/>
    <w:rsid w:val="00666209"/>
    <w:rsid w:val="00666E87"/>
    <w:rsid w:val="00667491"/>
    <w:rsid w:val="006710FC"/>
    <w:rsid w:val="00672089"/>
    <w:rsid w:val="006736AA"/>
    <w:rsid w:val="006736BC"/>
    <w:rsid w:val="00674380"/>
    <w:rsid w:val="006775AE"/>
    <w:rsid w:val="00680600"/>
    <w:rsid w:val="00681E2E"/>
    <w:rsid w:val="00682215"/>
    <w:rsid w:val="00684553"/>
    <w:rsid w:val="0068472B"/>
    <w:rsid w:val="00685454"/>
    <w:rsid w:val="0068666C"/>
    <w:rsid w:val="006929C3"/>
    <w:rsid w:val="0069315A"/>
    <w:rsid w:val="00697001"/>
    <w:rsid w:val="006974D7"/>
    <w:rsid w:val="00697A17"/>
    <w:rsid w:val="006A02A9"/>
    <w:rsid w:val="006A1460"/>
    <w:rsid w:val="006A1764"/>
    <w:rsid w:val="006A198F"/>
    <w:rsid w:val="006A3ADE"/>
    <w:rsid w:val="006A4A0C"/>
    <w:rsid w:val="006A6829"/>
    <w:rsid w:val="006B2F5A"/>
    <w:rsid w:val="006B59CE"/>
    <w:rsid w:val="006C12BE"/>
    <w:rsid w:val="006C23F5"/>
    <w:rsid w:val="006C338A"/>
    <w:rsid w:val="006C5F6B"/>
    <w:rsid w:val="006D1B75"/>
    <w:rsid w:val="006D1C54"/>
    <w:rsid w:val="006D1F01"/>
    <w:rsid w:val="006D22ED"/>
    <w:rsid w:val="006D2396"/>
    <w:rsid w:val="006D3027"/>
    <w:rsid w:val="006D3594"/>
    <w:rsid w:val="006D476A"/>
    <w:rsid w:val="006D48D7"/>
    <w:rsid w:val="006D5BBF"/>
    <w:rsid w:val="006D7542"/>
    <w:rsid w:val="006E026A"/>
    <w:rsid w:val="006E0EC8"/>
    <w:rsid w:val="006E2DB2"/>
    <w:rsid w:val="006E4205"/>
    <w:rsid w:val="006E4772"/>
    <w:rsid w:val="006E5A45"/>
    <w:rsid w:val="006F3E1B"/>
    <w:rsid w:val="006F4BE8"/>
    <w:rsid w:val="006F5208"/>
    <w:rsid w:val="006F5D40"/>
    <w:rsid w:val="007005F7"/>
    <w:rsid w:val="00701F41"/>
    <w:rsid w:val="0070299A"/>
    <w:rsid w:val="00702EBB"/>
    <w:rsid w:val="0070355A"/>
    <w:rsid w:val="007043D9"/>
    <w:rsid w:val="00705A78"/>
    <w:rsid w:val="007106E4"/>
    <w:rsid w:val="00711563"/>
    <w:rsid w:val="00715708"/>
    <w:rsid w:val="00721572"/>
    <w:rsid w:val="00725A80"/>
    <w:rsid w:val="007262A7"/>
    <w:rsid w:val="007359D8"/>
    <w:rsid w:val="0074029F"/>
    <w:rsid w:val="007415B5"/>
    <w:rsid w:val="00741B52"/>
    <w:rsid w:val="00742D0A"/>
    <w:rsid w:val="007433FF"/>
    <w:rsid w:val="00743A94"/>
    <w:rsid w:val="00744577"/>
    <w:rsid w:val="007452B9"/>
    <w:rsid w:val="0074740C"/>
    <w:rsid w:val="00750335"/>
    <w:rsid w:val="007518B5"/>
    <w:rsid w:val="00752441"/>
    <w:rsid w:val="007531ED"/>
    <w:rsid w:val="007542F4"/>
    <w:rsid w:val="00755BD0"/>
    <w:rsid w:val="00760CA4"/>
    <w:rsid w:val="00763248"/>
    <w:rsid w:val="00764DE5"/>
    <w:rsid w:val="00765060"/>
    <w:rsid w:val="007736AA"/>
    <w:rsid w:val="00774C0D"/>
    <w:rsid w:val="0077559E"/>
    <w:rsid w:val="00776A2C"/>
    <w:rsid w:val="00777624"/>
    <w:rsid w:val="0078062B"/>
    <w:rsid w:val="00782F0E"/>
    <w:rsid w:val="00783219"/>
    <w:rsid w:val="007900E5"/>
    <w:rsid w:val="0079011A"/>
    <w:rsid w:val="007917DD"/>
    <w:rsid w:val="00792120"/>
    <w:rsid w:val="007935BE"/>
    <w:rsid w:val="0079540B"/>
    <w:rsid w:val="007A2DEA"/>
    <w:rsid w:val="007A3070"/>
    <w:rsid w:val="007A33AF"/>
    <w:rsid w:val="007A6BC0"/>
    <w:rsid w:val="007A7CC2"/>
    <w:rsid w:val="007B6DF0"/>
    <w:rsid w:val="007B74E0"/>
    <w:rsid w:val="007C18B4"/>
    <w:rsid w:val="007C4396"/>
    <w:rsid w:val="007C5BDC"/>
    <w:rsid w:val="007C74DA"/>
    <w:rsid w:val="007C767D"/>
    <w:rsid w:val="007C7E53"/>
    <w:rsid w:val="007D0DEF"/>
    <w:rsid w:val="007D608C"/>
    <w:rsid w:val="007D64EF"/>
    <w:rsid w:val="007D79AB"/>
    <w:rsid w:val="007E094F"/>
    <w:rsid w:val="007E1DCF"/>
    <w:rsid w:val="007E2691"/>
    <w:rsid w:val="007E3C8C"/>
    <w:rsid w:val="007E67F9"/>
    <w:rsid w:val="007E67FA"/>
    <w:rsid w:val="007F2418"/>
    <w:rsid w:val="007F4942"/>
    <w:rsid w:val="0080211A"/>
    <w:rsid w:val="0080325A"/>
    <w:rsid w:val="008036EC"/>
    <w:rsid w:val="00810199"/>
    <w:rsid w:val="008125FA"/>
    <w:rsid w:val="0081751F"/>
    <w:rsid w:val="00821F89"/>
    <w:rsid w:val="00822E70"/>
    <w:rsid w:val="00824A0A"/>
    <w:rsid w:val="0082565C"/>
    <w:rsid w:val="00834C77"/>
    <w:rsid w:val="00835D0D"/>
    <w:rsid w:val="00837411"/>
    <w:rsid w:val="00837964"/>
    <w:rsid w:val="00850AD8"/>
    <w:rsid w:val="00851104"/>
    <w:rsid w:val="008517F5"/>
    <w:rsid w:val="00852BAC"/>
    <w:rsid w:val="008530E6"/>
    <w:rsid w:val="00856F92"/>
    <w:rsid w:val="00857DAA"/>
    <w:rsid w:val="00862E8D"/>
    <w:rsid w:val="008637D3"/>
    <w:rsid w:val="00863813"/>
    <w:rsid w:val="00867079"/>
    <w:rsid w:val="00870137"/>
    <w:rsid w:val="00871DCB"/>
    <w:rsid w:val="00873366"/>
    <w:rsid w:val="008755C8"/>
    <w:rsid w:val="008778F2"/>
    <w:rsid w:val="00880B35"/>
    <w:rsid w:val="00881E98"/>
    <w:rsid w:val="008824A8"/>
    <w:rsid w:val="00882C27"/>
    <w:rsid w:val="00883128"/>
    <w:rsid w:val="00885493"/>
    <w:rsid w:val="00885E0E"/>
    <w:rsid w:val="008909F6"/>
    <w:rsid w:val="00890BFD"/>
    <w:rsid w:val="008946A3"/>
    <w:rsid w:val="008954E3"/>
    <w:rsid w:val="00896B86"/>
    <w:rsid w:val="00896F43"/>
    <w:rsid w:val="008A0E04"/>
    <w:rsid w:val="008A2E6F"/>
    <w:rsid w:val="008A51C2"/>
    <w:rsid w:val="008A622F"/>
    <w:rsid w:val="008A6E58"/>
    <w:rsid w:val="008A7BEB"/>
    <w:rsid w:val="008B364A"/>
    <w:rsid w:val="008B5837"/>
    <w:rsid w:val="008C144A"/>
    <w:rsid w:val="008C14FB"/>
    <w:rsid w:val="008C22F2"/>
    <w:rsid w:val="008C32D0"/>
    <w:rsid w:val="008C52C8"/>
    <w:rsid w:val="008D0C52"/>
    <w:rsid w:val="008D14ED"/>
    <w:rsid w:val="008D16B5"/>
    <w:rsid w:val="008D198E"/>
    <w:rsid w:val="008D4F5A"/>
    <w:rsid w:val="008E00E3"/>
    <w:rsid w:val="008E0419"/>
    <w:rsid w:val="008E0D0C"/>
    <w:rsid w:val="008E14FE"/>
    <w:rsid w:val="008E1CB2"/>
    <w:rsid w:val="008E1CD9"/>
    <w:rsid w:val="008E1FA5"/>
    <w:rsid w:val="008E2BE8"/>
    <w:rsid w:val="008E4910"/>
    <w:rsid w:val="008E7630"/>
    <w:rsid w:val="008E79B9"/>
    <w:rsid w:val="008E7F03"/>
    <w:rsid w:val="008F3516"/>
    <w:rsid w:val="008F355F"/>
    <w:rsid w:val="008F4EBD"/>
    <w:rsid w:val="008F5126"/>
    <w:rsid w:val="008F74E7"/>
    <w:rsid w:val="008F7541"/>
    <w:rsid w:val="00900389"/>
    <w:rsid w:val="0090194B"/>
    <w:rsid w:val="00902253"/>
    <w:rsid w:val="00903912"/>
    <w:rsid w:val="009041A1"/>
    <w:rsid w:val="009056B7"/>
    <w:rsid w:val="009059FF"/>
    <w:rsid w:val="00907E73"/>
    <w:rsid w:val="009104A8"/>
    <w:rsid w:val="009108BE"/>
    <w:rsid w:val="00911059"/>
    <w:rsid w:val="00912FA2"/>
    <w:rsid w:val="00914FA4"/>
    <w:rsid w:val="009164A1"/>
    <w:rsid w:val="00917B3E"/>
    <w:rsid w:val="00917BC4"/>
    <w:rsid w:val="00920AE8"/>
    <w:rsid w:val="00920CB8"/>
    <w:rsid w:val="009214AB"/>
    <w:rsid w:val="00921806"/>
    <w:rsid w:val="009230A2"/>
    <w:rsid w:val="00924429"/>
    <w:rsid w:val="00925EC8"/>
    <w:rsid w:val="00930E32"/>
    <w:rsid w:val="00931EDC"/>
    <w:rsid w:val="009335BC"/>
    <w:rsid w:val="00933956"/>
    <w:rsid w:val="00935261"/>
    <w:rsid w:val="00935CF0"/>
    <w:rsid w:val="009373C1"/>
    <w:rsid w:val="00937538"/>
    <w:rsid w:val="0094013B"/>
    <w:rsid w:val="00940561"/>
    <w:rsid w:val="0094347B"/>
    <w:rsid w:val="00944FFD"/>
    <w:rsid w:val="009468B3"/>
    <w:rsid w:val="00952A97"/>
    <w:rsid w:val="00953027"/>
    <w:rsid w:val="0095338E"/>
    <w:rsid w:val="00957ACE"/>
    <w:rsid w:val="009618E5"/>
    <w:rsid w:val="00963205"/>
    <w:rsid w:val="00963FE4"/>
    <w:rsid w:val="00966B00"/>
    <w:rsid w:val="00970191"/>
    <w:rsid w:val="00973774"/>
    <w:rsid w:val="009742C5"/>
    <w:rsid w:val="009744BC"/>
    <w:rsid w:val="00980571"/>
    <w:rsid w:val="00982CB8"/>
    <w:rsid w:val="00990846"/>
    <w:rsid w:val="009924D2"/>
    <w:rsid w:val="0099789F"/>
    <w:rsid w:val="009A2325"/>
    <w:rsid w:val="009A2428"/>
    <w:rsid w:val="009A5466"/>
    <w:rsid w:val="009A59B0"/>
    <w:rsid w:val="009A5ECF"/>
    <w:rsid w:val="009B4BF3"/>
    <w:rsid w:val="009B4ED5"/>
    <w:rsid w:val="009C10F2"/>
    <w:rsid w:val="009C1F05"/>
    <w:rsid w:val="009C3B85"/>
    <w:rsid w:val="009C42F8"/>
    <w:rsid w:val="009C519A"/>
    <w:rsid w:val="009D0766"/>
    <w:rsid w:val="009D3168"/>
    <w:rsid w:val="009D399E"/>
    <w:rsid w:val="009D57F5"/>
    <w:rsid w:val="009D7006"/>
    <w:rsid w:val="009D7D4B"/>
    <w:rsid w:val="009E08F9"/>
    <w:rsid w:val="009E62E4"/>
    <w:rsid w:val="009E645D"/>
    <w:rsid w:val="009F1049"/>
    <w:rsid w:val="009F1E1D"/>
    <w:rsid w:val="009F20D0"/>
    <w:rsid w:val="009F27F3"/>
    <w:rsid w:val="009F5921"/>
    <w:rsid w:val="009F5B4E"/>
    <w:rsid w:val="009F6C05"/>
    <w:rsid w:val="00A04B94"/>
    <w:rsid w:val="00A1104E"/>
    <w:rsid w:val="00A113CF"/>
    <w:rsid w:val="00A13371"/>
    <w:rsid w:val="00A143F4"/>
    <w:rsid w:val="00A1457A"/>
    <w:rsid w:val="00A145ED"/>
    <w:rsid w:val="00A154B3"/>
    <w:rsid w:val="00A2013E"/>
    <w:rsid w:val="00A21B9B"/>
    <w:rsid w:val="00A23E00"/>
    <w:rsid w:val="00A2402A"/>
    <w:rsid w:val="00A24F2C"/>
    <w:rsid w:val="00A26D12"/>
    <w:rsid w:val="00A27468"/>
    <w:rsid w:val="00A279D1"/>
    <w:rsid w:val="00A305A3"/>
    <w:rsid w:val="00A32F33"/>
    <w:rsid w:val="00A3308C"/>
    <w:rsid w:val="00A342E3"/>
    <w:rsid w:val="00A35256"/>
    <w:rsid w:val="00A35479"/>
    <w:rsid w:val="00A40915"/>
    <w:rsid w:val="00A43714"/>
    <w:rsid w:val="00A43760"/>
    <w:rsid w:val="00A443EC"/>
    <w:rsid w:val="00A45EFC"/>
    <w:rsid w:val="00A46386"/>
    <w:rsid w:val="00A47BE2"/>
    <w:rsid w:val="00A506F7"/>
    <w:rsid w:val="00A5494F"/>
    <w:rsid w:val="00A611F4"/>
    <w:rsid w:val="00A63DC2"/>
    <w:rsid w:val="00A64BA3"/>
    <w:rsid w:val="00A679FE"/>
    <w:rsid w:val="00A76368"/>
    <w:rsid w:val="00A80479"/>
    <w:rsid w:val="00A81EC8"/>
    <w:rsid w:val="00A81FD0"/>
    <w:rsid w:val="00A836FB"/>
    <w:rsid w:val="00A83ED8"/>
    <w:rsid w:val="00A83EF2"/>
    <w:rsid w:val="00A84B5F"/>
    <w:rsid w:val="00A87325"/>
    <w:rsid w:val="00A87DF9"/>
    <w:rsid w:val="00A92A47"/>
    <w:rsid w:val="00A978CB"/>
    <w:rsid w:val="00A97A47"/>
    <w:rsid w:val="00AA36E4"/>
    <w:rsid w:val="00AA6D23"/>
    <w:rsid w:val="00AB47B9"/>
    <w:rsid w:val="00AB4B19"/>
    <w:rsid w:val="00AB5DC1"/>
    <w:rsid w:val="00AB6E5B"/>
    <w:rsid w:val="00AB7E55"/>
    <w:rsid w:val="00AC11C4"/>
    <w:rsid w:val="00AC3112"/>
    <w:rsid w:val="00AD355A"/>
    <w:rsid w:val="00AD3685"/>
    <w:rsid w:val="00AD474B"/>
    <w:rsid w:val="00AD5786"/>
    <w:rsid w:val="00AD6245"/>
    <w:rsid w:val="00AE5820"/>
    <w:rsid w:val="00AF18F5"/>
    <w:rsid w:val="00AF26DC"/>
    <w:rsid w:val="00AF3ACC"/>
    <w:rsid w:val="00AF4138"/>
    <w:rsid w:val="00AF63B2"/>
    <w:rsid w:val="00AF757F"/>
    <w:rsid w:val="00B003EE"/>
    <w:rsid w:val="00B006A8"/>
    <w:rsid w:val="00B00766"/>
    <w:rsid w:val="00B00A0C"/>
    <w:rsid w:val="00B03260"/>
    <w:rsid w:val="00B035BC"/>
    <w:rsid w:val="00B03F09"/>
    <w:rsid w:val="00B05011"/>
    <w:rsid w:val="00B05F7F"/>
    <w:rsid w:val="00B07F4D"/>
    <w:rsid w:val="00B12F3F"/>
    <w:rsid w:val="00B1592B"/>
    <w:rsid w:val="00B1655F"/>
    <w:rsid w:val="00B16841"/>
    <w:rsid w:val="00B254EC"/>
    <w:rsid w:val="00B255DE"/>
    <w:rsid w:val="00B267CF"/>
    <w:rsid w:val="00B26B0A"/>
    <w:rsid w:val="00B2701B"/>
    <w:rsid w:val="00B31175"/>
    <w:rsid w:val="00B313A2"/>
    <w:rsid w:val="00B3142C"/>
    <w:rsid w:val="00B35E25"/>
    <w:rsid w:val="00B42D57"/>
    <w:rsid w:val="00B43149"/>
    <w:rsid w:val="00B45E40"/>
    <w:rsid w:val="00B471BE"/>
    <w:rsid w:val="00B51ADB"/>
    <w:rsid w:val="00B52994"/>
    <w:rsid w:val="00B52A34"/>
    <w:rsid w:val="00B537FE"/>
    <w:rsid w:val="00B55168"/>
    <w:rsid w:val="00B559FD"/>
    <w:rsid w:val="00B55AF2"/>
    <w:rsid w:val="00B55F1D"/>
    <w:rsid w:val="00B56AB2"/>
    <w:rsid w:val="00B62698"/>
    <w:rsid w:val="00B62956"/>
    <w:rsid w:val="00B6386A"/>
    <w:rsid w:val="00B67BC5"/>
    <w:rsid w:val="00B71C74"/>
    <w:rsid w:val="00B71CB2"/>
    <w:rsid w:val="00B725B0"/>
    <w:rsid w:val="00B7622B"/>
    <w:rsid w:val="00B80D4F"/>
    <w:rsid w:val="00B81087"/>
    <w:rsid w:val="00B81ABA"/>
    <w:rsid w:val="00B8216F"/>
    <w:rsid w:val="00B82C50"/>
    <w:rsid w:val="00B833A8"/>
    <w:rsid w:val="00B840D7"/>
    <w:rsid w:val="00B84A2D"/>
    <w:rsid w:val="00B85A7F"/>
    <w:rsid w:val="00B91E03"/>
    <w:rsid w:val="00B92D8C"/>
    <w:rsid w:val="00B95873"/>
    <w:rsid w:val="00B96589"/>
    <w:rsid w:val="00B96DC1"/>
    <w:rsid w:val="00BA3211"/>
    <w:rsid w:val="00BA3C62"/>
    <w:rsid w:val="00BA756C"/>
    <w:rsid w:val="00BA7A9E"/>
    <w:rsid w:val="00BB2A10"/>
    <w:rsid w:val="00BB3F5C"/>
    <w:rsid w:val="00BB4B7D"/>
    <w:rsid w:val="00BB712E"/>
    <w:rsid w:val="00BC247A"/>
    <w:rsid w:val="00BC64D6"/>
    <w:rsid w:val="00BD379E"/>
    <w:rsid w:val="00BD3DFF"/>
    <w:rsid w:val="00BD783C"/>
    <w:rsid w:val="00BE0D76"/>
    <w:rsid w:val="00BE1CD0"/>
    <w:rsid w:val="00BE6EDF"/>
    <w:rsid w:val="00BE75CE"/>
    <w:rsid w:val="00BE7B05"/>
    <w:rsid w:val="00BF0F52"/>
    <w:rsid w:val="00BF1E69"/>
    <w:rsid w:val="00BF2C5C"/>
    <w:rsid w:val="00BF3531"/>
    <w:rsid w:val="00BF4158"/>
    <w:rsid w:val="00BF47D1"/>
    <w:rsid w:val="00BF58B8"/>
    <w:rsid w:val="00BF5EA3"/>
    <w:rsid w:val="00C020A1"/>
    <w:rsid w:val="00C02C9E"/>
    <w:rsid w:val="00C07D8F"/>
    <w:rsid w:val="00C10746"/>
    <w:rsid w:val="00C108F1"/>
    <w:rsid w:val="00C12BC1"/>
    <w:rsid w:val="00C205B8"/>
    <w:rsid w:val="00C2088B"/>
    <w:rsid w:val="00C214DE"/>
    <w:rsid w:val="00C22627"/>
    <w:rsid w:val="00C231C4"/>
    <w:rsid w:val="00C24358"/>
    <w:rsid w:val="00C3061B"/>
    <w:rsid w:val="00C3084C"/>
    <w:rsid w:val="00C36DD2"/>
    <w:rsid w:val="00C40997"/>
    <w:rsid w:val="00C43349"/>
    <w:rsid w:val="00C469C4"/>
    <w:rsid w:val="00C46F40"/>
    <w:rsid w:val="00C473FF"/>
    <w:rsid w:val="00C50E51"/>
    <w:rsid w:val="00C52BA6"/>
    <w:rsid w:val="00C54F08"/>
    <w:rsid w:val="00C553B8"/>
    <w:rsid w:val="00C55BE0"/>
    <w:rsid w:val="00C6222C"/>
    <w:rsid w:val="00C62FBE"/>
    <w:rsid w:val="00C63BD3"/>
    <w:rsid w:val="00C63FD6"/>
    <w:rsid w:val="00C65303"/>
    <w:rsid w:val="00C7046E"/>
    <w:rsid w:val="00C705BE"/>
    <w:rsid w:val="00C72635"/>
    <w:rsid w:val="00C753D8"/>
    <w:rsid w:val="00C75A7E"/>
    <w:rsid w:val="00C75BD7"/>
    <w:rsid w:val="00C813F9"/>
    <w:rsid w:val="00C8173B"/>
    <w:rsid w:val="00C83B7F"/>
    <w:rsid w:val="00C84291"/>
    <w:rsid w:val="00C84670"/>
    <w:rsid w:val="00C86B56"/>
    <w:rsid w:val="00C87B1C"/>
    <w:rsid w:val="00C90467"/>
    <w:rsid w:val="00C965FA"/>
    <w:rsid w:val="00C97003"/>
    <w:rsid w:val="00CA0181"/>
    <w:rsid w:val="00CA0664"/>
    <w:rsid w:val="00CA11FF"/>
    <w:rsid w:val="00CA1DD9"/>
    <w:rsid w:val="00CA26BA"/>
    <w:rsid w:val="00CA30D8"/>
    <w:rsid w:val="00CA454B"/>
    <w:rsid w:val="00CA4849"/>
    <w:rsid w:val="00CA7DA3"/>
    <w:rsid w:val="00CB07E9"/>
    <w:rsid w:val="00CB265B"/>
    <w:rsid w:val="00CB2B00"/>
    <w:rsid w:val="00CB31D5"/>
    <w:rsid w:val="00CC05F5"/>
    <w:rsid w:val="00CC399B"/>
    <w:rsid w:val="00CC4790"/>
    <w:rsid w:val="00CC4A3C"/>
    <w:rsid w:val="00CD05C2"/>
    <w:rsid w:val="00CD1048"/>
    <w:rsid w:val="00CD1071"/>
    <w:rsid w:val="00CD25BE"/>
    <w:rsid w:val="00CD2C46"/>
    <w:rsid w:val="00CD2ECF"/>
    <w:rsid w:val="00CD4052"/>
    <w:rsid w:val="00CD4AF2"/>
    <w:rsid w:val="00CD4B1B"/>
    <w:rsid w:val="00CD52E4"/>
    <w:rsid w:val="00CD530B"/>
    <w:rsid w:val="00CD55CC"/>
    <w:rsid w:val="00CD579D"/>
    <w:rsid w:val="00CD5E07"/>
    <w:rsid w:val="00CE001C"/>
    <w:rsid w:val="00CE0224"/>
    <w:rsid w:val="00CE19CA"/>
    <w:rsid w:val="00CE4FDA"/>
    <w:rsid w:val="00CF1327"/>
    <w:rsid w:val="00CF309A"/>
    <w:rsid w:val="00CF3B46"/>
    <w:rsid w:val="00CF52A4"/>
    <w:rsid w:val="00D0569A"/>
    <w:rsid w:val="00D05E2D"/>
    <w:rsid w:val="00D06633"/>
    <w:rsid w:val="00D07BD6"/>
    <w:rsid w:val="00D108B5"/>
    <w:rsid w:val="00D13627"/>
    <w:rsid w:val="00D15242"/>
    <w:rsid w:val="00D20B1A"/>
    <w:rsid w:val="00D21BBC"/>
    <w:rsid w:val="00D224F2"/>
    <w:rsid w:val="00D23C92"/>
    <w:rsid w:val="00D2522E"/>
    <w:rsid w:val="00D25A3B"/>
    <w:rsid w:val="00D26CC4"/>
    <w:rsid w:val="00D26DCA"/>
    <w:rsid w:val="00D27BD0"/>
    <w:rsid w:val="00D3067A"/>
    <w:rsid w:val="00D30EF6"/>
    <w:rsid w:val="00D35671"/>
    <w:rsid w:val="00D37499"/>
    <w:rsid w:val="00D3790B"/>
    <w:rsid w:val="00D42015"/>
    <w:rsid w:val="00D444D9"/>
    <w:rsid w:val="00D461B9"/>
    <w:rsid w:val="00D47823"/>
    <w:rsid w:val="00D5067D"/>
    <w:rsid w:val="00D524B7"/>
    <w:rsid w:val="00D532EF"/>
    <w:rsid w:val="00D55B4C"/>
    <w:rsid w:val="00D567DF"/>
    <w:rsid w:val="00D61ED4"/>
    <w:rsid w:val="00D62B26"/>
    <w:rsid w:val="00D62F15"/>
    <w:rsid w:val="00D6387A"/>
    <w:rsid w:val="00D643A2"/>
    <w:rsid w:val="00D64EB1"/>
    <w:rsid w:val="00D64FD6"/>
    <w:rsid w:val="00D65516"/>
    <w:rsid w:val="00D66814"/>
    <w:rsid w:val="00D71443"/>
    <w:rsid w:val="00D81213"/>
    <w:rsid w:val="00D82F99"/>
    <w:rsid w:val="00D837F0"/>
    <w:rsid w:val="00D83E5C"/>
    <w:rsid w:val="00D83F48"/>
    <w:rsid w:val="00D841FA"/>
    <w:rsid w:val="00D8452B"/>
    <w:rsid w:val="00D90941"/>
    <w:rsid w:val="00D9094E"/>
    <w:rsid w:val="00D90D59"/>
    <w:rsid w:val="00D91077"/>
    <w:rsid w:val="00D93586"/>
    <w:rsid w:val="00D9797D"/>
    <w:rsid w:val="00DA2757"/>
    <w:rsid w:val="00DA4FEE"/>
    <w:rsid w:val="00DA51CF"/>
    <w:rsid w:val="00DA5AA2"/>
    <w:rsid w:val="00DA63F1"/>
    <w:rsid w:val="00DB2101"/>
    <w:rsid w:val="00DB2B99"/>
    <w:rsid w:val="00DB76AD"/>
    <w:rsid w:val="00DB7C3E"/>
    <w:rsid w:val="00DC0D6E"/>
    <w:rsid w:val="00DC2E7A"/>
    <w:rsid w:val="00DC4868"/>
    <w:rsid w:val="00DC50EC"/>
    <w:rsid w:val="00DC5E9F"/>
    <w:rsid w:val="00DC64A6"/>
    <w:rsid w:val="00DC6F70"/>
    <w:rsid w:val="00DD040B"/>
    <w:rsid w:val="00DD0F9E"/>
    <w:rsid w:val="00DD10FB"/>
    <w:rsid w:val="00DD2A3E"/>
    <w:rsid w:val="00DD2C4A"/>
    <w:rsid w:val="00DD5A8E"/>
    <w:rsid w:val="00DE58F5"/>
    <w:rsid w:val="00DE6697"/>
    <w:rsid w:val="00DE6E66"/>
    <w:rsid w:val="00DE76BC"/>
    <w:rsid w:val="00DF055D"/>
    <w:rsid w:val="00DF0CB5"/>
    <w:rsid w:val="00DF0F52"/>
    <w:rsid w:val="00DF37D5"/>
    <w:rsid w:val="00DF5073"/>
    <w:rsid w:val="00DF5360"/>
    <w:rsid w:val="00DF5674"/>
    <w:rsid w:val="00DF68A5"/>
    <w:rsid w:val="00E00D24"/>
    <w:rsid w:val="00E03E33"/>
    <w:rsid w:val="00E03F99"/>
    <w:rsid w:val="00E05C0E"/>
    <w:rsid w:val="00E05DBE"/>
    <w:rsid w:val="00E07982"/>
    <w:rsid w:val="00E07C94"/>
    <w:rsid w:val="00E113B8"/>
    <w:rsid w:val="00E118E2"/>
    <w:rsid w:val="00E13151"/>
    <w:rsid w:val="00E135D3"/>
    <w:rsid w:val="00E232CE"/>
    <w:rsid w:val="00E23811"/>
    <w:rsid w:val="00E26D4D"/>
    <w:rsid w:val="00E2738F"/>
    <w:rsid w:val="00E30345"/>
    <w:rsid w:val="00E35896"/>
    <w:rsid w:val="00E36A85"/>
    <w:rsid w:val="00E37F57"/>
    <w:rsid w:val="00E4010A"/>
    <w:rsid w:val="00E407B1"/>
    <w:rsid w:val="00E42EA0"/>
    <w:rsid w:val="00E43E09"/>
    <w:rsid w:val="00E43EEB"/>
    <w:rsid w:val="00E4465B"/>
    <w:rsid w:val="00E44CE9"/>
    <w:rsid w:val="00E45225"/>
    <w:rsid w:val="00E5036D"/>
    <w:rsid w:val="00E53C98"/>
    <w:rsid w:val="00E603BE"/>
    <w:rsid w:val="00E615E4"/>
    <w:rsid w:val="00E616C9"/>
    <w:rsid w:val="00E63881"/>
    <w:rsid w:val="00E727E2"/>
    <w:rsid w:val="00E744CE"/>
    <w:rsid w:val="00E7481B"/>
    <w:rsid w:val="00E75FD1"/>
    <w:rsid w:val="00E819CA"/>
    <w:rsid w:val="00E82628"/>
    <w:rsid w:val="00E9053D"/>
    <w:rsid w:val="00E90616"/>
    <w:rsid w:val="00E960AE"/>
    <w:rsid w:val="00E96DDD"/>
    <w:rsid w:val="00EA29BA"/>
    <w:rsid w:val="00EA364F"/>
    <w:rsid w:val="00EA630A"/>
    <w:rsid w:val="00EA6609"/>
    <w:rsid w:val="00EA746E"/>
    <w:rsid w:val="00EA75C2"/>
    <w:rsid w:val="00EA79D3"/>
    <w:rsid w:val="00EB51FB"/>
    <w:rsid w:val="00EC077B"/>
    <w:rsid w:val="00ED01D0"/>
    <w:rsid w:val="00ED1D16"/>
    <w:rsid w:val="00ED1D3D"/>
    <w:rsid w:val="00ED1F8B"/>
    <w:rsid w:val="00ED4131"/>
    <w:rsid w:val="00ED41D7"/>
    <w:rsid w:val="00ED4273"/>
    <w:rsid w:val="00EE0779"/>
    <w:rsid w:val="00EE10F9"/>
    <w:rsid w:val="00EE3F2C"/>
    <w:rsid w:val="00EE4472"/>
    <w:rsid w:val="00EE4AB3"/>
    <w:rsid w:val="00EE5280"/>
    <w:rsid w:val="00EE562B"/>
    <w:rsid w:val="00EE7B41"/>
    <w:rsid w:val="00EF01F6"/>
    <w:rsid w:val="00EF04D2"/>
    <w:rsid w:val="00EF1A4C"/>
    <w:rsid w:val="00EF2E02"/>
    <w:rsid w:val="00EF2F5C"/>
    <w:rsid w:val="00EF3D17"/>
    <w:rsid w:val="00EF49D5"/>
    <w:rsid w:val="00EF4F25"/>
    <w:rsid w:val="00EF617C"/>
    <w:rsid w:val="00EF7173"/>
    <w:rsid w:val="00F041EA"/>
    <w:rsid w:val="00F0488F"/>
    <w:rsid w:val="00F071D1"/>
    <w:rsid w:val="00F11675"/>
    <w:rsid w:val="00F12DFB"/>
    <w:rsid w:val="00F1341A"/>
    <w:rsid w:val="00F147D2"/>
    <w:rsid w:val="00F14B55"/>
    <w:rsid w:val="00F14ED8"/>
    <w:rsid w:val="00F165A1"/>
    <w:rsid w:val="00F20151"/>
    <w:rsid w:val="00F21A40"/>
    <w:rsid w:val="00F26258"/>
    <w:rsid w:val="00F27C6A"/>
    <w:rsid w:val="00F35EFC"/>
    <w:rsid w:val="00F365B8"/>
    <w:rsid w:val="00F375E8"/>
    <w:rsid w:val="00F37BD0"/>
    <w:rsid w:val="00F44A89"/>
    <w:rsid w:val="00F44C71"/>
    <w:rsid w:val="00F456DA"/>
    <w:rsid w:val="00F4748B"/>
    <w:rsid w:val="00F47B14"/>
    <w:rsid w:val="00F51376"/>
    <w:rsid w:val="00F53BA2"/>
    <w:rsid w:val="00F560C7"/>
    <w:rsid w:val="00F56475"/>
    <w:rsid w:val="00F57FD2"/>
    <w:rsid w:val="00F64328"/>
    <w:rsid w:val="00F645D1"/>
    <w:rsid w:val="00F65DB5"/>
    <w:rsid w:val="00F66214"/>
    <w:rsid w:val="00F673E3"/>
    <w:rsid w:val="00F6747F"/>
    <w:rsid w:val="00F67E81"/>
    <w:rsid w:val="00F70B17"/>
    <w:rsid w:val="00F76FEC"/>
    <w:rsid w:val="00F80869"/>
    <w:rsid w:val="00F812A3"/>
    <w:rsid w:val="00F8335F"/>
    <w:rsid w:val="00F84717"/>
    <w:rsid w:val="00F86948"/>
    <w:rsid w:val="00F912CD"/>
    <w:rsid w:val="00F92667"/>
    <w:rsid w:val="00F93A00"/>
    <w:rsid w:val="00F964C7"/>
    <w:rsid w:val="00F97324"/>
    <w:rsid w:val="00FA06BC"/>
    <w:rsid w:val="00FA1E68"/>
    <w:rsid w:val="00FA4253"/>
    <w:rsid w:val="00FA4A9F"/>
    <w:rsid w:val="00FA656C"/>
    <w:rsid w:val="00FA68E3"/>
    <w:rsid w:val="00FA6D4A"/>
    <w:rsid w:val="00FB01CE"/>
    <w:rsid w:val="00FB1971"/>
    <w:rsid w:val="00FB24B2"/>
    <w:rsid w:val="00FB2AB5"/>
    <w:rsid w:val="00FB3A1F"/>
    <w:rsid w:val="00FB3DB2"/>
    <w:rsid w:val="00FB5A9A"/>
    <w:rsid w:val="00FB6F3B"/>
    <w:rsid w:val="00FC012E"/>
    <w:rsid w:val="00FC09EE"/>
    <w:rsid w:val="00FC1D1C"/>
    <w:rsid w:val="00FC7BB3"/>
    <w:rsid w:val="00FC7D5D"/>
    <w:rsid w:val="00FD0274"/>
    <w:rsid w:val="00FD1B48"/>
    <w:rsid w:val="00FD355C"/>
    <w:rsid w:val="00FD3A2D"/>
    <w:rsid w:val="00FD3E8E"/>
    <w:rsid w:val="00FD4041"/>
    <w:rsid w:val="00FD5368"/>
    <w:rsid w:val="00FE13EB"/>
    <w:rsid w:val="00FE2111"/>
    <w:rsid w:val="00FE2BB7"/>
    <w:rsid w:val="00FE3B1B"/>
    <w:rsid w:val="00FE3B83"/>
    <w:rsid w:val="00FE6B2E"/>
    <w:rsid w:val="00FE7746"/>
    <w:rsid w:val="00FF0900"/>
    <w:rsid w:val="00FF0EB6"/>
    <w:rsid w:val="00FF285F"/>
    <w:rsid w:val="00FF31E5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EC86D0"/>
  <w15:docId w15:val="{2AB9BE72-70E7-425A-9E16-ECBB32B0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F99"/>
    <w:pPr>
      <w:spacing w:before="240" w:after="120" w:line="288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405C06"/>
    <w:pPr>
      <w:keepNext/>
      <w:keepLines/>
      <w:numPr>
        <w:numId w:val="1"/>
      </w:numPr>
      <w:spacing w:before="720" w:after="360"/>
      <w:outlineLvl w:val="0"/>
    </w:pPr>
    <w:rPr>
      <w:rFonts w:eastAsiaTheme="majorEastAsia" w:cstheme="majorBidi"/>
      <w:bCs/>
      <w:caps/>
      <w:sz w:val="32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C5F6B"/>
    <w:pPr>
      <w:keepNext/>
      <w:keepLines/>
      <w:numPr>
        <w:numId w:val="2"/>
      </w:numPr>
      <w:spacing w:before="360" w:after="240"/>
      <w:outlineLvl w:val="1"/>
    </w:pPr>
    <w:rPr>
      <w:rFonts w:eastAsiaTheme="majorEastAsia" w:cstheme="majorBidi"/>
      <w:b/>
      <w:bCs/>
      <w:color w:val="254B81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3FD1"/>
    <w:pPr>
      <w:keepNext/>
      <w:keepLines/>
      <w:numPr>
        <w:numId w:val="3"/>
      </w:numPr>
      <w:spacing w:before="480" w:after="360"/>
      <w:outlineLvl w:val="2"/>
    </w:pPr>
    <w:rPr>
      <w:rFonts w:eastAsiaTheme="majorEastAsia" w:cstheme="majorBidi"/>
      <w:b/>
      <w:bCs/>
      <w:color w:val="94864C" w:themeColor="accent4"/>
    </w:rPr>
  </w:style>
  <w:style w:type="paragraph" w:styleId="Heading4">
    <w:name w:val="heading 4"/>
    <w:basedOn w:val="Normal"/>
    <w:next w:val="Normal"/>
    <w:link w:val="Heading4Char"/>
    <w:autoRedefine/>
    <w:qFormat/>
    <w:rsid w:val="00834C77"/>
    <w:pPr>
      <w:keepNext/>
      <w:pBdr>
        <w:bottom w:val="single" w:sz="4" w:space="1" w:color="BFBFBF"/>
      </w:pBdr>
      <w:spacing w:before="360"/>
      <w:jc w:val="left"/>
      <w:outlineLvl w:val="3"/>
    </w:pPr>
    <w:rPr>
      <w:rFonts w:ascii="Calibri" w:eastAsia="Times New Roman" w:hAnsi="Calibri" w:cs="Times New Roman"/>
      <w:b/>
      <w:bCs/>
      <w:i/>
      <w:color w:val="808080"/>
      <w:szCs w:val="28"/>
      <w:lang w:eastAsia="pt-BR"/>
    </w:rPr>
  </w:style>
  <w:style w:type="paragraph" w:styleId="Heading5">
    <w:name w:val="heading 5"/>
    <w:basedOn w:val="Normal"/>
    <w:next w:val="Normal"/>
    <w:link w:val="Heading5Char"/>
    <w:qFormat/>
    <w:rsid w:val="00834C77"/>
    <w:pPr>
      <w:spacing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15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5B5"/>
  </w:style>
  <w:style w:type="paragraph" w:styleId="Footer">
    <w:name w:val="footer"/>
    <w:basedOn w:val="Normal"/>
    <w:link w:val="FooterChar"/>
    <w:uiPriority w:val="99"/>
    <w:unhideWhenUsed/>
    <w:rsid w:val="007415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5B5"/>
  </w:style>
  <w:style w:type="paragraph" w:styleId="BalloonText">
    <w:name w:val="Balloon Text"/>
    <w:basedOn w:val="Normal"/>
    <w:link w:val="BalloonTextChar"/>
    <w:uiPriority w:val="99"/>
    <w:unhideWhenUsed/>
    <w:rsid w:val="00741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415B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05C06"/>
    <w:rPr>
      <w:rFonts w:eastAsiaTheme="majorEastAsia" w:cstheme="majorBidi"/>
      <w:bCs/>
      <w:caps/>
      <w:sz w:val="32"/>
      <w:szCs w:val="28"/>
    </w:rPr>
  </w:style>
  <w:style w:type="paragraph" w:styleId="ListParagraph">
    <w:name w:val="List Paragraph"/>
    <w:basedOn w:val="Normal"/>
    <w:uiPriority w:val="34"/>
    <w:qFormat/>
    <w:rsid w:val="0099789F"/>
    <w:pPr>
      <w:ind w:left="720"/>
    </w:pPr>
  </w:style>
  <w:style w:type="character" w:customStyle="1" w:styleId="Heading2Char">
    <w:name w:val="Heading 2 Char"/>
    <w:basedOn w:val="DefaultParagraphFont"/>
    <w:link w:val="Heading2"/>
    <w:rsid w:val="006C5F6B"/>
    <w:rPr>
      <w:rFonts w:eastAsiaTheme="majorEastAsia" w:cstheme="majorBidi"/>
      <w:b/>
      <w:bCs/>
      <w:color w:val="254B81" w:themeColor="text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3FD1"/>
    <w:rPr>
      <w:rFonts w:eastAsiaTheme="majorEastAsia" w:cstheme="majorBidi"/>
      <w:b/>
      <w:bCs/>
      <w:color w:val="94864C" w:themeColor="accent4"/>
    </w:rPr>
  </w:style>
  <w:style w:type="table" w:styleId="TableGrid">
    <w:name w:val="Table Grid"/>
    <w:basedOn w:val="TableNormal"/>
    <w:uiPriority w:val="59"/>
    <w:rsid w:val="004B7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834C77"/>
    <w:rPr>
      <w:rFonts w:ascii="Calibri" w:eastAsia="Times New Roman" w:hAnsi="Calibri" w:cs="Times New Roman"/>
      <w:b/>
      <w:bCs/>
      <w:i/>
      <w:color w:val="808080"/>
      <w:szCs w:val="28"/>
      <w:lang w:eastAsia="pt-BR"/>
    </w:rPr>
  </w:style>
  <w:style w:type="character" w:customStyle="1" w:styleId="Heading5Char">
    <w:name w:val="Heading 5 Char"/>
    <w:basedOn w:val="DefaultParagraphFont"/>
    <w:link w:val="Heading5"/>
    <w:rsid w:val="00834C7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abela-Ttulo">
    <w:name w:val="Tabela - Título"/>
    <w:basedOn w:val="Normal"/>
    <w:autoRedefine/>
    <w:rsid w:val="00834C77"/>
    <w:pPr>
      <w:spacing w:before="0" w:after="0" w:line="240" w:lineRule="auto"/>
      <w:jc w:val="left"/>
    </w:pPr>
    <w:rPr>
      <w:rFonts w:ascii="Calibri Light" w:eastAsia="Times New Roman" w:hAnsi="Calibri Light" w:cs="Arial"/>
      <w:b/>
      <w:bCs/>
      <w:color w:val="FFFFFF"/>
      <w:sz w:val="16"/>
      <w:szCs w:val="16"/>
      <w:lang w:eastAsia="pt-BR"/>
    </w:rPr>
  </w:style>
  <w:style w:type="paragraph" w:customStyle="1" w:styleId="Tabela-Valores">
    <w:name w:val="Tabela - Valores"/>
    <w:basedOn w:val="Normal"/>
    <w:autoRedefine/>
    <w:rsid w:val="00834C77"/>
    <w:pPr>
      <w:spacing w:before="20" w:after="20" w:line="240" w:lineRule="auto"/>
      <w:jc w:val="right"/>
    </w:pPr>
    <w:rPr>
      <w:rFonts w:ascii="Arial" w:eastAsia="Times New Roman" w:hAnsi="Arial" w:cs="Arial"/>
      <w:bCs/>
      <w:sz w:val="16"/>
      <w:szCs w:val="16"/>
      <w:lang w:eastAsia="pt-BR"/>
    </w:rPr>
  </w:style>
  <w:style w:type="paragraph" w:customStyle="1" w:styleId="Tabela-Texto">
    <w:name w:val="Tabela - Texto"/>
    <w:basedOn w:val="Normal"/>
    <w:autoRedefine/>
    <w:rsid w:val="00834C77"/>
    <w:pPr>
      <w:tabs>
        <w:tab w:val="left" w:pos="128"/>
        <w:tab w:val="left" w:pos="308"/>
        <w:tab w:val="left" w:pos="488"/>
        <w:tab w:val="left" w:pos="668"/>
        <w:tab w:val="left" w:pos="848"/>
      </w:tabs>
      <w:spacing w:before="40" w:after="40" w:line="240" w:lineRule="auto"/>
      <w:jc w:val="left"/>
    </w:pPr>
    <w:rPr>
      <w:rFonts w:ascii="Arial" w:eastAsia="Times New Roman" w:hAnsi="Arial" w:cs="Arial"/>
      <w:bCs/>
      <w:sz w:val="16"/>
      <w:szCs w:val="16"/>
      <w:lang w:eastAsia="pt-BR"/>
    </w:rPr>
  </w:style>
  <w:style w:type="paragraph" w:customStyle="1" w:styleId="Tabela-Nome">
    <w:name w:val="Tabela - Nome"/>
    <w:basedOn w:val="Normal"/>
    <w:autoRedefine/>
    <w:rsid w:val="00834C77"/>
    <w:pPr>
      <w:keepNext/>
      <w:keepLines/>
      <w:spacing w:before="0" w:after="0"/>
      <w:jc w:val="center"/>
    </w:pPr>
    <w:rPr>
      <w:rFonts w:ascii="Arial" w:eastAsia="Times New Roman" w:hAnsi="Arial" w:cs="Arial"/>
      <w:b/>
      <w:bCs/>
      <w:sz w:val="16"/>
      <w:szCs w:val="16"/>
      <w:lang w:eastAsia="pt-BR"/>
    </w:rPr>
  </w:style>
  <w:style w:type="paragraph" w:customStyle="1" w:styleId="Tabela-Unidade">
    <w:name w:val="Tabela - Unidade"/>
    <w:basedOn w:val="Normal"/>
    <w:autoRedefine/>
    <w:rsid w:val="00834C77"/>
    <w:pPr>
      <w:spacing w:before="0" w:after="0" w:line="240" w:lineRule="auto"/>
      <w:jc w:val="right"/>
    </w:pPr>
    <w:rPr>
      <w:rFonts w:ascii="Arial" w:eastAsia="Times New Roman" w:hAnsi="Arial" w:cs="Arial"/>
      <w:sz w:val="14"/>
      <w:szCs w:val="16"/>
      <w:lang w:eastAsia="pt-BR"/>
    </w:rPr>
  </w:style>
  <w:style w:type="character" w:customStyle="1" w:styleId="Texto-Negrito">
    <w:name w:val="Texto - Negrito"/>
    <w:rsid w:val="00834C77"/>
    <w:rPr>
      <w:b/>
    </w:rPr>
  </w:style>
  <w:style w:type="paragraph" w:styleId="FootnoteText">
    <w:name w:val="footnote text"/>
    <w:basedOn w:val="Normal"/>
    <w:link w:val="FootnoteTextChar"/>
    <w:autoRedefine/>
    <w:uiPriority w:val="99"/>
    <w:rsid w:val="004B6FD6"/>
    <w:pPr>
      <w:spacing w:before="60" w:after="60"/>
      <w:ind w:left="112" w:hanging="112"/>
    </w:pPr>
    <w:rPr>
      <w:rFonts w:ascii="Arial" w:eastAsia="Times New Roman" w:hAnsi="Arial" w:cs="Times New Roman"/>
      <w:sz w:val="16"/>
      <w:szCs w:val="20"/>
      <w:lang w:eastAsia="pt-B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6FD6"/>
    <w:rPr>
      <w:rFonts w:ascii="Arial" w:eastAsia="Times New Roman" w:hAnsi="Arial" w:cs="Times New Roman"/>
      <w:sz w:val="16"/>
      <w:szCs w:val="20"/>
      <w:lang w:eastAsia="pt-BR"/>
    </w:rPr>
  </w:style>
  <w:style w:type="character" w:styleId="FootnoteReference">
    <w:name w:val="footnote reference"/>
    <w:semiHidden/>
    <w:rsid w:val="00834C77"/>
    <w:rPr>
      <w:vertAlign w:val="superscript"/>
    </w:rPr>
  </w:style>
  <w:style w:type="paragraph" w:customStyle="1" w:styleId="Glossrio">
    <w:name w:val="Glossário"/>
    <w:basedOn w:val="Normal"/>
    <w:autoRedefine/>
    <w:rsid w:val="00834C77"/>
    <w:pPr>
      <w:widowControl w:val="0"/>
      <w:spacing w:before="200" w:line="360" w:lineRule="auto"/>
    </w:pPr>
    <w:rPr>
      <w:rFonts w:ascii="Times New Roman" w:eastAsia="Times New Roman" w:hAnsi="Times New Roman" w:cs="Times New Roman"/>
      <w:lang w:eastAsia="pt-BR"/>
    </w:rPr>
  </w:style>
  <w:style w:type="paragraph" w:customStyle="1" w:styleId="TabelaNota">
    <w:name w:val="Tabela Nota"/>
    <w:basedOn w:val="Normal"/>
    <w:autoRedefine/>
    <w:rsid w:val="00834C77"/>
    <w:pPr>
      <w:tabs>
        <w:tab w:val="left" w:pos="356"/>
      </w:tabs>
      <w:spacing w:before="20" w:after="40" w:line="240" w:lineRule="auto"/>
      <w:ind w:left="284" w:hanging="284"/>
    </w:pPr>
    <w:rPr>
      <w:rFonts w:ascii="Arial" w:eastAsia="Times New Roman" w:hAnsi="Arial" w:cs="Arial"/>
      <w:sz w:val="14"/>
      <w:szCs w:val="16"/>
      <w:lang w:eastAsia="pt-BR"/>
    </w:rPr>
  </w:style>
  <w:style w:type="paragraph" w:customStyle="1" w:styleId="Tabela-TtuloMenor">
    <w:name w:val="Tabela - Título Menor"/>
    <w:basedOn w:val="Tabela-Ttulo"/>
    <w:autoRedefine/>
    <w:rsid w:val="00834C77"/>
    <w:rPr>
      <w:sz w:val="14"/>
      <w:szCs w:val="18"/>
    </w:rPr>
  </w:style>
  <w:style w:type="paragraph" w:customStyle="1" w:styleId="Tabela-TextoMenor">
    <w:name w:val="Tabela - Texto Menor"/>
    <w:basedOn w:val="Tabela-Texto"/>
    <w:autoRedefine/>
    <w:rsid w:val="00834C77"/>
    <w:pPr>
      <w:tabs>
        <w:tab w:val="clear" w:pos="128"/>
        <w:tab w:val="clear" w:pos="308"/>
        <w:tab w:val="clear" w:pos="488"/>
        <w:tab w:val="clear" w:pos="668"/>
        <w:tab w:val="clear" w:pos="848"/>
      </w:tabs>
      <w:spacing w:before="20" w:after="20"/>
    </w:pPr>
    <w:rPr>
      <w:sz w:val="14"/>
      <w:szCs w:val="18"/>
    </w:rPr>
  </w:style>
  <w:style w:type="paragraph" w:customStyle="1" w:styleId="Tabela-ValoresMenor">
    <w:name w:val="Tabela - Valores Menor"/>
    <w:basedOn w:val="Tabela-Valores"/>
    <w:autoRedefine/>
    <w:rsid w:val="00834C77"/>
    <w:rPr>
      <w:sz w:val="14"/>
      <w:szCs w:val="18"/>
    </w:rPr>
  </w:style>
  <w:style w:type="paragraph" w:customStyle="1" w:styleId="Tabela-Nomesemquebradepgina">
    <w:name w:val="Tabela - Nome sem quebra de página"/>
    <w:basedOn w:val="Tabela-Nome"/>
    <w:autoRedefine/>
    <w:rsid w:val="00834C77"/>
  </w:style>
  <w:style w:type="paragraph" w:customStyle="1" w:styleId="TtulodoAnexo">
    <w:name w:val="Título do Anexo"/>
    <w:basedOn w:val="Glossrio"/>
    <w:autoRedefine/>
    <w:rsid w:val="00834C77"/>
    <w:pPr>
      <w:jc w:val="center"/>
    </w:pPr>
    <w:rPr>
      <w:rFonts w:ascii="Arial" w:hAnsi="Arial"/>
      <w:b/>
      <w:sz w:val="28"/>
    </w:rPr>
  </w:style>
  <w:style w:type="paragraph" w:customStyle="1" w:styleId="PargrafoNormal">
    <w:name w:val="Parágrafo Normal"/>
    <w:basedOn w:val="Normal"/>
    <w:autoRedefine/>
    <w:rsid w:val="00834C77"/>
    <w:pPr>
      <w:spacing w:line="360" w:lineRule="auto"/>
    </w:pPr>
    <w:rPr>
      <w:rFonts w:ascii="Times New Roman" w:eastAsia="Times New Roman" w:hAnsi="Times New Roman" w:cs="Times New Roman"/>
      <w:bCs/>
      <w:lang w:eastAsia="pt-BR"/>
    </w:rPr>
  </w:style>
  <w:style w:type="character" w:styleId="PageNumber">
    <w:name w:val="page number"/>
    <w:rsid w:val="00834C77"/>
  </w:style>
  <w:style w:type="paragraph" w:customStyle="1" w:styleId="PargrafoItensdoAnexo">
    <w:name w:val="Parágrafo Itens do Anexo"/>
    <w:basedOn w:val="PargrafoNormal"/>
    <w:autoRedefine/>
    <w:rsid w:val="00834C77"/>
    <w:pPr>
      <w:numPr>
        <w:numId w:val="4"/>
      </w:numPr>
      <w:tabs>
        <w:tab w:val="clear" w:pos="1855"/>
        <w:tab w:val="num" w:pos="0"/>
      </w:tabs>
      <w:ind w:left="0" w:firstLine="0"/>
      <w:jc w:val="left"/>
    </w:pPr>
  </w:style>
  <w:style w:type="paragraph" w:customStyle="1" w:styleId="PargrafoItem">
    <w:name w:val="Parágrafo Item"/>
    <w:basedOn w:val="PargrafoNormal"/>
    <w:autoRedefine/>
    <w:rsid w:val="004A14F8"/>
    <w:pPr>
      <w:numPr>
        <w:numId w:val="10"/>
      </w:numPr>
      <w:tabs>
        <w:tab w:val="clear" w:pos="720"/>
      </w:tabs>
      <w:spacing w:before="360"/>
      <w:ind w:left="408" w:hanging="408"/>
    </w:pPr>
  </w:style>
  <w:style w:type="paragraph" w:customStyle="1" w:styleId="TabelaValoresMenor2">
    <w:name w:val="Tabela Valores Menor 2"/>
    <w:basedOn w:val="Tabela-ValoresMenor"/>
    <w:autoRedefine/>
    <w:rsid w:val="00834C77"/>
    <w:rPr>
      <w:sz w:val="12"/>
    </w:rPr>
  </w:style>
  <w:style w:type="paragraph" w:customStyle="1" w:styleId="TabelaTextoMenor2">
    <w:name w:val="Tabela Texto Menor 2"/>
    <w:basedOn w:val="Tabela-TextoMenor"/>
    <w:autoRedefine/>
    <w:rsid w:val="00834C77"/>
    <w:rPr>
      <w:sz w:val="12"/>
      <w:szCs w:val="12"/>
    </w:rPr>
  </w:style>
  <w:style w:type="paragraph" w:customStyle="1" w:styleId="PargrafoGrfico">
    <w:name w:val="Parágrafo Gráfico"/>
    <w:basedOn w:val="PargrafoNormal"/>
    <w:autoRedefine/>
    <w:rsid w:val="00834C77"/>
    <w:pPr>
      <w:spacing w:line="240" w:lineRule="auto"/>
      <w:jc w:val="center"/>
    </w:pPr>
  </w:style>
  <w:style w:type="paragraph" w:customStyle="1" w:styleId="TabelaNotaNormal">
    <w:name w:val="Tabela Nota Normal"/>
    <w:basedOn w:val="TabelaNota"/>
    <w:autoRedefine/>
    <w:rsid w:val="00834C77"/>
    <w:pPr>
      <w:spacing w:before="120" w:after="0"/>
      <w:ind w:left="0" w:firstLine="0"/>
      <w:jc w:val="left"/>
    </w:pPr>
  </w:style>
  <w:style w:type="paragraph" w:customStyle="1" w:styleId="Sumrio">
    <w:name w:val="Sumário"/>
    <w:autoRedefine/>
    <w:rsid w:val="00834C77"/>
    <w:pPr>
      <w:spacing w:after="240" w:line="240" w:lineRule="auto"/>
    </w:pPr>
    <w:rPr>
      <w:rFonts w:ascii="Arial" w:eastAsia="Times New Roman" w:hAnsi="Arial" w:cs="Arial"/>
      <w:b/>
      <w:bCs/>
      <w:kern w:val="32"/>
      <w:sz w:val="24"/>
      <w:szCs w:val="24"/>
      <w:lang w:eastAsia="pt-BR"/>
    </w:rPr>
  </w:style>
  <w:style w:type="paragraph" w:styleId="TOC1">
    <w:name w:val="toc 1"/>
    <w:basedOn w:val="Normal"/>
    <w:next w:val="Normal"/>
    <w:autoRedefine/>
    <w:uiPriority w:val="39"/>
    <w:rsid w:val="00856F92"/>
    <w:pPr>
      <w:tabs>
        <w:tab w:val="left" w:pos="284"/>
        <w:tab w:val="right" w:leader="dot" w:pos="9061"/>
      </w:tabs>
      <w:spacing w:before="360"/>
      <w:jc w:val="left"/>
    </w:pPr>
    <w:rPr>
      <w:rFonts w:eastAsiaTheme="majorEastAsia" w:cs="Times New Roman"/>
      <w:b/>
      <w:noProof/>
      <w:sz w:val="24"/>
      <w:szCs w:val="24"/>
      <w:lang w:eastAsia="pt-BR"/>
    </w:rPr>
  </w:style>
  <w:style w:type="paragraph" w:styleId="TOC2">
    <w:name w:val="toc 2"/>
    <w:basedOn w:val="Normal"/>
    <w:next w:val="Normal"/>
    <w:autoRedefine/>
    <w:uiPriority w:val="39"/>
    <w:rsid w:val="00834C77"/>
    <w:pPr>
      <w:tabs>
        <w:tab w:val="left" w:pos="426"/>
        <w:tab w:val="right" w:leader="dot" w:pos="9072"/>
      </w:tabs>
      <w:spacing w:before="0" w:after="240" w:line="240" w:lineRule="auto"/>
      <w:ind w:left="426" w:right="566" w:hanging="426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OC3">
    <w:name w:val="toc 3"/>
    <w:basedOn w:val="Normal"/>
    <w:next w:val="Normal"/>
    <w:autoRedefine/>
    <w:uiPriority w:val="39"/>
    <w:rsid w:val="00834C77"/>
    <w:pPr>
      <w:tabs>
        <w:tab w:val="left" w:pos="993"/>
        <w:tab w:val="right" w:leader="dot" w:pos="9061"/>
      </w:tabs>
      <w:spacing w:before="0" w:after="240" w:line="240" w:lineRule="auto"/>
      <w:ind w:left="993" w:hanging="567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rsid w:val="00834C77"/>
    <w:rPr>
      <w:color w:val="0000FF"/>
      <w:u w:val="single"/>
    </w:rPr>
  </w:style>
  <w:style w:type="paragraph" w:customStyle="1" w:styleId="Capa">
    <w:name w:val="Capa"/>
    <w:basedOn w:val="Sumrio"/>
    <w:autoRedefine/>
    <w:rsid w:val="00834C77"/>
    <w:pPr>
      <w:jc w:val="center"/>
    </w:pPr>
    <w:rPr>
      <w:caps/>
      <w:sz w:val="36"/>
      <w:szCs w:val="36"/>
    </w:rPr>
  </w:style>
  <w:style w:type="paragraph" w:customStyle="1" w:styleId="Tabela-TextoCentro">
    <w:name w:val="Tabela - Texto Centro"/>
    <w:basedOn w:val="Tabela-Texto"/>
    <w:autoRedefine/>
    <w:rsid w:val="00834C77"/>
    <w:pPr>
      <w:jc w:val="center"/>
    </w:pPr>
  </w:style>
  <w:style w:type="paragraph" w:customStyle="1" w:styleId="Tabela-TextoCentroMenor">
    <w:name w:val="Tabela - Texto Centro Menor"/>
    <w:basedOn w:val="Tabela-TextoCentro"/>
    <w:autoRedefine/>
    <w:rsid w:val="00834C77"/>
    <w:rPr>
      <w:sz w:val="14"/>
    </w:rPr>
  </w:style>
  <w:style w:type="paragraph" w:styleId="TOCHeading">
    <w:name w:val="TOC Heading"/>
    <w:basedOn w:val="Heading1"/>
    <w:next w:val="Normal"/>
    <w:uiPriority w:val="39"/>
    <w:unhideWhenUsed/>
    <w:qFormat/>
    <w:rsid w:val="00834C77"/>
    <w:pPr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Cs w:val="0"/>
      <w:smallCaps/>
      <w:color w:val="2E74B5"/>
      <w:szCs w:val="32"/>
      <w:lang w:eastAsia="pt-B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C77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C77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paragraph" w:customStyle="1" w:styleId="MARCADOR1">
    <w:name w:val="MARCADOR 1"/>
    <w:basedOn w:val="Normal"/>
    <w:link w:val="MARCADOR1CharChar"/>
    <w:qFormat/>
    <w:rsid w:val="00834C77"/>
    <w:pPr>
      <w:numPr>
        <w:numId w:val="5"/>
      </w:numPr>
    </w:pPr>
    <w:rPr>
      <w:rFonts w:ascii="Calibri" w:eastAsia="Times New Roman" w:hAnsi="Calibri" w:cs="Arial"/>
      <w:bCs/>
      <w:color w:val="000000"/>
      <w:szCs w:val="20"/>
      <w:lang w:eastAsia="pt-BR"/>
    </w:rPr>
  </w:style>
  <w:style w:type="character" w:customStyle="1" w:styleId="MARCADOR1CharChar">
    <w:name w:val="MARCADOR 1 Char Char"/>
    <w:link w:val="MARCADOR1"/>
    <w:rsid w:val="00834C77"/>
    <w:rPr>
      <w:rFonts w:ascii="Calibri" w:eastAsia="Times New Roman" w:hAnsi="Calibri" w:cs="Arial"/>
      <w:bCs/>
      <w:color w:val="000000"/>
      <w:szCs w:val="20"/>
      <w:lang w:eastAsia="pt-BR"/>
    </w:rPr>
  </w:style>
  <w:style w:type="paragraph" w:styleId="Caption">
    <w:name w:val="caption"/>
    <w:basedOn w:val="Normal"/>
    <w:next w:val="Normal"/>
    <w:uiPriority w:val="35"/>
    <w:unhideWhenUsed/>
    <w:qFormat/>
    <w:rsid w:val="00834C77"/>
    <w:pPr>
      <w:spacing w:before="360"/>
      <w:jc w:val="center"/>
    </w:pPr>
    <w:rPr>
      <w:rFonts w:ascii="Calibri" w:eastAsia="Calibri" w:hAnsi="Calibri" w:cs="Times New Roman"/>
      <w:bCs/>
      <w:i/>
      <w:color w:val="808080"/>
      <w:sz w:val="20"/>
      <w:szCs w:val="18"/>
    </w:rPr>
  </w:style>
  <w:style w:type="paragraph" w:styleId="NormalWeb">
    <w:name w:val="Normal (Web)"/>
    <w:basedOn w:val="Normal"/>
    <w:uiPriority w:val="99"/>
    <w:semiHidden/>
    <w:unhideWhenUsed/>
    <w:rsid w:val="00834C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ableofFigures">
    <w:name w:val="table of figures"/>
    <w:basedOn w:val="Normal"/>
    <w:next w:val="Normal"/>
    <w:uiPriority w:val="99"/>
    <w:unhideWhenUsed/>
    <w:rsid w:val="00834C77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qFormat/>
    <w:rsid w:val="00834C77"/>
    <w:pPr>
      <w:widowControl w:val="0"/>
      <w:spacing w:before="0" w:after="0" w:line="240" w:lineRule="auto"/>
      <w:ind w:left="117"/>
      <w:jc w:val="left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834C77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marcador">
    <w:name w:val="marcador"/>
    <w:basedOn w:val="Normal"/>
    <w:link w:val="marcadorChar"/>
    <w:rsid w:val="00834C77"/>
    <w:pPr>
      <w:numPr>
        <w:numId w:val="6"/>
      </w:numPr>
      <w:tabs>
        <w:tab w:val="left" w:pos="1276"/>
      </w:tabs>
      <w:spacing w:after="360"/>
    </w:pPr>
    <w:rPr>
      <w:rFonts w:ascii="Calibri" w:eastAsia="Times New Roman" w:hAnsi="Calibri" w:cs="Arial"/>
      <w:color w:val="000000"/>
      <w:lang w:bidi="en-US"/>
    </w:rPr>
  </w:style>
  <w:style w:type="character" w:customStyle="1" w:styleId="marcadorChar">
    <w:name w:val="marcador Char"/>
    <w:link w:val="marcador"/>
    <w:rsid w:val="00834C77"/>
    <w:rPr>
      <w:rFonts w:ascii="Calibri" w:eastAsia="Times New Roman" w:hAnsi="Calibri" w:cs="Arial"/>
      <w:color w:val="000000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834C77"/>
    <w:pPr>
      <w:spacing w:after="60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4C77"/>
    <w:rPr>
      <w:rFonts w:ascii="Arial" w:eastAsia="Times New Roman" w:hAnsi="Arial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C77"/>
    <w:pPr>
      <w:spacing w:after="60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4C77"/>
    <w:rPr>
      <w:rFonts w:ascii="Arial" w:eastAsia="Times New Roman" w:hAnsi="Arial" w:cs="Times New Roman"/>
      <w:sz w:val="24"/>
      <w:szCs w:val="24"/>
    </w:rPr>
  </w:style>
  <w:style w:type="character" w:styleId="IntenseReference">
    <w:name w:val="Intense Reference"/>
    <w:uiPriority w:val="32"/>
    <w:qFormat/>
    <w:rsid w:val="00834C77"/>
    <w:rPr>
      <w:b/>
      <w:bCs/>
      <w:smallCaps/>
      <w:color w:val="C0504D"/>
      <w:spacing w:val="5"/>
      <w:u w:val="single"/>
    </w:rPr>
  </w:style>
  <w:style w:type="paragraph" w:customStyle="1" w:styleId="NOTADERODAP">
    <w:name w:val="NOTA DE RODAPÉ"/>
    <w:basedOn w:val="FootnoteText"/>
    <w:link w:val="NOTADERODAPChar"/>
    <w:autoRedefine/>
    <w:qFormat/>
    <w:rsid w:val="00834C77"/>
    <w:pPr>
      <w:tabs>
        <w:tab w:val="left" w:pos="7920"/>
      </w:tabs>
      <w:spacing w:line="240" w:lineRule="auto"/>
      <w:ind w:left="142" w:right="584" w:hanging="34"/>
      <w:jc w:val="right"/>
    </w:pPr>
    <w:rPr>
      <w:rFonts w:ascii="Calibri" w:hAnsi="Calibri"/>
      <w:sz w:val="14"/>
      <w:szCs w:val="14"/>
      <w:lang w:eastAsia="en-US"/>
    </w:rPr>
  </w:style>
  <w:style w:type="character" w:customStyle="1" w:styleId="NOTADERODAPChar">
    <w:name w:val="NOTA DE RODAPÉ Char"/>
    <w:link w:val="NOTADERODAP"/>
    <w:rsid w:val="00834C77"/>
    <w:rPr>
      <w:rFonts w:ascii="Calibri" w:eastAsia="Times New Roman" w:hAnsi="Calibri" w:cs="Times New Roman"/>
      <w:sz w:val="14"/>
      <w:szCs w:val="14"/>
    </w:rPr>
  </w:style>
  <w:style w:type="paragraph" w:customStyle="1" w:styleId="TITULOFIGURA">
    <w:name w:val="TITULO FIGURA"/>
    <w:basedOn w:val="Normal"/>
    <w:link w:val="TITULOFIGURAChar"/>
    <w:qFormat/>
    <w:rsid w:val="00834C77"/>
    <w:pPr>
      <w:autoSpaceDE w:val="0"/>
      <w:autoSpaceDN w:val="0"/>
      <w:adjustRightInd w:val="0"/>
      <w:spacing w:before="360" w:after="480"/>
      <w:ind w:left="2268" w:hanging="1134"/>
      <w:jc w:val="left"/>
    </w:pPr>
    <w:rPr>
      <w:rFonts w:ascii="Arial" w:eastAsia="Times New Roman" w:hAnsi="Arial" w:cs="Times New Roman"/>
      <w:b/>
      <w:i/>
      <w:color w:val="948A54"/>
      <w:sz w:val="19"/>
      <w:szCs w:val="20"/>
      <w:lang w:eastAsia="pt-BR"/>
    </w:rPr>
  </w:style>
  <w:style w:type="character" w:customStyle="1" w:styleId="TITULOFIGURAChar">
    <w:name w:val="TITULO FIGURA Char"/>
    <w:link w:val="TITULOFIGURA"/>
    <w:rsid w:val="00834C77"/>
    <w:rPr>
      <w:rFonts w:ascii="Arial" w:eastAsia="Times New Roman" w:hAnsi="Arial" w:cs="Times New Roman"/>
      <w:b/>
      <w:i/>
      <w:color w:val="948A54"/>
      <w:sz w:val="19"/>
      <w:szCs w:val="20"/>
      <w:lang w:eastAsia="pt-BR"/>
    </w:rPr>
  </w:style>
  <w:style w:type="paragraph" w:customStyle="1" w:styleId="Estilo1">
    <w:name w:val="Estilo1"/>
    <w:basedOn w:val="Heading2"/>
    <w:next w:val="Heading2"/>
    <w:link w:val="Estilo1Char"/>
    <w:autoRedefine/>
    <w:qFormat/>
    <w:rsid w:val="00834C77"/>
    <w:pPr>
      <w:keepNext w:val="0"/>
      <w:keepLines w:val="0"/>
      <w:widowControl w:val="0"/>
      <w:numPr>
        <w:ilvl w:val="1"/>
        <w:numId w:val="7"/>
      </w:numPr>
      <w:spacing w:before="240" w:after="120"/>
      <w:outlineLvl w:val="9"/>
    </w:pPr>
    <w:rPr>
      <w:rFonts w:ascii="Calibri" w:eastAsia="Times New Roman" w:hAnsi="Calibri" w:cs="Arial"/>
      <w:i/>
      <w:iCs/>
      <w:color w:val="2E6370"/>
      <w:sz w:val="22"/>
      <w:szCs w:val="22"/>
      <w:lang w:eastAsia="pt-BR"/>
    </w:rPr>
  </w:style>
  <w:style w:type="character" w:customStyle="1" w:styleId="Estilo1Char">
    <w:name w:val="Estilo1 Char"/>
    <w:link w:val="Estilo1"/>
    <w:rsid w:val="00834C77"/>
    <w:rPr>
      <w:rFonts w:ascii="Calibri" w:eastAsia="Times New Roman" w:hAnsi="Calibri" w:cs="Arial"/>
      <w:b/>
      <w:bCs/>
      <w:i/>
      <w:iCs/>
      <w:color w:val="2E6370"/>
      <w:lang w:eastAsia="pt-BR"/>
    </w:rPr>
  </w:style>
  <w:style w:type="paragraph" w:customStyle="1" w:styleId="FONTE">
    <w:name w:val="FONTE"/>
    <w:basedOn w:val="Normal"/>
    <w:link w:val="FONTEChar"/>
    <w:autoRedefine/>
    <w:qFormat/>
    <w:rsid w:val="00834C77"/>
    <w:pPr>
      <w:spacing w:after="600"/>
    </w:pPr>
    <w:rPr>
      <w:rFonts w:ascii="Calibri" w:eastAsia="Times New Roman" w:hAnsi="Calibri" w:cs="Times New Roman"/>
      <w:sz w:val="18"/>
      <w:szCs w:val="16"/>
    </w:rPr>
  </w:style>
  <w:style w:type="character" w:customStyle="1" w:styleId="FONTEChar">
    <w:name w:val="FONTE Char"/>
    <w:link w:val="FONTE"/>
    <w:rsid w:val="00834C77"/>
    <w:rPr>
      <w:rFonts w:ascii="Calibri" w:eastAsia="Times New Roman" w:hAnsi="Calibri" w:cs="Times New Roman"/>
      <w:sz w:val="18"/>
      <w:szCs w:val="16"/>
    </w:rPr>
  </w:style>
  <w:style w:type="paragraph" w:customStyle="1" w:styleId="MARCADAOR2">
    <w:name w:val="MARCADAOR 2"/>
    <w:basedOn w:val="MARCADOR1"/>
    <w:link w:val="MARCADAOR2Char"/>
    <w:qFormat/>
    <w:rsid w:val="00834C77"/>
    <w:pPr>
      <w:numPr>
        <w:numId w:val="0"/>
      </w:numPr>
    </w:pPr>
  </w:style>
  <w:style w:type="character" w:customStyle="1" w:styleId="MARCADAOR2Char">
    <w:name w:val="MARCADAOR 2 Char"/>
    <w:link w:val="MARCADAOR2"/>
    <w:rsid w:val="00834C77"/>
    <w:rPr>
      <w:rFonts w:ascii="Calibri" w:eastAsia="Times New Roman" w:hAnsi="Calibri" w:cs="Arial"/>
      <w:bCs/>
      <w:color w:val="000000"/>
      <w:szCs w:val="20"/>
      <w:lang w:eastAsia="pt-BR"/>
    </w:rPr>
  </w:style>
  <w:style w:type="paragraph" w:customStyle="1" w:styleId="style1style2">
    <w:name w:val="style1 style2"/>
    <w:basedOn w:val="Normal"/>
    <w:rsid w:val="00834C77"/>
    <w:pPr>
      <w:spacing w:before="100" w:beforeAutospacing="1" w:after="100" w:afterAutospacing="1" w:line="240" w:lineRule="auto"/>
      <w:jc w:val="left"/>
    </w:pPr>
    <w:rPr>
      <w:rFonts w:ascii="Verdana" w:eastAsia="Times New Roman" w:hAnsi="Verdana" w:cs="Times New Roman"/>
      <w:color w:val="000000"/>
      <w:sz w:val="14"/>
      <w:szCs w:val="14"/>
      <w:lang w:eastAsia="pt-BR"/>
    </w:rPr>
  </w:style>
  <w:style w:type="paragraph" w:customStyle="1" w:styleId="Estilo2">
    <w:name w:val="Estilo2"/>
    <w:basedOn w:val="Normal"/>
    <w:link w:val="Estilo2Char"/>
    <w:autoRedefine/>
    <w:qFormat/>
    <w:rsid w:val="00834C77"/>
    <w:pPr>
      <w:pBdr>
        <w:bottom w:val="single" w:sz="4" w:space="1" w:color="C4BC96"/>
      </w:pBdr>
      <w:spacing w:before="480" w:after="360"/>
      <w:ind w:right="-1"/>
      <w:jc w:val="left"/>
    </w:pPr>
    <w:rPr>
      <w:rFonts w:ascii="Arial" w:eastAsia="Times New Roman" w:hAnsi="Arial" w:cs="Times New Roman"/>
      <w:b/>
      <w:i/>
      <w:color w:val="943634"/>
      <w:sz w:val="20"/>
      <w:szCs w:val="20"/>
      <w:lang w:eastAsia="pt-BR"/>
    </w:rPr>
  </w:style>
  <w:style w:type="character" w:customStyle="1" w:styleId="Estilo2Char">
    <w:name w:val="Estilo2 Char"/>
    <w:link w:val="Estilo2"/>
    <w:rsid w:val="00834C77"/>
    <w:rPr>
      <w:rFonts w:ascii="Arial" w:eastAsia="Times New Roman" w:hAnsi="Arial" w:cs="Times New Roman"/>
      <w:b/>
      <w:i/>
      <w:color w:val="943634"/>
      <w:sz w:val="20"/>
      <w:szCs w:val="20"/>
      <w:lang w:eastAsia="pt-BR"/>
    </w:rPr>
  </w:style>
  <w:style w:type="paragraph" w:customStyle="1" w:styleId="Estilo3">
    <w:name w:val="Estilo3"/>
    <w:basedOn w:val="Estilo2"/>
    <w:link w:val="Estilo3Char"/>
    <w:autoRedefine/>
    <w:qFormat/>
    <w:rsid w:val="00834C77"/>
    <w:pPr>
      <w:spacing w:before="720"/>
      <w:ind w:right="0"/>
    </w:pPr>
    <w:rPr>
      <w:color w:val="800000"/>
    </w:rPr>
  </w:style>
  <w:style w:type="character" w:customStyle="1" w:styleId="Estilo3Char">
    <w:name w:val="Estilo3 Char"/>
    <w:link w:val="Estilo3"/>
    <w:rsid w:val="00834C77"/>
    <w:rPr>
      <w:rFonts w:ascii="Arial" w:eastAsia="Times New Roman" w:hAnsi="Arial" w:cs="Times New Roman"/>
      <w:b/>
      <w:i/>
      <w:color w:val="800000"/>
      <w:sz w:val="20"/>
      <w:szCs w:val="20"/>
      <w:lang w:eastAsia="pt-BR"/>
    </w:rPr>
  </w:style>
  <w:style w:type="paragraph" w:customStyle="1" w:styleId="EstiloTtulo112ptNegritoAntes36ptDepoisde30pt">
    <w:name w:val="Estilo Título 1 + 12 pt Negrito Antes:  36 pt Depois de:  30 pt"/>
    <w:basedOn w:val="Heading1"/>
    <w:rsid w:val="00834C77"/>
    <w:pPr>
      <w:keepLines w:val="0"/>
      <w:numPr>
        <w:numId w:val="0"/>
      </w:numPr>
      <w:spacing w:after="600"/>
      <w:jc w:val="left"/>
    </w:pPr>
    <w:rPr>
      <w:rFonts w:ascii="Calibri" w:eastAsia="Times New Roman" w:hAnsi="Calibri" w:cs="Times New Roman"/>
      <w:b/>
      <w:smallCaps/>
      <w:color w:val="1E4D78"/>
      <w:sz w:val="24"/>
      <w:szCs w:val="20"/>
      <w:lang w:eastAsia="pt-BR"/>
    </w:rPr>
  </w:style>
  <w:style w:type="character" w:styleId="Strong">
    <w:name w:val="Strong"/>
    <w:qFormat/>
    <w:rsid w:val="00834C77"/>
    <w:rPr>
      <w:b/>
      <w:bCs/>
    </w:rPr>
  </w:style>
  <w:style w:type="paragraph" w:customStyle="1" w:styleId="Default">
    <w:name w:val="Default"/>
    <w:rsid w:val="00834C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CharChar9">
    <w:name w:val="Char Char9"/>
    <w:rsid w:val="00834C77"/>
    <w:rPr>
      <w:rFonts w:ascii="Calibri" w:hAnsi="Calibri"/>
      <w:b/>
      <w:bCs/>
      <w:color w:val="948A54"/>
      <w:kern w:val="32"/>
      <w:sz w:val="28"/>
      <w:szCs w:val="32"/>
      <w:lang w:eastAsia="en-US"/>
    </w:rPr>
  </w:style>
  <w:style w:type="character" w:customStyle="1" w:styleId="normal1">
    <w:name w:val="normal1"/>
    <w:rsid w:val="00834C77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pargrafoChar">
    <w:name w:val="parágrafo Char"/>
    <w:rsid w:val="00834C77"/>
    <w:rPr>
      <w:rFonts w:ascii="Arial" w:hAnsi="Arial" w:cs="Arial"/>
      <w:sz w:val="22"/>
      <w:szCs w:val="22"/>
      <w:lang w:eastAsia="en-US"/>
    </w:rPr>
  </w:style>
  <w:style w:type="paragraph" w:customStyle="1" w:styleId="numerado">
    <w:name w:val="numerado"/>
    <w:basedOn w:val="Normal"/>
    <w:link w:val="numeradoChar"/>
    <w:qFormat/>
    <w:rsid w:val="00834C77"/>
    <w:pPr>
      <w:spacing w:before="0" w:after="200" w:line="312" w:lineRule="auto"/>
      <w:ind w:left="720" w:hanging="360"/>
    </w:pPr>
    <w:rPr>
      <w:rFonts w:ascii="Arial" w:eastAsia="Calibri" w:hAnsi="Arial" w:cs="Arial"/>
    </w:rPr>
  </w:style>
  <w:style w:type="character" w:customStyle="1" w:styleId="numeradoChar">
    <w:name w:val="numerado Char"/>
    <w:link w:val="numerado"/>
    <w:rsid w:val="00834C77"/>
    <w:rPr>
      <w:rFonts w:ascii="Arial" w:eastAsia="Calibri" w:hAnsi="Arial" w:cs="Arial"/>
    </w:rPr>
  </w:style>
  <w:style w:type="paragraph" w:customStyle="1" w:styleId="marcadorcomletras">
    <w:name w:val="marcador com letras"/>
    <w:basedOn w:val="Normal"/>
    <w:link w:val="marcadorcomletrasChar"/>
    <w:qFormat/>
    <w:rsid w:val="00834C77"/>
    <w:pPr>
      <w:numPr>
        <w:numId w:val="8"/>
      </w:numPr>
      <w:spacing w:before="0" w:after="200" w:line="312" w:lineRule="auto"/>
      <w:ind w:right="283"/>
    </w:pPr>
    <w:rPr>
      <w:rFonts w:ascii="Arial" w:eastAsia="Calibri" w:hAnsi="Arial" w:cs="Arial"/>
    </w:rPr>
  </w:style>
  <w:style w:type="character" w:customStyle="1" w:styleId="marcadorcomletrasChar">
    <w:name w:val="marcador com letras Char"/>
    <w:link w:val="marcadorcomletras"/>
    <w:rsid w:val="00834C77"/>
    <w:rPr>
      <w:rFonts w:ascii="Arial" w:eastAsia="Calibri" w:hAnsi="Arial" w:cs="Arial"/>
    </w:rPr>
  </w:style>
  <w:style w:type="paragraph" w:customStyle="1" w:styleId="style3">
    <w:name w:val="style3"/>
    <w:basedOn w:val="Normal"/>
    <w:rsid w:val="00834C77"/>
    <w:pPr>
      <w:spacing w:before="100" w:beforeAutospacing="1" w:after="100" w:afterAutospacing="1" w:line="240" w:lineRule="auto"/>
      <w:jc w:val="left"/>
    </w:pPr>
    <w:rPr>
      <w:rFonts w:ascii="Verdana" w:eastAsia="Times New Roman" w:hAnsi="Verdana" w:cs="Times New Roman"/>
      <w:color w:val="000000"/>
      <w:sz w:val="14"/>
      <w:szCs w:val="14"/>
      <w:lang w:eastAsia="pt-BR"/>
    </w:rPr>
  </w:style>
  <w:style w:type="paragraph" w:customStyle="1" w:styleId="marcador2">
    <w:name w:val="marcador 2"/>
    <w:basedOn w:val="Normal"/>
    <w:link w:val="marcador2CharChar"/>
    <w:qFormat/>
    <w:rsid w:val="00834C77"/>
    <w:pPr>
      <w:numPr>
        <w:ilvl w:val="2"/>
        <w:numId w:val="9"/>
      </w:numPr>
      <w:spacing w:before="0" w:after="200" w:line="312" w:lineRule="auto"/>
    </w:pPr>
    <w:rPr>
      <w:rFonts w:ascii="Arial" w:eastAsia="Calibri" w:hAnsi="Arial" w:cs="Arial"/>
    </w:rPr>
  </w:style>
  <w:style w:type="character" w:customStyle="1" w:styleId="marcador2CharChar">
    <w:name w:val="marcador 2 Char Char"/>
    <w:link w:val="marcador2"/>
    <w:rsid w:val="00834C77"/>
    <w:rPr>
      <w:rFonts w:ascii="Arial" w:eastAsia="Calibri" w:hAnsi="Arial" w:cs="Arial"/>
    </w:rPr>
  </w:style>
  <w:style w:type="paragraph" w:styleId="TOC4">
    <w:name w:val="toc 4"/>
    <w:basedOn w:val="Normal"/>
    <w:next w:val="Normal"/>
    <w:autoRedefine/>
    <w:semiHidden/>
    <w:rsid w:val="00834C77"/>
    <w:pPr>
      <w:ind w:left="660"/>
    </w:pPr>
    <w:rPr>
      <w:rFonts w:ascii="Calibri" w:eastAsia="Times New Roman" w:hAnsi="Calibri" w:cs="Times New Roman"/>
      <w:szCs w:val="24"/>
    </w:rPr>
  </w:style>
  <w:style w:type="character" w:customStyle="1" w:styleId="highlightedsearchterm">
    <w:name w:val="highlightedsearchterm"/>
    <w:rsid w:val="00834C77"/>
  </w:style>
  <w:style w:type="paragraph" w:customStyle="1" w:styleId="notatabelasegraficos">
    <w:name w:val="nota tabelas e graficos"/>
    <w:basedOn w:val="FONTE"/>
    <w:link w:val="notatabelasegraficosChar"/>
    <w:qFormat/>
    <w:rsid w:val="00834C77"/>
    <w:pPr>
      <w:spacing w:before="120" w:after="120" w:line="240" w:lineRule="auto"/>
      <w:jc w:val="right"/>
    </w:pPr>
    <w:rPr>
      <w:sz w:val="14"/>
    </w:rPr>
  </w:style>
  <w:style w:type="paragraph" w:customStyle="1" w:styleId="observaes">
    <w:name w:val="observações"/>
    <w:basedOn w:val="Normal"/>
    <w:link w:val="observaesChar"/>
    <w:qFormat/>
    <w:rsid w:val="00834C77"/>
    <w:pPr>
      <w:spacing w:before="120" w:after="240" w:line="240" w:lineRule="auto"/>
    </w:pPr>
    <w:rPr>
      <w:rFonts w:ascii="Calibri" w:eastAsia="Times New Roman" w:hAnsi="Calibri" w:cs="Times New Roman"/>
      <w:sz w:val="16"/>
      <w:szCs w:val="24"/>
    </w:rPr>
  </w:style>
  <w:style w:type="character" w:customStyle="1" w:styleId="notatabelasegraficosChar">
    <w:name w:val="nota tabelas e graficos Char"/>
    <w:link w:val="notatabelasegraficos"/>
    <w:rsid w:val="00834C77"/>
    <w:rPr>
      <w:rFonts w:ascii="Calibri" w:eastAsia="Times New Roman" w:hAnsi="Calibri" w:cs="Times New Roman"/>
      <w:sz w:val="14"/>
      <w:szCs w:val="16"/>
    </w:rPr>
  </w:style>
  <w:style w:type="character" w:styleId="CommentReference">
    <w:name w:val="annotation reference"/>
    <w:uiPriority w:val="99"/>
    <w:semiHidden/>
    <w:unhideWhenUsed/>
    <w:rsid w:val="00834C77"/>
    <w:rPr>
      <w:sz w:val="16"/>
      <w:szCs w:val="16"/>
    </w:rPr>
  </w:style>
  <w:style w:type="character" w:customStyle="1" w:styleId="observaesChar">
    <w:name w:val="observações Char"/>
    <w:link w:val="observaes"/>
    <w:rsid w:val="00834C77"/>
    <w:rPr>
      <w:rFonts w:ascii="Calibri" w:eastAsia="Times New Roman" w:hAnsi="Calibri" w:cs="Times New Roman"/>
      <w:sz w:val="16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4C77"/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4C77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C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C77"/>
    <w:rPr>
      <w:rFonts w:ascii="Calibri" w:eastAsia="Times New Roma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34C77"/>
    <w:pPr>
      <w:spacing w:after="0" w:line="240" w:lineRule="auto"/>
    </w:pPr>
    <w:rPr>
      <w:rFonts w:ascii="Calibri" w:eastAsia="Calibri" w:hAnsi="Calibri" w:cs="Times New Roman"/>
    </w:rPr>
  </w:style>
  <w:style w:type="character" w:styleId="FollowedHyperlink">
    <w:name w:val="FollowedHyperlink"/>
    <w:uiPriority w:val="99"/>
    <w:semiHidden/>
    <w:unhideWhenUsed/>
    <w:rsid w:val="00834C77"/>
    <w:rPr>
      <w:color w:val="D8D8D8"/>
      <w:u w:val="single"/>
    </w:rPr>
  </w:style>
  <w:style w:type="character" w:styleId="BookTitle">
    <w:name w:val="Book Title"/>
    <w:basedOn w:val="DefaultParagraphFont"/>
    <w:uiPriority w:val="33"/>
    <w:qFormat/>
    <w:rsid w:val="006458D9"/>
    <w:rPr>
      <w:b/>
      <w:bCs/>
      <w:i/>
      <w:iCs/>
      <w:spacing w:val="5"/>
      <w:sz w:val="52"/>
    </w:rPr>
  </w:style>
  <w:style w:type="paragraph" w:styleId="Quote">
    <w:name w:val="Quote"/>
    <w:basedOn w:val="Normal"/>
    <w:next w:val="Normal"/>
    <w:link w:val="QuoteChar"/>
    <w:uiPriority w:val="29"/>
    <w:qFormat/>
    <w:rsid w:val="00B55AF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5AF2"/>
    <w:rPr>
      <w:i/>
      <w:iCs/>
      <w:color w:val="404040" w:themeColor="text1" w:themeTint="BF"/>
    </w:rPr>
  </w:style>
  <w:style w:type="character" w:styleId="UnresolvedMention">
    <w:name w:val="Unresolved Mention"/>
    <w:basedOn w:val="DefaultParagraphFont"/>
    <w:uiPriority w:val="99"/>
    <w:semiHidden/>
    <w:unhideWhenUsed/>
    <w:rsid w:val="00D64EB1"/>
    <w:rPr>
      <w:color w:val="808080"/>
      <w:shd w:val="clear" w:color="auto" w:fill="E6E6E6"/>
    </w:rPr>
  </w:style>
  <w:style w:type="paragraph" w:customStyle="1" w:styleId="Pa20">
    <w:name w:val="Pa20"/>
    <w:basedOn w:val="Normal"/>
    <w:next w:val="Normal"/>
    <w:uiPriority w:val="99"/>
    <w:rsid w:val="00FB6F3B"/>
    <w:pPr>
      <w:autoSpaceDE w:val="0"/>
      <w:autoSpaceDN w:val="0"/>
      <w:adjustRightInd w:val="0"/>
      <w:spacing w:before="0" w:after="0" w:line="211" w:lineRule="atLeast"/>
      <w:jc w:val="left"/>
    </w:pPr>
    <w:rPr>
      <w:rFonts w:ascii="Source Sans Pro SemiBold" w:hAnsi="Source Sans Pro SemiBol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0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26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34" Type="http://schemas.openxmlformats.org/officeDocument/2006/relationships/customXml" Target="../customXml/item6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emf"/><Relationship Id="rId25" Type="http://schemas.openxmlformats.org/officeDocument/2006/relationships/image" Target="media/image16.png"/><Relationship Id="rId33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emf"/><Relationship Id="rId32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4.emf"/><Relationship Id="rId28" Type="http://schemas.openxmlformats.org/officeDocument/2006/relationships/fontTable" Target="fontTable.xml"/><Relationship Id="rId36" Type="http://schemas.openxmlformats.org/officeDocument/2006/relationships/customXml" Target="../customXml/item8.xml"/><Relationship Id="rId10" Type="http://schemas.openxmlformats.org/officeDocument/2006/relationships/image" Target="media/image1.emf"/><Relationship Id="rId19" Type="http://schemas.openxmlformats.org/officeDocument/2006/relationships/image" Target="media/image10.emf"/><Relationship Id="rId31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emf"/><Relationship Id="rId35" Type="http://schemas.openxmlformats.org/officeDocument/2006/relationships/customXml" Target="../customXml/item7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Gov ES">
      <a:dk1>
        <a:sysClr val="windowText" lastClr="000000"/>
      </a:dk1>
      <a:lt1>
        <a:sysClr val="window" lastClr="FFFFFF"/>
      </a:lt1>
      <a:dk2>
        <a:srgbClr val="254B81"/>
      </a:dk2>
      <a:lt2>
        <a:srgbClr val="4685A7"/>
      </a:lt2>
      <a:accent1>
        <a:srgbClr val="A32B47"/>
      </a:accent1>
      <a:accent2>
        <a:srgbClr val="6A1B2B"/>
      </a:accent2>
      <a:accent3>
        <a:srgbClr val="FFE8A7"/>
      </a:accent3>
      <a:accent4>
        <a:srgbClr val="94864C"/>
      </a:accent4>
      <a:accent5>
        <a:srgbClr val="3F3F3F"/>
      </a:accent5>
      <a:accent6>
        <a:srgbClr val="A5A5A5"/>
      </a:accent6>
      <a:hlink>
        <a:srgbClr val="D3F7BB"/>
      </a:hlink>
      <a:folHlink>
        <a:srgbClr val="7F7F7F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088F576E12EDE42B7642FC48F0B6256" ma:contentTypeVersion="4672" ma:contentTypeDescription="The base project type from which other project content types inherit their information." ma:contentTypeScope="" ma:versionID="af571b7cdc0fb00a4b8ff29f9ed4983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a31fbadceea3534c4be6496e92650f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FF1ADE9F898BC41981BB94CDDC5F0D4" ma:contentTypeVersion="5681" ma:contentTypeDescription="A content type to manage public (operations) IDB documents" ma:contentTypeScope="" ma:versionID="fd7da6b04b376d63efa6da2b7d1ba47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a35caa2bd4d9643e1b7f49266c6af1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52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IFD/FMM</Division_x0020_or_x0020_Unit>
    <IDBDocs_x0020_Number xmlns="cdc7663a-08f0-4737-9e8c-148ce897a09c" xsi:nil="true"/>
    <Document_x0020_Author xmlns="cdc7663a-08f0-4737-9e8c-148ce897a09c">Bakaj, Patricia Goes</Document_x0020_Author>
    <_dlc_DocId xmlns="cdc7663a-08f0-4737-9e8c-148ce897a09c">EZSHARE-357996087-64</_dlc_DocId>
    <Operation_x0020_Type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TaxCatchAll xmlns="cdc7663a-08f0-4737-9e8c-148ce897a09c">
      <Value>242</Value>
      <Value>31</Value>
      <Value>30</Value>
      <Value>1</Value>
    </TaxCatchAll>
    <Fiscal_x0020_Year_x0020_IDB xmlns="cdc7663a-08f0-4737-9e8c-148ce897a09c">2019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BR-L1525;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DECENTRALIZATION ＆ INTERGOVERNMENTAL RELATIONS</TermName>
          <TermId xmlns="http://schemas.microsoft.com/office/infopath/2007/PartnerControls">175f00f6-cbe9-4743-a188-bfed370207da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https://idbg.sharepoint.com/teams/EZ-BR-LON/BR-L1525/_layouts/15/DocIdRedir.aspx?ID=EZSHARE-357996087-64</Url>
      <Description>EZSHARE-357996087-64</Description>
    </_dlc_DocIdUrl>
    <Phase xmlns="cdc7663a-08f0-4737-9e8c-148ce897a09c" xsi:nil="true"/>
    <Other_x0020_Author xmlns="cdc7663a-08f0-4737-9e8c-148ce897a09c">Lorena Kevish</Other_x0020_Author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A315D38C-CDE1-4F80-8410-44A8E344AE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E749E5-4484-4786-9D1A-E834800E86B8}"/>
</file>

<file path=customXml/itemProps3.xml><?xml version="1.0" encoding="utf-8"?>
<ds:datastoreItem xmlns:ds="http://schemas.openxmlformats.org/officeDocument/2006/customXml" ds:itemID="{2231454D-D0BD-4E4A-804F-EE4599ABAC26}"/>
</file>

<file path=customXml/itemProps4.xml><?xml version="1.0" encoding="utf-8"?>
<ds:datastoreItem xmlns:ds="http://schemas.openxmlformats.org/officeDocument/2006/customXml" ds:itemID="{865A40B8-E911-4CD4-9769-9E58D236CF51}"/>
</file>

<file path=customXml/itemProps5.xml><?xml version="1.0" encoding="utf-8"?>
<ds:datastoreItem xmlns:ds="http://schemas.openxmlformats.org/officeDocument/2006/customXml" ds:itemID="{574AD857-4F56-4EC2-A19B-34CF6156B22E}"/>
</file>

<file path=customXml/itemProps6.xml><?xml version="1.0" encoding="utf-8"?>
<ds:datastoreItem xmlns:ds="http://schemas.openxmlformats.org/officeDocument/2006/customXml" ds:itemID="{8147BAF9-CA72-4D2B-A42B-EF456DA65E2D}"/>
</file>

<file path=customXml/itemProps7.xml><?xml version="1.0" encoding="utf-8"?>
<ds:datastoreItem xmlns:ds="http://schemas.openxmlformats.org/officeDocument/2006/customXml" ds:itemID="{CCC9EE9F-3A54-4695-AEFA-892E9AC11E41}"/>
</file>

<file path=customXml/itemProps8.xml><?xml version="1.0" encoding="utf-8"?>
<ds:datastoreItem xmlns:ds="http://schemas.openxmlformats.org/officeDocument/2006/customXml" ds:itemID="{D6D79397-FBED-4359-96FC-4A5EC2F202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7122</Words>
  <Characters>40599</Characters>
  <Application>Microsoft Office Word</Application>
  <DocSecurity>0</DocSecurity>
  <Lines>338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luiza</dc:creator>
  <cp:keywords/>
  <cp:lastModifiedBy>Kevish, Maria Lorena</cp:lastModifiedBy>
  <cp:revision>2</cp:revision>
  <cp:lastPrinted>2019-04-29T00:57:00Z</cp:lastPrinted>
  <dcterms:created xsi:type="dcterms:W3CDTF">2019-08-22T14:08:00Z</dcterms:created>
  <dcterms:modified xsi:type="dcterms:W3CDTF">2019-08-22T14:08:00Z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242;#DECENTRALIZATION ＆ INTERGOVERNMENTAL RELATIONS|175f00f6-cbe9-4743-a188-bfed370207da</vt:lpwstr>
  </property>
  <property fmtid="{D5CDD505-2E9C-101B-9397-08002B2CF9AE}" pid="7" name="Country">
    <vt:lpwstr>30;#Brazil|7deb27ec-6837-4974-9aa8-6cfbac841ef8</vt:lpwstr>
  </property>
  <property fmtid="{D5CDD505-2E9C-101B-9397-08002B2CF9AE}" pid="8" name="Fund IDB">
    <vt:lpwstr/>
  </property>
  <property fmtid="{D5CDD505-2E9C-101B-9397-08002B2CF9AE}" pid="9" name="_dlc_DocIdItemGuid">
    <vt:lpwstr>b9d4083a-0a95-4332-87f5-cf6ae2e9b931</vt:lpwstr>
  </property>
  <property fmtid="{D5CDD505-2E9C-101B-9397-08002B2CF9AE}" pid="10" name="Sector IDB">
    <vt:lpwstr>31;#REFORM / MODERNIZATION OF THE STATE|c8fda4a7-691a-4c65-b227-9825197b5cd2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ContentTypeId">
    <vt:lpwstr>0x0101001A458A224826124E8B45B1D613300CFC000FF1ADE9F898BC41981BB94CDDC5F0D4</vt:lpwstr>
  </property>
</Properties>
</file>