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E94CAF" w14:textId="77777777" w:rsidR="00F923FE" w:rsidRPr="000C58A8" w:rsidRDefault="00225EEA" w:rsidP="00942CA0">
      <w:pPr>
        <w:pStyle w:val="Heading2"/>
        <w:rPr>
          <w:rFonts w:ascii="Arial" w:hAnsi="Arial" w:cs="Arial"/>
          <w:sz w:val="22"/>
          <w:szCs w:val="22"/>
          <w:lang w:val="es-ES_tradnl"/>
        </w:rPr>
      </w:pPr>
      <w:r w:rsidRPr="000C58A8">
        <w:rPr>
          <w:rFonts w:ascii="Arial" w:eastAsia="Arial" w:hAnsi="Arial" w:cs="Arial"/>
          <w:color w:val="2E74B5"/>
          <w:sz w:val="22"/>
          <w:szCs w:val="22"/>
          <w:lang w:val="es-ES_tradnl"/>
        </w:rPr>
        <w:t xml:space="preserve">Programa de Apoyo a la Gestión de los Fiscos de Brasil </w:t>
      </w:r>
    </w:p>
    <w:p w14:paraId="112F7A4B" w14:textId="77777777" w:rsidR="00345FE2" w:rsidRPr="000C58A8" w:rsidRDefault="00225EEA" w:rsidP="00EB5F90">
      <w:pPr>
        <w:spacing w:after="0"/>
        <w:jc w:val="center"/>
        <w:rPr>
          <w:rFonts w:ascii="Arial" w:hAnsi="Arial" w:cs="Arial"/>
          <w:b/>
          <w:lang w:val="es-ES_tradnl"/>
        </w:rPr>
      </w:pPr>
      <w:r w:rsidRPr="000C58A8">
        <w:rPr>
          <w:rFonts w:ascii="Arial" w:eastAsia="Arial" w:hAnsi="Arial" w:cs="Arial"/>
          <w:b/>
          <w:bCs/>
          <w:lang w:val="es-ES_tradnl"/>
        </w:rPr>
        <w:t>Amapá - PROFISCO II - BR-L1525</w:t>
      </w:r>
    </w:p>
    <w:tbl>
      <w:tblPr>
        <w:tblW w:w="14070" w:type="dxa"/>
        <w:tblInd w:w="-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890"/>
        <w:gridCol w:w="4320"/>
        <w:gridCol w:w="4860"/>
      </w:tblGrid>
      <w:tr w:rsidR="00523823" w:rsidRPr="000C58A8" w14:paraId="2DD8BFE7" w14:textId="77777777" w:rsidTr="004D5C5F">
        <w:trPr>
          <w:trHeight w:val="619"/>
          <w:tblHeader/>
        </w:trPr>
        <w:tc>
          <w:tcPr>
            <w:tcW w:w="4890" w:type="dxa"/>
            <w:shd w:val="clear" w:color="auto" w:fill="BDD6EE" w:themeFill="accent1" w:themeFillTint="66"/>
            <w:vAlign w:val="center"/>
          </w:tcPr>
          <w:p w14:paraId="657342DF" w14:textId="77777777" w:rsidR="0041428D" w:rsidRPr="000C58A8" w:rsidRDefault="00225EEA" w:rsidP="00345FE2">
            <w:pPr>
              <w:spacing w:after="0" w:line="240" w:lineRule="auto"/>
              <w:jc w:val="center"/>
              <w:rPr>
                <w:rFonts w:ascii="Arial" w:hAnsi="Arial" w:cs="Arial"/>
                <w:b/>
                <w:lang w:val="es-ES_tradnl"/>
              </w:rPr>
            </w:pPr>
            <w:r w:rsidRPr="000C58A8">
              <w:rPr>
                <w:rFonts w:ascii="Arial" w:eastAsia="Arial" w:hAnsi="Arial" w:cs="Arial"/>
                <w:b/>
                <w:bCs/>
                <w:lang w:val="es-ES_tradnl"/>
              </w:rPr>
              <w:t>Necesidades / Causas</w:t>
            </w:r>
          </w:p>
        </w:tc>
        <w:tc>
          <w:tcPr>
            <w:tcW w:w="4320" w:type="dxa"/>
            <w:shd w:val="clear" w:color="auto" w:fill="BDD6EE" w:themeFill="accent1" w:themeFillTint="66"/>
            <w:vAlign w:val="center"/>
          </w:tcPr>
          <w:p w14:paraId="11D95020" w14:textId="77777777" w:rsidR="0041428D" w:rsidRPr="000C58A8" w:rsidRDefault="00225EEA" w:rsidP="00345FE2">
            <w:pPr>
              <w:spacing w:after="0" w:line="240" w:lineRule="auto"/>
              <w:jc w:val="center"/>
              <w:rPr>
                <w:rFonts w:ascii="Arial" w:hAnsi="Arial" w:cs="Arial"/>
                <w:b/>
                <w:lang w:val="es-ES_tradnl"/>
              </w:rPr>
            </w:pPr>
            <w:r w:rsidRPr="000C58A8">
              <w:rPr>
                <w:rFonts w:ascii="Arial" w:eastAsia="Arial" w:hAnsi="Arial" w:cs="Arial"/>
                <w:b/>
                <w:bCs/>
                <w:lang w:val="es-ES_tradnl"/>
              </w:rPr>
              <w:t xml:space="preserve">Evidencias / Magnitudes </w:t>
            </w:r>
            <w:r w:rsidRPr="000C58A8">
              <w:rPr>
                <w:rFonts w:ascii="Arial" w:eastAsia="Arial" w:hAnsi="Arial" w:cs="Arial"/>
                <w:lang w:val="es-ES_tradnl"/>
              </w:rPr>
              <w:t>(esta información va para como nota a pie de página junto con las evidencias)</w:t>
            </w:r>
          </w:p>
        </w:tc>
        <w:tc>
          <w:tcPr>
            <w:tcW w:w="4860" w:type="dxa"/>
            <w:shd w:val="clear" w:color="auto" w:fill="BDD6EE" w:themeFill="accent1" w:themeFillTint="66"/>
            <w:vAlign w:val="center"/>
          </w:tcPr>
          <w:p w14:paraId="58E39505" w14:textId="77777777" w:rsidR="0041428D" w:rsidRPr="000C58A8" w:rsidRDefault="00225EEA" w:rsidP="00345FE2">
            <w:pPr>
              <w:spacing w:after="0" w:line="240" w:lineRule="auto"/>
              <w:jc w:val="center"/>
              <w:rPr>
                <w:rFonts w:ascii="Arial" w:hAnsi="Arial" w:cs="Arial"/>
                <w:b/>
                <w:lang w:val="es-ES_tradnl"/>
              </w:rPr>
            </w:pPr>
            <w:r w:rsidRPr="000C58A8">
              <w:rPr>
                <w:rFonts w:ascii="Arial" w:eastAsia="Arial" w:hAnsi="Arial" w:cs="Arial"/>
                <w:b/>
                <w:bCs/>
                <w:lang w:val="es-ES_tradnl"/>
              </w:rPr>
              <w:t>Productos / Soluciones</w:t>
            </w:r>
          </w:p>
        </w:tc>
      </w:tr>
      <w:tr w:rsidR="00523823" w:rsidRPr="003C561B" w14:paraId="473E550B" w14:textId="77777777" w:rsidTr="001B021A">
        <w:trPr>
          <w:trHeight w:val="23"/>
        </w:trPr>
        <w:tc>
          <w:tcPr>
            <w:tcW w:w="14070" w:type="dxa"/>
            <w:gridSpan w:val="3"/>
            <w:shd w:val="clear" w:color="auto" w:fill="auto"/>
          </w:tcPr>
          <w:p w14:paraId="6F46C7A6" w14:textId="40AEFDA4" w:rsidR="00891738" w:rsidRPr="000C58A8" w:rsidRDefault="00225EEA" w:rsidP="00891738">
            <w:pPr>
              <w:pStyle w:val="Paragraph"/>
              <w:numPr>
                <w:ilvl w:val="1"/>
                <w:numId w:val="12"/>
              </w:numPr>
              <w:tabs>
                <w:tab w:val="clear" w:pos="2736"/>
              </w:tabs>
              <w:ind w:left="720" w:hanging="720"/>
              <w:rPr>
                <w:rFonts w:ascii="Arial" w:hAnsi="Arial" w:cs="Arial"/>
                <w:sz w:val="22"/>
                <w:szCs w:val="22"/>
              </w:rPr>
            </w:pPr>
            <w:bookmarkStart w:id="0" w:name="_Hlk489979347"/>
            <w:r w:rsidRPr="000C58A8">
              <w:rPr>
                <w:rFonts w:ascii="Arial" w:eastAsia="Arial" w:hAnsi="Arial" w:cs="Arial"/>
                <w:b/>
                <w:bCs/>
                <w:color w:val="000000"/>
                <w:sz w:val="22"/>
                <w:szCs w:val="22"/>
              </w:rPr>
              <w:t>Antecedentes</w:t>
            </w:r>
            <w:r w:rsidRPr="000C58A8">
              <w:rPr>
                <w:rFonts w:ascii="Arial" w:eastAsia="Arial" w:hAnsi="Arial" w:cs="Arial"/>
                <w:color w:val="000000"/>
                <w:sz w:val="22"/>
                <w:szCs w:val="22"/>
              </w:rPr>
              <w:t xml:space="preserve">. La presente operación forma parte de la CCLIP-PROFISCO II (BR-X1039), </w:t>
            </w:r>
            <w:r w:rsidRPr="000C58A8">
              <w:rPr>
                <w:rFonts w:ascii="Arial" w:eastAsia="Arial" w:hAnsi="Arial" w:cs="Arial"/>
                <w:sz w:val="22"/>
                <w:szCs w:val="22"/>
              </w:rPr>
              <w:t xml:space="preserve">denominada Programa de Modernización de la Gestión Fiscal en Brasil, que tiene por </w:t>
            </w:r>
            <w:r w:rsidR="000C58A8" w:rsidRPr="000C58A8">
              <w:rPr>
                <w:rFonts w:ascii="Arial" w:eastAsia="Arial" w:hAnsi="Arial" w:cs="Arial"/>
                <w:sz w:val="22"/>
                <w:szCs w:val="22"/>
              </w:rPr>
              <w:t xml:space="preserve">objetivo </w:t>
            </w:r>
            <w:r w:rsidR="000C58A8" w:rsidRPr="000C58A8">
              <w:rPr>
                <w:rFonts w:ascii="Arial" w:eastAsia="Arial" w:hAnsi="Arial" w:cs="Arial"/>
                <w:color w:val="000000"/>
                <w:sz w:val="22"/>
                <w:szCs w:val="22"/>
              </w:rPr>
              <w:t>contribuir</w:t>
            </w:r>
            <w:r w:rsidRPr="000C58A8">
              <w:rPr>
                <w:rFonts w:ascii="Arial" w:eastAsia="Arial" w:hAnsi="Arial" w:cs="Arial"/>
                <w:color w:val="000000"/>
                <w:sz w:val="22"/>
                <w:szCs w:val="22"/>
              </w:rPr>
              <w:t xml:space="preserve"> a la sostenibilidad fiscal, a través de: (i) modernización de la gestión de hacienda; (</w:t>
            </w:r>
            <w:proofErr w:type="spellStart"/>
            <w:r w:rsidRPr="000C58A8">
              <w:rPr>
                <w:rFonts w:ascii="Arial" w:eastAsia="Arial" w:hAnsi="Arial" w:cs="Arial"/>
                <w:color w:val="000000"/>
                <w:sz w:val="22"/>
                <w:szCs w:val="22"/>
              </w:rPr>
              <w:t>ii</w:t>
            </w:r>
            <w:proofErr w:type="spellEnd"/>
            <w:r w:rsidRPr="000C58A8">
              <w:rPr>
                <w:rFonts w:ascii="Arial" w:eastAsia="Arial" w:hAnsi="Arial" w:cs="Arial"/>
                <w:color w:val="000000"/>
                <w:sz w:val="22"/>
                <w:szCs w:val="22"/>
              </w:rPr>
              <w:t>) mejora de la administración tributaria; y (</w:t>
            </w:r>
            <w:proofErr w:type="spellStart"/>
            <w:r w:rsidRPr="000C58A8">
              <w:rPr>
                <w:rFonts w:ascii="Arial" w:eastAsia="Arial" w:hAnsi="Arial" w:cs="Arial"/>
                <w:color w:val="000000"/>
                <w:sz w:val="22"/>
                <w:szCs w:val="22"/>
              </w:rPr>
              <w:t>iii</w:t>
            </w:r>
            <w:proofErr w:type="spellEnd"/>
            <w:r w:rsidRPr="000C58A8">
              <w:rPr>
                <w:rFonts w:ascii="Arial" w:eastAsia="Arial" w:hAnsi="Arial" w:cs="Arial"/>
                <w:color w:val="000000"/>
                <w:sz w:val="22"/>
                <w:szCs w:val="22"/>
              </w:rPr>
              <w:t>) mejora de la gestión del gasto público. CCLIP-PROFISCO II fue aprobada por el Directorio Ejecutivo del Banco en diciembre de 2017 (PR-4546). En este contexto se sitúa la presente operación individual, que se ejecutará en la modalidad de inversión en el período de 5 años.</w:t>
            </w:r>
          </w:p>
          <w:p w14:paraId="09661721" w14:textId="77777777" w:rsidR="00891738" w:rsidRPr="000C58A8" w:rsidRDefault="00225EEA" w:rsidP="00891738">
            <w:pPr>
              <w:pStyle w:val="Paragraph"/>
              <w:numPr>
                <w:ilvl w:val="1"/>
                <w:numId w:val="12"/>
              </w:numPr>
              <w:tabs>
                <w:tab w:val="clear" w:pos="2736"/>
                <w:tab w:val="left" w:pos="90"/>
                <w:tab w:val="num" w:pos="720"/>
              </w:tabs>
              <w:ind w:left="720" w:hanging="720"/>
              <w:rPr>
                <w:rFonts w:ascii="Arial" w:hAnsi="Arial" w:cs="Arial"/>
                <w:sz w:val="22"/>
                <w:szCs w:val="22"/>
              </w:rPr>
            </w:pPr>
            <w:bookmarkStart w:id="1" w:name="_Hlk8144718"/>
            <w:bookmarkStart w:id="2" w:name="_Hlk2789706"/>
            <w:bookmarkEnd w:id="0"/>
            <w:r w:rsidRPr="000C58A8">
              <w:rPr>
                <w:rFonts w:ascii="Arial" w:eastAsia="Arial" w:hAnsi="Arial" w:cs="Arial"/>
                <w:sz w:val="22"/>
                <w:szCs w:val="22"/>
              </w:rPr>
              <w:t>El estado de Amapá tuvo una operación individual aprobada para participar en la CCLIP-PROFISCO I (BR-X1005)</w:t>
            </w:r>
            <w:r w:rsidRPr="000C58A8">
              <w:rPr>
                <w:rStyle w:val="FootnoteReference"/>
                <w:rFonts w:ascii="Arial" w:hAnsi="Arial" w:cs="Arial"/>
                <w:sz w:val="22"/>
                <w:szCs w:val="22"/>
              </w:rPr>
              <w:footnoteReference w:id="2"/>
            </w:r>
            <w:r w:rsidRPr="000C58A8">
              <w:rPr>
                <w:rFonts w:ascii="Arial" w:eastAsia="Arial" w:hAnsi="Arial" w:cs="Arial"/>
                <w:sz w:val="22"/>
                <w:szCs w:val="22"/>
              </w:rPr>
              <w:t>, sin embargo, no tuvo autorización otorgada por la Secretaría del Tesoro Nacional (STN) para la firma del contrato de préstamo, por no atender a uno de los requisitos de la Ley de Responsabilidad Fiscal (LRF)</w:t>
            </w:r>
            <w:r w:rsidRPr="000C58A8">
              <w:rPr>
                <w:rStyle w:val="FootnoteReference"/>
                <w:rFonts w:ascii="Arial" w:hAnsi="Arial" w:cs="Arial"/>
                <w:sz w:val="22"/>
                <w:szCs w:val="22"/>
              </w:rPr>
              <w:footnoteReference w:id="3"/>
            </w:r>
            <w:r w:rsidRPr="000C58A8">
              <w:rPr>
                <w:rFonts w:ascii="Arial" w:eastAsia="Arial" w:hAnsi="Arial" w:cs="Arial"/>
                <w:sz w:val="22"/>
                <w:szCs w:val="22"/>
              </w:rPr>
              <w:t xml:space="preserve"> referente al límite de gasto con personal del Poder Legislativo. Actualmente, el estado se encuentra al día con todos los requerimientos de la LRF</w:t>
            </w:r>
            <w:bookmarkEnd w:id="1"/>
            <w:r w:rsidRPr="000C58A8">
              <w:rPr>
                <w:rFonts w:ascii="Arial" w:eastAsia="Arial" w:hAnsi="Arial" w:cs="Arial"/>
                <w:sz w:val="22"/>
                <w:szCs w:val="22"/>
              </w:rPr>
              <w:t>. Actualmente, el estado se encuentra al día con todos los requerimientos de la LRF</w:t>
            </w:r>
            <w:r w:rsidRPr="000C58A8">
              <w:rPr>
                <w:rFonts w:ascii="Arial" w:eastAsia="Arial" w:hAnsi="Arial" w:cs="Arial"/>
                <w:color w:val="000000"/>
                <w:sz w:val="22"/>
                <w:szCs w:val="22"/>
              </w:rPr>
              <w:t>. Adicionalmente, el estado desarrolló a contento, a través</w:t>
            </w:r>
            <w:r w:rsidRPr="000C58A8">
              <w:rPr>
                <w:rFonts w:ascii="Arial" w:eastAsia="Arial" w:hAnsi="Arial" w:cs="Arial"/>
                <w:sz w:val="22"/>
                <w:szCs w:val="22"/>
              </w:rPr>
              <w:t xml:space="preserve"> de su Secretaría de Hacienda (SEFAZ/AP),</w:t>
            </w:r>
            <w:r w:rsidRPr="000C58A8">
              <w:rPr>
                <w:rFonts w:ascii="Arial" w:eastAsia="Arial" w:hAnsi="Arial" w:cs="Arial"/>
                <w:color w:val="000000"/>
                <w:sz w:val="22"/>
                <w:szCs w:val="22"/>
              </w:rPr>
              <w:t xml:space="preserve"> el Programa de Modernización de los Ingresos y Gestión Financiera y Patrimonial del Estado de Amapá (PMAE/AP) con el Banco Nacional de Desarrollo Económico y Social (BNDS)</w:t>
            </w:r>
            <w:r w:rsidRPr="000C58A8">
              <w:rPr>
                <w:rStyle w:val="FootnoteReference"/>
                <w:rFonts w:ascii="Arial" w:hAnsi="Arial" w:cs="Arial"/>
                <w:color w:val="000000"/>
                <w:sz w:val="22"/>
                <w:szCs w:val="22"/>
              </w:rPr>
              <w:footnoteReference w:id="4"/>
            </w:r>
          </w:p>
          <w:p w14:paraId="2C920F27" w14:textId="14455525" w:rsidR="00891738" w:rsidRPr="000C58A8" w:rsidRDefault="00225EEA" w:rsidP="00891738">
            <w:pPr>
              <w:pStyle w:val="Paragraph"/>
              <w:numPr>
                <w:ilvl w:val="1"/>
                <w:numId w:val="12"/>
              </w:numPr>
              <w:tabs>
                <w:tab w:val="clear" w:pos="2736"/>
                <w:tab w:val="left" w:pos="90"/>
                <w:tab w:val="num" w:pos="720"/>
              </w:tabs>
              <w:ind w:left="720" w:hanging="720"/>
              <w:rPr>
                <w:rFonts w:ascii="Arial" w:hAnsi="Arial" w:cs="Arial"/>
                <w:sz w:val="22"/>
                <w:szCs w:val="22"/>
              </w:rPr>
            </w:pPr>
            <w:r w:rsidRPr="000C58A8">
              <w:rPr>
                <w:rFonts w:ascii="Arial" w:eastAsia="Arial" w:hAnsi="Arial" w:cs="Arial"/>
                <w:b/>
                <w:bCs/>
                <w:sz w:val="22"/>
                <w:szCs w:val="22"/>
              </w:rPr>
              <w:t>Cumplimiento de los criterios de elegibilidad.</w:t>
            </w:r>
            <w:r w:rsidRPr="000C58A8">
              <w:rPr>
                <w:rFonts w:ascii="Arial" w:eastAsia="Arial" w:hAnsi="Arial" w:cs="Arial"/>
                <w:sz w:val="22"/>
                <w:szCs w:val="22"/>
              </w:rPr>
              <w:t xml:space="preserve"> El presente proyecto es la novena operación individual de PROFISCO II (BR-X1039) aprobada por la Junta Directiva a través de la Resolución DE-113/17, y cumple con los criterios de elegibilidad de la política del Banco sobre CCLIPs (GN-2246-9, ¶1.19 y sus directrices operativas (GN-2246-11, ¶3.7), dado que: (i) se inserta en el sector y componentes de CCLIP PROFISCO II, con intervenciones en la gestión fiscal del estado consistentes con la Estrategia de País con Brasil 2016-2018 (GN-2850)</w:t>
            </w:r>
            <w:r w:rsidRPr="000C58A8">
              <w:rPr>
                <w:rStyle w:val="FootnoteReference"/>
                <w:rFonts w:ascii="Arial" w:hAnsi="Arial" w:cs="Arial"/>
                <w:sz w:val="22"/>
                <w:szCs w:val="22"/>
              </w:rPr>
              <w:footnoteReference w:id="5"/>
            </w:r>
            <w:r w:rsidRPr="000C58A8">
              <w:rPr>
                <w:rFonts w:ascii="Arial" w:eastAsia="Arial" w:hAnsi="Arial" w:cs="Arial"/>
                <w:sz w:val="22"/>
                <w:szCs w:val="22"/>
              </w:rPr>
              <w:t xml:space="preserve"> y el programa nacional; (</w:t>
            </w:r>
            <w:proofErr w:type="spellStart"/>
            <w:r w:rsidRPr="000C58A8">
              <w:rPr>
                <w:rFonts w:ascii="Arial" w:eastAsia="Arial" w:hAnsi="Arial" w:cs="Arial"/>
                <w:sz w:val="22"/>
                <w:szCs w:val="22"/>
              </w:rPr>
              <w:t>ii</w:t>
            </w:r>
            <w:proofErr w:type="spellEnd"/>
            <w:r w:rsidRPr="000C58A8">
              <w:rPr>
                <w:rFonts w:ascii="Arial" w:eastAsia="Arial" w:hAnsi="Arial" w:cs="Arial"/>
                <w:sz w:val="22"/>
                <w:szCs w:val="22"/>
              </w:rPr>
              <w:t>) será incorporada en la programación del Banco con Brasil</w:t>
            </w:r>
            <w:r w:rsidRPr="000C58A8">
              <w:rPr>
                <w:rStyle w:val="FootnoteReference"/>
                <w:rFonts w:ascii="Arial" w:hAnsi="Arial" w:cs="Arial"/>
                <w:sz w:val="22"/>
                <w:szCs w:val="22"/>
              </w:rPr>
              <w:footnoteReference w:id="6"/>
            </w:r>
            <w:r w:rsidRPr="000C58A8">
              <w:rPr>
                <w:rFonts w:ascii="Arial" w:eastAsia="Arial" w:hAnsi="Arial" w:cs="Arial"/>
                <w:sz w:val="22"/>
                <w:szCs w:val="22"/>
              </w:rPr>
              <w:t>; y (</w:t>
            </w:r>
            <w:proofErr w:type="spellStart"/>
            <w:r w:rsidRPr="000C58A8">
              <w:rPr>
                <w:rFonts w:ascii="Arial" w:eastAsia="Arial" w:hAnsi="Arial" w:cs="Arial"/>
                <w:sz w:val="22"/>
                <w:szCs w:val="22"/>
              </w:rPr>
              <w:t>iii</w:t>
            </w:r>
            <w:proofErr w:type="spellEnd"/>
            <w:r w:rsidRPr="000C58A8">
              <w:rPr>
                <w:rFonts w:ascii="Arial" w:eastAsia="Arial" w:hAnsi="Arial" w:cs="Arial"/>
                <w:sz w:val="22"/>
                <w:szCs w:val="22"/>
              </w:rPr>
              <w:t>) el Órgano Ejecutor ejecutó el PMAE/AP, operación similar al PROFISCO, cuyo informe final mostró que se lograron los objetivos del proyecto a contento, con el 100% de los recursos desembolsados. La unidad de coordinación de este proyecto será la misma que ejecutó el PMAE/AP. Además, se cumplen los criterios de PROFISCO II (documento PR-4546, ¶1.23, b)</w:t>
            </w:r>
            <w:r w:rsidR="000C58A8">
              <w:rPr>
                <w:rFonts w:ascii="Arial" w:eastAsia="Arial" w:hAnsi="Arial" w:cs="Arial"/>
                <w:sz w:val="22"/>
                <w:szCs w:val="22"/>
              </w:rPr>
              <w:t xml:space="preserve"> </w:t>
            </w:r>
            <w:r w:rsidRPr="000C58A8">
              <w:rPr>
                <w:rFonts w:ascii="Arial" w:eastAsia="Arial" w:hAnsi="Arial" w:cs="Arial"/>
                <w:sz w:val="22"/>
                <w:szCs w:val="22"/>
              </w:rPr>
              <w:t>sabiendo que el estado es uno de los prestatarios elegibles y ya cuenta con una recomendación favorable de parte de la Comisión de Financiamientos Externos - COFIEX</w:t>
            </w:r>
            <w:r w:rsidRPr="000C58A8">
              <w:rPr>
                <w:rStyle w:val="FootnoteReference"/>
                <w:rFonts w:ascii="Arial" w:hAnsi="Arial" w:cs="Arial"/>
                <w:sz w:val="22"/>
                <w:szCs w:val="22"/>
              </w:rPr>
              <w:footnoteReference w:id="7"/>
            </w:r>
            <w:r w:rsidRPr="000C58A8">
              <w:rPr>
                <w:rFonts w:ascii="Arial" w:eastAsia="Arial" w:hAnsi="Arial" w:cs="Arial"/>
                <w:sz w:val="22"/>
                <w:szCs w:val="22"/>
              </w:rPr>
              <w:t>.</w:t>
            </w:r>
          </w:p>
          <w:p w14:paraId="7A5C0D8D" w14:textId="77777777" w:rsidR="00891738" w:rsidRPr="000C58A8" w:rsidRDefault="00225EEA" w:rsidP="00891738">
            <w:pPr>
              <w:pStyle w:val="Paragraph"/>
              <w:numPr>
                <w:ilvl w:val="1"/>
                <w:numId w:val="12"/>
              </w:numPr>
              <w:tabs>
                <w:tab w:val="clear" w:pos="2736"/>
                <w:tab w:val="left" w:pos="90"/>
                <w:tab w:val="num" w:pos="720"/>
              </w:tabs>
              <w:autoSpaceDE w:val="0"/>
              <w:autoSpaceDN w:val="0"/>
              <w:adjustRightInd w:val="0"/>
              <w:ind w:left="720" w:hanging="720"/>
              <w:rPr>
                <w:rFonts w:ascii="Arial" w:hAnsi="Arial" w:cs="Arial"/>
                <w:sz w:val="22"/>
                <w:szCs w:val="22"/>
              </w:rPr>
            </w:pPr>
            <w:bookmarkStart w:id="4" w:name="_Hlk2787229"/>
            <w:bookmarkEnd w:id="2"/>
            <w:r w:rsidRPr="000C58A8">
              <w:rPr>
                <w:rFonts w:ascii="Arial" w:eastAsia="Arial" w:hAnsi="Arial" w:cs="Arial"/>
                <w:b/>
                <w:bCs/>
                <w:color w:val="222222"/>
                <w:sz w:val="22"/>
                <w:szCs w:val="22"/>
              </w:rPr>
              <w:t>Los últimos 5 años, el país ha enfrentado significativos desafíos para mantener su economía a un ritmo de crecimiento sostenible.</w:t>
            </w:r>
            <w:r w:rsidRPr="000C58A8">
              <w:rPr>
                <w:rFonts w:ascii="Arial" w:eastAsia="Arial" w:hAnsi="Arial" w:cs="Arial"/>
                <w:color w:val="222222"/>
                <w:sz w:val="22"/>
                <w:szCs w:val="22"/>
              </w:rPr>
              <w:t xml:space="preserve"> El Producto Interno Bruto (PIB) brasileño contrajo el 3,2% en 2015 y el 3,3% en 2016. En 2017 y 2018, el PIB presentó una ligera recuperación, creciendo el 1,1% en cada año.</w:t>
            </w:r>
            <w:r w:rsidRPr="000C58A8">
              <w:rPr>
                <w:rStyle w:val="FootnoteReference"/>
                <w:rFonts w:ascii="Arial" w:hAnsi="Arial" w:cs="Arial"/>
                <w:color w:val="222222"/>
                <w:sz w:val="22"/>
                <w:szCs w:val="22"/>
              </w:rPr>
              <w:footnoteReference w:id="8"/>
            </w:r>
            <w:bookmarkEnd w:id="4"/>
            <w:r w:rsidRPr="000C58A8">
              <w:rPr>
                <w:rFonts w:ascii="Arial" w:eastAsia="Arial" w:hAnsi="Arial" w:cs="Arial"/>
                <w:color w:val="222222"/>
                <w:sz w:val="22"/>
                <w:szCs w:val="22"/>
              </w:rPr>
              <w:t xml:space="preserve"> </w:t>
            </w:r>
            <w:r w:rsidRPr="000C58A8">
              <w:rPr>
                <w:rFonts w:ascii="Arial" w:eastAsia="Arial" w:hAnsi="Arial" w:cs="Arial"/>
                <w:sz w:val="22"/>
                <w:szCs w:val="22"/>
              </w:rPr>
              <w:t>Como resultado, el ingreso tributario tuvo una pérdida de aproximadamente tres puntos porcentuales del PIB entre 2013-2017 (34,5% y 31,6%). Los gastos públicos aumentaron del 37,4% del PIB en 2013 al 41,6% en 2017. El resultado primario alcanzó un déficit del 2,5% y del 1,9% del PIB en 2016-2017. La deuda pasó del 60% del PIB en 2013 al 78,6% en 2016, y se prevé que alcanzará el 96% en 2023.</w:t>
            </w:r>
            <w:r w:rsidRPr="000C58A8">
              <w:rPr>
                <w:rFonts w:ascii="Arial" w:hAnsi="Arial" w:cs="Arial"/>
                <w:sz w:val="22"/>
                <w:szCs w:val="22"/>
                <w:vertAlign w:val="superscript"/>
              </w:rPr>
              <w:footnoteReference w:id="9"/>
            </w:r>
            <w:r w:rsidRPr="000C58A8">
              <w:rPr>
                <w:rFonts w:ascii="Arial" w:eastAsia="Arial" w:hAnsi="Arial" w:cs="Arial"/>
                <w:color w:val="222222"/>
                <w:sz w:val="22"/>
                <w:szCs w:val="22"/>
              </w:rPr>
              <w:t xml:space="preserve"> </w:t>
            </w:r>
          </w:p>
          <w:p w14:paraId="3880D7E1" w14:textId="55DB0F57" w:rsidR="00891738" w:rsidRPr="000C58A8" w:rsidRDefault="00225EEA" w:rsidP="00891738">
            <w:pPr>
              <w:pStyle w:val="Paragraph"/>
              <w:numPr>
                <w:ilvl w:val="1"/>
                <w:numId w:val="12"/>
              </w:numPr>
              <w:tabs>
                <w:tab w:val="clear" w:pos="2736"/>
                <w:tab w:val="left" w:pos="90"/>
                <w:tab w:val="num" w:pos="720"/>
              </w:tabs>
              <w:autoSpaceDE w:val="0"/>
              <w:autoSpaceDN w:val="0"/>
              <w:adjustRightInd w:val="0"/>
              <w:ind w:left="709" w:hanging="709"/>
              <w:rPr>
                <w:rFonts w:ascii="Arial" w:hAnsi="Arial" w:cs="Arial"/>
                <w:sz w:val="22"/>
                <w:szCs w:val="22"/>
              </w:rPr>
            </w:pPr>
            <w:r w:rsidRPr="000C58A8">
              <w:rPr>
                <w:rFonts w:ascii="Arial" w:eastAsia="Arial" w:hAnsi="Arial" w:cs="Arial"/>
                <w:b/>
                <w:bCs/>
                <w:sz w:val="22"/>
                <w:szCs w:val="22"/>
              </w:rPr>
              <w:t>El efecto de la crisis fue aún mayor sobre la actividad económica de Amapá.</w:t>
            </w:r>
            <w:r w:rsidRPr="000C58A8">
              <w:rPr>
                <w:rFonts w:ascii="Arial" w:eastAsia="Arial" w:hAnsi="Arial" w:cs="Arial"/>
                <w:sz w:val="22"/>
                <w:szCs w:val="22"/>
              </w:rPr>
              <w:t xml:space="preserve"> El PIB </w:t>
            </w:r>
            <w:proofErr w:type="spellStart"/>
            <w:r w:rsidRPr="000C58A8">
              <w:rPr>
                <w:rFonts w:ascii="Arial" w:eastAsia="Arial" w:hAnsi="Arial" w:cs="Arial"/>
                <w:sz w:val="22"/>
                <w:szCs w:val="22"/>
              </w:rPr>
              <w:t>amapaense</w:t>
            </w:r>
            <w:proofErr w:type="spellEnd"/>
            <w:r w:rsidRPr="000C58A8">
              <w:rPr>
                <w:rFonts w:ascii="Arial" w:eastAsia="Arial" w:hAnsi="Arial" w:cs="Arial"/>
                <w:sz w:val="22"/>
                <w:szCs w:val="22"/>
              </w:rPr>
              <w:t xml:space="preserve"> (PIB-AP) cayó un 5,5% en 2015 y un 4,2% en 2016,</w:t>
            </w:r>
            <w:r w:rsidRPr="000C58A8">
              <w:rPr>
                <w:rStyle w:val="FootnoteReference"/>
                <w:rFonts w:ascii="Arial" w:hAnsi="Arial" w:cs="Arial"/>
                <w:sz w:val="22"/>
                <w:szCs w:val="22"/>
              </w:rPr>
              <w:footnoteReference w:id="10"/>
            </w:r>
            <w:r w:rsidRPr="000C58A8">
              <w:rPr>
                <w:rFonts w:ascii="Arial" w:eastAsia="Arial" w:hAnsi="Arial" w:cs="Arial"/>
                <w:sz w:val="22"/>
                <w:szCs w:val="22"/>
              </w:rPr>
              <w:t xml:space="preserve"> con una recuperación del 0,8% y del 2,8% en 2017 y 2018, respectivamente. </w:t>
            </w:r>
            <w:bookmarkStart w:id="5" w:name="_Hlk490052931"/>
            <w:r w:rsidRPr="000C58A8">
              <w:rPr>
                <w:rFonts w:ascii="Arial" w:eastAsia="Arial" w:hAnsi="Arial" w:cs="Arial"/>
                <w:sz w:val="22"/>
                <w:szCs w:val="22"/>
              </w:rPr>
              <w:t xml:space="preserve">El Impuesto a la Circulación de Mercaderías y Servicios (ICMS), principal fuente de recursos </w:t>
            </w:r>
            <w:r w:rsidR="003C561B" w:rsidRPr="000C58A8">
              <w:rPr>
                <w:rFonts w:ascii="Arial" w:eastAsia="Arial" w:hAnsi="Arial" w:cs="Arial"/>
                <w:sz w:val="22"/>
                <w:szCs w:val="22"/>
              </w:rPr>
              <w:t>tributarios</w:t>
            </w:r>
            <w:r w:rsidRPr="000C58A8">
              <w:rPr>
                <w:rFonts w:ascii="Arial" w:eastAsia="Arial" w:hAnsi="Arial" w:cs="Arial"/>
                <w:sz w:val="22"/>
                <w:szCs w:val="22"/>
              </w:rPr>
              <w:t xml:space="preserve"> presentó sucesivas caídas entre 2014 y 2017 como porcentaje del PIB-AP (6,34%, 5,61%, 4,88% y 5,03 %), con una ligera recuperación en 2018 a 5,33% del PIB-AP. De otra parte, el gasto con personal presentó un crecimiento en el período 2015 a 2018 (15,68% a 17,34% del PIB-AP). Como consecuencia, el estado viene presentando resultados primarios deficitarios entre los años 2013 y 2016 (0,87% a 3,14% del PIB-AP), con una recuperación en 2017 y 2018, que sólo fue posible con la disminución de las inversiones públicas, que presentaron una caída del 3,76%</w:t>
            </w:r>
            <w:bookmarkEnd w:id="5"/>
            <w:r w:rsidRPr="000C58A8">
              <w:rPr>
                <w:rFonts w:ascii="Arial" w:eastAsia="Arial" w:hAnsi="Arial" w:cs="Arial"/>
                <w:sz w:val="22"/>
                <w:szCs w:val="22"/>
              </w:rPr>
              <w:t>a 1,13% del PIB-AP entre 2013</w:t>
            </w:r>
            <w:r w:rsidRPr="000C58A8">
              <w:rPr>
                <w:rFonts w:ascii="Arial" w:eastAsia="Arial" w:hAnsi="Arial" w:cs="Arial"/>
                <w:sz w:val="22"/>
                <w:szCs w:val="22"/>
              </w:rPr>
              <w:noBreakHyphen/>
              <w:t>2018.</w:t>
            </w:r>
            <w:r w:rsidRPr="000C58A8">
              <w:rPr>
                <w:rStyle w:val="FootnoteReference"/>
                <w:rFonts w:ascii="Arial" w:hAnsi="Arial" w:cs="Arial"/>
                <w:sz w:val="22"/>
                <w:szCs w:val="22"/>
              </w:rPr>
              <w:footnoteReference w:id="11"/>
            </w:r>
            <w:r w:rsidRPr="000C58A8">
              <w:rPr>
                <w:rFonts w:ascii="Arial" w:eastAsia="Arial" w:hAnsi="Arial" w:cs="Arial"/>
                <w:sz w:val="22"/>
                <w:szCs w:val="22"/>
              </w:rPr>
              <w:t xml:space="preserve">  Amapá está con Rating "B" en la clasificación del Tesoro Nacional.</w:t>
            </w:r>
            <w:r w:rsidRPr="000C58A8">
              <w:rPr>
                <w:rStyle w:val="FootnoteReference"/>
                <w:rFonts w:ascii="Arial" w:hAnsi="Arial" w:cs="Arial"/>
                <w:sz w:val="22"/>
                <w:szCs w:val="22"/>
              </w:rPr>
              <w:footnoteReference w:id="12"/>
            </w:r>
          </w:p>
          <w:p w14:paraId="41E69DBE" w14:textId="77777777" w:rsidR="00891738" w:rsidRPr="000C58A8" w:rsidRDefault="00225EEA" w:rsidP="00891738">
            <w:pPr>
              <w:pStyle w:val="Paragraph"/>
              <w:numPr>
                <w:ilvl w:val="1"/>
                <w:numId w:val="12"/>
              </w:numPr>
              <w:tabs>
                <w:tab w:val="clear" w:pos="2736"/>
                <w:tab w:val="left" w:pos="90"/>
                <w:tab w:val="num" w:pos="720"/>
              </w:tabs>
              <w:autoSpaceDE w:val="0"/>
              <w:autoSpaceDN w:val="0"/>
              <w:adjustRightInd w:val="0"/>
              <w:spacing w:before="240"/>
              <w:ind w:left="709" w:hanging="709"/>
              <w:rPr>
                <w:rFonts w:ascii="Arial" w:hAnsi="Arial" w:cs="Arial"/>
                <w:sz w:val="22"/>
                <w:szCs w:val="22"/>
              </w:rPr>
            </w:pPr>
            <w:r w:rsidRPr="000C58A8">
              <w:rPr>
                <w:rFonts w:ascii="Arial" w:eastAsia="Arial" w:hAnsi="Arial" w:cs="Arial"/>
                <w:b/>
                <w:bCs/>
                <w:sz w:val="22"/>
                <w:szCs w:val="22"/>
              </w:rPr>
              <w:t>Justificación.</w:t>
            </w:r>
            <w:r w:rsidRPr="000C58A8">
              <w:rPr>
                <w:rFonts w:ascii="Arial" w:eastAsia="Arial" w:hAnsi="Arial" w:cs="Arial"/>
                <w:sz w:val="22"/>
                <w:szCs w:val="22"/>
              </w:rPr>
              <w:t xml:space="preserve"> Amapá es la tercera menor economía entre los 26 estados brasileños y el Distrito Federal.</w:t>
            </w:r>
            <w:r w:rsidRPr="000C58A8">
              <w:rPr>
                <w:rStyle w:val="FootnoteReference"/>
                <w:rFonts w:ascii="Arial" w:hAnsi="Arial" w:cs="Arial"/>
                <w:sz w:val="22"/>
                <w:szCs w:val="22"/>
              </w:rPr>
              <w:footnoteReference w:id="13"/>
            </w:r>
            <w:r w:rsidRPr="000C58A8">
              <w:rPr>
                <w:rFonts w:ascii="Arial" w:eastAsia="Arial" w:hAnsi="Arial" w:cs="Arial"/>
                <w:sz w:val="22"/>
                <w:szCs w:val="22"/>
              </w:rPr>
              <w:t xml:space="preserve"> Su principal ingreso son los ingresos de transferencias,</w:t>
            </w:r>
            <w:r w:rsidRPr="000C58A8">
              <w:rPr>
                <w:rStyle w:val="FootnoteReference"/>
                <w:rFonts w:ascii="Arial" w:hAnsi="Arial" w:cs="Arial"/>
                <w:sz w:val="22"/>
                <w:szCs w:val="22"/>
              </w:rPr>
              <w:footnoteReference w:id="14"/>
            </w:r>
            <w:r w:rsidRPr="000C58A8">
              <w:rPr>
                <w:rFonts w:ascii="Arial" w:eastAsia="Arial" w:hAnsi="Arial" w:cs="Arial"/>
                <w:sz w:val="22"/>
                <w:szCs w:val="22"/>
              </w:rPr>
              <w:t xml:space="preserve"> que en el período 2014-2018 presentó un promedio de aproximadamente el 21% del PIB/AP, representando el 75% de los ingresos totales. Esta dependencia hace que las oscilaciones que ocurren en la economía del país tengan un fuerte impacto en el panorama económico y fiscal del estado. El estado necesita disminuir esta debilidad, con la generación de espacio fiscal en un ambiente sustentable que permita aprovechar las inversiones para estimular el crecimiento de su economía.</w:t>
            </w:r>
          </w:p>
        </w:tc>
      </w:tr>
      <w:tr w:rsidR="00523823" w:rsidRPr="003C561B" w14:paraId="77783257" w14:textId="77777777" w:rsidTr="001B021A">
        <w:trPr>
          <w:trHeight w:val="23"/>
        </w:trPr>
        <w:tc>
          <w:tcPr>
            <w:tcW w:w="14070" w:type="dxa"/>
            <w:gridSpan w:val="3"/>
            <w:shd w:val="clear" w:color="auto" w:fill="auto"/>
          </w:tcPr>
          <w:p w14:paraId="3D516ABA" w14:textId="77777777" w:rsidR="00AF017D" w:rsidRPr="000C58A8" w:rsidRDefault="00225EEA" w:rsidP="00345FE2">
            <w:pPr>
              <w:spacing w:after="0" w:line="240" w:lineRule="auto"/>
              <w:rPr>
                <w:rFonts w:ascii="Arial" w:hAnsi="Arial" w:cs="Arial"/>
                <w:b/>
                <w:lang w:val="es-ES_tradnl"/>
              </w:rPr>
            </w:pPr>
            <w:r w:rsidRPr="000C58A8">
              <w:rPr>
                <w:rFonts w:ascii="Arial" w:eastAsia="Arial" w:hAnsi="Arial" w:cs="Arial"/>
                <w:b/>
                <w:bCs/>
                <w:lang w:val="es-ES_tradnl"/>
              </w:rPr>
              <w:t>Problema Principal</w:t>
            </w:r>
            <w:r w:rsidRPr="000C58A8">
              <w:rPr>
                <w:rFonts w:ascii="Arial" w:eastAsia="Arial" w:hAnsi="Arial" w:cs="Arial"/>
                <w:lang w:val="es-ES_tradnl"/>
              </w:rPr>
              <w:t xml:space="preserve"> - Dificultades para promover un equilibrio fiscal sostenible que contribuya al crecimiento económico del estado. </w:t>
            </w:r>
          </w:p>
        </w:tc>
      </w:tr>
      <w:tr w:rsidR="00523823" w:rsidRPr="003C561B" w14:paraId="2826AA9F" w14:textId="77777777" w:rsidTr="004A086A">
        <w:trPr>
          <w:trHeight w:val="23"/>
        </w:trPr>
        <w:tc>
          <w:tcPr>
            <w:tcW w:w="14070" w:type="dxa"/>
            <w:gridSpan w:val="3"/>
            <w:shd w:val="clear" w:color="auto" w:fill="auto"/>
          </w:tcPr>
          <w:p w14:paraId="59302C77" w14:textId="77777777" w:rsidR="00AF017D" w:rsidRPr="000C58A8" w:rsidRDefault="00225EEA" w:rsidP="00345FE2">
            <w:pPr>
              <w:spacing w:after="0" w:line="240" w:lineRule="auto"/>
              <w:rPr>
                <w:rFonts w:ascii="Arial" w:hAnsi="Arial" w:cs="Arial"/>
                <w:b/>
                <w:lang w:val="es-ES_tradnl"/>
              </w:rPr>
            </w:pPr>
            <w:r w:rsidRPr="000C58A8">
              <w:rPr>
                <w:rFonts w:ascii="Arial" w:eastAsia="Arial" w:hAnsi="Arial" w:cs="Arial"/>
                <w:b/>
                <w:bCs/>
                <w:lang w:val="es-ES_tradnl"/>
              </w:rPr>
              <w:t xml:space="preserve">Objetivo Principal - </w:t>
            </w:r>
            <w:r w:rsidRPr="000C58A8">
              <w:rPr>
                <w:rFonts w:ascii="Arial" w:eastAsia="Arial" w:hAnsi="Arial" w:cs="Arial"/>
                <w:color w:val="000000"/>
                <w:lang w:val="es-ES_tradnl"/>
              </w:rPr>
              <w:t>El objetivo del proyecto es contribuir a la sostenibilidad fiscal del Estado a través de: (i) modernizar la gestión de la hacienda; (</w:t>
            </w:r>
            <w:proofErr w:type="spellStart"/>
            <w:r w:rsidRPr="000C58A8">
              <w:rPr>
                <w:rFonts w:ascii="Arial" w:eastAsia="Arial" w:hAnsi="Arial" w:cs="Arial"/>
                <w:color w:val="000000"/>
                <w:lang w:val="es-ES_tradnl"/>
              </w:rPr>
              <w:t>ii</w:t>
            </w:r>
            <w:proofErr w:type="spellEnd"/>
            <w:r w:rsidRPr="000C58A8">
              <w:rPr>
                <w:rFonts w:ascii="Arial" w:eastAsia="Arial" w:hAnsi="Arial" w:cs="Arial"/>
                <w:color w:val="000000"/>
                <w:lang w:val="es-ES_tradnl"/>
              </w:rPr>
              <w:t>) mejorar la administración tributaria; y (</w:t>
            </w:r>
            <w:proofErr w:type="spellStart"/>
            <w:r w:rsidRPr="000C58A8">
              <w:rPr>
                <w:rFonts w:ascii="Arial" w:eastAsia="Arial" w:hAnsi="Arial" w:cs="Arial"/>
                <w:color w:val="000000"/>
                <w:lang w:val="es-ES_tradnl"/>
              </w:rPr>
              <w:t>iii</w:t>
            </w:r>
            <w:proofErr w:type="spellEnd"/>
            <w:r w:rsidRPr="000C58A8">
              <w:rPr>
                <w:rFonts w:ascii="Arial" w:eastAsia="Arial" w:hAnsi="Arial" w:cs="Arial"/>
                <w:color w:val="000000"/>
                <w:lang w:val="es-ES_tradnl"/>
              </w:rPr>
              <w:t>) mejorar la gestión del gasto público.</w:t>
            </w:r>
          </w:p>
        </w:tc>
      </w:tr>
      <w:tr w:rsidR="00523823" w:rsidRPr="000C58A8" w14:paraId="4F44ACA9" w14:textId="77777777" w:rsidTr="004D5C5F">
        <w:trPr>
          <w:trHeight w:val="358"/>
        </w:trPr>
        <w:tc>
          <w:tcPr>
            <w:tcW w:w="14070" w:type="dxa"/>
            <w:gridSpan w:val="3"/>
            <w:shd w:val="clear" w:color="auto" w:fill="auto"/>
          </w:tcPr>
          <w:p w14:paraId="6E6C63FC" w14:textId="77777777" w:rsidR="00605DFF" w:rsidRPr="000C58A8" w:rsidRDefault="00225EEA" w:rsidP="00345FE2">
            <w:pPr>
              <w:spacing w:after="0" w:line="240" w:lineRule="auto"/>
              <w:rPr>
                <w:rFonts w:ascii="Arial" w:hAnsi="Arial" w:cs="Arial"/>
                <w:lang w:val="es-ES_tradnl"/>
              </w:rPr>
            </w:pPr>
            <w:r w:rsidRPr="000C58A8">
              <w:rPr>
                <w:rFonts w:ascii="Arial" w:eastAsia="Arial" w:hAnsi="Arial" w:cs="Arial"/>
                <w:b/>
                <w:bCs/>
                <w:lang w:val="es-ES_tradnl"/>
              </w:rPr>
              <w:t>Impactos</w:t>
            </w:r>
            <w:r w:rsidRPr="000C58A8">
              <w:rPr>
                <w:rFonts w:ascii="Arial" w:eastAsia="Arial" w:hAnsi="Arial" w:cs="Arial"/>
                <w:lang w:val="es-ES_tradnl"/>
              </w:rPr>
              <w:t xml:space="preserve"> - (i) La disminución de la relación entre el déficit fiscal primario y el PIB estadual; (</w:t>
            </w:r>
            <w:proofErr w:type="spellStart"/>
            <w:r w:rsidRPr="000C58A8">
              <w:rPr>
                <w:rFonts w:ascii="Arial" w:eastAsia="Arial" w:hAnsi="Arial" w:cs="Arial"/>
                <w:lang w:val="es-ES_tradnl"/>
              </w:rPr>
              <w:t>ii</w:t>
            </w:r>
            <w:proofErr w:type="spellEnd"/>
            <w:r w:rsidRPr="000C58A8">
              <w:rPr>
                <w:rFonts w:ascii="Arial" w:eastAsia="Arial" w:hAnsi="Arial" w:cs="Arial"/>
                <w:lang w:val="es-ES_tradnl"/>
              </w:rPr>
              <w:t>) el incremento de la relación entre recaudación tributaria y el PIB estadual; y (</w:t>
            </w:r>
            <w:proofErr w:type="spellStart"/>
            <w:r w:rsidRPr="000C58A8">
              <w:rPr>
                <w:rFonts w:ascii="Arial" w:eastAsia="Arial" w:hAnsi="Arial" w:cs="Arial"/>
                <w:lang w:val="es-ES_tradnl"/>
              </w:rPr>
              <w:t>iii</w:t>
            </w:r>
            <w:proofErr w:type="spellEnd"/>
            <w:r w:rsidRPr="000C58A8">
              <w:rPr>
                <w:rFonts w:ascii="Arial" w:eastAsia="Arial" w:hAnsi="Arial" w:cs="Arial"/>
                <w:lang w:val="es-ES_tradnl"/>
              </w:rPr>
              <w:t>) la reducción de la relación entre la deuda corriente neta y el PIB estadual. (www.transparencia.ap.gov.br)</w:t>
            </w:r>
          </w:p>
        </w:tc>
      </w:tr>
      <w:tr w:rsidR="00523823" w:rsidRPr="003C561B" w14:paraId="6A380A0C" w14:textId="77777777" w:rsidTr="00AF017D">
        <w:trPr>
          <w:trHeight w:val="23"/>
        </w:trPr>
        <w:tc>
          <w:tcPr>
            <w:tcW w:w="14070" w:type="dxa"/>
            <w:gridSpan w:val="3"/>
            <w:shd w:val="clear" w:color="auto" w:fill="F7CAAC" w:themeFill="accent2" w:themeFillTint="66"/>
          </w:tcPr>
          <w:p w14:paraId="18A0C1D0" w14:textId="77777777" w:rsidR="00345FE2" w:rsidRPr="000C58A8" w:rsidRDefault="00225EEA" w:rsidP="00345FE2">
            <w:pPr>
              <w:spacing w:after="0" w:line="240" w:lineRule="auto"/>
              <w:rPr>
                <w:rFonts w:ascii="Arial" w:hAnsi="Arial" w:cs="Arial"/>
                <w:b/>
                <w:lang w:val="es-ES_tradnl"/>
              </w:rPr>
            </w:pPr>
            <w:r w:rsidRPr="000C58A8">
              <w:rPr>
                <w:rFonts w:ascii="Arial" w:eastAsia="Arial" w:hAnsi="Arial" w:cs="Arial"/>
                <w:b/>
                <w:bCs/>
                <w:lang w:val="es-ES_tradnl"/>
              </w:rPr>
              <w:t>Componente I. Gestión de Hacienda y Transparencia Fiscal (US$ 19,4 millones).</w:t>
            </w:r>
          </w:p>
        </w:tc>
      </w:tr>
      <w:tr w:rsidR="00523823" w:rsidRPr="003C561B" w14:paraId="5BC22C47" w14:textId="77777777" w:rsidTr="00187B49">
        <w:trPr>
          <w:trHeight w:val="23"/>
        </w:trPr>
        <w:tc>
          <w:tcPr>
            <w:tcW w:w="14070" w:type="dxa"/>
            <w:gridSpan w:val="3"/>
            <w:shd w:val="clear" w:color="auto" w:fill="F7CAAC" w:themeFill="accent2" w:themeFillTint="66"/>
          </w:tcPr>
          <w:p w14:paraId="02E66520" w14:textId="77777777" w:rsidR="009028AE" w:rsidRPr="000C58A8" w:rsidRDefault="00225EEA" w:rsidP="00187B49">
            <w:pPr>
              <w:spacing w:after="0" w:line="240" w:lineRule="auto"/>
              <w:rPr>
                <w:rFonts w:ascii="Arial" w:hAnsi="Arial" w:cs="Arial"/>
                <w:b/>
                <w:lang w:val="es-ES_tradnl"/>
              </w:rPr>
            </w:pPr>
            <w:r w:rsidRPr="000C58A8">
              <w:rPr>
                <w:rFonts w:ascii="Arial" w:eastAsia="Arial" w:hAnsi="Arial" w:cs="Arial"/>
                <w:b/>
                <w:bCs/>
                <w:lang w:val="es-ES_tradnl"/>
              </w:rPr>
              <w:t xml:space="preserve">Problema Específico 1 - </w:t>
            </w:r>
            <w:r w:rsidRPr="000C58A8">
              <w:rPr>
                <w:rFonts w:ascii="Arial" w:eastAsia="Arial" w:hAnsi="Arial" w:cs="Arial"/>
                <w:lang w:val="es-ES_tradnl"/>
              </w:rPr>
              <w:t>Los procesos corporativos relacionados con la gobernanza de SEFAZ, su gestión estratégica, personal y tecnológica de la información, presentan un nivel insuficiente de desarrollo e integración. (El estado cumplió con el 20% de las metas planificadas en 2018 - Fuente)</w:t>
            </w:r>
          </w:p>
        </w:tc>
      </w:tr>
      <w:tr w:rsidR="00523823" w:rsidRPr="003C561B" w14:paraId="2C2E81DE" w14:textId="77777777" w:rsidTr="00AF017D">
        <w:trPr>
          <w:trHeight w:val="23"/>
        </w:trPr>
        <w:tc>
          <w:tcPr>
            <w:tcW w:w="14070" w:type="dxa"/>
            <w:gridSpan w:val="3"/>
            <w:shd w:val="clear" w:color="auto" w:fill="F7CAAC" w:themeFill="accent2" w:themeFillTint="66"/>
          </w:tcPr>
          <w:p w14:paraId="43298DB7" w14:textId="77777777" w:rsidR="00345FE2" w:rsidRPr="000C58A8" w:rsidRDefault="00225EEA" w:rsidP="00345FE2">
            <w:pPr>
              <w:spacing w:after="0" w:line="240" w:lineRule="auto"/>
              <w:rPr>
                <w:rFonts w:ascii="Arial" w:hAnsi="Arial" w:cs="Arial"/>
                <w:lang w:val="es-ES_tradnl"/>
              </w:rPr>
            </w:pPr>
            <w:r w:rsidRPr="000C58A8">
              <w:rPr>
                <w:rFonts w:ascii="Arial" w:eastAsia="Arial" w:hAnsi="Arial" w:cs="Arial"/>
                <w:b/>
                <w:bCs/>
                <w:lang w:val="es-ES_tradnl"/>
              </w:rPr>
              <w:t xml:space="preserve">Objetivo Específico 1: </w:t>
            </w:r>
            <w:r w:rsidRPr="000C58A8">
              <w:rPr>
                <w:rFonts w:ascii="Arial" w:eastAsia="Arial" w:hAnsi="Arial" w:cs="Arial"/>
                <w:lang w:val="es-ES_tradnl"/>
              </w:rPr>
              <w:t>Modernizar la Gestión de la Hacienda. Está orientado a mejorar los instrumentos de gestión, modernizando la infraestructura tecnológica y la transparencia fiscal con los contribuyentes</w:t>
            </w:r>
          </w:p>
        </w:tc>
      </w:tr>
      <w:tr w:rsidR="00523823" w:rsidRPr="003C561B" w14:paraId="17DE1E8B" w14:textId="77777777" w:rsidTr="00AF017D">
        <w:trPr>
          <w:trHeight w:val="23"/>
        </w:trPr>
        <w:tc>
          <w:tcPr>
            <w:tcW w:w="14070" w:type="dxa"/>
            <w:gridSpan w:val="3"/>
            <w:shd w:val="clear" w:color="auto" w:fill="F7CAAC" w:themeFill="accent2" w:themeFillTint="66"/>
          </w:tcPr>
          <w:p w14:paraId="0F38FA11" w14:textId="77777777" w:rsidR="00345FE2" w:rsidRPr="000C58A8" w:rsidRDefault="00225EEA" w:rsidP="00345FE2">
            <w:pPr>
              <w:spacing w:after="0" w:line="240" w:lineRule="auto"/>
              <w:rPr>
                <w:rFonts w:ascii="Arial" w:hAnsi="Arial" w:cs="Arial"/>
                <w:lang w:val="es-ES_tradnl"/>
              </w:rPr>
            </w:pPr>
            <w:r w:rsidRPr="000C58A8">
              <w:rPr>
                <w:rFonts w:ascii="Arial" w:eastAsia="Arial" w:hAnsi="Arial" w:cs="Arial"/>
                <w:b/>
                <w:bCs/>
                <w:lang w:val="es-ES_tradnl"/>
              </w:rPr>
              <w:t xml:space="preserve">Indicadores de Resultado: </w:t>
            </w:r>
            <w:r w:rsidRPr="000C58A8">
              <w:rPr>
                <w:rFonts w:ascii="Arial" w:eastAsia="Arial" w:hAnsi="Arial" w:cs="Arial"/>
                <w:lang w:val="es-ES_tradnl"/>
              </w:rPr>
              <w:t>aumento de la relación entre las metas de planificación estratégica alcanzadas y el total de las metas planificadas; Metas alcanzadas/Metas totales)</w:t>
            </w:r>
          </w:p>
        </w:tc>
      </w:tr>
      <w:tr w:rsidR="00523823" w:rsidRPr="003C561B" w14:paraId="41C3F822" w14:textId="77777777" w:rsidTr="00331F43">
        <w:trPr>
          <w:trHeight w:val="15"/>
        </w:trPr>
        <w:tc>
          <w:tcPr>
            <w:tcW w:w="4890" w:type="dxa"/>
            <w:shd w:val="clear" w:color="auto" w:fill="auto"/>
          </w:tcPr>
          <w:p w14:paraId="3F466F19" w14:textId="77777777" w:rsidR="00EE1431" w:rsidRPr="000C58A8" w:rsidRDefault="00225EEA" w:rsidP="00EE1431">
            <w:pPr>
              <w:pStyle w:val="Paragraph"/>
              <w:numPr>
                <w:ilvl w:val="0"/>
                <w:numId w:val="0"/>
              </w:numPr>
              <w:tabs>
                <w:tab w:val="left" w:pos="720"/>
              </w:tabs>
              <w:rPr>
                <w:rFonts w:ascii="Arial" w:hAnsi="Arial" w:cs="Arial"/>
                <w:sz w:val="22"/>
                <w:szCs w:val="22"/>
              </w:rPr>
            </w:pPr>
            <w:r w:rsidRPr="000C58A8">
              <w:rPr>
                <w:rFonts w:ascii="Arial" w:eastAsia="Arial" w:hAnsi="Arial" w:cs="Arial"/>
                <w:sz w:val="22"/>
                <w:szCs w:val="22"/>
              </w:rPr>
              <w:t xml:space="preserve">(i) La gestión estratégica presenta deficiencias en la planificación, la evaluación de desempeño institucional y la gestión de riesgos, debido a: (a) ausencia de visión estratégica para la toma de decisiones relativas a la gestión fiscal del estado; </w:t>
            </w:r>
            <w:r w:rsidRPr="000C58A8">
              <w:rPr>
                <w:rStyle w:val="FootnoteReference"/>
                <w:rFonts w:ascii="Arial" w:eastAsiaTheme="majorEastAsia" w:hAnsi="Arial" w:cs="Arial"/>
                <w:sz w:val="22"/>
                <w:szCs w:val="22"/>
              </w:rPr>
              <w:footnoteReference w:id="15"/>
            </w:r>
            <w:r w:rsidRPr="000C58A8">
              <w:rPr>
                <w:rFonts w:ascii="Arial" w:eastAsia="Arial" w:hAnsi="Arial" w:cs="Arial"/>
                <w:sz w:val="22"/>
                <w:szCs w:val="22"/>
              </w:rPr>
              <w:t xml:space="preserve"> (b) deficiencias para identificar la magnitud de los riesgos que resultan perjudicar el alcance de los objetivos estratégicos y operativos;</w:t>
            </w:r>
            <w:r w:rsidRPr="000C58A8">
              <w:rPr>
                <w:rStyle w:val="FootnoteReference"/>
                <w:rFonts w:ascii="Arial" w:hAnsi="Arial" w:cs="Arial"/>
                <w:sz w:val="22"/>
                <w:szCs w:val="22"/>
              </w:rPr>
              <w:footnoteReference w:id="16"/>
            </w:r>
            <w:r w:rsidRPr="000C58A8">
              <w:rPr>
                <w:rFonts w:ascii="Arial" w:eastAsia="Arial" w:hAnsi="Arial" w:cs="Arial"/>
                <w:sz w:val="22"/>
                <w:szCs w:val="22"/>
              </w:rPr>
              <w:t xml:space="preserve"> (c) todos los procesos administrativos de SEFAZ/AP se realizan manualmente;</w:t>
            </w:r>
            <w:r w:rsidRPr="000C58A8">
              <w:rPr>
                <w:rStyle w:val="FootnoteReference"/>
                <w:rFonts w:ascii="Arial" w:eastAsiaTheme="majorEastAsia" w:hAnsi="Arial" w:cs="Arial"/>
                <w:sz w:val="22"/>
                <w:szCs w:val="22"/>
              </w:rPr>
              <w:footnoteReference w:id="17"/>
            </w:r>
            <w:r w:rsidRPr="000C58A8">
              <w:rPr>
                <w:rFonts w:ascii="Arial" w:eastAsia="Arial" w:hAnsi="Arial" w:cs="Arial"/>
                <w:sz w:val="22"/>
                <w:szCs w:val="22"/>
              </w:rPr>
              <w:t xml:space="preserve"> (d) dificultades del control interno para identificar a los actores y procesos de alto riesgo;</w:t>
            </w:r>
            <w:r w:rsidRPr="000C58A8">
              <w:rPr>
                <w:rStyle w:val="FootnoteReference"/>
                <w:rFonts w:ascii="Arial" w:eastAsiaTheme="majorEastAsia" w:hAnsi="Arial" w:cs="Arial"/>
                <w:sz w:val="22"/>
                <w:szCs w:val="22"/>
              </w:rPr>
              <w:footnoteReference w:id="18"/>
            </w:r>
            <w:r w:rsidRPr="000C58A8">
              <w:rPr>
                <w:rFonts w:ascii="Arial" w:eastAsia="Arial" w:hAnsi="Arial" w:cs="Arial"/>
                <w:sz w:val="22"/>
                <w:szCs w:val="22"/>
              </w:rPr>
              <w:t xml:space="preserve"> (e) dificultad de la corregiduría para evaluar la conducta ética de los recursos humanos;</w:t>
            </w:r>
            <w:r w:rsidRPr="000C58A8">
              <w:rPr>
                <w:rStyle w:val="FootnoteReference"/>
                <w:rFonts w:ascii="Arial" w:eastAsiaTheme="majorEastAsia" w:hAnsi="Arial" w:cs="Arial"/>
                <w:sz w:val="22"/>
                <w:szCs w:val="22"/>
              </w:rPr>
              <w:footnoteReference w:id="19"/>
            </w:r>
            <w:r w:rsidRPr="000C58A8">
              <w:rPr>
                <w:rFonts w:ascii="Arial" w:eastAsia="Arial" w:hAnsi="Arial" w:cs="Arial"/>
                <w:sz w:val="22"/>
                <w:szCs w:val="22"/>
              </w:rPr>
              <w:t xml:space="preserve">  y (f) dificultad para consultar la información de los procesos administrativos y tributarios por la existencia de un número elevado de documentos en papel.</w:t>
            </w:r>
            <w:r w:rsidRPr="000C58A8">
              <w:rPr>
                <w:rStyle w:val="FootnoteReference"/>
                <w:rFonts w:ascii="Arial" w:eastAsiaTheme="majorEastAsia" w:hAnsi="Arial" w:cs="Arial"/>
                <w:sz w:val="22"/>
                <w:szCs w:val="22"/>
              </w:rPr>
              <w:footnoteReference w:id="20"/>
            </w:r>
          </w:p>
          <w:p w14:paraId="0C20D931" w14:textId="77777777" w:rsidR="00874BD1" w:rsidRPr="000C58A8" w:rsidRDefault="00874BD1" w:rsidP="001B021A">
            <w:pPr>
              <w:spacing w:after="0" w:line="240" w:lineRule="auto"/>
              <w:jc w:val="both"/>
              <w:rPr>
                <w:rFonts w:ascii="Arial" w:hAnsi="Arial" w:cs="Arial"/>
                <w:lang w:val="es-ES_tradnl"/>
              </w:rPr>
            </w:pPr>
          </w:p>
        </w:tc>
        <w:tc>
          <w:tcPr>
            <w:tcW w:w="4320" w:type="dxa"/>
            <w:shd w:val="clear" w:color="auto" w:fill="auto"/>
          </w:tcPr>
          <w:p w14:paraId="6338EEBC" w14:textId="77777777" w:rsidR="00850E38" w:rsidRPr="000C58A8" w:rsidRDefault="00225EEA" w:rsidP="004F3157">
            <w:pPr>
              <w:spacing w:after="0"/>
              <w:contextualSpacing/>
              <w:rPr>
                <w:rFonts w:ascii="Arial" w:hAnsi="Arial" w:cs="Arial"/>
                <w:lang w:val="es-ES_tradnl"/>
              </w:rPr>
            </w:pPr>
            <w:r w:rsidRPr="000C58A8">
              <w:rPr>
                <w:rFonts w:ascii="Arial" w:eastAsia="Arial" w:hAnsi="Arial" w:cs="Arial"/>
                <w:lang w:val="es-ES_tradnl"/>
              </w:rPr>
              <w:t xml:space="preserve">Nota Técnica 1.1- Los procedimientos de evaluación de desempeño de SEFAZ son deficientes, y no se cuenta con indicadores estratégicos representativos para medir los avances de las intervenciones. </w:t>
            </w:r>
            <w:bookmarkStart w:id="6" w:name="_Hlk10105056"/>
            <w:r w:rsidRPr="000C58A8">
              <w:rPr>
                <w:rFonts w:ascii="Arial" w:eastAsia="Arial" w:hAnsi="Arial" w:cs="Arial"/>
                <w:lang w:val="es-ES_tradnl"/>
              </w:rPr>
              <w:t>En 2018 la SEFAZ cumplió con sólo el 20% de las metas estratégicas planificadas.</w:t>
            </w:r>
            <w:bookmarkEnd w:id="6"/>
          </w:p>
          <w:p w14:paraId="1A2B9C82" w14:textId="77777777" w:rsidR="00850E38" w:rsidRPr="000C58A8" w:rsidRDefault="00225EEA" w:rsidP="004F3157">
            <w:pPr>
              <w:spacing w:after="0"/>
              <w:contextualSpacing/>
              <w:rPr>
                <w:rFonts w:ascii="Arial" w:hAnsi="Arial" w:cs="Arial"/>
                <w:lang w:val="es-ES_tradnl"/>
              </w:rPr>
            </w:pPr>
            <w:r w:rsidRPr="000C58A8">
              <w:rPr>
                <w:rFonts w:ascii="Arial" w:eastAsia="Arial" w:hAnsi="Arial" w:cs="Arial"/>
                <w:lang w:val="es-ES_tradnl"/>
              </w:rPr>
              <w:t>Nota Técnica 1.1 - Sólo se evalúan los riesgos de la Ley de Responsabilidad Fiscal (LRF).</w:t>
            </w:r>
          </w:p>
          <w:p w14:paraId="161FE485" w14:textId="77777777" w:rsidR="000B60B0" w:rsidRPr="000C58A8" w:rsidRDefault="00225EEA" w:rsidP="00DA5CCD">
            <w:pPr>
              <w:pStyle w:val="FootnoteText"/>
              <w:contextualSpacing/>
              <w:rPr>
                <w:rFonts w:ascii="Arial" w:hAnsi="Arial" w:cs="Arial"/>
                <w:sz w:val="22"/>
                <w:szCs w:val="22"/>
                <w:lang w:val="es-ES_tradnl"/>
              </w:rPr>
            </w:pPr>
            <w:r w:rsidRPr="000C58A8">
              <w:rPr>
                <w:rFonts w:ascii="Arial" w:eastAsia="Arial" w:hAnsi="Arial" w:cs="Arial"/>
                <w:sz w:val="22"/>
                <w:szCs w:val="22"/>
                <w:lang w:val="es-ES_tradnl"/>
              </w:rPr>
              <w:t xml:space="preserve">Nota Técnica 1.1 - </w:t>
            </w:r>
            <w:bookmarkStart w:id="7" w:name="_Hlk10104672"/>
            <w:r w:rsidRPr="000C58A8">
              <w:rPr>
                <w:rFonts w:ascii="Arial" w:eastAsia="Arial" w:hAnsi="Arial" w:cs="Arial"/>
                <w:sz w:val="22"/>
                <w:szCs w:val="22"/>
                <w:lang w:val="es-ES_tradnl"/>
              </w:rPr>
              <w:t>existen cerca de 260 tipos de procesos realizados manualmente en la SEFAZ/AP.</w:t>
            </w:r>
          </w:p>
          <w:bookmarkEnd w:id="7"/>
          <w:p w14:paraId="608E8C1E" w14:textId="77777777" w:rsidR="000B60B0" w:rsidRPr="000C58A8" w:rsidRDefault="00225EEA" w:rsidP="00DA5CCD">
            <w:pPr>
              <w:pStyle w:val="FootnoteText"/>
              <w:contextualSpacing/>
              <w:rPr>
                <w:rFonts w:ascii="Arial" w:hAnsi="Arial" w:cs="Arial"/>
                <w:sz w:val="22"/>
                <w:szCs w:val="22"/>
                <w:lang w:val="es-ES_tradnl"/>
              </w:rPr>
            </w:pPr>
            <w:r w:rsidRPr="000C58A8">
              <w:rPr>
                <w:rFonts w:ascii="Arial" w:eastAsia="Arial" w:hAnsi="Arial" w:cs="Arial"/>
                <w:sz w:val="22"/>
                <w:szCs w:val="22"/>
                <w:lang w:val="es-ES_tradnl"/>
              </w:rPr>
              <w:t>Nota Técnica 1.1 - Nunca se realizó una evaluación del control interno.</w:t>
            </w:r>
          </w:p>
          <w:p w14:paraId="57A257E1" w14:textId="77777777" w:rsidR="000B60B0" w:rsidRPr="000C58A8" w:rsidRDefault="00225EEA" w:rsidP="00DA5CCD">
            <w:pPr>
              <w:pStyle w:val="FootnoteText"/>
              <w:contextualSpacing/>
              <w:rPr>
                <w:rFonts w:ascii="Arial" w:hAnsi="Arial" w:cs="Arial"/>
                <w:sz w:val="22"/>
                <w:szCs w:val="22"/>
                <w:lang w:val="es-ES_tradnl"/>
              </w:rPr>
            </w:pPr>
            <w:r w:rsidRPr="000C58A8">
              <w:rPr>
                <w:rFonts w:ascii="Arial" w:eastAsia="Arial" w:hAnsi="Arial" w:cs="Arial"/>
                <w:sz w:val="22"/>
                <w:szCs w:val="22"/>
                <w:lang w:val="es-ES_tradnl"/>
              </w:rPr>
              <w:t>Nota Técnica 1.1 - El código de ética de los servidores de la hacienda no se aplica a los procesos de corrección debido a su desactualización.</w:t>
            </w:r>
          </w:p>
          <w:p w14:paraId="0A122BAF" w14:textId="77777777" w:rsidR="000B60B0" w:rsidRPr="000C58A8" w:rsidRDefault="00225EEA" w:rsidP="00DA5CCD">
            <w:pPr>
              <w:spacing w:after="0" w:line="240" w:lineRule="auto"/>
              <w:rPr>
                <w:rFonts w:ascii="Arial" w:hAnsi="Arial" w:cs="Arial"/>
                <w:lang w:val="es-ES_tradnl"/>
              </w:rPr>
            </w:pPr>
            <w:r w:rsidRPr="000C58A8">
              <w:rPr>
                <w:rFonts w:ascii="Arial" w:eastAsia="Arial" w:hAnsi="Arial" w:cs="Arial"/>
                <w:lang w:val="es-ES_tradnl"/>
              </w:rPr>
              <w:t xml:space="preserve"> Nota Técnica 1.1 - Existen cerca de 400.000 expedientes que tramitan de forma física (papel).</w:t>
            </w:r>
          </w:p>
          <w:p w14:paraId="76227CFD" w14:textId="6EE3D0A0" w:rsidR="00F91386" w:rsidRPr="000C58A8" w:rsidRDefault="00F91386" w:rsidP="00DA5CCD">
            <w:pPr>
              <w:spacing w:after="0" w:line="240" w:lineRule="auto"/>
              <w:rPr>
                <w:rFonts w:ascii="Arial" w:hAnsi="Arial" w:cs="Arial"/>
                <w:lang w:val="es-ES_tradnl"/>
              </w:rPr>
            </w:pPr>
          </w:p>
        </w:tc>
        <w:tc>
          <w:tcPr>
            <w:tcW w:w="4860" w:type="dxa"/>
            <w:shd w:val="clear" w:color="auto" w:fill="auto"/>
          </w:tcPr>
          <w:p w14:paraId="2421DA64" w14:textId="77777777" w:rsidR="0041428D" w:rsidRPr="000C58A8" w:rsidRDefault="00225EEA" w:rsidP="00BA711A">
            <w:pPr>
              <w:spacing w:after="0" w:line="240" w:lineRule="auto"/>
              <w:jc w:val="both"/>
              <w:rPr>
                <w:rFonts w:ascii="Arial" w:hAnsi="Arial" w:cs="Arial"/>
                <w:lang w:val="es-ES_tradnl"/>
              </w:rPr>
            </w:pPr>
            <w:r w:rsidRPr="000C58A8">
              <w:rPr>
                <w:rFonts w:ascii="Arial" w:eastAsia="Arial" w:hAnsi="Arial" w:cs="Arial"/>
                <w:lang w:val="es-ES_tradnl"/>
              </w:rPr>
              <w:t xml:space="preserve">(i) </w:t>
            </w:r>
            <w:r w:rsidRPr="000C58A8">
              <w:rPr>
                <w:rFonts w:ascii="Arial" w:eastAsia="Arial" w:hAnsi="Arial" w:cs="Arial"/>
                <w:b/>
                <w:bCs/>
                <w:lang w:val="es-ES_tradnl"/>
              </w:rPr>
              <w:t>Modelo de Gestión Estratégica de la SEFAZ implantado</w:t>
            </w:r>
            <w:r w:rsidRPr="000C58A8">
              <w:rPr>
                <w:rFonts w:ascii="Arial" w:eastAsia="Arial" w:hAnsi="Arial" w:cs="Arial"/>
                <w:lang w:val="es-ES_tradnl"/>
              </w:rPr>
              <w:t>, incluyendo: (a) Plan estratégico de la gestión fiscal</w:t>
            </w:r>
            <w:r w:rsidRPr="000C58A8">
              <w:rPr>
                <w:rStyle w:val="FootnoteReference"/>
                <w:rFonts w:ascii="Arial" w:hAnsi="Arial" w:cs="Arial"/>
                <w:lang w:val="es-ES_tradnl"/>
              </w:rPr>
              <w:footnoteReference w:id="21"/>
            </w:r>
            <w:r w:rsidRPr="000C58A8">
              <w:rPr>
                <w:rFonts w:ascii="Arial" w:eastAsia="Arial" w:hAnsi="Arial" w:cs="Arial"/>
                <w:lang w:val="es-ES_tradnl"/>
              </w:rPr>
              <w:t xml:space="preserve"> implantado con impactos sobre la planificación de la SEFAZ/AP y la SEPLAN/AP; (b) Matriz de riesgo de la gestión fiscal del estado implantada con impacto sobre la SEFAZ/AP; (c) procesos organizacionales de la SEFAZ/AP modelados (cartografía, rediseño e implementación); (d) sistemática</w:t>
            </w:r>
            <w:r w:rsidRPr="000C58A8">
              <w:rPr>
                <w:rStyle w:val="FootnoteReference"/>
                <w:rFonts w:ascii="Arial" w:hAnsi="Arial" w:cs="Arial"/>
                <w:lang w:val="es-ES_tradnl"/>
              </w:rPr>
              <w:footnoteReference w:id="22"/>
            </w:r>
            <w:r w:rsidRPr="000C58A8">
              <w:rPr>
                <w:rFonts w:ascii="Arial" w:eastAsia="Arial" w:hAnsi="Arial" w:cs="Arial"/>
                <w:lang w:val="es-ES_tradnl"/>
              </w:rPr>
              <w:t xml:space="preserve"> de control interno de la SEFAZ/AP implantada; (e) sistemática de los procedimientos de corrección de la SEFAZ/AP implantada; y (f) gestión electrónica de procesos/documentos (GED) para los procesos y documentos administrativos de la SEFAZ/AP implantado.                                                                                                                                                                                                                                                                                                                  </w:t>
            </w:r>
          </w:p>
        </w:tc>
      </w:tr>
      <w:tr w:rsidR="00523823" w:rsidRPr="003C561B" w14:paraId="7D8830CB" w14:textId="77777777" w:rsidTr="00331F43">
        <w:trPr>
          <w:trHeight w:val="25"/>
        </w:trPr>
        <w:tc>
          <w:tcPr>
            <w:tcW w:w="4890" w:type="dxa"/>
            <w:shd w:val="clear" w:color="auto" w:fill="auto"/>
          </w:tcPr>
          <w:p w14:paraId="161306F9" w14:textId="77777777" w:rsidR="007E122D" w:rsidRPr="000C58A8" w:rsidRDefault="00225EEA" w:rsidP="001B021A">
            <w:pPr>
              <w:spacing w:after="0" w:line="240" w:lineRule="auto"/>
              <w:jc w:val="both"/>
              <w:rPr>
                <w:rFonts w:ascii="Arial" w:hAnsi="Arial" w:cs="Arial"/>
                <w:lang w:val="es-ES_tradnl"/>
              </w:rPr>
            </w:pPr>
            <w:r w:rsidRPr="000C58A8">
              <w:rPr>
                <w:rFonts w:ascii="Arial" w:eastAsia="Arial" w:hAnsi="Arial" w:cs="Arial"/>
                <w:lang w:val="es-ES_tradnl"/>
              </w:rPr>
              <w:t>(</w:t>
            </w:r>
            <w:proofErr w:type="spellStart"/>
            <w:r w:rsidRPr="000C58A8">
              <w:rPr>
                <w:rFonts w:ascii="Arial" w:eastAsia="Arial" w:hAnsi="Arial" w:cs="Arial"/>
                <w:lang w:val="es-ES_tradnl"/>
              </w:rPr>
              <w:t>ii</w:t>
            </w:r>
            <w:proofErr w:type="spellEnd"/>
            <w:r w:rsidRPr="000C58A8">
              <w:rPr>
                <w:rFonts w:ascii="Arial" w:eastAsia="Arial" w:hAnsi="Arial" w:cs="Arial"/>
                <w:lang w:val="es-ES_tradnl"/>
              </w:rPr>
              <w:t>) La gestión de las personas presenta un bajo aprovechamiento de las competencias de los recursos humanos comprometiendo la calidad de la prestación de servicios, debido a: (a) la insuficiente información estratégica para apoyar la toma de decisiones y la reordenación de políticas y procesos de recursos humanos</w:t>
            </w:r>
            <w:r w:rsidRPr="000C58A8">
              <w:rPr>
                <w:rStyle w:val="FootnoteReference"/>
                <w:rFonts w:ascii="Arial" w:hAnsi="Arial" w:cs="Arial"/>
                <w:lang w:val="es-ES_tradnl"/>
              </w:rPr>
              <w:footnoteReference w:id="23"/>
            </w:r>
            <w:r w:rsidRPr="000C58A8">
              <w:rPr>
                <w:rFonts w:ascii="Arial" w:eastAsia="Arial" w:hAnsi="Arial" w:cs="Arial"/>
                <w:lang w:val="es-ES_tradnl"/>
              </w:rPr>
              <w:t>; y (b) la capacitación de la SEFAZ/AP no ser sistemática (periódica) y no estar basada en el perfil de competencia de los servidores/colaboradores con relación a sus atribuciones.</w:t>
            </w:r>
            <w:r w:rsidRPr="000C58A8">
              <w:rPr>
                <w:rStyle w:val="FootnoteReference"/>
                <w:rFonts w:ascii="Arial" w:hAnsi="Arial" w:cs="Arial"/>
                <w:lang w:val="es-ES_tradnl"/>
              </w:rPr>
              <w:footnoteReference w:id="24"/>
            </w:r>
            <w:r w:rsidRPr="000C58A8">
              <w:rPr>
                <w:rFonts w:ascii="Arial" w:eastAsia="Arial" w:hAnsi="Arial" w:cs="Arial"/>
                <w:lang w:val="es-ES_tradnl"/>
              </w:rPr>
              <w:t xml:space="preserve"> </w:t>
            </w:r>
          </w:p>
        </w:tc>
        <w:tc>
          <w:tcPr>
            <w:tcW w:w="4320" w:type="dxa"/>
            <w:shd w:val="clear" w:color="auto" w:fill="auto"/>
          </w:tcPr>
          <w:p w14:paraId="72FF3108" w14:textId="77777777" w:rsidR="0085641E" w:rsidRPr="000C58A8" w:rsidRDefault="00225EEA" w:rsidP="00BF2E17">
            <w:pPr>
              <w:pStyle w:val="FootnoteText"/>
              <w:contextualSpacing/>
              <w:rPr>
                <w:rFonts w:ascii="Arial" w:hAnsi="Arial" w:cs="Arial"/>
                <w:sz w:val="22"/>
                <w:szCs w:val="22"/>
                <w:lang w:val="es-ES_tradnl"/>
              </w:rPr>
            </w:pPr>
            <w:r w:rsidRPr="000C58A8">
              <w:rPr>
                <w:rFonts w:ascii="Arial" w:eastAsia="Arial" w:hAnsi="Arial" w:cs="Arial"/>
                <w:sz w:val="22"/>
                <w:szCs w:val="22"/>
                <w:lang w:val="es-ES_tradnl"/>
              </w:rPr>
              <w:t>Nota Técnica 1.2 - No se cuenta con herramientas tecnológicas para dar soporte a la gestión de los recursos humanos relativos a la capacitación y a los perfiles de competencias.</w:t>
            </w:r>
          </w:p>
          <w:p w14:paraId="4308F10C" w14:textId="77777777" w:rsidR="00BF2E17" w:rsidRPr="000C58A8" w:rsidRDefault="00225EEA" w:rsidP="00BF2E17">
            <w:pPr>
              <w:pStyle w:val="FootnoteText"/>
              <w:contextualSpacing/>
              <w:rPr>
                <w:rFonts w:ascii="Arial" w:hAnsi="Arial" w:cs="Arial"/>
                <w:sz w:val="22"/>
                <w:szCs w:val="22"/>
                <w:lang w:val="es-ES_tradnl"/>
              </w:rPr>
            </w:pPr>
            <w:r w:rsidRPr="000C58A8">
              <w:rPr>
                <w:rFonts w:ascii="Arial" w:eastAsia="Arial" w:hAnsi="Arial" w:cs="Arial"/>
                <w:sz w:val="22"/>
                <w:szCs w:val="22"/>
                <w:lang w:val="es-ES_tradnl"/>
              </w:rPr>
              <w:t>Nota Técnica 1.2 En el año 2018, de sus 391 funcionarios, ninguno fue capacitado sobre la base de una evaluación de competencias.</w:t>
            </w:r>
          </w:p>
          <w:p w14:paraId="49143DFD" w14:textId="77777777" w:rsidR="0033275B" w:rsidRPr="000C58A8" w:rsidRDefault="00225EEA" w:rsidP="00BF2E17">
            <w:pPr>
              <w:pStyle w:val="FootnoteText"/>
              <w:contextualSpacing/>
              <w:rPr>
                <w:rFonts w:ascii="Arial" w:hAnsi="Arial" w:cs="Arial"/>
                <w:sz w:val="22"/>
                <w:szCs w:val="22"/>
                <w:lang w:val="es-ES_tradnl"/>
              </w:rPr>
            </w:pPr>
            <w:r w:rsidRPr="000C58A8">
              <w:rPr>
                <w:rFonts w:ascii="Arial" w:eastAsia="Arial" w:hAnsi="Arial" w:cs="Arial"/>
                <w:sz w:val="22"/>
                <w:szCs w:val="22"/>
                <w:lang w:val="es-ES_tradnl"/>
              </w:rPr>
              <w:t xml:space="preserve">Nota Técnica 1.2 - </w:t>
            </w:r>
            <w:bookmarkStart w:id="8" w:name="_Hlk10104146"/>
            <w:r w:rsidRPr="000C58A8">
              <w:rPr>
                <w:rFonts w:ascii="Arial" w:eastAsia="Arial" w:hAnsi="Arial" w:cs="Arial"/>
                <w:sz w:val="22"/>
                <w:szCs w:val="22"/>
                <w:lang w:val="es-ES_tradnl"/>
              </w:rPr>
              <w:t>En 2018, Sólo 79 de 391 funcionarios recibieron capacitación.</w:t>
            </w:r>
            <w:bookmarkEnd w:id="8"/>
          </w:p>
          <w:p w14:paraId="289AEA94" w14:textId="34C77AD1" w:rsidR="00551F7B" w:rsidRPr="000C58A8" w:rsidRDefault="00551F7B" w:rsidP="00874BD1">
            <w:pPr>
              <w:spacing w:after="0" w:line="240" w:lineRule="auto"/>
              <w:jc w:val="both"/>
              <w:rPr>
                <w:rFonts w:ascii="Arial" w:hAnsi="Arial" w:cs="Arial"/>
                <w:highlight w:val="yellow"/>
                <w:lang w:val="es-ES_tradnl"/>
              </w:rPr>
            </w:pPr>
          </w:p>
        </w:tc>
        <w:tc>
          <w:tcPr>
            <w:tcW w:w="4860" w:type="dxa"/>
            <w:shd w:val="clear" w:color="auto" w:fill="auto"/>
          </w:tcPr>
          <w:p w14:paraId="5A25F72C" w14:textId="77777777" w:rsidR="007E122D" w:rsidRPr="000C58A8" w:rsidRDefault="00225EEA" w:rsidP="00AF017D">
            <w:pPr>
              <w:spacing w:after="0" w:line="240" w:lineRule="auto"/>
              <w:jc w:val="both"/>
              <w:rPr>
                <w:rFonts w:ascii="Arial" w:hAnsi="Arial" w:cs="Arial"/>
                <w:lang w:val="es-ES_tradnl"/>
              </w:rPr>
            </w:pPr>
            <w:r w:rsidRPr="000C58A8">
              <w:rPr>
                <w:rFonts w:ascii="Arial" w:eastAsia="Arial" w:hAnsi="Arial" w:cs="Arial"/>
                <w:lang w:val="es-ES_tradnl"/>
              </w:rPr>
              <w:t>(</w:t>
            </w:r>
            <w:proofErr w:type="spellStart"/>
            <w:r w:rsidRPr="000C58A8">
              <w:rPr>
                <w:rFonts w:ascii="Arial" w:eastAsia="Arial" w:hAnsi="Arial" w:cs="Arial"/>
                <w:lang w:val="es-ES_tradnl"/>
              </w:rPr>
              <w:t>ii</w:t>
            </w:r>
            <w:proofErr w:type="spellEnd"/>
            <w:r w:rsidRPr="000C58A8">
              <w:rPr>
                <w:rFonts w:ascii="Arial" w:eastAsia="Arial" w:hAnsi="Arial" w:cs="Arial"/>
                <w:lang w:val="es-ES_tradnl"/>
              </w:rPr>
              <w:t xml:space="preserve">) </w:t>
            </w:r>
            <w:r w:rsidRPr="000C58A8">
              <w:rPr>
                <w:rFonts w:ascii="Arial" w:eastAsia="Arial" w:hAnsi="Arial" w:cs="Arial"/>
                <w:b/>
                <w:bCs/>
                <w:lang w:val="es-ES_tradnl"/>
              </w:rPr>
              <w:t>Modelo de gestión de recursos humanos de SEFAZ implantado</w:t>
            </w:r>
            <w:r w:rsidRPr="000C58A8">
              <w:rPr>
                <w:rFonts w:ascii="Arial" w:eastAsia="Arial" w:hAnsi="Arial" w:cs="Arial"/>
                <w:lang w:val="es-ES_tradnl"/>
              </w:rPr>
              <w:t xml:space="preserve">, incluyendo: (a) la cartografía de los perfiles de competencias de los empleados - implantada; (b) el modelo de gestión del conocimiento - implantado; y (c) el programa de desarrollo de capacitaciones - implantado.                                                                                                                                                                       </w:t>
            </w:r>
          </w:p>
        </w:tc>
      </w:tr>
      <w:tr w:rsidR="00523823" w:rsidRPr="000C58A8" w14:paraId="107C922F" w14:textId="77777777" w:rsidTr="00BF2E17">
        <w:trPr>
          <w:trHeight w:val="133"/>
        </w:trPr>
        <w:tc>
          <w:tcPr>
            <w:tcW w:w="4890" w:type="dxa"/>
            <w:shd w:val="clear" w:color="auto" w:fill="auto"/>
          </w:tcPr>
          <w:p w14:paraId="6CC4C578" w14:textId="63BF84F5" w:rsidR="002F0992" w:rsidRPr="000C58A8" w:rsidRDefault="00225EEA" w:rsidP="001B021A">
            <w:pPr>
              <w:spacing w:after="0" w:line="240" w:lineRule="auto"/>
              <w:jc w:val="both"/>
              <w:rPr>
                <w:rFonts w:ascii="Arial" w:hAnsi="Arial" w:cs="Arial"/>
                <w:lang w:val="es-ES_tradnl"/>
              </w:rPr>
            </w:pPr>
            <w:r w:rsidRPr="000C58A8">
              <w:rPr>
                <w:rFonts w:ascii="Arial" w:eastAsia="Arial" w:hAnsi="Arial" w:cs="Arial"/>
                <w:lang w:val="es-ES_tradnl"/>
              </w:rPr>
              <w:t>(</w:t>
            </w:r>
            <w:proofErr w:type="spellStart"/>
            <w:r w:rsidRPr="000C58A8">
              <w:rPr>
                <w:rFonts w:ascii="Arial" w:eastAsia="Arial" w:hAnsi="Arial" w:cs="Arial"/>
                <w:lang w:val="es-ES_tradnl"/>
              </w:rPr>
              <w:t>iii</w:t>
            </w:r>
            <w:proofErr w:type="spellEnd"/>
            <w:r w:rsidRPr="000C58A8">
              <w:rPr>
                <w:rFonts w:ascii="Arial" w:eastAsia="Arial" w:hAnsi="Arial" w:cs="Arial"/>
                <w:lang w:val="es-ES_tradnl"/>
              </w:rPr>
              <w:t xml:space="preserve">) El parque tecnológico responsable de la gestión de la información generada por los diversos sistemas de gestión del estado </w:t>
            </w:r>
            <w:r w:rsidR="00F62B50">
              <w:rPr>
                <w:rFonts w:ascii="Arial" w:eastAsia="Arial" w:hAnsi="Arial" w:cs="Arial"/>
                <w:lang w:val="es-ES_tradnl"/>
              </w:rPr>
              <w:t xml:space="preserve">son </w:t>
            </w:r>
            <w:r w:rsidRPr="000C58A8">
              <w:rPr>
                <w:rFonts w:ascii="Arial" w:eastAsia="Arial" w:hAnsi="Arial" w:cs="Arial"/>
                <w:lang w:val="es-ES_tradnl"/>
              </w:rPr>
              <w:t xml:space="preserve"> insuficiente</w:t>
            </w:r>
            <w:r w:rsidR="00F62B50">
              <w:rPr>
                <w:rFonts w:ascii="Arial" w:eastAsia="Arial" w:hAnsi="Arial" w:cs="Arial"/>
                <w:lang w:val="es-ES_tradnl"/>
              </w:rPr>
              <w:t>s</w:t>
            </w:r>
            <w:r w:rsidRPr="000C58A8">
              <w:rPr>
                <w:rFonts w:ascii="Arial" w:eastAsia="Arial" w:hAnsi="Arial" w:cs="Arial"/>
                <w:lang w:val="es-ES_tradnl"/>
              </w:rPr>
              <w:t xml:space="preserve"> para la toma de decisiones para la gestión de las TIC presenta vulnerabilidades, debido a: (a) los instrumentos estratégicos y de gestión de la tecnología información y comunicación (TIC) no están debidamente definidos y documentados;</w:t>
            </w:r>
            <w:r w:rsidRPr="000C58A8">
              <w:rPr>
                <w:rStyle w:val="FootnoteReference"/>
                <w:rFonts w:ascii="Arial" w:hAnsi="Arial" w:cs="Arial"/>
                <w:lang w:val="es-ES_tradnl"/>
              </w:rPr>
              <w:footnoteReference w:id="25"/>
            </w:r>
            <w:r w:rsidRPr="000C58A8">
              <w:rPr>
                <w:rFonts w:ascii="Arial" w:eastAsia="Arial" w:hAnsi="Arial" w:cs="Arial"/>
                <w:lang w:val="es-ES_tradnl"/>
              </w:rPr>
              <w:t>(b) deficiencia en los instrumentos de seguridad de la información; y (c) baja capacidad del parque tecnológico hacer frente al gran volumen de datos que los nuevos instrumentos fiscales vienen demandando (Sistema de escrituración digital - SPED, Factura Electrónica - NF-e, y Factura Electrónica al Consumidor NFC-e.</w:t>
            </w:r>
            <w:r w:rsidRPr="000C58A8">
              <w:rPr>
                <w:rStyle w:val="FootnoteReference"/>
                <w:rFonts w:ascii="Arial" w:hAnsi="Arial" w:cs="Arial"/>
                <w:lang w:val="es-ES_tradnl"/>
              </w:rPr>
              <w:footnoteReference w:id="26"/>
            </w:r>
            <w:r w:rsidRPr="000C58A8">
              <w:rPr>
                <w:rFonts w:ascii="Arial" w:eastAsia="Arial" w:hAnsi="Arial" w:cs="Arial"/>
                <w:lang w:val="es-ES_tradnl"/>
              </w:rPr>
              <w:t xml:space="preserve"> </w:t>
            </w:r>
          </w:p>
        </w:tc>
        <w:tc>
          <w:tcPr>
            <w:tcW w:w="4320" w:type="dxa"/>
            <w:shd w:val="clear" w:color="auto" w:fill="auto"/>
          </w:tcPr>
          <w:p w14:paraId="53D871D2" w14:textId="77777777" w:rsidR="00BF2E17" w:rsidRPr="000C58A8" w:rsidRDefault="00BF2E17" w:rsidP="00BF2E17">
            <w:pPr>
              <w:spacing w:after="0"/>
              <w:contextualSpacing/>
              <w:jc w:val="both"/>
              <w:rPr>
                <w:rFonts w:ascii="Arial" w:hAnsi="Arial" w:cs="Arial"/>
                <w:lang w:val="es-ES_tradnl"/>
              </w:rPr>
            </w:pPr>
          </w:p>
          <w:p w14:paraId="31936E6A" w14:textId="77777777" w:rsidR="00BF2E17" w:rsidRPr="000C58A8" w:rsidRDefault="00225EEA" w:rsidP="00BF2E17">
            <w:pPr>
              <w:spacing w:after="0"/>
              <w:contextualSpacing/>
              <w:jc w:val="both"/>
              <w:rPr>
                <w:rFonts w:ascii="Arial" w:hAnsi="Arial" w:cs="Arial"/>
                <w:lang w:val="es-ES_tradnl"/>
              </w:rPr>
            </w:pPr>
            <w:r w:rsidRPr="000C58A8">
              <w:rPr>
                <w:rFonts w:ascii="Arial" w:eastAsia="Arial" w:hAnsi="Arial" w:cs="Arial"/>
                <w:lang w:val="es-ES_tradnl"/>
              </w:rPr>
              <w:t xml:space="preserve"> Nota técnica 1.3 - Las 238 horas de indisponibilidad por ataques y problema de infraestructura tecnológica.</w:t>
            </w:r>
          </w:p>
          <w:p w14:paraId="7FFFAC46" w14:textId="77777777" w:rsidR="00BF2E17" w:rsidRPr="000C58A8" w:rsidRDefault="00225EEA" w:rsidP="00BF2E17">
            <w:pPr>
              <w:spacing w:after="0"/>
              <w:contextualSpacing/>
              <w:jc w:val="both"/>
              <w:rPr>
                <w:rFonts w:ascii="Arial" w:hAnsi="Arial" w:cs="Arial"/>
                <w:lang w:val="es-ES_tradnl"/>
              </w:rPr>
            </w:pPr>
            <w:r w:rsidRPr="000C58A8">
              <w:rPr>
                <w:rFonts w:ascii="Arial" w:eastAsia="Arial" w:hAnsi="Arial" w:cs="Arial"/>
                <w:lang w:val="es-ES_tradnl"/>
              </w:rPr>
              <w:t>Nota Técnica 1.3 - El 95% del almacenamiento y el procesamiento ya se están utilizando? Se utiliza el entorno de redundancia de modo indebido para el procesamiento regular.</w:t>
            </w:r>
          </w:p>
          <w:p w14:paraId="0E80FC7C" w14:textId="77777777" w:rsidR="00645BD4" w:rsidRPr="000C58A8" w:rsidRDefault="00645BD4" w:rsidP="00BF2E17">
            <w:pPr>
              <w:spacing w:after="0"/>
              <w:contextualSpacing/>
              <w:jc w:val="both"/>
              <w:rPr>
                <w:rFonts w:ascii="Arial" w:hAnsi="Arial" w:cs="Arial"/>
                <w:lang w:val="es-ES_tradnl"/>
              </w:rPr>
            </w:pPr>
          </w:p>
          <w:p w14:paraId="39B9BEC9" w14:textId="77777777" w:rsidR="00551F7B" w:rsidRPr="000C58A8" w:rsidRDefault="00551F7B" w:rsidP="003C561B">
            <w:pPr>
              <w:spacing w:after="0"/>
              <w:contextualSpacing/>
              <w:jc w:val="both"/>
              <w:rPr>
                <w:rFonts w:ascii="Arial" w:hAnsi="Arial" w:cs="Arial"/>
                <w:highlight w:val="yellow"/>
                <w:lang w:val="es-ES_tradnl"/>
              </w:rPr>
            </w:pPr>
          </w:p>
        </w:tc>
        <w:tc>
          <w:tcPr>
            <w:tcW w:w="4860" w:type="dxa"/>
            <w:shd w:val="clear" w:color="auto" w:fill="auto"/>
          </w:tcPr>
          <w:p w14:paraId="25D8FD5D" w14:textId="77777777" w:rsidR="002F0992" w:rsidRPr="000C58A8" w:rsidRDefault="00225EEA" w:rsidP="00AF017D">
            <w:pPr>
              <w:spacing w:after="0" w:line="240" w:lineRule="auto"/>
              <w:jc w:val="both"/>
              <w:rPr>
                <w:rFonts w:ascii="Arial" w:hAnsi="Arial" w:cs="Arial"/>
                <w:lang w:val="es-ES_tradnl"/>
              </w:rPr>
            </w:pPr>
            <w:r w:rsidRPr="000C58A8">
              <w:rPr>
                <w:rFonts w:ascii="Arial" w:eastAsia="Arial" w:hAnsi="Arial" w:cs="Arial"/>
                <w:b/>
                <w:bCs/>
                <w:lang w:val="es-ES_tradnl"/>
              </w:rPr>
              <w:t>(</w:t>
            </w:r>
            <w:proofErr w:type="spellStart"/>
            <w:r w:rsidRPr="000C58A8">
              <w:rPr>
                <w:rFonts w:ascii="Arial" w:eastAsia="Arial" w:hAnsi="Arial" w:cs="Arial"/>
                <w:b/>
                <w:bCs/>
                <w:lang w:val="es-ES_tradnl"/>
              </w:rPr>
              <w:t>iii</w:t>
            </w:r>
            <w:proofErr w:type="spellEnd"/>
            <w:r w:rsidRPr="000C58A8">
              <w:rPr>
                <w:rFonts w:ascii="Arial" w:eastAsia="Arial" w:hAnsi="Arial" w:cs="Arial"/>
                <w:b/>
                <w:bCs/>
                <w:lang w:val="es-ES_tradnl"/>
              </w:rPr>
              <w:t>) Plan de modernización de los instrumentos tecnológicos para la gobernanza, seguridad y gestión de datos de la SEFAZ,</w:t>
            </w:r>
            <w:r w:rsidRPr="000C58A8">
              <w:rPr>
                <w:rFonts w:ascii="Arial" w:eastAsia="Arial" w:hAnsi="Arial" w:cs="Arial"/>
                <w:lang w:val="es-ES_tradnl"/>
              </w:rPr>
              <w:t xml:space="preserve"> incluyendo: (a) Implantación de un Plan Director de Tecnología - PDTI, tomando en cuenta un nuevo modelo de gestión de TIC; (b) la Implantación de un Modelo de Seguridad de la Información de la SEFAZ/AP (ciberseguridad), incluida una nueva política de seguridad y un plan de contingencia; y (c) actualización del parque tecnológico de hardware y software de apoyo, incluyendo la infraestructura para el uso de Big Data y la ampliación del ambiente de contingencia en caso de fallas o desastres. (servidores, </w:t>
            </w:r>
            <w:proofErr w:type="spellStart"/>
            <w:r w:rsidRPr="000C58A8">
              <w:rPr>
                <w:rFonts w:ascii="Arial" w:eastAsia="Arial" w:hAnsi="Arial" w:cs="Arial"/>
                <w:lang w:val="es-ES_tradnl"/>
              </w:rPr>
              <w:t>backup</w:t>
            </w:r>
            <w:proofErr w:type="spellEnd"/>
            <w:r w:rsidRPr="000C58A8">
              <w:rPr>
                <w:rFonts w:ascii="Arial" w:eastAsia="Arial" w:hAnsi="Arial" w:cs="Arial"/>
                <w:lang w:val="es-ES_tradnl"/>
              </w:rPr>
              <w:t>, salón-caja fuerte)</w:t>
            </w:r>
          </w:p>
        </w:tc>
      </w:tr>
      <w:tr w:rsidR="00523823" w:rsidRPr="003C561B" w14:paraId="29C6B8D4" w14:textId="77777777" w:rsidTr="00187B49">
        <w:trPr>
          <w:trHeight w:val="23"/>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1600CDCC" w14:textId="77777777" w:rsidR="003C45A4" w:rsidRPr="000C58A8" w:rsidRDefault="00225EEA" w:rsidP="00F163E2">
            <w:pPr>
              <w:pStyle w:val="Paragraph"/>
              <w:numPr>
                <w:ilvl w:val="0"/>
                <w:numId w:val="0"/>
              </w:numPr>
              <w:tabs>
                <w:tab w:val="left" w:pos="720"/>
              </w:tabs>
              <w:rPr>
                <w:rFonts w:ascii="Arial" w:hAnsi="Arial" w:cs="Arial"/>
                <w:b/>
                <w:sz w:val="22"/>
                <w:szCs w:val="22"/>
              </w:rPr>
            </w:pPr>
            <w:r w:rsidRPr="000C58A8">
              <w:rPr>
                <w:rFonts w:ascii="Arial" w:eastAsia="Arial" w:hAnsi="Arial" w:cs="Arial"/>
                <w:sz w:val="22"/>
                <w:szCs w:val="22"/>
              </w:rPr>
              <w:t>(iv) Baja participación de la sociedad en el control de la gestión fiscal, debido a: (a) la insuficiente información física, financiera y sus respectivos indicadores económicos y sociales que están disponibles para la sociedad, de difícil comprensión y contextualización,</w:t>
            </w:r>
            <w:r w:rsidRPr="000C58A8">
              <w:rPr>
                <w:rStyle w:val="FootnoteReference"/>
                <w:rFonts w:ascii="Arial" w:hAnsi="Arial" w:cs="Arial"/>
                <w:sz w:val="22"/>
                <w:szCs w:val="22"/>
              </w:rPr>
              <w:footnoteReference w:id="27"/>
            </w:r>
            <w:r w:rsidRPr="000C58A8">
              <w:rPr>
                <w:rFonts w:ascii="Arial" w:eastAsia="Arial" w:hAnsi="Arial" w:cs="Arial"/>
                <w:sz w:val="22"/>
                <w:szCs w:val="22"/>
              </w:rPr>
              <w:t xml:space="preserve"> (b) el Portal de Transparencia de la SEFAZ no integra la información de las bases de datos de los sistemas de las áreas de gestión del gobierno, así como utiliza un lenguaje demasiado técnico para el entendimiento del ciudadano común</w:t>
            </w:r>
            <w:r w:rsidRPr="000C58A8">
              <w:rPr>
                <w:rStyle w:val="FootnoteReference"/>
                <w:rFonts w:ascii="Arial" w:hAnsi="Arial" w:cs="Arial"/>
                <w:sz w:val="22"/>
                <w:szCs w:val="22"/>
              </w:rPr>
              <w:footnoteReference w:id="28"/>
            </w:r>
            <w:r w:rsidRPr="000C58A8">
              <w:rPr>
                <w:rFonts w:ascii="Arial" w:eastAsia="Arial" w:hAnsi="Arial" w:cs="Arial"/>
                <w:sz w:val="22"/>
                <w:szCs w:val="22"/>
              </w:rPr>
              <w:t>; y (c) el programa de Educación Fiscal es poco conocido, no incluye la gran mayoría de los municipios.</w:t>
            </w:r>
            <w:r w:rsidRPr="000C58A8">
              <w:rPr>
                <w:rStyle w:val="FootnoteReference"/>
                <w:rFonts w:ascii="Arial" w:eastAsiaTheme="majorEastAsia" w:hAnsi="Arial" w:cs="Arial"/>
                <w:sz w:val="22"/>
                <w:szCs w:val="22"/>
              </w:rPr>
              <w:footnoteReference w:id="29"/>
            </w:r>
          </w:p>
        </w:tc>
        <w:tc>
          <w:tcPr>
            <w:tcW w:w="4320" w:type="dxa"/>
            <w:tcBorders>
              <w:top w:val="single" w:sz="4" w:space="0" w:color="auto"/>
              <w:left w:val="single" w:sz="4" w:space="0" w:color="auto"/>
              <w:bottom w:val="single" w:sz="4" w:space="0" w:color="auto"/>
              <w:right w:val="single" w:sz="4" w:space="0" w:color="auto"/>
            </w:tcBorders>
            <w:shd w:val="clear" w:color="auto" w:fill="auto"/>
          </w:tcPr>
          <w:p w14:paraId="37E3D1D8" w14:textId="224DA146" w:rsidR="00FE18B2" w:rsidRPr="000C58A8" w:rsidRDefault="00225EEA" w:rsidP="00EF713A">
            <w:pPr>
              <w:pStyle w:val="FootnoteText"/>
              <w:contextualSpacing/>
              <w:rPr>
                <w:rFonts w:ascii="Arial" w:hAnsi="Arial" w:cs="Arial"/>
                <w:sz w:val="22"/>
                <w:szCs w:val="22"/>
                <w:lang w:val="es-ES_tradnl"/>
              </w:rPr>
            </w:pPr>
            <w:r w:rsidRPr="000C58A8">
              <w:rPr>
                <w:rFonts w:ascii="Arial" w:eastAsia="Arial" w:hAnsi="Arial" w:cs="Arial"/>
                <w:sz w:val="22"/>
                <w:szCs w:val="22"/>
                <w:lang w:val="es-ES_tradnl"/>
              </w:rPr>
              <w:t xml:space="preserve">Nota Técnica 1.4 </w:t>
            </w:r>
            <w:bookmarkStart w:id="10" w:name="_Hlk9857653"/>
            <w:r w:rsidR="000C58A8" w:rsidRPr="000C58A8">
              <w:rPr>
                <w:rFonts w:ascii="Arial" w:eastAsia="Arial" w:hAnsi="Arial" w:cs="Arial"/>
                <w:sz w:val="22"/>
                <w:szCs w:val="22"/>
                <w:lang w:val="es-ES_tradnl"/>
              </w:rPr>
              <w:t>– La</w:t>
            </w:r>
            <w:r w:rsidRPr="000C58A8">
              <w:rPr>
                <w:rFonts w:ascii="Arial" w:eastAsia="Arial" w:hAnsi="Arial" w:cs="Arial"/>
                <w:sz w:val="22"/>
                <w:szCs w:val="22"/>
                <w:lang w:val="es-ES_tradnl"/>
              </w:rPr>
              <w:t xml:space="preserve"> información del Portal de Transparencia se actualiza manualmente.</w:t>
            </w:r>
          </w:p>
          <w:p w14:paraId="39F610EE" w14:textId="2F3A5DBF" w:rsidR="00EF713A" w:rsidRPr="000C58A8" w:rsidRDefault="00225EEA" w:rsidP="00EF713A">
            <w:pPr>
              <w:pStyle w:val="FootnoteText"/>
              <w:contextualSpacing/>
              <w:rPr>
                <w:rFonts w:ascii="Arial" w:hAnsi="Arial" w:cs="Arial"/>
                <w:sz w:val="22"/>
                <w:szCs w:val="22"/>
                <w:lang w:val="es-ES_tradnl"/>
              </w:rPr>
            </w:pPr>
            <w:r w:rsidRPr="000C58A8">
              <w:rPr>
                <w:rFonts w:ascii="Arial" w:eastAsia="Arial" w:hAnsi="Arial" w:cs="Arial"/>
                <w:sz w:val="22"/>
                <w:szCs w:val="22"/>
                <w:lang w:val="es-ES_tradnl"/>
              </w:rPr>
              <w:t xml:space="preserve">Nota técnica 1.4 - El portal de SEFAZ es una de las fuentes de información para la actualización del portal del estado que está clasificado en </w:t>
            </w:r>
            <w:bookmarkEnd w:id="10"/>
            <w:r w:rsidRPr="000C58A8">
              <w:rPr>
                <w:rFonts w:ascii="Arial" w:eastAsia="Arial" w:hAnsi="Arial" w:cs="Arial"/>
                <w:sz w:val="22"/>
                <w:szCs w:val="22"/>
                <w:lang w:val="es-ES_tradnl"/>
              </w:rPr>
              <w:t xml:space="preserve">5.99 de 10 puntos. El último entre los 27 </w:t>
            </w:r>
            <w:r w:rsidR="000C58A8" w:rsidRPr="000C58A8">
              <w:rPr>
                <w:rFonts w:ascii="Arial" w:eastAsia="Arial" w:hAnsi="Arial" w:cs="Arial"/>
                <w:sz w:val="22"/>
                <w:szCs w:val="22"/>
                <w:lang w:val="es-ES_tradnl"/>
              </w:rPr>
              <w:t>estados Fuente</w:t>
            </w:r>
            <w:r w:rsidRPr="000C58A8">
              <w:rPr>
                <w:rFonts w:ascii="Arial" w:eastAsia="Arial" w:hAnsi="Arial" w:cs="Arial"/>
                <w:sz w:val="22"/>
                <w:szCs w:val="22"/>
                <w:lang w:val="es-ES_tradnl"/>
              </w:rPr>
              <w:t>: Contraloría General de la Unión (CGU - Escala Brasil transparente)</w:t>
            </w:r>
          </w:p>
          <w:p w14:paraId="2FF43C8D" w14:textId="77777777" w:rsidR="00E25A7C" w:rsidRPr="000C58A8" w:rsidRDefault="00225EEA" w:rsidP="00EF713A">
            <w:pPr>
              <w:spacing w:after="0" w:line="240" w:lineRule="auto"/>
              <w:jc w:val="both"/>
              <w:rPr>
                <w:rFonts w:ascii="Arial" w:hAnsi="Arial" w:cs="Arial"/>
                <w:lang w:val="es-ES_tradnl"/>
              </w:rPr>
            </w:pPr>
            <w:r w:rsidRPr="000C58A8">
              <w:rPr>
                <w:rFonts w:ascii="Arial" w:eastAsia="Arial" w:hAnsi="Arial" w:cs="Arial"/>
                <w:lang w:val="es-ES_tradnl"/>
              </w:rPr>
              <w:t xml:space="preserve">Nota técnica 1.4 - Sólo 1 (Serra do </w:t>
            </w:r>
            <w:proofErr w:type="spellStart"/>
            <w:r w:rsidRPr="000C58A8">
              <w:rPr>
                <w:rFonts w:ascii="Arial" w:eastAsia="Arial" w:hAnsi="Arial" w:cs="Arial"/>
                <w:lang w:val="es-ES_tradnl"/>
              </w:rPr>
              <w:t>Navio</w:t>
            </w:r>
            <w:proofErr w:type="spellEnd"/>
            <w:r w:rsidRPr="000C58A8">
              <w:rPr>
                <w:rFonts w:ascii="Arial" w:eastAsia="Arial" w:hAnsi="Arial" w:cs="Arial"/>
                <w:lang w:val="es-ES_tradnl"/>
              </w:rPr>
              <w:t xml:space="preserve">) de los 16 municipios cuenta con el programa de educación fiscal. </w:t>
            </w:r>
          </w:p>
          <w:p w14:paraId="47C3A8A4" w14:textId="0AABB546" w:rsidR="00173F35" w:rsidRPr="000C58A8" w:rsidRDefault="00173F35" w:rsidP="00187B49">
            <w:pPr>
              <w:spacing w:after="0" w:line="240" w:lineRule="auto"/>
              <w:jc w:val="both"/>
              <w:rPr>
                <w:rFonts w:ascii="Arial" w:hAnsi="Arial" w:cs="Arial"/>
                <w:lang w:val="es-ES_tradnl"/>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382976FE" w14:textId="770FD0A0" w:rsidR="003C45A4" w:rsidRPr="000C58A8" w:rsidRDefault="00225EEA" w:rsidP="00187B49">
            <w:pPr>
              <w:spacing w:after="0" w:line="240" w:lineRule="auto"/>
              <w:jc w:val="both"/>
              <w:rPr>
                <w:rFonts w:ascii="Arial" w:hAnsi="Arial" w:cs="Arial"/>
                <w:lang w:val="es-ES_tradnl"/>
              </w:rPr>
            </w:pPr>
            <w:r w:rsidRPr="000C58A8">
              <w:rPr>
                <w:rFonts w:ascii="Arial" w:eastAsia="Arial" w:hAnsi="Arial" w:cs="Arial"/>
                <w:lang w:val="es-ES_tradnl"/>
              </w:rPr>
              <w:t xml:space="preserve">(iv) </w:t>
            </w:r>
            <w:r w:rsidRPr="000C58A8">
              <w:rPr>
                <w:rFonts w:ascii="Arial" w:eastAsia="Arial" w:hAnsi="Arial" w:cs="Arial"/>
                <w:b/>
                <w:bCs/>
                <w:lang w:val="es-ES_tradnl"/>
              </w:rPr>
              <w:t>Mecanismos de transparencia y educación fiscal con la sociedad del Estado implantados</w:t>
            </w:r>
            <w:r w:rsidRPr="000C58A8">
              <w:rPr>
                <w:rFonts w:ascii="Arial" w:eastAsia="Arial" w:hAnsi="Arial" w:cs="Arial"/>
                <w:lang w:val="es-ES_tradnl"/>
              </w:rPr>
              <w:t>, incluyendo: (a) implantación de un modelo de oidoría</w:t>
            </w:r>
            <w:r w:rsidR="003B53B6">
              <w:rPr>
                <w:rFonts w:ascii="Arial" w:eastAsia="Arial" w:hAnsi="Arial" w:cs="Arial"/>
                <w:lang w:val="es-ES_tradnl"/>
              </w:rPr>
              <w:t xml:space="preserve"> de la Secretaria de Hacienda</w:t>
            </w:r>
            <w:r w:rsidRPr="000C58A8">
              <w:rPr>
                <w:rFonts w:ascii="Arial" w:eastAsia="Arial" w:hAnsi="Arial" w:cs="Arial"/>
                <w:lang w:val="es-ES_tradnl"/>
              </w:rPr>
              <w:t xml:space="preserve">; (b) mejora del portal de la transparencia con nuevos procedimientos y herramientas tecnológicas para mejorar la comunicación y la transparencia de las políticas estatales con la sociedad; y (c) reformulación y expansión del programa de educación fiscal, incluyendo a </w:t>
            </w:r>
            <w:r w:rsidR="000C58A8" w:rsidRPr="000C58A8">
              <w:rPr>
                <w:rFonts w:ascii="Arial" w:eastAsia="Arial" w:hAnsi="Arial" w:cs="Arial"/>
                <w:lang w:val="es-ES_tradnl"/>
              </w:rPr>
              <w:t>una amplia campaña</w:t>
            </w:r>
            <w:r w:rsidRPr="000C58A8">
              <w:rPr>
                <w:rFonts w:ascii="Arial" w:eastAsia="Arial" w:hAnsi="Arial" w:cs="Arial"/>
                <w:lang w:val="es-ES_tradnl"/>
              </w:rPr>
              <w:t xml:space="preserve"> de concientización a través de eventos especializados.</w:t>
            </w:r>
          </w:p>
        </w:tc>
      </w:tr>
      <w:tr w:rsidR="00523823" w:rsidRPr="003C561B" w14:paraId="632BB2F2" w14:textId="77777777" w:rsidTr="00AF017D">
        <w:trPr>
          <w:trHeight w:val="23"/>
        </w:trPr>
        <w:tc>
          <w:tcPr>
            <w:tcW w:w="14070" w:type="dxa"/>
            <w:gridSpan w:val="3"/>
            <w:shd w:val="clear" w:color="auto" w:fill="F7CAAC" w:themeFill="accent2" w:themeFillTint="66"/>
          </w:tcPr>
          <w:p w14:paraId="47AD6C97" w14:textId="77777777" w:rsidR="00587379" w:rsidRPr="000C58A8" w:rsidRDefault="00225EEA" w:rsidP="006D3A88">
            <w:pPr>
              <w:spacing w:after="0" w:line="240" w:lineRule="auto"/>
              <w:rPr>
                <w:rFonts w:ascii="Arial" w:hAnsi="Arial" w:cs="Arial"/>
                <w:b/>
                <w:lang w:val="es-ES_tradnl"/>
              </w:rPr>
            </w:pPr>
            <w:r w:rsidRPr="000C58A8">
              <w:rPr>
                <w:rFonts w:ascii="Arial" w:eastAsia="Arial" w:hAnsi="Arial" w:cs="Arial"/>
                <w:b/>
                <w:bCs/>
                <w:lang w:val="es-ES_tradnl"/>
              </w:rPr>
              <w:t>Componente II. Administración Tributaria y Contencioso Fiscal (US$ 11,6 millones).</w:t>
            </w:r>
          </w:p>
        </w:tc>
      </w:tr>
      <w:tr w:rsidR="00523823" w:rsidRPr="003C561B" w14:paraId="3815BA19" w14:textId="77777777" w:rsidTr="00187B49">
        <w:trPr>
          <w:trHeight w:val="24"/>
        </w:trPr>
        <w:tc>
          <w:tcPr>
            <w:tcW w:w="14070" w:type="dxa"/>
            <w:gridSpan w:val="3"/>
            <w:shd w:val="clear" w:color="auto" w:fill="F7CAAC" w:themeFill="accent2" w:themeFillTint="66"/>
          </w:tcPr>
          <w:p w14:paraId="1E7CE2CE" w14:textId="77777777" w:rsidR="00282B27" w:rsidRPr="000C58A8" w:rsidRDefault="00225EEA" w:rsidP="00187B49">
            <w:pPr>
              <w:spacing w:after="0" w:line="240" w:lineRule="auto"/>
              <w:rPr>
                <w:rFonts w:ascii="Arial" w:hAnsi="Arial" w:cs="Arial"/>
                <w:b/>
                <w:lang w:val="es-ES_tradnl"/>
              </w:rPr>
            </w:pPr>
            <w:r w:rsidRPr="000C58A8">
              <w:rPr>
                <w:rFonts w:ascii="Arial" w:eastAsia="Arial" w:hAnsi="Arial" w:cs="Arial"/>
                <w:b/>
                <w:bCs/>
                <w:lang w:val="es-ES_tradnl"/>
              </w:rPr>
              <w:t>Problema específico 2</w:t>
            </w:r>
            <w:r w:rsidRPr="000C58A8">
              <w:rPr>
                <w:rFonts w:ascii="Arial" w:eastAsia="Arial" w:hAnsi="Arial" w:cs="Arial"/>
                <w:lang w:val="es-ES_tradnl"/>
              </w:rPr>
              <w:t xml:space="preserve"> - Dificultades para reducir el gap fiscal como resultado de la evasión fiscal. (Amapá presentó en los años 2010-2018 un gap tributario en el ICMS del 29% </w:t>
            </w:r>
            <w:proofErr w:type="gramStart"/>
            <w:r w:rsidRPr="000C58A8">
              <w:rPr>
                <w:rFonts w:ascii="Arial" w:eastAsia="Arial" w:hAnsi="Arial" w:cs="Arial"/>
                <w:lang w:val="es-ES_tradnl"/>
              </w:rPr>
              <w:t>en relación a</w:t>
            </w:r>
            <w:proofErr w:type="gramEnd"/>
            <w:r w:rsidRPr="000C58A8">
              <w:rPr>
                <w:rFonts w:ascii="Arial" w:eastAsia="Arial" w:hAnsi="Arial" w:cs="Arial"/>
                <w:lang w:val="es-ES_tradnl"/>
              </w:rPr>
              <w:t xml:space="preserve"> su recaudación potencial - SEFAZ/AP)</w:t>
            </w:r>
          </w:p>
        </w:tc>
      </w:tr>
      <w:tr w:rsidR="00523823" w:rsidRPr="003C561B" w14:paraId="415C0392" w14:textId="77777777" w:rsidTr="00AF017D">
        <w:trPr>
          <w:trHeight w:val="241"/>
        </w:trPr>
        <w:tc>
          <w:tcPr>
            <w:tcW w:w="14070" w:type="dxa"/>
            <w:gridSpan w:val="3"/>
            <w:shd w:val="clear" w:color="auto" w:fill="F7CAAC" w:themeFill="accent2" w:themeFillTint="66"/>
          </w:tcPr>
          <w:p w14:paraId="349132F0" w14:textId="44A8BBEF" w:rsidR="001B021A" w:rsidRPr="000C58A8" w:rsidRDefault="00225EEA" w:rsidP="001B021A">
            <w:pPr>
              <w:spacing w:after="0" w:line="240" w:lineRule="auto"/>
              <w:rPr>
                <w:rFonts w:ascii="Arial" w:hAnsi="Arial" w:cs="Arial"/>
                <w:lang w:val="es-ES_tradnl"/>
              </w:rPr>
            </w:pPr>
            <w:r w:rsidRPr="000C58A8">
              <w:rPr>
                <w:rFonts w:ascii="Arial" w:eastAsia="Arial" w:hAnsi="Arial" w:cs="Arial"/>
                <w:b/>
                <w:bCs/>
                <w:lang w:val="es-ES_tradnl"/>
              </w:rPr>
              <w:t xml:space="preserve">Objetivo Específico 2: </w:t>
            </w:r>
            <w:r w:rsidRPr="000C58A8">
              <w:rPr>
                <w:rFonts w:ascii="Arial" w:eastAsia="Arial" w:hAnsi="Arial" w:cs="Arial"/>
                <w:lang w:val="es-ES_tradnl"/>
              </w:rPr>
              <w:t>Mejorar la administración tributaria.</w:t>
            </w:r>
            <w:r w:rsidR="000C58A8">
              <w:rPr>
                <w:rFonts w:ascii="Arial" w:eastAsia="Arial" w:hAnsi="Arial" w:cs="Arial"/>
                <w:lang w:val="es-ES_tradnl"/>
              </w:rPr>
              <w:t xml:space="preserve"> </w:t>
            </w:r>
            <w:r w:rsidRPr="000C58A8">
              <w:rPr>
                <w:rFonts w:ascii="Arial" w:eastAsia="Arial" w:hAnsi="Arial" w:cs="Arial"/>
                <w:lang w:val="es-ES_tradnl"/>
              </w:rPr>
              <w:t>Está orientado a aumentar los ingresos tributarios y a simplificar el cumplimiento de las obligaciones fiscales de los contribuyentes</w:t>
            </w:r>
          </w:p>
        </w:tc>
      </w:tr>
      <w:tr w:rsidR="00523823" w:rsidRPr="003C561B" w14:paraId="17F4F7E9" w14:textId="77777777" w:rsidTr="00AF017D">
        <w:trPr>
          <w:trHeight w:val="24"/>
        </w:trPr>
        <w:tc>
          <w:tcPr>
            <w:tcW w:w="14070" w:type="dxa"/>
            <w:gridSpan w:val="3"/>
            <w:shd w:val="clear" w:color="auto" w:fill="F7CAAC" w:themeFill="accent2" w:themeFillTint="66"/>
          </w:tcPr>
          <w:p w14:paraId="0201BE7A" w14:textId="77777777" w:rsidR="001B021A" w:rsidRPr="000C58A8" w:rsidRDefault="00225EEA" w:rsidP="001B021A">
            <w:pPr>
              <w:spacing w:after="0" w:line="240" w:lineRule="auto"/>
              <w:rPr>
                <w:rFonts w:ascii="Arial" w:hAnsi="Arial" w:cs="Arial"/>
                <w:lang w:val="es-ES_tradnl"/>
              </w:rPr>
            </w:pPr>
            <w:r w:rsidRPr="000C58A8">
              <w:rPr>
                <w:rFonts w:ascii="Arial" w:eastAsia="Arial" w:hAnsi="Arial" w:cs="Arial"/>
                <w:b/>
                <w:bCs/>
                <w:lang w:val="es-ES_tradnl"/>
              </w:rPr>
              <w:t xml:space="preserve">Resultado esperado 2: </w:t>
            </w:r>
            <w:r w:rsidRPr="000C58A8">
              <w:rPr>
                <w:rFonts w:ascii="Arial" w:eastAsia="Arial" w:hAnsi="Arial" w:cs="Arial"/>
                <w:lang w:val="es-ES_tradnl"/>
              </w:rPr>
              <w:t>disminución de la relación entre el costo administrativo para recaudar y la recaudación efectiva de impuestos; (Costo de la recaudación/recaudación tributaria)</w:t>
            </w:r>
          </w:p>
        </w:tc>
      </w:tr>
      <w:tr w:rsidR="00523823" w:rsidRPr="003C561B" w14:paraId="7DA790F3" w14:textId="77777777" w:rsidTr="00331F43">
        <w:trPr>
          <w:trHeight w:val="15"/>
        </w:trPr>
        <w:tc>
          <w:tcPr>
            <w:tcW w:w="4890" w:type="dxa"/>
            <w:shd w:val="clear" w:color="auto" w:fill="auto"/>
          </w:tcPr>
          <w:p w14:paraId="2BD751DB" w14:textId="77777777" w:rsidR="001B021A" w:rsidRPr="000C58A8" w:rsidRDefault="00225EEA" w:rsidP="009D0436">
            <w:pPr>
              <w:spacing w:after="0" w:line="240" w:lineRule="auto"/>
              <w:jc w:val="both"/>
              <w:rPr>
                <w:rFonts w:ascii="Arial" w:hAnsi="Arial" w:cs="Arial"/>
                <w:lang w:val="es-ES_tradnl"/>
              </w:rPr>
            </w:pPr>
            <w:r w:rsidRPr="000C58A8">
              <w:rPr>
                <w:rFonts w:ascii="Arial" w:eastAsia="Arial" w:hAnsi="Arial" w:cs="Arial"/>
                <w:lang w:val="es-ES_tradnl"/>
              </w:rPr>
              <w:t>(i) Ineficacia en los instrumentos que apoyan la gestión y la política tributaria debido a: (a) dificultades para estimar y conceder ventajas fiscales con los inadecuados instrumentos de gestión existentes</w:t>
            </w:r>
            <w:r w:rsidRPr="000C58A8">
              <w:rPr>
                <w:rStyle w:val="FootnoteReference"/>
                <w:rFonts w:ascii="Arial" w:hAnsi="Arial" w:cs="Arial"/>
                <w:lang w:val="es-ES_tradnl"/>
              </w:rPr>
              <w:footnoteReference w:id="30"/>
            </w:r>
            <w:r w:rsidRPr="000C58A8">
              <w:rPr>
                <w:rFonts w:ascii="Arial" w:eastAsia="Arial" w:hAnsi="Arial" w:cs="Arial"/>
                <w:lang w:val="es-ES_tradnl"/>
              </w:rPr>
              <w:t>; (b) dificultad para consolidar y mantener la legislación tributaria actualizada para atender consultas internas y externas</w:t>
            </w:r>
            <w:r w:rsidRPr="000C58A8">
              <w:rPr>
                <w:rStyle w:val="FootnoteReference"/>
                <w:rFonts w:ascii="Arial" w:hAnsi="Arial" w:cs="Arial"/>
                <w:lang w:val="es-ES_tradnl"/>
              </w:rPr>
              <w:footnoteReference w:id="31"/>
            </w:r>
            <w:r w:rsidRPr="000C58A8">
              <w:rPr>
                <w:rFonts w:ascii="Arial" w:eastAsia="Arial" w:hAnsi="Arial" w:cs="Arial"/>
                <w:lang w:val="es-ES_tradnl"/>
              </w:rPr>
              <w:t>; y (c) dificultades para estimar el GAP tributario</w:t>
            </w:r>
            <w:r w:rsidRPr="000C58A8">
              <w:rPr>
                <w:rStyle w:val="FootnoteReference"/>
                <w:rFonts w:ascii="Arial" w:hAnsi="Arial" w:cs="Arial"/>
                <w:lang w:val="es-ES_tradnl"/>
              </w:rPr>
              <w:footnoteReference w:id="32"/>
            </w:r>
            <w:r w:rsidRPr="000C58A8">
              <w:rPr>
                <w:rFonts w:ascii="Arial" w:eastAsia="Arial" w:hAnsi="Arial" w:cs="Arial"/>
                <w:lang w:val="es-ES_tradnl"/>
              </w:rPr>
              <w:t xml:space="preserve">. </w:t>
            </w:r>
          </w:p>
        </w:tc>
        <w:tc>
          <w:tcPr>
            <w:tcW w:w="4320" w:type="dxa"/>
            <w:shd w:val="clear" w:color="auto" w:fill="auto"/>
          </w:tcPr>
          <w:p w14:paraId="7E6C0F7A" w14:textId="77777777" w:rsidR="007A0617" w:rsidRPr="000C58A8" w:rsidRDefault="00225EEA" w:rsidP="00EF713A">
            <w:pPr>
              <w:tabs>
                <w:tab w:val="left" w:pos="0"/>
              </w:tabs>
              <w:spacing w:after="0"/>
              <w:contextualSpacing/>
              <w:jc w:val="both"/>
              <w:rPr>
                <w:rFonts w:ascii="Arial" w:hAnsi="Arial" w:cs="Arial"/>
                <w:lang w:val="es-ES_tradnl"/>
              </w:rPr>
            </w:pPr>
            <w:r w:rsidRPr="000C58A8">
              <w:rPr>
                <w:rFonts w:ascii="Arial" w:eastAsia="Arial" w:hAnsi="Arial" w:cs="Arial"/>
                <w:lang w:val="es-ES_tradnl"/>
              </w:rPr>
              <w:t xml:space="preserve">Nota técnica 2.1 - La renuncia fiscal del estado en 2018 ha sido de aproximadamente el 10% de la recaudación tributaria. </w:t>
            </w:r>
          </w:p>
          <w:p w14:paraId="129AC21F" w14:textId="183E9A1E" w:rsidR="00EF713A" w:rsidRPr="000C58A8" w:rsidRDefault="00225EEA" w:rsidP="00EF713A">
            <w:pPr>
              <w:pStyle w:val="FootnoteText"/>
              <w:tabs>
                <w:tab w:val="left" w:pos="0"/>
              </w:tabs>
              <w:contextualSpacing/>
              <w:rPr>
                <w:rFonts w:ascii="Arial" w:hAnsi="Arial" w:cs="Arial"/>
                <w:sz w:val="22"/>
                <w:szCs w:val="22"/>
                <w:lang w:val="es-ES_tradnl"/>
              </w:rPr>
            </w:pPr>
            <w:r w:rsidRPr="000C58A8">
              <w:rPr>
                <w:rFonts w:ascii="Arial" w:eastAsia="Arial" w:hAnsi="Arial" w:cs="Arial"/>
                <w:sz w:val="22"/>
                <w:szCs w:val="22"/>
                <w:lang w:val="es-ES_tradnl"/>
              </w:rPr>
              <w:t xml:space="preserve">Nota Técnica 2.1 - Existe </w:t>
            </w:r>
            <w:r w:rsidRPr="000C58A8">
              <w:rPr>
                <w:rFonts w:ascii="Arial" w:eastAsia="Arial" w:hAnsi="Arial" w:cs="Arial"/>
                <w:b/>
                <w:bCs/>
                <w:sz w:val="22"/>
                <w:szCs w:val="22"/>
                <w:lang w:val="es-ES_tradnl"/>
              </w:rPr>
              <w:t>una</w:t>
            </w:r>
            <w:r w:rsidRPr="000C58A8">
              <w:rPr>
                <w:rFonts w:ascii="Arial" w:eastAsia="Arial" w:hAnsi="Arial" w:cs="Arial"/>
                <w:sz w:val="22"/>
                <w:szCs w:val="22"/>
                <w:lang w:val="es-ES_tradnl"/>
              </w:rPr>
              <w:t xml:space="preserve"> ley (Código tributario) y </w:t>
            </w:r>
            <w:r w:rsidRPr="000C58A8">
              <w:rPr>
                <w:rFonts w:ascii="Arial" w:eastAsia="Arial" w:hAnsi="Arial" w:cs="Arial"/>
                <w:b/>
                <w:bCs/>
                <w:sz w:val="22"/>
                <w:szCs w:val="22"/>
                <w:lang w:val="es-ES_tradnl"/>
              </w:rPr>
              <w:t>cuatro</w:t>
            </w:r>
            <w:r w:rsidRPr="000C58A8">
              <w:rPr>
                <w:rFonts w:ascii="Arial" w:eastAsia="Arial" w:hAnsi="Arial" w:cs="Arial"/>
                <w:sz w:val="22"/>
                <w:szCs w:val="22"/>
                <w:lang w:val="es-ES_tradnl"/>
              </w:rPr>
              <w:t xml:space="preserve"> reglamentos por tributos desa</w:t>
            </w:r>
            <w:r w:rsidR="000C58A8">
              <w:rPr>
                <w:rFonts w:ascii="Arial" w:eastAsia="Arial" w:hAnsi="Arial" w:cs="Arial"/>
                <w:sz w:val="22"/>
                <w:szCs w:val="22"/>
                <w:lang w:val="es-ES_tradnl"/>
              </w:rPr>
              <w:t>c</w:t>
            </w:r>
            <w:r w:rsidRPr="000C58A8">
              <w:rPr>
                <w:rFonts w:ascii="Arial" w:eastAsia="Arial" w:hAnsi="Arial" w:cs="Arial"/>
                <w:sz w:val="22"/>
                <w:szCs w:val="22"/>
                <w:lang w:val="es-ES_tradnl"/>
              </w:rPr>
              <w:t>tualizados.</w:t>
            </w:r>
          </w:p>
          <w:p w14:paraId="5615CA0B" w14:textId="7855E3E4" w:rsidR="00C93801" w:rsidRPr="000C58A8" w:rsidRDefault="00225EEA" w:rsidP="00EF713A">
            <w:pPr>
              <w:pStyle w:val="FootnoteText"/>
              <w:tabs>
                <w:tab w:val="left" w:pos="0"/>
              </w:tabs>
              <w:contextualSpacing/>
              <w:rPr>
                <w:rFonts w:ascii="Arial" w:hAnsi="Arial" w:cs="Arial"/>
                <w:sz w:val="22"/>
                <w:szCs w:val="22"/>
                <w:lang w:val="es-ES_tradnl"/>
              </w:rPr>
            </w:pPr>
            <w:r w:rsidRPr="000C58A8">
              <w:rPr>
                <w:rFonts w:ascii="Arial" w:eastAsia="Arial" w:hAnsi="Arial" w:cs="Arial"/>
                <w:sz w:val="22"/>
                <w:szCs w:val="22"/>
                <w:lang w:val="es-ES_tradnl"/>
              </w:rPr>
              <w:t xml:space="preserve">Nota Técnica 2.1 - Se desconoce cuál es el GAP tributario del estado. Daniel </w:t>
            </w:r>
            <w:proofErr w:type="spellStart"/>
            <w:r w:rsidRPr="000C58A8">
              <w:rPr>
                <w:rFonts w:ascii="Arial" w:eastAsia="Arial" w:hAnsi="Arial" w:cs="Arial"/>
                <w:sz w:val="22"/>
                <w:szCs w:val="22"/>
                <w:lang w:val="es-ES_tradnl"/>
              </w:rPr>
              <w:t>Braz</w:t>
            </w:r>
            <w:proofErr w:type="spellEnd"/>
            <w:r w:rsidRPr="000C58A8">
              <w:rPr>
                <w:rFonts w:ascii="Arial" w:eastAsia="Arial" w:hAnsi="Arial" w:cs="Arial"/>
                <w:sz w:val="22"/>
                <w:szCs w:val="22"/>
                <w:lang w:val="es-ES_tradnl"/>
              </w:rPr>
              <w:t xml:space="preserve"> de </w:t>
            </w:r>
          </w:p>
        </w:tc>
        <w:tc>
          <w:tcPr>
            <w:tcW w:w="4860" w:type="dxa"/>
            <w:shd w:val="clear" w:color="auto" w:fill="auto"/>
          </w:tcPr>
          <w:p w14:paraId="1CF4FD56" w14:textId="15638737" w:rsidR="001B021A" w:rsidRPr="000C58A8" w:rsidRDefault="00225EEA" w:rsidP="001B021A">
            <w:pPr>
              <w:spacing w:after="0" w:line="240" w:lineRule="auto"/>
              <w:jc w:val="both"/>
              <w:rPr>
                <w:rFonts w:ascii="Arial" w:hAnsi="Arial" w:cs="Arial"/>
                <w:color w:val="222222"/>
                <w:lang w:val="es-ES_tradnl"/>
              </w:rPr>
            </w:pPr>
            <w:r w:rsidRPr="000C58A8">
              <w:rPr>
                <w:rFonts w:ascii="Arial" w:eastAsia="Arial" w:hAnsi="Arial" w:cs="Arial"/>
                <w:color w:val="222222"/>
                <w:lang w:val="es-ES_tradnl"/>
              </w:rPr>
              <w:t xml:space="preserve">(i) </w:t>
            </w:r>
            <w:r w:rsidRPr="000C58A8">
              <w:rPr>
                <w:rFonts w:ascii="Arial" w:eastAsia="Arial" w:hAnsi="Arial" w:cs="Arial"/>
                <w:b/>
                <w:bCs/>
                <w:color w:val="222222"/>
                <w:lang w:val="es-ES_tradnl"/>
              </w:rPr>
              <w:t>Modelo de gestión de los instrumentos de apoyo a la política tributaria del Estado implantados</w:t>
            </w:r>
            <w:r w:rsidRPr="000C58A8">
              <w:rPr>
                <w:rFonts w:ascii="Arial" w:eastAsia="Arial" w:hAnsi="Arial" w:cs="Arial"/>
                <w:color w:val="222222"/>
                <w:lang w:val="es-ES_tradnl"/>
              </w:rPr>
              <w:t>, incluyendo: (a)</w:t>
            </w:r>
            <w:r w:rsidRPr="000C58A8">
              <w:rPr>
                <w:rFonts w:ascii="Arial" w:eastAsia="Arial" w:hAnsi="Arial" w:cs="Arial"/>
                <w:lang w:val="es-ES_tradnl"/>
              </w:rPr>
              <w:t xml:space="preserve"> </w:t>
            </w:r>
            <w:r w:rsidRPr="000C58A8">
              <w:rPr>
                <w:rFonts w:ascii="Arial" w:eastAsia="Arial" w:hAnsi="Arial" w:cs="Arial"/>
                <w:color w:val="222222"/>
                <w:lang w:val="es-ES_tradnl"/>
              </w:rPr>
              <w:t xml:space="preserve">revisión y actualización de la legislación vigente, apoyado por una herramienta para su consulta; (b) actualización de los procedimientos de gestión de concesiones de beneficios fiscales y del sistema informático de apoyo; y (c) </w:t>
            </w:r>
            <w:r w:rsidR="007E1AD9">
              <w:rPr>
                <w:rFonts w:ascii="Arial" w:eastAsia="Arial" w:hAnsi="Arial" w:cs="Arial"/>
                <w:color w:val="222222"/>
                <w:lang w:val="es-ES_tradnl"/>
              </w:rPr>
              <w:t xml:space="preserve">definición implantación de la </w:t>
            </w:r>
            <w:r w:rsidRPr="000C58A8">
              <w:rPr>
                <w:rFonts w:ascii="Arial" w:eastAsia="Arial" w:hAnsi="Arial" w:cs="Arial"/>
                <w:color w:val="222222"/>
                <w:lang w:val="es-ES_tradnl"/>
              </w:rPr>
              <w:t xml:space="preserve">metodología para la estimación del </w:t>
            </w:r>
            <w:r w:rsidRPr="000C58A8">
              <w:rPr>
                <w:rFonts w:ascii="Arial" w:eastAsia="Arial" w:hAnsi="Arial" w:cs="Arial"/>
                <w:lang w:val="es-ES_tradnl"/>
              </w:rPr>
              <w:t xml:space="preserve">GAP </w:t>
            </w:r>
            <w:r w:rsidR="000C58A8" w:rsidRPr="000C58A8">
              <w:rPr>
                <w:rFonts w:ascii="Arial" w:eastAsia="Arial" w:hAnsi="Arial" w:cs="Arial"/>
                <w:lang w:val="es-ES_tradnl"/>
              </w:rPr>
              <w:t>tributario</w:t>
            </w:r>
            <w:r w:rsidRPr="000C58A8">
              <w:rPr>
                <w:rFonts w:ascii="Arial" w:eastAsia="Arial" w:hAnsi="Arial" w:cs="Arial"/>
                <w:lang w:val="es-ES_tradnl"/>
              </w:rPr>
              <w:t>.</w:t>
            </w:r>
          </w:p>
        </w:tc>
      </w:tr>
      <w:tr w:rsidR="00523823" w:rsidRPr="003C561B" w14:paraId="1EE60800" w14:textId="77777777" w:rsidTr="00AF017D">
        <w:trPr>
          <w:trHeight w:val="97"/>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2070A9C6" w14:textId="12149B24" w:rsidR="001B021A" w:rsidRPr="000C58A8" w:rsidRDefault="00225EEA" w:rsidP="00483D15">
            <w:pPr>
              <w:spacing w:after="0" w:line="240" w:lineRule="auto"/>
              <w:jc w:val="both"/>
              <w:rPr>
                <w:rFonts w:ascii="Arial" w:hAnsi="Arial" w:cs="Arial"/>
                <w:lang w:val="es-ES_tradnl"/>
              </w:rPr>
            </w:pPr>
            <w:r w:rsidRPr="000C58A8">
              <w:rPr>
                <w:rFonts w:ascii="Arial" w:eastAsia="Arial" w:hAnsi="Arial" w:cs="Arial"/>
                <w:lang w:val="es-ES_tradnl"/>
              </w:rPr>
              <w:t>(</w:t>
            </w:r>
            <w:proofErr w:type="spellStart"/>
            <w:r w:rsidRPr="000C58A8">
              <w:rPr>
                <w:rFonts w:ascii="Arial" w:eastAsia="Arial" w:hAnsi="Arial" w:cs="Arial"/>
                <w:lang w:val="es-ES_tradnl"/>
              </w:rPr>
              <w:t>ii</w:t>
            </w:r>
            <w:proofErr w:type="spellEnd"/>
            <w:r w:rsidRPr="000C58A8">
              <w:rPr>
                <w:rFonts w:ascii="Arial" w:eastAsia="Arial" w:hAnsi="Arial" w:cs="Arial"/>
                <w:lang w:val="es-ES_tradnl"/>
              </w:rPr>
              <w:t>) Dificultad para el contribuyente realizar de forma eficaz y oportuna los procedimientos y obligaciones principales de la administración tributaria, debido a que: (a) a pesar de que el sistema SATE está integrado a REDESIM y al SPED aún no está integrado a otras instituciones requeridas</w:t>
            </w:r>
            <w:r w:rsidRPr="003C561B">
              <w:rPr>
                <w:rFonts w:eastAsia="Arial"/>
              </w:rPr>
              <w:footnoteReference w:id="33"/>
            </w:r>
            <w:r w:rsidRPr="000C58A8">
              <w:rPr>
                <w:rFonts w:ascii="Arial" w:eastAsia="Arial" w:hAnsi="Arial" w:cs="Arial"/>
                <w:lang w:val="es-ES_tradnl"/>
              </w:rPr>
              <w:t xml:space="preserve">  (b) baja eficiencia en la gestión del </w:t>
            </w:r>
            <w:r w:rsidR="00483D15" w:rsidRPr="003C561B">
              <w:rPr>
                <w:rFonts w:ascii="Arial" w:eastAsia="Arial" w:hAnsi="Arial" w:cs="Arial"/>
                <w:lang w:val="es-ES_tradnl"/>
              </w:rPr>
              <w:t>impuesto sobre la transmisión Causas mortis y donaciones</w:t>
            </w:r>
            <w:r w:rsidR="00483D15">
              <w:rPr>
                <w:rFonts w:ascii="Arial" w:eastAsia="Arial" w:hAnsi="Arial" w:cs="Arial"/>
                <w:lang w:val="es-ES_tradnl"/>
              </w:rPr>
              <w:t xml:space="preserve"> </w:t>
            </w:r>
            <w:r w:rsidRPr="000C58A8">
              <w:rPr>
                <w:rFonts w:ascii="Arial" w:eastAsia="Arial" w:hAnsi="Arial" w:cs="Arial"/>
                <w:lang w:val="es-ES_tradnl"/>
              </w:rPr>
              <w:t>(ITCMD),</w:t>
            </w:r>
            <w:r w:rsidRPr="000C58A8">
              <w:rPr>
                <w:rStyle w:val="FootnoteReference"/>
                <w:rFonts w:ascii="Arial" w:hAnsi="Arial" w:cs="Arial"/>
                <w:lang w:val="es-ES_tradnl"/>
              </w:rPr>
              <w:footnoteReference w:id="34"/>
            </w:r>
            <w:r w:rsidRPr="000C58A8">
              <w:rPr>
                <w:rFonts w:ascii="Arial" w:eastAsia="Arial" w:hAnsi="Arial" w:cs="Arial"/>
                <w:lang w:val="es-ES_tradnl"/>
              </w:rPr>
              <w:t xml:space="preserve"> porque sus procedimientos se ejecutan manualmente; (c) el contribuyente registrado en el régimen de sustitución tributaria del ICMS, tiene que llenar 12 declaraciones para cumplir con sus obligaciones; (d) el contribuyente no cuenta con una visión integrada de sus procesos de importación en la SEFAZ;</w:t>
            </w:r>
            <w:r w:rsidRPr="000C58A8">
              <w:rPr>
                <w:rStyle w:val="FootnoteReference"/>
                <w:rFonts w:ascii="Arial" w:hAnsi="Arial" w:cs="Arial"/>
                <w:lang w:val="es-ES_tradnl"/>
              </w:rPr>
              <w:footnoteReference w:id="35"/>
            </w:r>
            <w:r w:rsidRPr="000C58A8">
              <w:rPr>
                <w:rFonts w:ascii="Arial" w:eastAsia="Arial" w:hAnsi="Arial" w:cs="Arial"/>
                <w:lang w:val="es-ES_tradnl"/>
              </w:rPr>
              <w:t xml:space="preserve"> y (e) complejidad tanto para el contribuyente y para la SEFAZ solucionar problemas relacionados al cumplimiento tributario del IPVA. </w:t>
            </w:r>
          </w:p>
        </w:tc>
        <w:tc>
          <w:tcPr>
            <w:tcW w:w="4320" w:type="dxa"/>
            <w:tcBorders>
              <w:top w:val="single" w:sz="4" w:space="0" w:color="auto"/>
              <w:left w:val="single" w:sz="4" w:space="0" w:color="auto"/>
              <w:bottom w:val="single" w:sz="4" w:space="0" w:color="auto"/>
              <w:right w:val="single" w:sz="4" w:space="0" w:color="auto"/>
            </w:tcBorders>
            <w:shd w:val="clear" w:color="auto" w:fill="auto"/>
          </w:tcPr>
          <w:p w14:paraId="1D2DCF33" w14:textId="77777777" w:rsidR="00985B7D" w:rsidRPr="000C58A8" w:rsidRDefault="00225EEA" w:rsidP="00EF713A">
            <w:pPr>
              <w:tabs>
                <w:tab w:val="left" w:pos="0"/>
              </w:tabs>
              <w:spacing w:after="0"/>
              <w:contextualSpacing/>
              <w:jc w:val="both"/>
              <w:rPr>
                <w:rFonts w:ascii="Arial" w:hAnsi="Arial" w:cs="Arial"/>
                <w:lang w:val="es-ES_tradnl"/>
              </w:rPr>
            </w:pPr>
            <w:r w:rsidRPr="000C58A8">
              <w:rPr>
                <w:rFonts w:ascii="Arial" w:eastAsia="Arial" w:hAnsi="Arial" w:cs="Arial"/>
                <w:lang w:val="es-ES_tradnl"/>
              </w:rPr>
              <w:t>Nota Técnica 2.2 -</w:t>
            </w:r>
            <w:bookmarkStart w:id="11" w:name="_Hlk10102754"/>
            <w:r w:rsidRPr="000C58A8">
              <w:rPr>
                <w:rFonts w:ascii="Arial" w:eastAsia="Arial" w:hAnsi="Arial" w:cs="Arial"/>
                <w:lang w:val="es-ES_tradnl"/>
              </w:rPr>
              <w:t xml:space="preserve"> Cuerpo de bomberos, vigilancia sanitaria, defensa e inspección agropecuaria, medio ambiente, y con las 16 municipalidades</w:t>
            </w:r>
            <w:bookmarkEnd w:id="11"/>
            <w:r w:rsidRPr="000C58A8">
              <w:rPr>
                <w:rFonts w:ascii="Arial" w:eastAsia="Arial" w:hAnsi="Arial" w:cs="Arial"/>
                <w:lang w:val="es-ES_tradnl"/>
              </w:rPr>
              <w:t xml:space="preserve">.   </w:t>
            </w:r>
          </w:p>
          <w:p w14:paraId="017288D6" w14:textId="77777777" w:rsidR="00E456A4" w:rsidRPr="000C58A8" w:rsidRDefault="00225EEA" w:rsidP="00EF713A">
            <w:pPr>
              <w:tabs>
                <w:tab w:val="left" w:pos="0"/>
              </w:tabs>
              <w:spacing w:after="0"/>
              <w:contextualSpacing/>
              <w:jc w:val="both"/>
              <w:rPr>
                <w:rFonts w:ascii="Arial" w:hAnsi="Arial" w:cs="Arial"/>
                <w:lang w:val="es-ES_tradnl"/>
              </w:rPr>
            </w:pPr>
            <w:r w:rsidRPr="000C58A8">
              <w:rPr>
                <w:rFonts w:ascii="Arial" w:eastAsia="Arial" w:hAnsi="Arial" w:cs="Arial"/>
                <w:lang w:val="es-ES_tradnl"/>
              </w:rPr>
              <w:t xml:space="preserve">Nota Técnica 2.2 - En 2018, SEFAZ gastó 30 días para actualizar la información del Impuesto de Transmisión Causas Mortis y Donaciones-ITCMD. El tiempo entre la entrada del proceso a la determinación del impuesto es de 30 días; </w:t>
            </w:r>
          </w:p>
          <w:p w14:paraId="21F81ACA" w14:textId="77777777" w:rsidR="005F7134" w:rsidRPr="000C58A8" w:rsidRDefault="00225EEA" w:rsidP="00EF713A">
            <w:pPr>
              <w:tabs>
                <w:tab w:val="left" w:pos="0"/>
              </w:tabs>
              <w:spacing w:after="0"/>
              <w:contextualSpacing/>
              <w:jc w:val="both"/>
              <w:rPr>
                <w:rFonts w:ascii="Arial" w:hAnsi="Arial" w:cs="Arial"/>
                <w:lang w:val="es-ES_tradnl"/>
              </w:rPr>
            </w:pPr>
            <w:r w:rsidRPr="000C58A8">
              <w:rPr>
                <w:rFonts w:ascii="Arial" w:eastAsia="Arial" w:hAnsi="Arial" w:cs="Arial"/>
                <w:lang w:val="es-ES_tradnl"/>
              </w:rPr>
              <w:t>Nota Técnica 2.2 - El SATE no cuenta con ninguna funcionalidad para la gestión del comercio exterior. Esto genera un tiempo adicional en el proceso de importación de al menos 2 días.</w:t>
            </w:r>
          </w:p>
          <w:p w14:paraId="46286ED5" w14:textId="2E547F16" w:rsidR="00954EC5" w:rsidRPr="000C58A8" w:rsidRDefault="00954EC5" w:rsidP="001B021A">
            <w:pPr>
              <w:spacing w:after="0" w:line="240" w:lineRule="auto"/>
              <w:jc w:val="both"/>
              <w:rPr>
                <w:rFonts w:ascii="Arial" w:hAnsi="Arial" w:cs="Arial"/>
                <w:highlight w:val="yellow"/>
                <w:lang w:val="es-ES_tradnl"/>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1830B03E" w14:textId="5BE83693" w:rsidR="001B021A" w:rsidRPr="000C58A8" w:rsidRDefault="00225EEA" w:rsidP="00EC169D">
            <w:pPr>
              <w:spacing w:after="0" w:line="240" w:lineRule="auto"/>
              <w:jc w:val="both"/>
              <w:rPr>
                <w:rFonts w:ascii="Arial" w:hAnsi="Arial" w:cs="Arial"/>
                <w:lang w:val="es-ES_tradnl"/>
              </w:rPr>
            </w:pPr>
            <w:r w:rsidRPr="000C58A8">
              <w:rPr>
                <w:rFonts w:ascii="Arial" w:eastAsia="Arial" w:hAnsi="Arial" w:cs="Arial"/>
                <w:lang w:val="es-ES_tradnl"/>
              </w:rPr>
              <w:t>(</w:t>
            </w:r>
            <w:proofErr w:type="spellStart"/>
            <w:r w:rsidRPr="000C58A8">
              <w:rPr>
                <w:rFonts w:ascii="Arial" w:eastAsia="Arial" w:hAnsi="Arial" w:cs="Arial"/>
                <w:lang w:val="es-ES_tradnl"/>
              </w:rPr>
              <w:t>ii</w:t>
            </w:r>
            <w:proofErr w:type="spellEnd"/>
            <w:r w:rsidRPr="000C58A8">
              <w:rPr>
                <w:rFonts w:ascii="Arial" w:eastAsia="Arial" w:hAnsi="Arial" w:cs="Arial"/>
                <w:lang w:val="es-ES_tradnl"/>
              </w:rPr>
              <w:t xml:space="preserve">) </w:t>
            </w:r>
            <w:r w:rsidRPr="000C58A8">
              <w:rPr>
                <w:rFonts w:ascii="Arial" w:eastAsia="Arial" w:hAnsi="Arial" w:cs="Arial"/>
                <w:b/>
                <w:bCs/>
                <w:lang w:val="es-ES_tradnl"/>
              </w:rPr>
              <w:t xml:space="preserve">Módulos del Sistema de Administración Tributaria Estadual (SATE) implantados, </w:t>
            </w:r>
            <w:r w:rsidRPr="000C58A8">
              <w:rPr>
                <w:rFonts w:ascii="Arial" w:eastAsia="Arial" w:hAnsi="Arial" w:cs="Arial"/>
                <w:lang w:val="es-ES_tradnl"/>
              </w:rPr>
              <w:t xml:space="preserve">incluyendo: (a) Mejora de la integración del SATE a REDESIM, SPED, e-Social y otras instituciones requeridas; (b) Implantación del control automatizado del ITCMD con integración con notarías y tribunal de Justicia del Estado; (c) Simplificación de las obligaciones tributarias con la Implantación del cargamento de la OIE (operaciones </w:t>
            </w:r>
            <w:r w:rsidR="00D26172" w:rsidRPr="000C58A8">
              <w:rPr>
                <w:rFonts w:ascii="Arial" w:eastAsia="Arial" w:hAnsi="Arial" w:cs="Arial"/>
                <w:lang w:val="es-ES_tradnl"/>
              </w:rPr>
              <w:t>interestat</w:t>
            </w:r>
            <w:r w:rsidR="00D26172">
              <w:rPr>
                <w:rFonts w:ascii="Arial" w:eastAsia="Arial" w:hAnsi="Arial" w:cs="Arial"/>
                <w:lang w:val="es-ES_tradnl"/>
              </w:rPr>
              <w:t>a</w:t>
            </w:r>
            <w:r w:rsidR="00D26172" w:rsidRPr="000C58A8">
              <w:rPr>
                <w:rFonts w:ascii="Arial" w:eastAsia="Arial" w:hAnsi="Arial" w:cs="Arial"/>
                <w:lang w:val="es-ES_tradnl"/>
              </w:rPr>
              <w:t>les</w:t>
            </w:r>
            <w:r w:rsidRPr="000C58A8">
              <w:rPr>
                <w:rFonts w:ascii="Arial" w:eastAsia="Arial" w:hAnsi="Arial" w:cs="Arial"/>
                <w:lang w:val="es-ES_tradnl"/>
              </w:rPr>
              <w:t xml:space="preserve">) EFD de otras </w:t>
            </w:r>
            <w:proofErr w:type="spellStart"/>
            <w:r w:rsidRPr="000C58A8">
              <w:rPr>
                <w:rFonts w:ascii="Arial" w:eastAsia="Arial" w:hAnsi="Arial" w:cs="Arial"/>
                <w:lang w:val="es-ES_tradnl"/>
              </w:rPr>
              <w:t>UFs</w:t>
            </w:r>
            <w:proofErr w:type="spellEnd"/>
            <w:r w:rsidRPr="000C58A8">
              <w:rPr>
                <w:rFonts w:ascii="Arial" w:eastAsia="Arial" w:hAnsi="Arial" w:cs="Arial"/>
                <w:lang w:val="es-ES_tradnl"/>
              </w:rPr>
              <w:t xml:space="preserve">, de la </w:t>
            </w:r>
            <w:proofErr w:type="spellStart"/>
            <w:r w:rsidRPr="000C58A8">
              <w:rPr>
                <w:rFonts w:ascii="Arial" w:eastAsia="Arial" w:hAnsi="Arial" w:cs="Arial"/>
                <w:lang w:val="es-ES_tradnl"/>
              </w:rPr>
              <w:t>DeSTDA</w:t>
            </w:r>
            <w:proofErr w:type="spellEnd"/>
            <w:r w:rsidRPr="000C58A8">
              <w:rPr>
                <w:rFonts w:ascii="Arial" w:eastAsia="Arial" w:hAnsi="Arial" w:cs="Arial"/>
                <w:lang w:val="es-ES_tradnl"/>
              </w:rPr>
              <w:t xml:space="preserve"> (Simple Nacional), Sistemática del cobro de </w:t>
            </w:r>
            <w:r w:rsidR="000C58A8">
              <w:rPr>
                <w:rFonts w:ascii="Arial" w:eastAsia="Arial" w:hAnsi="Arial" w:cs="Arial"/>
                <w:lang w:val="es-ES_tradnl"/>
              </w:rPr>
              <w:t>faltas</w:t>
            </w:r>
            <w:r w:rsidRPr="000C58A8">
              <w:rPr>
                <w:rFonts w:ascii="Arial" w:eastAsia="Arial" w:hAnsi="Arial" w:cs="Arial"/>
                <w:lang w:val="es-ES_tradnl"/>
              </w:rPr>
              <w:t xml:space="preserve"> de la OIE y </w:t>
            </w:r>
            <w:proofErr w:type="spellStart"/>
            <w:r w:rsidRPr="000C58A8">
              <w:rPr>
                <w:rFonts w:ascii="Arial" w:eastAsia="Arial" w:hAnsi="Arial" w:cs="Arial"/>
                <w:lang w:val="es-ES_tradnl"/>
              </w:rPr>
              <w:t>DeSTDA</w:t>
            </w:r>
            <w:proofErr w:type="spellEnd"/>
            <w:r w:rsidRPr="000C58A8">
              <w:rPr>
                <w:rFonts w:ascii="Arial" w:eastAsia="Arial" w:hAnsi="Arial" w:cs="Arial"/>
                <w:lang w:val="es-ES_tradnl"/>
              </w:rPr>
              <w:t>); (d) desarrollo de módulo de control de Comercio Exterior en el SATE para integración con el SISCOMEX; y (e) implantación del módulo del IPVA en el SATE.</w:t>
            </w:r>
          </w:p>
        </w:tc>
      </w:tr>
      <w:tr w:rsidR="00523823" w:rsidRPr="003C561B" w14:paraId="157E17BA" w14:textId="77777777" w:rsidTr="009D0436">
        <w:trPr>
          <w:trHeight w:val="23"/>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79CDBACB" w14:textId="77777777" w:rsidR="001B021A" w:rsidRPr="000C58A8" w:rsidRDefault="00225EEA" w:rsidP="009D0436">
            <w:pPr>
              <w:spacing w:after="0" w:line="240" w:lineRule="auto"/>
              <w:jc w:val="both"/>
              <w:rPr>
                <w:rFonts w:ascii="Arial" w:hAnsi="Arial" w:cs="Arial"/>
                <w:lang w:val="es-ES_tradnl"/>
              </w:rPr>
            </w:pPr>
            <w:r w:rsidRPr="000C58A8">
              <w:rPr>
                <w:rFonts w:ascii="Arial" w:eastAsia="Arial" w:hAnsi="Arial" w:cs="Arial"/>
                <w:lang w:val="es-ES_tradnl"/>
              </w:rPr>
              <w:t>(</w:t>
            </w:r>
            <w:proofErr w:type="spellStart"/>
            <w:r w:rsidRPr="000C58A8">
              <w:rPr>
                <w:rFonts w:ascii="Arial" w:eastAsia="Arial" w:hAnsi="Arial" w:cs="Arial"/>
                <w:lang w:val="es-ES_tradnl"/>
              </w:rPr>
              <w:t>iii</w:t>
            </w:r>
            <w:proofErr w:type="spellEnd"/>
            <w:r w:rsidRPr="000C58A8">
              <w:rPr>
                <w:rFonts w:ascii="Arial" w:eastAsia="Arial" w:hAnsi="Arial" w:cs="Arial"/>
                <w:lang w:val="es-ES_tradnl"/>
              </w:rPr>
              <w:t xml:space="preserve">) Pérdida de ingresos por la incapacidad de realizar acciones de fiscalización de forma efectiva para todos los contribuyentes del estado, debido a: (a) dificultad para realizar auditorías ex-ante en una gran cantidad de información (principalmente de la Factura Electrónica); las acciones de auditorías </w:t>
            </w:r>
            <w:proofErr w:type="spellStart"/>
            <w:r w:rsidRPr="000C58A8">
              <w:rPr>
                <w:rFonts w:ascii="Arial" w:eastAsia="Arial" w:hAnsi="Arial" w:cs="Arial"/>
                <w:lang w:val="es-ES_tradnl"/>
              </w:rPr>
              <w:t>ex-post</w:t>
            </w:r>
            <w:proofErr w:type="spellEnd"/>
            <w:r w:rsidRPr="000C58A8">
              <w:rPr>
                <w:rFonts w:ascii="Arial" w:eastAsia="Arial" w:hAnsi="Arial" w:cs="Arial"/>
                <w:lang w:val="es-ES_tradnl"/>
              </w:rPr>
              <w:t xml:space="preserve"> son ineficientes, llevan un gran tiempo para ser realizadas;</w:t>
            </w:r>
            <w:r w:rsidRPr="000C58A8">
              <w:rPr>
                <w:rStyle w:val="FootnoteReference"/>
                <w:rFonts w:ascii="Arial" w:hAnsi="Arial" w:cs="Arial"/>
                <w:lang w:val="es-ES_tradnl"/>
              </w:rPr>
              <w:footnoteReference w:id="36"/>
            </w:r>
            <w:r w:rsidRPr="000C58A8">
              <w:rPr>
                <w:rFonts w:ascii="Arial" w:eastAsia="Arial" w:hAnsi="Arial" w:cs="Arial"/>
                <w:lang w:val="es-ES_tradnl"/>
              </w:rPr>
              <w:t xml:space="preserve"> y (b) el sistema de gestión de tránsito de mercancías actual no cuenta con mecanismos de clasificación de riesgo parametrizados, ni con equipos de apoyo a la fiscalización. No existen balanzas para medir la regularidad de las unidades de carga que transitan por el principal puesto fiscal del Trevo.</w:t>
            </w:r>
            <w:r w:rsidRPr="000C58A8">
              <w:rPr>
                <w:rStyle w:val="FootnoteReference"/>
                <w:rFonts w:ascii="Arial" w:hAnsi="Arial" w:cs="Arial"/>
                <w:lang w:val="es-ES_tradnl"/>
              </w:rPr>
              <w:footnoteReference w:id="37"/>
            </w:r>
          </w:p>
        </w:tc>
        <w:tc>
          <w:tcPr>
            <w:tcW w:w="4320" w:type="dxa"/>
            <w:tcBorders>
              <w:top w:val="single" w:sz="4" w:space="0" w:color="auto"/>
              <w:left w:val="single" w:sz="4" w:space="0" w:color="auto"/>
              <w:bottom w:val="single" w:sz="4" w:space="0" w:color="auto"/>
              <w:right w:val="single" w:sz="4" w:space="0" w:color="auto"/>
            </w:tcBorders>
            <w:shd w:val="clear" w:color="auto" w:fill="auto"/>
          </w:tcPr>
          <w:p w14:paraId="6483F2EF" w14:textId="77777777" w:rsidR="001B7612" w:rsidRPr="000C58A8" w:rsidRDefault="00225EEA" w:rsidP="001B7612">
            <w:pPr>
              <w:pStyle w:val="FootnoteText"/>
              <w:contextualSpacing/>
              <w:rPr>
                <w:rFonts w:ascii="Arial" w:hAnsi="Arial" w:cs="Arial"/>
                <w:sz w:val="22"/>
                <w:szCs w:val="22"/>
                <w:lang w:val="es-ES_tradnl"/>
              </w:rPr>
            </w:pPr>
            <w:r w:rsidRPr="000C58A8">
              <w:rPr>
                <w:rFonts w:ascii="Arial" w:eastAsia="Arial" w:hAnsi="Arial" w:cs="Arial"/>
                <w:sz w:val="22"/>
                <w:szCs w:val="22"/>
                <w:lang w:val="es-ES_tradnl"/>
              </w:rPr>
              <w:t>Nota técnica 2.3 - Una auditoría integral lleva 240 días.</w:t>
            </w:r>
          </w:p>
          <w:p w14:paraId="350B97F6" w14:textId="77777777" w:rsidR="00144198" w:rsidRPr="000C58A8" w:rsidRDefault="00144198" w:rsidP="001B7612">
            <w:pPr>
              <w:pStyle w:val="FootnoteText"/>
              <w:contextualSpacing/>
              <w:rPr>
                <w:rFonts w:ascii="Arial" w:hAnsi="Arial" w:cs="Arial"/>
                <w:sz w:val="22"/>
                <w:szCs w:val="22"/>
                <w:lang w:val="es-ES_tradnl"/>
              </w:rPr>
            </w:pPr>
          </w:p>
          <w:p w14:paraId="18D189BE" w14:textId="77777777" w:rsidR="001B7612" w:rsidRPr="000C58A8" w:rsidRDefault="00225EEA" w:rsidP="001B7612">
            <w:pPr>
              <w:pStyle w:val="FootnoteText"/>
              <w:contextualSpacing/>
              <w:rPr>
                <w:rFonts w:ascii="Arial" w:hAnsi="Arial" w:cs="Arial"/>
                <w:sz w:val="22"/>
                <w:szCs w:val="22"/>
                <w:lang w:val="es-ES_tradnl"/>
              </w:rPr>
            </w:pPr>
            <w:r w:rsidRPr="000C58A8">
              <w:rPr>
                <w:rFonts w:ascii="Arial" w:eastAsia="Arial" w:hAnsi="Arial" w:cs="Arial"/>
                <w:sz w:val="22"/>
                <w:szCs w:val="22"/>
                <w:lang w:val="es-ES_tradnl"/>
              </w:rPr>
              <w:t>Nota Técnica 2.3 - En 2018, en el mayor puerto, pasaron 30,597 unidades de carga, en un valor de R$ 4,3 mil millones (84% do valor total de la carga)</w:t>
            </w:r>
          </w:p>
          <w:p w14:paraId="399DFB8A" w14:textId="7A9C3CFD" w:rsidR="00301527" w:rsidRPr="000C58A8" w:rsidRDefault="00301527" w:rsidP="001B021A">
            <w:pPr>
              <w:spacing w:after="0" w:line="240" w:lineRule="auto"/>
              <w:jc w:val="both"/>
              <w:rPr>
                <w:rFonts w:ascii="Arial" w:hAnsi="Arial" w:cs="Arial"/>
                <w:lang w:val="es-ES_tradnl"/>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7CC7BBD7" w14:textId="77777777" w:rsidR="001B021A" w:rsidRPr="000C58A8" w:rsidRDefault="00225EEA" w:rsidP="001B021A">
            <w:pPr>
              <w:spacing w:after="0" w:line="240" w:lineRule="auto"/>
              <w:jc w:val="both"/>
              <w:rPr>
                <w:rFonts w:ascii="Arial" w:hAnsi="Arial" w:cs="Arial"/>
                <w:lang w:val="es-ES_tradnl"/>
              </w:rPr>
            </w:pPr>
            <w:r w:rsidRPr="000C58A8">
              <w:rPr>
                <w:rFonts w:ascii="Arial" w:eastAsia="Arial" w:hAnsi="Arial" w:cs="Arial"/>
                <w:b/>
                <w:bCs/>
                <w:lang w:val="es-ES_tradnl"/>
              </w:rPr>
              <w:t>(</w:t>
            </w:r>
            <w:proofErr w:type="spellStart"/>
            <w:r w:rsidRPr="000C58A8">
              <w:rPr>
                <w:rFonts w:ascii="Arial" w:eastAsia="Arial" w:hAnsi="Arial" w:cs="Arial"/>
                <w:b/>
                <w:bCs/>
                <w:lang w:val="es-ES_tradnl"/>
              </w:rPr>
              <w:t>iii</w:t>
            </w:r>
            <w:proofErr w:type="spellEnd"/>
            <w:r w:rsidRPr="000C58A8">
              <w:rPr>
                <w:rFonts w:ascii="Arial" w:eastAsia="Arial" w:hAnsi="Arial" w:cs="Arial"/>
                <w:b/>
                <w:bCs/>
                <w:lang w:val="es-ES_tradnl"/>
              </w:rPr>
              <w:t>) Modelo de fiscalización electrónica e inteligencia fiscal de la SEFAZ implantado</w:t>
            </w:r>
            <w:r w:rsidRPr="000C58A8">
              <w:rPr>
                <w:rFonts w:ascii="Arial" w:eastAsia="Arial" w:hAnsi="Arial" w:cs="Arial"/>
                <w:lang w:val="es-ES_tradnl"/>
              </w:rPr>
              <w:t xml:space="preserve">, incluyendo: (a) perfeccionamiento del modelo de auditoría e inteligencia fiscal masiva basado en riesgo, mejoras en el módulo de fiscalización del SATE y desarrollo del módulo de inteligencia fiscal (data </w:t>
            </w:r>
            <w:proofErr w:type="spellStart"/>
            <w:r w:rsidRPr="00D26172">
              <w:rPr>
                <w:rFonts w:ascii="Arial" w:eastAsia="Arial" w:hAnsi="Arial" w:cs="Arial"/>
                <w:i/>
                <w:iCs/>
                <w:lang w:val="es-ES_tradnl"/>
              </w:rPr>
              <w:t>warehouse</w:t>
            </w:r>
            <w:proofErr w:type="spellEnd"/>
            <w:r w:rsidRPr="000C58A8">
              <w:rPr>
                <w:rFonts w:ascii="Arial" w:eastAsia="Arial" w:hAnsi="Arial" w:cs="Arial"/>
                <w:lang w:val="es-ES_tradnl"/>
              </w:rPr>
              <w:t xml:space="preserve"> y </w:t>
            </w:r>
            <w:proofErr w:type="spellStart"/>
            <w:r w:rsidRPr="00D26172">
              <w:rPr>
                <w:rFonts w:ascii="Arial" w:eastAsia="Arial" w:hAnsi="Arial" w:cs="Arial"/>
                <w:i/>
                <w:iCs/>
                <w:lang w:val="es-ES_tradnl"/>
              </w:rPr>
              <w:t>bigdata</w:t>
            </w:r>
            <w:proofErr w:type="spellEnd"/>
            <w:r w:rsidRPr="000C58A8">
              <w:rPr>
                <w:rFonts w:ascii="Arial" w:eastAsia="Arial" w:hAnsi="Arial" w:cs="Arial"/>
                <w:lang w:val="es-ES_tradnl"/>
              </w:rPr>
              <w:t>); (b) perfeccionamiento del modelo de control de tránsito de mercaderías, con personalización del SATE para mejorar el control. Mejora de la infraestructura física y tecnológica de los puestos fiscales.</w:t>
            </w:r>
          </w:p>
        </w:tc>
      </w:tr>
      <w:tr w:rsidR="00523823" w:rsidRPr="003C561B" w14:paraId="1E981C29" w14:textId="77777777" w:rsidTr="004F3157">
        <w:trPr>
          <w:trHeight w:val="2401"/>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2160EE59" w14:textId="77777777" w:rsidR="00C8426A" w:rsidRPr="000C58A8" w:rsidRDefault="00225EEA" w:rsidP="002D2082">
            <w:pPr>
              <w:spacing w:after="0" w:line="240" w:lineRule="auto"/>
              <w:jc w:val="both"/>
              <w:rPr>
                <w:rFonts w:ascii="Arial" w:hAnsi="Arial" w:cs="Arial"/>
                <w:lang w:val="es-ES_tradnl"/>
              </w:rPr>
            </w:pPr>
            <w:r w:rsidRPr="000C58A8">
              <w:rPr>
                <w:rFonts w:ascii="Arial" w:eastAsia="Arial" w:hAnsi="Arial" w:cs="Arial"/>
                <w:lang w:val="es-ES_tradnl"/>
              </w:rPr>
              <w:t>(iv) Pérdida de ingresos en la gestión del contencioso fiscal y de la deuda activa de los contribuyentes, debido a: (a) Dificultad en el intercambio entre la información de la primera, la segunda instancia y la procuraduría, porque los procedimientos son básicamente manuales;</w:t>
            </w:r>
            <w:r w:rsidRPr="000C58A8">
              <w:rPr>
                <w:rStyle w:val="FootnoteReference"/>
                <w:rFonts w:ascii="Arial" w:hAnsi="Arial" w:cs="Arial"/>
                <w:lang w:val="es-ES_tradnl"/>
              </w:rPr>
              <w:footnoteReference w:id="38"/>
            </w:r>
            <w:r w:rsidRPr="000C58A8">
              <w:rPr>
                <w:rFonts w:ascii="Arial" w:eastAsia="Arial" w:hAnsi="Arial" w:cs="Arial"/>
                <w:lang w:val="es-ES_tradnl"/>
              </w:rPr>
              <w:t xml:space="preserve"> (b) Lentitud en la finalización (segunda instancia) del proceso administrativo contencioso, por problemas de compatibilidad entre los procedimientos procesales y el sistema informatizado. Adicionalmente, el sistema actual no posibilita registrar el resultado de las consultas y no efectúa el cálculo de intereses y multas relativas al crédito tributario</w:t>
            </w:r>
            <w:r w:rsidRPr="000C58A8">
              <w:rPr>
                <w:rStyle w:val="FootnoteReference"/>
                <w:rFonts w:ascii="Arial" w:hAnsi="Arial" w:cs="Arial"/>
                <w:lang w:val="es-ES_tradnl"/>
              </w:rPr>
              <w:footnoteReference w:id="39"/>
            </w:r>
            <w:r w:rsidRPr="000C58A8">
              <w:rPr>
                <w:rFonts w:ascii="Arial" w:eastAsia="Arial" w:hAnsi="Arial" w:cs="Arial"/>
                <w:lang w:val="es-ES_tradnl"/>
              </w:rPr>
              <w:t xml:space="preserve">. </w:t>
            </w:r>
          </w:p>
        </w:tc>
        <w:tc>
          <w:tcPr>
            <w:tcW w:w="4320" w:type="dxa"/>
            <w:tcBorders>
              <w:top w:val="single" w:sz="4" w:space="0" w:color="auto"/>
              <w:left w:val="single" w:sz="4" w:space="0" w:color="auto"/>
              <w:bottom w:val="single" w:sz="4" w:space="0" w:color="auto"/>
              <w:right w:val="single" w:sz="4" w:space="0" w:color="auto"/>
            </w:tcBorders>
            <w:shd w:val="clear" w:color="auto" w:fill="auto"/>
          </w:tcPr>
          <w:p w14:paraId="1EA49384" w14:textId="77777777" w:rsidR="001B7612" w:rsidRPr="000C58A8" w:rsidRDefault="00225EEA" w:rsidP="001B7612">
            <w:pPr>
              <w:spacing w:after="0" w:line="240" w:lineRule="auto"/>
              <w:jc w:val="both"/>
              <w:rPr>
                <w:rFonts w:ascii="Arial" w:hAnsi="Arial" w:cs="Arial"/>
                <w:lang w:val="es-ES_tradnl"/>
              </w:rPr>
            </w:pPr>
            <w:r w:rsidRPr="000C58A8">
              <w:rPr>
                <w:rFonts w:ascii="Arial" w:eastAsia="Arial" w:hAnsi="Arial" w:cs="Arial"/>
                <w:lang w:val="es-ES_tradnl"/>
              </w:rPr>
              <w:t>Nota Técnica 2.4- Aproximadamente 90 días de la fecha de impugnación del contribuyente y el término del proceso de 1ª instancia.</w:t>
            </w:r>
          </w:p>
          <w:p w14:paraId="2ABBF7DC" w14:textId="77777777" w:rsidR="001B7612" w:rsidRPr="000C58A8" w:rsidRDefault="00225EEA" w:rsidP="001B7612">
            <w:pPr>
              <w:spacing w:after="0" w:line="240" w:lineRule="auto"/>
              <w:jc w:val="both"/>
              <w:rPr>
                <w:rFonts w:ascii="Arial" w:hAnsi="Arial" w:cs="Arial"/>
                <w:highlight w:val="green"/>
                <w:lang w:val="es-ES_tradnl"/>
              </w:rPr>
            </w:pPr>
            <w:r w:rsidRPr="000C58A8">
              <w:rPr>
                <w:rFonts w:ascii="Arial" w:eastAsia="Arial" w:hAnsi="Arial" w:cs="Arial"/>
                <w:lang w:val="es-ES_tradnl"/>
              </w:rPr>
              <w:t>Nota Técnica 2.4 - En el año 2018, el tiempo medio de finalización del proceso contencioso (2ª instancia) fue de 1 año y medio.</w:t>
            </w:r>
          </w:p>
          <w:p w14:paraId="082082A6" w14:textId="4E968FB9" w:rsidR="00301527" w:rsidRPr="000C58A8" w:rsidRDefault="00301527" w:rsidP="002D2082">
            <w:pPr>
              <w:spacing w:after="0" w:line="240" w:lineRule="auto"/>
              <w:jc w:val="both"/>
              <w:rPr>
                <w:rFonts w:ascii="Arial" w:hAnsi="Arial" w:cs="Arial"/>
                <w:lang w:val="es-ES_tradnl"/>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6240D7F8" w14:textId="77777777" w:rsidR="00277BE7" w:rsidRPr="000C58A8" w:rsidRDefault="00225EEA" w:rsidP="00277BE7">
            <w:pPr>
              <w:spacing w:after="0" w:line="240" w:lineRule="auto"/>
              <w:jc w:val="both"/>
              <w:rPr>
                <w:rFonts w:ascii="Arial" w:hAnsi="Arial" w:cs="Arial"/>
                <w:lang w:val="es-ES_tradnl"/>
              </w:rPr>
            </w:pPr>
            <w:r w:rsidRPr="000C58A8">
              <w:rPr>
                <w:rFonts w:ascii="Arial" w:eastAsia="Arial" w:hAnsi="Arial" w:cs="Arial"/>
                <w:b/>
                <w:bCs/>
                <w:lang w:val="es-ES_tradnl"/>
              </w:rPr>
              <w:t xml:space="preserve">(iv) Modelo del contencioso fiscal y de la deuda activa de la SEFAZ ampliado, </w:t>
            </w:r>
            <w:r w:rsidRPr="000C58A8">
              <w:rPr>
                <w:rFonts w:ascii="Arial" w:eastAsia="Arial" w:hAnsi="Arial" w:cs="Arial"/>
                <w:lang w:val="es-ES_tradnl"/>
              </w:rPr>
              <w:t xml:space="preserve">incluyendo: (a) Revisión de los procedimientos del contencioso de 1ª, 2ª instancia y de la deuda activa; (b) módulo del SATE (Proceso Administrativo Tributario - PAT) que integre y permita un control de procesos entre la fiscalización, 1ª, 2ª instancias, recaudación, Sistema Financiero (SIPLAG), la deuda activa (Procuraduría General del Estado -PGE) el protocolo y el seguimiento en el Poder Judicial.  </w:t>
            </w:r>
          </w:p>
          <w:p w14:paraId="6CAA31BD" w14:textId="77777777" w:rsidR="000873DE" w:rsidRPr="000C58A8" w:rsidRDefault="000873DE" w:rsidP="009919F6">
            <w:pPr>
              <w:spacing w:after="0" w:line="240" w:lineRule="auto"/>
              <w:jc w:val="both"/>
              <w:rPr>
                <w:rFonts w:ascii="Arial" w:hAnsi="Arial" w:cs="Arial"/>
                <w:lang w:val="es-ES_tradnl"/>
              </w:rPr>
            </w:pPr>
          </w:p>
          <w:p w14:paraId="58430809" w14:textId="77777777" w:rsidR="00C8426A" w:rsidRPr="000C58A8" w:rsidRDefault="00C8426A" w:rsidP="009919F6">
            <w:pPr>
              <w:spacing w:after="0" w:line="240" w:lineRule="auto"/>
              <w:jc w:val="both"/>
              <w:rPr>
                <w:rFonts w:ascii="Arial" w:hAnsi="Arial" w:cs="Arial"/>
                <w:lang w:val="es-ES_tradnl"/>
              </w:rPr>
            </w:pPr>
          </w:p>
        </w:tc>
      </w:tr>
      <w:tr w:rsidR="00523823" w:rsidRPr="000C58A8" w14:paraId="783C2007" w14:textId="77777777" w:rsidTr="009D0436">
        <w:trPr>
          <w:trHeight w:val="23"/>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4C7D1108" w14:textId="4EFF8D70" w:rsidR="00C8426A" w:rsidRPr="000C58A8" w:rsidRDefault="00225EEA" w:rsidP="003D7139">
            <w:pPr>
              <w:spacing w:after="0" w:line="240" w:lineRule="auto"/>
              <w:jc w:val="both"/>
              <w:rPr>
                <w:rFonts w:ascii="Arial" w:hAnsi="Arial" w:cs="Arial"/>
                <w:lang w:val="es-ES_tradnl"/>
              </w:rPr>
            </w:pPr>
            <w:r w:rsidRPr="000C58A8">
              <w:rPr>
                <w:rFonts w:ascii="Arial" w:eastAsia="Arial" w:hAnsi="Arial" w:cs="Arial"/>
                <w:lang w:val="es-ES_tradnl"/>
              </w:rPr>
              <w:t>(v) ineficacia en la atención a los contribuyentes para el cumplimiento de sus obligaciones tributarias, debido a: a) existe un gran número de atendimientos presenciales, porque un gran número de casos no puede ser resuelto en línea;</w:t>
            </w:r>
            <w:r w:rsidRPr="00D26172">
              <w:rPr>
                <w:rFonts w:eastAsia="Arial"/>
                <w:vertAlign w:val="superscript"/>
              </w:rPr>
              <w:footnoteReference w:id="40"/>
            </w:r>
            <w:r w:rsidRPr="00D26172">
              <w:rPr>
                <w:rFonts w:ascii="Arial" w:eastAsia="Arial" w:hAnsi="Arial" w:cs="Arial"/>
                <w:vertAlign w:val="superscript"/>
                <w:lang w:val="es-ES_tradnl"/>
              </w:rPr>
              <w:t xml:space="preserve"> </w:t>
            </w:r>
            <w:r w:rsidRPr="000C58A8">
              <w:rPr>
                <w:rFonts w:ascii="Arial" w:eastAsia="Arial" w:hAnsi="Arial" w:cs="Arial"/>
                <w:lang w:val="es-ES_tradnl"/>
              </w:rPr>
              <w:t xml:space="preserve">(b) No se cuentan con </w:t>
            </w:r>
            <w:r w:rsidR="00D26172" w:rsidRPr="000C58A8">
              <w:rPr>
                <w:rFonts w:ascii="Arial" w:eastAsia="Arial" w:hAnsi="Arial" w:cs="Arial"/>
                <w:lang w:val="es-ES_tradnl"/>
              </w:rPr>
              <w:t>Call</w:t>
            </w:r>
            <w:r w:rsidRPr="000C58A8">
              <w:rPr>
                <w:rFonts w:ascii="Arial" w:eastAsia="Arial" w:hAnsi="Arial" w:cs="Arial"/>
                <w:lang w:val="es-ES_tradnl"/>
              </w:rPr>
              <w:t xml:space="preserve"> centers y son pocos los quioscos de </w:t>
            </w:r>
            <w:r w:rsidR="00D26172" w:rsidRPr="003C561B">
              <w:rPr>
                <w:rFonts w:ascii="Arial" w:eastAsia="Arial" w:hAnsi="Arial" w:cs="Arial"/>
                <w:lang w:val="es-ES_tradnl"/>
              </w:rPr>
              <w:t>autoservicio</w:t>
            </w:r>
            <w:r w:rsidR="00D26172">
              <w:rPr>
                <w:rFonts w:ascii="Arial" w:eastAsia="Arial" w:hAnsi="Arial" w:cs="Arial"/>
                <w:lang w:val="es-ES_tradnl"/>
              </w:rPr>
              <w:t>.</w:t>
            </w:r>
            <w:r w:rsidRPr="000C58A8">
              <w:rPr>
                <w:rFonts w:ascii="Arial" w:eastAsia="Arial" w:hAnsi="Arial" w:cs="Arial"/>
                <w:lang w:val="es-ES_tradnl"/>
              </w:rPr>
              <w:t xml:space="preserve"> Un contribuyente del interior tiene que desplazarse a la capital para resolver un problema de tributos;</w:t>
            </w:r>
            <w:r w:rsidRPr="003C561B">
              <w:rPr>
                <w:rFonts w:eastAsia="Arial"/>
              </w:rPr>
              <w:footnoteReference w:id="41"/>
            </w:r>
            <w:r w:rsidRPr="000C58A8">
              <w:rPr>
                <w:rFonts w:ascii="Arial" w:eastAsia="Arial" w:hAnsi="Arial" w:cs="Arial"/>
                <w:lang w:val="es-ES_tradnl"/>
              </w:rPr>
              <w:t xml:space="preserve"> y (c) los ambientes presenciales de atención a los contribuyentes son inadecuados y no cuentan con instrumentos de evaluación de la calidad de los servicios</w:t>
            </w:r>
            <w:r w:rsidRPr="000C58A8">
              <w:rPr>
                <w:rStyle w:val="FootnoteReference"/>
                <w:rFonts w:ascii="Arial" w:hAnsi="Arial" w:cs="Arial"/>
                <w:lang w:val="es-ES_tradnl"/>
              </w:rPr>
              <w:footnoteReference w:id="42"/>
            </w:r>
            <w:r w:rsidRPr="000C58A8">
              <w:rPr>
                <w:rFonts w:ascii="Arial" w:eastAsia="Arial" w:hAnsi="Arial" w:cs="Arial"/>
                <w:lang w:val="es-ES_tradnl"/>
              </w:rPr>
              <w:t xml:space="preserve">. </w:t>
            </w:r>
          </w:p>
        </w:tc>
        <w:tc>
          <w:tcPr>
            <w:tcW w:w="4320" w:type="dxa"/>
            <w:tcBorders>
              <w:top w:val="single" w:sz="4" w:space="0" w:color="auto"/>
              <w:left w:val="single" w:sz="4" w:space="0" w:color="auto"/>
              <w:bottom w:val="single" w:sz="4" w:space="0" w:color="auto"/>
              <w:right w:val="single" w:sz="4" w:space="0" w:color="auto"/>
            </w:tcBorders>
            <w:shd w:val="clear" w:color="auto" w:fill="auto"/>
          </w:tcPr>
          <w:p w14:paraId="75034C53" w14:textId="77777777" w:rsidR="001B7612" w:rsidRPr="000C58A8" w:rsidRDefault="00225EEA" w:rsidP="001B7612">
            <w:pPr>
              <w:pStyle w:val="FootnoteText"/>
              <w:contextualSpacing/>
              <w:rPr>
                <w:rFonts w:ascii="Arial" w:hAnsi="Arial" w:cs="Arial"/>
                <w:sz w:val="22"/>
                <w:szCs w:val="22"/>
                <w:lang w:val="es-ES_tradnl"/>
              </w:rPr>
            </w:pPr>
            <w:r w:rsidRPr="000C58A8">
              <w:rPr>
                <w:rFonts w:ascii="Arial" w:eastAsia="Arial" w:hAnsi="Arial" w:cs="Arial"/>
                <w:sz w:val="22"/>
                <w:szCs w:val="22"/>
                <w:lang w:val="es-ES_tradnl"/>
              </w:rPr>
              <w:t>Nota técnica 2.5 - El tiempo medio de atención es de 60 minutos, cuando lo ideal sería de 10 minutos.</w:t>
            </w:r>
          </w:p>
          <w:p w14:paraId="1A9405FD" w14:textId="7FD536E3" w:rsidR="00E43C47" w:rsidRPr="000C58A8" w:rsidRDefault="00225EEA" w:rsidP="001B7612">
            <w:pPr>
              <w:pStyle w:val="FootnoteText"/>
              <w:contextualSpacing/>
              <w:rPr>
                <w:rFonts w:ascii="Arial" w:hAnsi="Arial" w:cs="Arial"/>
                <w:sz w:val="22"/>
                <w:szCs w:val="22"/>
                <w:lang w:val="es-ES_tradnl"/>
              </w:rPr>
            </w:pPr>
            <w:r w:rsidRPr="000C58A8">
              <w:rPr>
                <w:rFonts w:ascii="Arial" w:eastAsia="Arial" w:hAnsi="Arial" w:cs="Arial"/>
                <w:sz w:val="22"/>
                <w:szCs w:val="22"/>
                <w:lang w:val="es-ES_tradnl"/>
              </w:rPr>
              <w:t xml:space="preserve">Nota técnica 2.5 - Hay únicamente 3 </w:t>
            </w:r>
            <w:r w:rsidR="003D7139" w:rsidRPr="003C561B">
              <w:rPr>
                <w:rFonts w:ascii="Arial" w:hAnsi="Arial" w:cs="Arial"/>
                <w:sz w:val="22"/>
                <w:szCs w:val="22"/>
                <w:lang w:val="es-ES_tradnl"/>
              </w:rPr>
              <w:t>(</w:t>
            </w:r>
            <w:proofErr w:type="spellStart"/>
            <w:r w:rsidR="003D7139" w:rsidRPr="003C561B">
              <w:rPr>
                <w:rFonts w:ascii="Arial" w:hAnsi="Arial" w:cs="Arial"/>
                <w:sz w:val="22"/>
                <w:szCs w:val="22"/>
                <w:lang w:val="es-ES_tradnl"/>
              </w:rPr>
              <w:t>Macapá</w:t>
            </w:r>
            <w:proofErr w:type="spellEnd"/>
            <w:r w:rsidR="003D7139" w:rsidRPr="003C561B">
              <w:rPr>
                <w:rFonts w:ascii="Arial" w:hAnsi="Arial" w:cs="Arial"/>
                <w:sz w:val="22"/>
                <w:szCs w:val="22"/>
                <w:lang w:val="es-ES_tradnl"/>
              </w:rPr>
              <w:t xml:space="preserve">, Santana e </w:t>
            </w:r>
            <w:proofErr w:type="spellStart"/>
            <w:r w:rsidR="003D7139" w:rsidRPr="003C561B">
              <w:rPr>
                <w:rFonts w:ascii="Arial" w:hAnsi="Arial" w:cs="Arial"/>
                <w:sz w:val="22"/>
                <w:szCs w:val="22"/>
                <w:lang w:val="es-ES_tradnl"/>
              </w:rPr>
              <w:t>Laranjal</w:t>
            </w:r>
            <w:proofErr w:type="spellEnd"/>
            <w:r w:rsidR="003D7139" w:rsidRPr="003C561B">
              <w:rPr>
                <w:rFonts w:ascii="Arial" w:hAnsi="Arial" w:cs="Arial"/>
                <w:sz w:val="22"/>
                <w:szCs w:val="22"/>
                <w:lang w:val="es-ES_tradnl"/>
              </w:rPr>
              <w:t xml:space="preserve"> do </w:t>
            </w:r>
            <w:proofErr w:type="spellStart"/>
            <w:r w:rsidR="003D7139" w:rsidRPr="003C561B">
              <w:rPr>
                <w:rFonts w:ascii="Arial" w:hAnsi="Arial" w:cs="Arial"/>
                <w:sz w:val="22"/>
                <w:szCs w:val="22"/>
                <w:lang w:val="es-ES_tradnl"/>
              </w:rPr>
              <w:t>Jari</w:t>
            </w:r>
            <w:proofErr w:type="spellEnd"/>
            <w:r w:rsidR="003D7139" w:rsidRPr="003C561B">
              <w:rPr>
                <w:rFonts w:ascii="Arial" w:hAnsi="Arial" w:cs="Arial"/>
                <w:sz w:val="22"/>
                <w:szCs w:val="22"/>
                <w:lang w:val="es-ES_tradnl"/>
              </w:rPr>
              <w:t xml:space="preserve">) </w:t>
            </w:r>
            <w:r w:rsidRPr="000C58A8">
              <w:rPr>
                <w:rFonts w:ascii="Arial" w:eastAsia="Arial" w:hAnsi="Arial" w:cs="Arial"/>
                <w:sz w:val="22"/>
                <w:szCs w:val="22"/>
                <w:lang w:val="es-ES_tradnl"/>
              </w:rPr>
              <w:t xml:space="preserve">centrales de atención para 16 municipios.  </w:t>
            </w:r>
          </w:p>
          <w:p w14:paraId="3BB67BE0" w14:textId="77777777" w:rsidR="001B7612" w:rsidRPr="000C58A8" w:rsidRDefault="00225EEA" w:rsidP="001B7612">
            <w:pPr>
              <w:pStyle w:val="FootnoteText"/>
              <w:contextualSpacing/>
              <w:rPr>
                <w:rFonts w:ascii="Arial" w:hAnsi="Arial" w:cs="Arial"/>
                <w:sz w:val="22"/>
                <w:szCs w:val="22"/>
                <w:lang w:val="es-ES_tradnl"/>
              </w:rPr>
            </w:pPr>
            <w:r w:rsidRPr="000C58A8">
              <w:rPr>
                <w:rFonts w:ascii="Arial" w:eastAsia="Arial" w:hAnsi="Arial" w:cs="Arial"/>
                <w:sz w:val="22"/>
                <w:szCs w:val="22"/>
                <w:lang w:val="es-ES_tradnl"/>
              </w:rPr>
              <w:t xml:space="preserve">Nota Técnica 2.5 -Sólo 11 de los 50 servicios existentes están en línea. </w:t>
            </w:r>
          </w:p>
          <w:p w14:paraId="62BB065B" w14:textId="0C3642B9" w:rsidR="00301527" w:rsidRPr="000C58A8" w:rsidRDefault="00301527" w:rsidP="001B7612">
            <w:pPr>
              <w:pStyle w:val="FootnoteText"/>
              <w:contextualSpacing/>
              <w:rPr>
                <w:rFonts w:ascii="Arial" w:hAnsi="Arial" w:cs="Arial"/>
                <w:sz w:val="22"/>
                <w:szCs w:val="22"/>
                <w:lang w:val="es-ES_tradnl"/>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3BEFC3ED" w14:textId="2D365FE4" w:rsidR="00C8426A" w:rsidRPr="000C58A8" w:rsidRDefault="00225EEA" w:rsidP="001B021A">
            <w:pPr>
              <w:spacing w:after="0" w:line="240" w:lineRule="auto"/>
              <w:jc w:val="both"/>
              <w:rPr>
                <w:rFonts w:ascii="Arial" w:hAnsi="Arial" w:cs="Arial"/>
                <w:lang w:val="es-ES_tradnl"/>
              </w:rPr>
            </w:pPr>
            <w:r w:rsidRPr="000C58A8">
              <w:rPr>
                <w:rFonts w:ascii="Arial" w:eastAsia="Arial" w:hAnsi="Arial" w:cs="Arial"/>
                <w:b/>
                <w:bCs/>
                <w:lang w:val="es-ES_tradnl"/>
              </w:rPr>
              <w:t xml:space="preserve">(v) Modelo de Atención Integral del Contribuyente de la SEFAZ implantado,  </w:t>
            </w:r>
            <w:r w:rsidRPr="000C58A8">
              <w:rPr>
                <w:rFonts w:ascii="Arial" w:eastAsia="Arial" w:hAnsi="Arial" w:cs="Arial"/>
                <w:lang w:val="es-ES_tradnl"/>
              </w:rPr>
              <w:t>incluyendo: (a) Implantación de un nuevo modelo de atención electrónica integral al contribuyente y reformulación del Portal de SEFAZ (legislación, registro, servicios, DTE, procesos, FAQ, chat, etc</w:t>
            </w:r>
            <w:r w:rsidR="000C58A8">
              <w:rPr>
                <w:rFonts w:ascii="Arial" w:eastAsia="Arial" w:hAnsi="Arial" w:cs="Arial"/>
                <w:lang w:val="es-ES_tradnl"/>
              </w:rPr>
              <w:t>.</w:t>
            </w:r>
            <w:r w:rsidRPr="000C58A8">
              <w:rPr>
                <w:rFonts w:ascii="Arial" w:eastAsia="Arial" w:hAnsi="Arial" w:cs="Arial"/>
                <w:lang w:val="es-ES_tradnl"/>
              </w:rPr>
              <w:t xml:space="preserve">, personalización del SATE al nuevo modelo de atención con nuevos servicios (b) implantar herramientas digitales de atención (tipo </w:t>
            </w:r>
            <w:proofErr w:type="spellStart"/>
            <w:r w:rsidRPr="000C58A8">
              <w:rPr>
                <w:rFonts w:ascii="Arial" w:eastAsia="Arial" w:hAnsi="Arial" w:cs="Arial"/>
                <w:lang w:val="es-ES_tradnl"/>
              </w:rPr>
              <w:t>watson</w:t>
            </w:r>
            <w:proofErr w:type="spellEnd"/>
            <w:r w:rsidRPr="000C58A8">
              <w:rPr>
                <w:rFonts w:ascii="Arial" w:eastAsia="Arial" w:hAnsi="Arial" w:cs="Arial"/>
                <w:lang w:val="es-ES_tradnl"/>
              </w:rPr>
              <w:t xml:space="preserve">), y (c) mejorar la atención presencial a través de mejoras y adecuación física de las agencias: </w:t>
            </w:r>
            <w:proofErr w:type="spellStart"/>
            <w:r w:rsidR="003D7139">
              <w:rPr>
                <w:rFonts w:ascii="Arial" w:eastAsia="Arial" w:hAnsi="Arial" w:cs="Arial"/>
                <w:lang w:val="es-ES_tradnl"/>
              </w:rPr>
              <w:t>Macapá</w:t>
            </w:r>
            <w:proofErr w:type="spellEnd"/>
            <w:r w:rsidR="003D7139">
              <w:rPr>
                <w:rFonts w:ascii="Arial" w:eastAsia="Arial" w:hAnsi="Arial" w:cs="Arial"/>
                <w:lang w:val="es-ES_tradnl"/>
              </w:rPr>
              <w:t xml:space="preserve">, </w:t>
            </w:r>
            <w:r w:rsidRPr="000C58A8">
              <w:rPr>
                <w:rFonts w:ascii="Arial" w:eastAsia="Arial" w:hAnsi="Arial" w:cs="Arial"/>
                <w:lang w:val="es-ES_tradnl"/>
              </w:rPr>
              <w:t xml:space="preserve">Santana, </w:t>
            </w:r>
            <w:proofErr w:type="spellStart"/>
            <w:r w:rsidRPr="000C58A8">
              <w:rPr>
                <w:rFonts w:ascii="Arial" w:eastAsia="Arial" w:hAnsi="Arial" w:cs="Arial"/>
                <w:lang w:val="es-ES_tradnl"/>
              </w:rPr>
              <w:t>Laranjal</w:t>
            </w:r>
            <w:proofErr w:type="spellEnd"/>
            <w:r w:rsidRPr="000C58A8">
              <w:rPr>
                <w:rFonts w:ascii="Arial" w:eastAsia="Arial" w:hAnsi="Arial" w:cs="Arial"/>
                <w:lang w:val="es-ES_tradnl"/>
              </w:rPr>
              <w:t xml:space="preserve"> y </w:t>
            </w:r>
            <w:proofErr w:type="spellStart"/>
            <w:r w:rsidRPr="000C58A8">
              <w:rPr>
                <w:rFonts w:ascii="Arial" w:eastAsia="Arial" w:hAnsi="Arial" w:cs="Arial"/>
                <w:lang w:val="es-ES_tradnl"/>
              </w:rPr>
              <w:t>Oiapoque</w:t>
            </w:r>
            <w:proofErr w:type="spellEnd"/>
            <w:r w:rsidRPr="000C58A8">
              <w:rPr>
                <w:rFonts w:ascii="Arial" w:eastAsia="Arial" w:hAnsi="Arial" w:cs="Arial"/>
                <w:lang w:val="es-ES_tradnl"/>
              </w:rPr>
              <w:t xml:space="preserve">. Introducir encuesta de </w:t>
            </w:r>
            <w:r w:rsidR="000C58A8" w:rsidRPr="000C58A8">
              <w:rPr>
                <w:rFonts w:ascii="Arial" w:eastAsia="Arial" w:hAnsi="Arial" w:cs="Arial"/>
                <w:lang w:val="es-ES_tradnl"/>
              </w:rPr>
              <w:t>satisfacción</w:t>
            </w:r>
          </w:p>
        </w:tc>
      </w:tr>
      <w:tr w:rsidR="00523823" w:rsidRPr="003C561B" w14:paraId="30F9DAE7" w14:textId="77777777" w:rsidTr="009D0436">
        <w:trPr>
          <w:trHeight w:val="23"/>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35A5B0F1" w14:textId="77777777" w:rsidR="006D4E56" w:rsidRPr="000C58A8" w:rsidRDefault="00225EEA" w:rsidP="002D2082">
            <w:pPr>
              <w:pStyle w:val="Paragraph"/>
              <w:numPr>
                <w:ilvl w:val="0"/>
                <w:numId w:val="0"/>
              </w:numPr>
              <w:rPr>
                <w:rFonts w:ascii="Arial" w:hAnsi="Arial" w:cs="Arial"/>
                <w:b/>
                <w:sz w:val="22"/>
                <w:szCs w:val="22"/>
              </w:rPr>
            </w:pPr>
            <w:r w:rsidRPr="000C58A8">
              <w:rPr>
                <w:rFonts w:ascii="Arial" w:eastAsia="Arial" w:hAnsi="Arial" w:cs="Arial"/>
                <w:sz w:val="22"/>
                <w:szCs w:val="22"/>
              </w:rPr>
              <w:t>vi) Baja eficiencia de los procesos de recaudación y control del crédito tributario, debido a: (a) dificultad para identificar y notificar de forma oportuna a los contribuyentes deudores y con pagos atrasados.  El sistema actual no detecta automáticamente a estos contribuyentes. Deficiencia en la generación de informes gerenciales. La notificación de citación se realiza de forma manual;</w:t>
            </w:r>
            <w:r w:rsidRPr="000C58A8">
              <w:rPr>
                <w:rStyle w:val="FootnoteReference"/>
                <w:rFonts w:ascii="Arial" w:eastAsiaTheme="majorEastAsia" w:hAnsi="Arial" w:cs="Arial"/>
                <w:sz w:val="22"/>
                <w:szCs w:val="22"/>
              </w:rPr>
              <w:footnoteReference w:id="43"/>
            </w:r>
            <w:r w:rsidRPr="000C58A8">
              <w:rPr>
                <w:rFonts w:ascii="Arial" w:eastAsia="Arial" w:hAnsi="Arial" w:cs="Arial"/>
                <w:sz w:val="22"/>
                <w:szCs w:val="22"/>
              </w:rPr>
              <w:t xml:space="preserve"> (b) el proceso de restitución/ compensación/resarcimiento es manual; y (c) El proceso de parcelación se realiza de forma presencial.</w:t>
            </w:r>
            <w:r w:rsidRPr="000C58A8">
              <w:rPr>
                <w:rStyle w:val="FootnoteReference"/>
                <w:rFonts w:ascii="Arial" w:eastAsiaTheme="majorEastAsia" w:hAnsi="Arial" w:cs="Arial"/>
                <w:sz w:val="22"/>
                <w:szCs w:val="22"/>
              </w:rPr>
              <w:footnoteReference w:id="44"/>
            </w:r>
          </w:p>
        </w:tc>
        <w:tc>
          <w:tcPr>
            <w:tcW w:w="4320" w:type="dxa"/>
            <w:tcBorders>
              <w:top w:val="single" w:sz="4" w:space="0" w:color="auto"/>
              <w:left w:val="single" w:sz="4" w:space="0" w:color="auto"/>
              <w:bottom w:val="single" w:sz="4" w:space="0" w:color="auto"/>
              <w:right w:val="single" w:sz="4" w:space="0" w:color="auto"/>
            </w:tcBorders>
            <w:shd w:val="clear" w:color="auto" w:fill="auto"/>
          </w:tcPr>
          <w:p w14:paraId="3081E5E4" w14:textId="77777777" w:rsidR="00AF4FB5" w:rsidRPr="000C58A8" w:rsidRDefault="00225EEA" w:rsidP="001B7612">
            <w:pPr>
              <w:spacing w:after="0"/>
              <w:contextualSpacing/>
              <w:jc w:val="both"/>
              <w:rPr>
                <w:rFonts w:ascii="Arial" w:hAnsi="Arial" w:cs="Arial"/>
                <w:lang w:val="es-ES_tradnl"/>
              </w:rPr>
            </w:pPr>
            <w:r w:rsidRPr="000C58A8">
              <w:rPr>
                <w:rFonts w:ascii="Arial" w:eastAsia="Arial" w:hAnsi="Arial" w:cs="Arial"/>
                <w:lang w:val="es-ES_tradnl"/>
              </w:rPr>
              <w:t xml:space="preserve">Nota Técnica 2.6 - Sólo en 2018 se inscribieron en la deuda activa aproximadamente R$ 59 millones. </w:t>
            </w:r>
          </w:p>
          <w:p w14:paraId="025D3B97" w14:textId="77777777" w:rsidR="00890590" w:rsidRPr="000C58A8" w:rsidRDefault="00225EEA" w:rsidP="001B021A">
            <w:pPr>
              <w:spacing w:after="0" w:line="240" w:lineRule="auto"/>
              <w:jc w:val="both"/>
              <w:rPr>
                <w:rFonts w:ascii="Arial" w:hAnsi="Arial" w:cs="Arial"/>
                <w:lang w:val="es-ES_tradnl"/>
              </w:rPr>
            </w:pPr>
            <w:r w:rsidRPr="000C58A8">
              <w:rPr>
                <w:rFonts w:ascii="Arial" w:eastAsia="Arial" w:hAnsi="Arial" w:cs="Arial"/>
                <w:lang w:val="es-ES_tradnl"/>
              </w:rPr>
              <w:t>Nota Técnica 2.6 - La información de la recaudación de impuestos tarda 1 semana para ser puesta a disposición del sistema financiero (SIPLAG).</w:t>
            </w:r>
          </w:p>
          <w:p w14:paraId="4DC3C893" w14:textId="77777777" w:rsidR="00890590" w:rsidRPr="000C58A8" w:rsidRDefault="00890590" w:rsidP="001B021A">
            <w:pPr>
              <w:spacing w:after="0" w:line="240" w:lineRule="auto"/>
              <w:jc w:val="both"/>
              <w:rPr>
                <w:rFonts w:ascii="Arial" w:hAnsi="Arial" w:cs="Arial"/>
                <w:lang w:val="es-ES_tradnl"/>
              </w:rPr>
            </w:pPr>
          </w:p>
          <w:p w14:paraId="6AF29C7F" w14:textId="18AA706D" w:rsidR="00C074E7" w:rsidRPr="000C58A8" w:rsidRDefault="00C074E7" w:rsidP="001B021A">
            <w:pPr>
              <w:spacing w:after="0" w:line="240" w:lineRule="auto"/>
              <w:jc w:val="both"/>
              <w:rPr>
                <w:rFonts w:ascii="Arial" w:hAnsi="Arial" w:cs="Arial"/>
                <w:highlight w:val="yellow"/>
                <w:lang w:val="es-ES_tradnl"/>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786AB6F5" w14:textId="77777777" w:rsidR="006D4E56" w:rsidRPr="000C58A8" w:rsidRDefault="00225EEA" w:rsidP="00D26172">
            <w:pPr>
              <w:spacing w:after="0" w:line="240" w:lineRule="auto"/>
              <w:jc w:val="both"/>
              <w:rPr>
                <w:rFonts w:ascii="Arial" w:hAnsi="Arial" w:cs="Arial"/>
                <w:lang w:val="es-ES_tradnl"/>
              </w:rPr>
            </w:pPr>
            <w:r w:rsidRPr="000C58A8">
              <w:rPr>
                <w:rFonts w:ascii="Arial" w:eastAsia="Arial" w:hAnsi="Arial" w:cs="Arial"/>
                <w:b/>
                <w:bCs/>
                <w:lang w:val="es-ES_tradnl"/>
              </w:rPr>
              <w:t>(vi) Modelo de recuperación del crédito tributario de la SEFAZ implantado</w:t>
            </w:r>
            <w:r w:rsidRPr="000C58A8">
              <w:rPr>
                <w:rFonts w:ascii="Arial" w:eastAsia="Arial" w:hAnsi="Arial" w:cs="Arial"/>
                <w:lang w:val="es-ES_tradnl"/>
              </w:rPr>
              <w:t>, incluyendo: (a) nuevo modelo de cobro administrativo basado en riesgo; (b) Implantación de sistemática de control de restitución/compensación/resarcimiento; y (c) reestructuración del modelo de parcelación.</w:t>
            </w:r>
          </w:p>
        </w:tc>
      </w:tr>
      <w:tr w:rsidR="00523823" w:rsidRPr="003C561B" w14:paraId="14DA640D" w14:textId="77777777" w:rsidTr="00187B49">
        <w:trPr>
          <w:trHeight w:val="23"/>
        </w:trPr>
        <w:tc>
          <w:tcPr>
            <w:tcW w:w="14070" w:type="dxa"/>
            <w:gridSpan w:val="3"/>
            <w:shd w:val="clear" w:color="auto" w:fill="F7CAAC" w:themeFill="accent2" w:themeFillTint="66"/>
          </w:tcPr>
          <w:p w14:paraId="7C4F9A2B" w14:textId="71BB6D82" w:rsidR="00331F43" w:rsidRPr="000C58A8" w:rsidRDefault="00225EEA" w:rsidP="00187B49">
            <w:pPr>
              <w:spacing w:after="0" w:line="240" w:lineRule="auto"/>
              <w:rPr>
                <w:rFonts w:ascii="Arial" w:hAnsi="Arial" w:cs="Arial"/>
                <w:b/>
                <w:lang w:val="es-ES_tradnl"/>
              </w:rPr>
            </w:pPr>
            <w:r w:rsidRPr="000C58A8">
              <w:rPr>
                <w:rFonts w:ascii="Arial" w:eastAsia="Arial" w:hAnsi="Arial" w:cs="Arial"/>
                <w:b/>
                <w:bCs/>
                <w:lang w:val="es-ES_tradnl"/>
              </w:rPr>
              <w:t>Componente III. Administración Financiera y Gasto Público (US$ 1,6 mil</w:t>
            </w:r>
            <w:r w:rsidR="000C58A8">
              <w:rPr>
                <w:rFonts w:ascii="Arial" w:eastAsia="Arial" w:hAnsi="Arial" w:cs="Arial"/>
                <w:b/>
                <w:bCs/>
                <w:lang w:val="es-ES_tradnl"/>
              </w:rPr>
              <w:t>lon</w:t>
            </w:r>
            <w:r w:rsidRPr="000C58A8">
              <w:rPr>
                <w:rFonts w:ascii="Arial" w:eastAsia="Arial" w:hAnsi="Arial" w:cs="Arial"/>
                <w:b/>
                <w:bCs/>
                <w:lang w:val="es-ES_tradnl"/>
              </w:rPr>
              <w:t>es).</w:t>
            </w:r>
          </w:p>
        </w:tc>
      </w:tr>
      <w:tr w:rsidR="00523823" w:rsidRPr="003C561B" w14:paraId="5545B1F4" w14:textId="77777777" w:rsidTr="00187B49">
        <w:trPr>
          <w:trHeight w:val="24"/>
        </w:trPr>
        <w:tc>
          <w:tcPr>
            <w:tcW w:w="14070" w:type="dxa"/>
            <w:gridSpan w:val="3"/>
            <w:shd w:val="clear" w:color="auto" w:fill="F7CAAC" w:themeFill="accent2" w:themeFillTint="66"/>
          </w:tcPr>
          <w:p w14:paraId="193D0717" w14:textId="77777777" w:rsidR="00282B27" w:rsidRPr="000C58A8" w:rsidRDefault="00225EEA" w:rsidP="00187B49">
            <w:pPr>
              <w:spacing w:after="0" w:line="240" w:lineRule="auto"/>
              <w:rPr>
                <w:rFonts w:ascii="Arial" w:hAnsi="Arial" w:cs="Arial"/>
                <w:b/>
                <w:lang w:val="es-ES_tradnl"/>
              </w:rPr>
            </w:pPr>
            <w:r w:rsidRPr="000C58A8">
              <w:rPr>
                <w:rFonts w:ascii="Arial" w:eastAsia="Arial" w:hAnsi="Arial" w:cs="Arial"/>
                <w:b/>
                <w:bCs/>
                <w:lang w:val="es-ES_tradnl"/>
              </w:rPr>
              <w:t xml:space="preserve">Problema específico 3 - </w:t>
            </w:r>
            <w:r w:rsidRPr="000C58A8">
              <w:rPr>
                <w:rFonts w:ascii="Arial" w:eastAsia="Arial" w:hAnsi="Arial" w:cs="Arial"/>
                <w:lang w:val="es-ES_tradnl"/>
              </w:rPr>
              <w:t>Carencia de instrumentos eficientes para la generación de informaciones presupuestarias, financieras y patrimoniales, confiables y oportunas, para la toma de decisiones y optimización del uso de recursos públicos. (En 2018 la disparidad entre el presupuesto planificado y ejecutado fue del 4% - Fuente)</w:t>
            </w:r>
          </w:p>
        </w:tc>
      </w:tr>
      <w:tr w:rsidR="00523823" w:rsidRPr="003C561B" w14:paraId="4B24D979" w14:textId="77777777" w:rsidTr="00187B49">
        <w:trPr>
          <w:trHeight w:val="241"/>
        </w:trPr>
        <w:tc>
          <w:tcPr>
            <w:tcW w:w="14070" w:type="dxa"/>
            <w:gridSpan w:val="3"/>
            <w:shd w:val="clear" w:color="auto" w:fill="F7CAAC" w:themeFill="accent2" w:themeFillTint="66"/>
          </w:tcPr>
          <w:p w14:paraId="6DC8CB1C" w14:textId="3E650C90" w:rsidR="00331F43" w:rsidRPr="000C58A8" w:rsidRDefault="00225EEA" w:rsidP="00187B49">
            <w:pPr>
              <w:spacing w:after="0" w:line="240" w:lineRule="auto"/>
              <w:rPr>
                <w:rFonts w:ascii="Arial" w:hAnsi="Arial" w:cs="Arial"/>
                <w:lang w:val="es-ES_tradnl"/>
              </w:rPr>
            </w:pPr>
            <w:r w:rsidRPr="000C58A8">
              <w:rPr>
                <w:rFonts w:ascii="Arial" w:eastAsia="Arial" w:hAnsi="Arial" w:cs="Arial"/>
                <w:b/>
                <w:bCs/>
                <w:lang w:val="es-ES_tradnl"/>
              </w:rPr>
              <w:t xml:space="preserve">Objetivo Específico 3: </w:t>
            </w:r>
            <w:r w:rsidRPr="000C58A8">
              <w:rPr>
                <w:rFonts w:ascii="Arial" w:eastAsia="Arial" w:hAnsi="Arial" w:cs="Arial"/>
                <w:lang w:val="es-ES_tradnl"/>
              </w:rPr>
              <w:t>Mejorar la gestión del gasto público.</w:t>
            </w:r>
            <w:r w:rsidR="000C58A8">
              <w:rPr>
                <w:rFonts w:ascii="Arial" w:eastAsia="Arial" w:hAnsi="Arial" w:cs="Arial"/>
                <w:lang w:val="es-ES_tradnl"/>
              </w:rPr>
              <w:t xml:space="preserve"> </w:t>
            </w:r>
            <w:r w:rsidRPr="000C58A8">
              <w:rPr>
                <w:rFonts w:ascii="Arial" w:eastAsia="Arial" w:hAnsi="Arial" w:cs="Arial"/>
                <w:lang w:val="es-ES_tradnl"/>
              </w:rPr>
              <w:t>Está orientado a aumentar la eficiencia de la planificación y la ejecución financiera</w:t>
            </w:r>
          </w:p>
        </w:tc>
      </w:tr>
      <w:tr w:rsidR="00523823" w:rsidRPr="000C58A8" w14:paraId="28EBFE21" w14:textId="77777777" w:rsidTr="00187B49">
        <w:trPr>
          <w:trHeight w:val="24"/>
        </w:trPr>
        <w:tc>
          <w:tcPr>
            <w:tcW w:w="14070" w:type="dxa"/>
            <w:gridSpan w:val="3"/>
            <w:shd w:val="clear" w:color="auto" w:fill="F7CAAC" w:themeFill="accent2" w:themeFillTint="66"/>
          </w:tcPr>
          <w:p w14:paraId="5FB7CACD" w14:textId="77777777" w:rsidR="00331F43" w:rsidRPr="000C58A8" w:rsidRDefault="00225EEA" w:rsidP="00187B49">
            <w:pPr>
              <w:spacing w:after="0" w:line="240" w:lineRule="auto"/>
              <w:rPr>
                <w:rFonts w:ascii="Arial" w:hAnsi="Arial" w:cs="Arial"/>
                <w:lang w:val="es-ES_tradnl"/>
              </w:rPr>
            </w:pPr>
            <w:r w:rsidRPr="000C58A8">
              <w:rPr>
                <w:rFonts w:ascii="Arial" w:eastAsia="Arial" w:hAnsi="Arial" w:cs="Arial"/>
                <w:lang w:val="es-ES_tradnl"/>
              </w:rPr>
              <w:t>Resultado esperado 3: reducción de la disparidad entre el presupuesto planificado y el presupuesto ejecutado</w:t>
            </w:r>
            <w:r w:rsidRPr="000C58A8">
              <w:rPr>
                <w:rFonts w:ascii="Arial" w:eastAsia="Arial" w:hAnsi="Arial" w:cs="Arial"/>
                <w:color w:val="000000" w:themeColor="text1"/>
                <w:vertAlign w:val="superscript"/>
                <w:lang w:val="es-ES_tradnl"/>
              </w:rPr>
              <w:footnoteReference w:id="45"/>
            </w:r>
            <w:r w:rsidRPr="000C58A8">
              <w:rPr>
                <w:rFonts w:ascii="Arial" w:eastAsia="Arial" w:hAnsi="Arial" w:cs="Arial"/>
                <w:lang w:val="es-ES_tradnl"/>
              </w:rPr>
              <w:t>. (Presupuesto planificado / Presupuesto ejecutado)</w:t>
            </w:r>
          </w:p>
        </w:tc>
      </w:tr>
      <w:tr w:rsidR="00523823" w:rsidRPr="003C561B" w14:paraId="5B51C851" w14:textId="77777777" w:rsidTr="004F3157">
        <w:trPr>
          <w:trHeight w:val="2950"/>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08101CC" w14:textId="77777777" w:rsidR="009D0436" w:rsidRPr="000C58A8" w:rsidRDefault="00225EEA" w:rsidP="009D0436">
            <w:pPr>
              <w:spacing w:after="0" w:line="240" w:lineRule="auto"/>
              <w:jc w:val="both"/>
              <w:rPr>
                <w:rFonts w:ascii="Arial" w:hAnsi="Arial" w:cs="Arial"/>
                <w:lang w:val="es-ES_tradnl"/>
              </w:rPr>
            </w:pPr>
            <w:r w:rsidRPr="000C58A8">
              <w:rPr>
                <w:rFonts w:ascii="Arial" w:eastAsia="Arial" w:hAnsi="Arial" w:cs="Arial"/>
                <w:lang w:val="es-ES_tradnl"/>
              </w:rPr>
              <w:t>(i) ineficiencias en la gestión de la inversión pública del estado, debido a: (a) la baja eficiencia en la ejecución de proyectos del estado;</w:t>
            </w:r>
            <w:r w:rsidRPr="000C58A8">
              <w:rPr>
                <w:rStyle w:val="FootnoteReference"/>
                <w:rFonts w:ascii="Arial" w:hAnsi="Arial" w:cs="Arial"/>
                <w:lang w:val="es-ES_tradnl"/>
              </w:rPr>
              <w:footnoteReference w:id="46"/>
            </w:r>
            <w:r w:rsidRPr="000C58A8">
              <w:rPr>
                <w:rFonts w:ascii="Arial" w:eastAsia="Arial" w:hAnsi="Arial" w:cs="Arial"/>
                <w:lang w:val="es-ES_tradnl"/>
              </w:rPr>
              <w:t xml:space="preserve"> (b) dificultades en la priorización de las principales inversiones del Estado, debido a la falta de metodologías y herramientas para determinar las necesidades de inversión;</w:t>
            </w:r>
            <w:r w:rsidRPr="000C58A8">
              <w:rPr>
                <w:rStyle w:val="FootnoteReference"/>
                <w:rFonts w:ascii="Arial" w:hAnsi="Arial" w:cs="Arial"/>
                <w:lang w:val="es-ES_tradnl"/>
              </w:rPr>
              <w:footnoteReference w:id="47"/>
            </w:r>
            <w:r w:rsidRPr="000C58A8">
              <w:rPr>
                <w:rFonts w:ascii="Arial" w:eastAsia="Arial" w:hAnsi="Arial" w:cs="Arial"/>
                <w:lang w:val="es-ES_tradnl"/>
              </w:rPr>
              <w:t xml:space="preserve"> (c) retrasos en la ejecución de los proyectos de inversión</w:t>
            </w:r>
            <w:r w:rsidRPr="000C58A8">
              <w:rPr>
                <w:rStyle w:val="FootnoteReference"/>
                <w:rFonts w:ascii="Arial" w:hAnsi="Arial" w:cs="Arial"/>
                <w:lang w:val="es-ES_tradnl"/>
              </w:rPr>
              <w:footnoteReference w:id="48"/>
            </w:r>
            <w:r w:rsidRPr="000C58A8">
              <w:rPr>
                <w:rFonts w:ascii="Arial" w:eastAsia="Arial" w:hAnsi="Arial" w:cs="Arial"/>
                <w:lang w:val="es-ES_tradnl"/>
              </w:rPr>
              <w:t>; y (d) bajo conocimiento del personal de las secretarías sobre la gestión de inversiones públicas.</w:t>
            </w:r>
            <w:r w:rsidRPr="000C58A8">
              <w:rPr>
                <w:rStyle w:val="FootnoteReference"/>
                <w:rFonts w:ascii="Arial" w:hAnsi="Arial" w:cs="Arial"/>
                <w:lang w:val="es-ES_tradnl"/>
              </w:rPr>
              <w:footnoteReference w:id="49"/>
            </w:r>
          </w:p>
        </w:tc>
        <w:tc>
          <w:tcPr>
            <w:tcW w:w="4320" w:type="dxa"/>
            <w:tcBorders>
              <w:top w:val="single" w:sz="4" w:space="0" w:color="auto"/>
              <w:left w:val="single" w:sz="4" w:space="0" w:color="auto"/>
              <w:bottom w:val="single" w:sz="4" w:space="0" w:color="auto"/>
              <w:right w:val="single" w:sz="4" w:space="0" w:color="auto"/>
            </w:tcBorders>
            <w:shd w:val="clear" w:color="auto" w:fill="auto"/>
          </w:tcPr>
          <w:p w14:paraId="702E9F5C" w14:textId="77777777" w:rsidR="00DA5CCD" w:rsidRPr="000C58A8" w:rsidRDefault="00225EEA" w:rsidP="00DA5CCD">
            <w:pPr>
              <w:pStyle w:val="FootnoteText"/>
              <w:contextualSpacing/>
              <w:rPr>
                <w:rFonts w:ascii="Arial" w:hAnsi="Arial" w:cs="Arial"/>
                <w:sz w:val="22"/>
                <w:szCs w:val="22"/>
                <w:lang w:val="es-ES_tradnl"/>
              </w:rPr>
            </w:pPr>
            <w:r w:rsidRPr="000C58A8">
              <w:rPr>
                <w:rFonts w:ascii="Arial" w:eastAsia="Arial" w:hAnsi="Arial" w:cs="Arial"/>
                <w:sz w:val="22"/>
                <w:szCs w:val="22"/>
                <w:lang w:val="es-ES_tradnl"/>
              </w:rPr>
              <w:t>Nota Técnica 3.1 - El sobrecosto medio en la ejecución de proyectos es del 41%. Fuente: Gerencia de Recursos de BNDS (SEPLAN).</w:t>
            </w:r>
          </w:p>
          <w:p w14:paraId="47A48BBA" w14:textId="77777777" w:rsidR="00DA5CCD" w:rsidRPr="000C58A8" w:rsidRDefault="00225EEA" w:rsidP="00DA5CCD">
            <w:pPr>
              <w:pStyle w:val="FootnoteText"/>
              <w:contextualSpacing/>
              <w:rPr>
                <w:rFonts w:ascii="Arial" w:hAnsi="Arial" w:cs="Arial"/>
                <w:sz w:val="22"/>
                <w:szCs w:val="22"/>
                <w:lang w:val="es-ES_tradnl"/>
              </w:rPr>
            </w:pPr>
            <w:r w:rsidRPr="000C58A8">
              <w:rPr>
                <w:rFonts w:ascii="Arial" w:eastAsia="Arial" w:hAnsi="Arial" w:cs="Arial"/>
                <w:sz w:val="22"/>
                <w:szCs w:val="22"/>
                <w:lang w:val="es-ES_tradnl"/>
              </w:rPr>
              <w:t xml:space="preserve">Nota Técnica 3.1 - El 100% de los proyectos no cuentan con estudios de </w:t>
            </w:r>
            <w:proofErr w:type="spellStart"/>
            <w:r w:rsidRPr="000C58A8">
              <w:rPr>
                <w:rFonts w:ascii="Arial" w:eastAsia="Arial" w:hAnsi="Arial" w:cs="Arial"/>
                <w:sz w:val="22"/>
                <w:szCs w:val="22"/>
                <w:lang w:val="es-ES_tradnl"/>
              </w:rPr>
              <w:t>pre-inversión</w:t>
            </w:r>
            <w:proofErr w:type="spellEnd"/>
            <w:r w:rsidRPr="000C58A8">
              <w:rPr>
                <w:rFonts w:ascii="Arial" w:eastAsia="Arial" w:hAnsi="Arial" w:cs="Arial"/>
                <w:sz w:val="22"/>
                <w:szCs w:val="22"/>
                <w:lang w:val="es-ES_tradnl"/>
              </w:rPr>
              <w:t xml:space="preserve"> y factibilidad. </w:t>
            </w:r>
          </w:p>
          <w:p w14:paraId="0E9134F7" w14:textId="0A7A6137" w:rsidR="00DA5CCD" w:rsidRPr="000C58A8" w:rsidRDefault="00225EEA" w:rsidP="00DA5CCD">
            <w:pPr>
              <w:pStyle w:val="FootnoteText"/>
              <w:contextualSpacing/>
              <w:rPr>
                <w:rFonts w:ascii="Arial" w:hAnsi="Arial" w:cs="Arial"/>
                <w:sz w:val="22"/>
                <w:szCs w:val="22"/>
                <w:lang w:val="es-ES_tradnl"/>
              </w:rPr>
            </w:pPr>
            <w:r w:rsidRPr="000C58A8">
              <w:rPr>
                <w:rFonts w:ascii="Arial" w:eastAsia="Arial" w:hAnsi="Arial" w:cs="Arial"/>
                <w:sz w:val="22"/>
                <w:szCs w:val="22"/>
                <w:lang w:val="es-ES_tradnl"/>
              </w:rPr>
              <w:t xml:space="preserve">Nota Técnica 3.1 - El 80% de los proyectos que comenzaron en los últimos 5 años están con </w:t>
            </w:r>
            <w:r w:rsidR="00D849A2">
              <w:rPr>
                <w:rFonts w:ascii="Arial" w:eastAsia="Arial" w:hAnsi="Arial" w:cs="Arial"/>
                <w:sz w:val="22"/>
                <w:szCs w:val="22"/>
                <w:lang w:val="es-ES_tradnl"/>
              </w:rPr>
              <w:t>re</w:t>
            </w:r>
            <w:r w:rsidR="00D849A2" w:rsidRPr="000C58A8">
              <w:rPr>
                <w:rFonts w:ascii="Arial" w:eastAsia="Arial" w:hAnsi="Arial" w:cs="Arial"/>
                <w:sz w:val="22"/>
                <w:szCs w:val="22"/>
                <w:lang w:val="es-ES_tradnl"/>
              </w:rPr>
              <w:t>traso</w:t>
            </w:r>
            <w:r w:rsidRPr="000C58A8">
              <w:rPr>
                <w:rFonts w:ascii="Arial" w:eastAsia="Arial" w:hAnsi="Arial" w:cs="Arial"/>
                <w:sz w:val="22"/>
                <w:szCs w:val="22"/>
                <w:lang w:val="es-ES_tradnl"/>
              </w:rPr>
              <w:t xml:space="preserve"> en la ejecución.  </w:t>
            </w:r>
          </w:p>
          <w:p w14:paraId="73A9ABC3" w14:textId="1F72892A" w:rsidR="007E4C5F" w:rsidRPr="000C58A8" w:rsidRDefault="00225EEA" w:rsidP="00DA5CCD">
            <w:pPr>
              <w:pStyle w:val="FootnoteText"/>
              <w:contextualSpacing/>
              <w:rPr>
                <w:rFonts w:ascii="Arial" w:hAnsi="Arial" w:cs="Arial"/>
                <w:sz w:val="22"/>
                <w:szCs w:val="22"/>
                <w:lang w:val="es-ES_tradnl"/>
              </w:rPr>
            </w:pPr>
            <w:r w:rsidRPr="000C58A8">
              <w:rPr>
                <w:rFonts w:ascii="Arial" w:eastAsia="Arial" w:hAnsi="Arial" w:cs="Arial"/>
                <w:sz w:val="22"/>
                <w:szCs w:val="22"/>
                <w:lang w:val="es-ES_tradnl"/>
              </w:rPr>
              <w:t xml:space="preserve">Nota Técnica 3.1 - El 70% del personal que trabaja en las áreas de inversión no cuentan con especialización en inversión pública. </w:t>
            </w:r>
          </w:p>
          <w:p w14:paraId="4F2F5558" w14:textId="13F02DA3" w:rsidR="00C074E7" w:rsidRPr="000C58A8" w:rsidRDefault="00C074E7" w:rsidP="001B021A">
            <w:pPr>
              <w:spacing w:after="0" w:line="240" w:lineRule="auto"/>
              <w:jc w:val="both"/>
              <w:rPr>
                <w:rFonts w:ascii="Arial" w:hAnsi="Arial" w:cs="Arial"/>
                <w:lang w:val="es-ES_tradnl"/>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65E9F466" w14:textId="77777777" w:rsidR="009D0436" w:rsidRPr="000C58A8" w:rsidRDefault="00225EEA" w:rsidP="001B021A">
            <w:pPr>
              <w:spacing w:after="0" w:line="240" w:lineRule="auto"/>
              <w:jc w:val="both"/>
              <w:rPr>
                <w:rFonts w:ascii="Arial" w:hAnsi="Arial" w:cs="Arial"/>
                <w:lang w:val="es-ES_tradnl"/>
              </w:rPr>
            </w:pPr>
            <w:r w:rsidRPr="000C58A8">
              <w:rPr>
                <w:rFonts w:ascii="Arial" w:eastAsia="Arial" w:hAnsi="Arial" w:cs="Arial"/>
                <w:b/>
                <w:bCs/>
                <w:lang w:val="es-ES_tradnl"/>
              </w:rPr>
              <w:t>(i) Modelo de gestión del ciclo de las inversiones públicas del Estado implantado.</w:t>
            </w:r>
            <w:r w:rsidRPr="000C58A8">
              <w:rPr>
                <w:rFonts w:ascii="Arial" w:eastAsia="Arial" w:hAnsi="Arial" w:cs="Arial"/>
                <w:lang w:val="es-ES_tradnl"/>
              </w:rPr>
              <w:t xml:space="preserve"> Esto incluirá: (a) Preparación de propuesta del modelo de negocio del ciclo de inversión pública del estado (Ciclo - prospección, </w:t>
            </w:r>
            <w:proofErr w:type="spellStart"/>
            <w:r w:rsidRPr="000C58A8">
              <w:rPr>
                <w:rFonts w:ascii="Arial" w:eastAsia="Arial" w:hAnsi="Arial" w:cs="Arial"/>
                <w:lang w:val="es-ES_tradnl"/>
              </w:rPr>
              <w:t>pre-inversión</w:t>
            </w:r>
            <w:proofErr w:type="spellEnd"/>
            <w:r w:rsidRPr="000C58A8">
              <w:rPr>
                <w:rFonts w:ascii="Arial" w:eastAsia="Arial" w:hAnsi="Arial" w:cs="Arial"/>
                <w:lang w:val="es-ES_tradnl"/>
              </w:rPr>
              <w:t>, inversión, monitoreo y evaluación), plan de capacitación (cursos y cartillas) y estrategia de implantación; (c) Sistema informático de gestión del ciclo de las inversiones públicas (módulos correspondientes a las etapas del ciclo de inversión); (d) implantación de la Oficina de Inversión Pública del Estado.</w:t>
            </w:r>
          </w:p>
        </w:tc>
      </w:tr>
      <w:tr w:rsidR="00523823" w:rsidRPr="003C561B" w14:paraId="3742B8D3" w14:textId="77777777" w:rsidTr="009D0436">
        <w:trPr>
          <w:trHeight w:val="23"/>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6B7EAE67" w14:textId="77777777" w:rsidR="00345FF8" w:rsidRPr="000C58A8" w:rsidRDefault="00225EEA" w:rsidP="009D0436">
            <w:pPr>
              <w:spacing w:after="0" w:line="240" w:lineRule="auto"/>
              <w:jc w:val="both"/>
              <w:rPr>
                <w:rFonts w:ascii="Arial" w:hAnsi="Arial" w:cs="Arial"/>
                <w:lang w:val="es-ES_tradnl"/>
              </w:rPr>
            </w:pPr>
            <w:r w:rsidRPr="000C58A8">
              <w:rPr>
                <w:rFonts w:ascii="Arial" w:eastAsia="Arial" w:hAnsi="Arial" w:cs="Arial"/>
                <w:lang w:val="es-ES_tradnl"/>
              </w:rPr>
              <w:t>(</w:t>
            </w:r>
            <w:proofErr w:type="spellStart"/>
            <w:r w:rsidRPr="000C58A8">
              <w:rPr>
                <w:rFonts w:ascii="Arial" w:eastAsia="Arial" w:hAnsi="Arial" w:cs="Arial"/>
                <w:lang w:val="es-ES_tradnl"/>
              </w:rPr>
              <w:t>ii</w:t>
            </w:r>
            <w:proofErr w:type="spellEnd"/>
            <w:r w:rsidRPr="000C58A8">
              <w:rPr>
                <w:rFonts w:ascii="Arial" w:eastAsia="Arial" w:hAnsi="Arial" w:cs="Arial"/>
                <w:lang w:val="es-ES_tradnl"/>
              </w:rPr>
              <w:t>) deficiencia en los instrumentos de gestión financiera; debido a: (a) la disociación entre la programación financiera, el proceso de licitación y la gestión de caja. Adicionalmente los procedimientos de gestión de caja se realizan de forma manual;</w:t>
            </w:r>
            <w:r w:rsidRPr="000C58A8">
              <w:rPr>
                <w:rStyle w:val="FootnoteReference"/>
                <w:rFonts w:ascii="Arial" w:hAnsi="Arial" w:cs="Arial"/>
                <w:lang w:val="es-ES_tradnl"/>
              </w:rPr>
              <w:footnoteReference w:id="50"/>
            </w:r>
            <w:r w:rsidRPr="000C58A8">
              <w:rPr>
                <w:rFonts w:ascii="Arial" w:eastAsia="Arial" w:hAnsi="Arial" w:cs="Arial"/>
                <w:lang w:val="es-ES_tradnl"/>
              </w:rPr>
              <w:t xml:space="preserve"> (b) imposibilidad de controlar contratos y convenios de forma efectiva; (c) dificultad para proporcionar información con precisión para el cálculo del índice de participación de los municipios, porque esa actividad se hace de modo manual con ocurrencia de inconsistencias</w:t>
            </w:r>
            <w:r w:rsidRPr="000C58A8">
              <w:rPr>
                <w:rStyle w:val="FootnoteReference"/>
                <w:rFonts w:ascii="Arial" w:hAnsi="Arial" w:cs="Arial"/>
                <w:lang w:val="es-ES_tradnl"/>
              </w:rPr>
              <w:footnoteReference w:id="51"/>
            </w:r>
            <w:r w:rsidRPr="000C58A8">
              <w:rPr>
                <w:rFonts w:ascii="Arial" w:eastAsia="Arial" w:hAnsi="Arial" w:cs="Arial"/>
                <w:lang w:val="es-ES_tradnl"/>
              </w:rPr>
              <w:t>.</w:t>
            </w:r>
          </w:p>
        </w:tc>
        <w:tc>
          <w:tcPr>
            <w:tcW w:w="4320" w:type="dxa"/>
            <w:tcBorders>
              <w:top w:val="single" w:sz="4" w:space="0" w:color="auto"/>
              <w:left w:val="single" w:sz="4" w:space="0" w:color="auto"/>
              <w:bottom w:val="single" w:sz="4" w:space="0" w:color="auto"/>
              <w:right w:val="single" w:sz="4" w:space="0" w:color="auto"/>
            </w:tcBorders>
            <w:shd w:val="clear" w:color="auto" w:fill="auto"/>
          </w:tcPr>
          <w:p w14:paraId="75F5A398" w14:textId="77777777" w:rsidR="00DA5CCD" w:rsidRPr="000C58A8" w:rsidRDefault="00225EEA" w:rsidP="00DA5CCD">
            <w:pPr>
              <w:pStyle w:val="FootnoteText"/>
              <w:contextualSpacing/>
              <w:rPr>
                <w:rFonts w:ascii="Arial" w:hAnsi="Arial" w:cs="Arial"/>
                <w:sz w:val="22"/>
                <w:szCs w:val="22"/>
                <w:lang w:val="es-ES_tradnl"/>
              </w:rPr>
            </w:pPr>
            <w:r w:rsidRPr="000C58A8">
              <w:rPr>
                <w:rFonts w:ascii="Arial" w:eastAsia="Arial" w:hAnsi="Arial" w:cs="Arial"/>
                <w:sz w:val="22"/>
                <w:szCs w:val="22"/>
                <w:lang w:val="es-ES_tradnl"/>
              </w:rPr>
              <w:t>Nota Técnica 3.2 - El stock de la deuda de ejercicios anteriores es de R$ 3,63 millones.</w:t>
            </w:r>
          </w:p>
          <w:p w14:paraId="6B91F9EC" w14:textId="77777777" w:rsidR="00780871" w:rsidRPr="000C58A8" w:rsidRDefault="00225EEA" w:rsidP="00DA5CCD">
            <w:pPr>
              <w:spacing w:after="0" w:line="240" w:lineRule="auto"/>
              <w:jc w:val="both"/>
              <w:rPr>
                <w:rFonts w:ascii="Arial" w:hAnsi="Arial" w:cs="Arial"/>
                <w:lang w:val="es-ES_tradnl"/>
              </w:rPr>
            </w:pPr>
            <w:r w:rsidRPr="000C58A8">
              <w:rPr>
                <w:rFonts w:ascii="Arial" w:eastAsia="Arial" w:hAnsi="Arial" w:cs="Arial"/>
                <w:lang w:val="es-ES_tradnl"/>
              </w:rPr>
              <w:t>Nota Técnica 3.2 - descentralización del control en 59 órganos estaduales.</w:t>
            </w:r>
          </w:p>
          <w:p w14:paraId="5A2DCEBD" w14:textId="77777777" w:rsidR="00DA5CCD" w:rsidRPr="000C58A8" w:rsidRDefault="00225EEA" w:rsidP="00DA5CCD">
            <w:pPr>
              <w:spacing w:after="0" w:line="240" w:lineRule="auto"/>
              <w:jc w:val="both"/>
              <w:rPr>
                <w:rFonts w:ascii="Arial" w:hAnsi="Arial" w:cs="Arial"/>
                <w:highlight w:val="green"/>
                <w:lang w:val="es-ES_tradnl"/>
              </w:rPr>
            </w:pPr>
            <w:r w:rsidRPr="000C58A8">
              <w:rPr>
                <w:rFonts w:ascii="Arial" w:eastAsia="Arial" w:hAnsi="Arial" w:cs="Arial"/>
                <w:lang w:val="es-ES_tradnl"/>
              </w:rPr>
              <w:t xml:space="preserve">Nota Técnica 3.2 - En 2018, el Municipio de Santana tuvo una caída del 5% en su índice. </w:t>
            </w:r>
          </w:p>
          <w:p w14:paraId="2A611A2E" w14:textId="0013719A" w:rsidR="006D7452" w:rsidRPr="000C58A8" w:rsidRDefault="006D7452" w:rsidP="001B021A">
            <w:pPr>
              <w:spacing w:after="0" w:line="240" w:lineRule="auto"/>
              <w:jc w:val="both"/>
              <w:rPr>
                <w:rFonts w:ascii="Arial" w:hAnsi="Arial" w:cs="Arial"/>
                <w:highlight w:val="yellow"/>
                <w:lang w:val="es-ES_tradnl"/>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6A36114D" w14:textId="614DEE5F" w:rsidR="00345FF8" w:rsidRPr="000C58A8" w:rsidRDefault="00225EEA" w:rsidP="00073008">
            <w:pPr>
              <w:spacing w:after="0" w:line="240" w:lineRule="auto"/>
              <w:jc w:val="both"/>
              <w:rPr>
                <w:rFonts w:ascii="Arial" w:hAnsi="Arial" w:cs="Arial"/>
                <w:lang w:val="es-ES_tradnl"/>
              </w:rPr>
            </w:pPr>
            <w:r w:rsidRPr="000C58A8">
              <w:rPr>
                <w:rFonts w:ascii="Arial" w:eastAsia="Arial" w:hAnsi="Arial" w:cs="Arial"/>
                <w:b/>
                <w:bCs/>
                <w:lang w:val="es-ES_tradnl"/>
              </w:rPr>
              <w:t>(</w:t>
            </w:r>
            <w:proofErr w:type="spellStart"/>
            <w:r w:rsidRPr="000C58A8">
              <w:rPr>
                <w:rFonts w:ascii="Arial" w:eastAsia="Arial" w:hAnsi="Arial" w:cs="Arial"/>
                <w:b/>
                <w:bCs/>
                <w:lang w:val="es-ES_tradnl"/>
              </w:rPr>
              <w:t>ii</w:t>
            </w:r>
            <w:proofErr w:type="spellEnd"/>
            <w:r w:rsidRPr="000C58A8">
              <w:rPr>
                <w:rFonts w:ascii="Arial" w:eastAsia="Arial" w:hAnsi="Arial" w:cs="Arial"/>
                <w:b/>
                <w:bCs/>
                <w:lang w:val="es-ES_tradnl"/>
              </w:rPr>
              <w:t>) Modelo de gestión financiera de la SEFAZ ampliado,</w:t>
            </w:r>
            <w:r w:rsidRPr="000C58A8">
              <w:rPr>
                <w:rFonts w:ascii="Arial" w:eastAsia="Arial" w:hAnsi="Arial" w:cs="Arial"/>
                <w:lang w:val="es-ES_tradnl"/>
              </w:rPr>
              <w:t xml:space="preserve"> incluyendo: (a) metodología para la gestión del flujo de caja y el módulo del SIPLAG de seguimiento; (b) modelo integrado de gestión de contratos de servicios</w:t>
            </w:r>
            <w:r w:rsidR="003D7139">
              <w:rPr>
                <w:rFonts w:ascii="Arial" w:eastAsia="Arial" w:hAnsi="Arial" w:cs="Arial"/>
                <w:lang w:val="es-ES_tradnl"/>
              </w:rPr>
              <w:t xml:space="preserve"> y </w:t>
            </w:r>
            <w:r w:rsidR="003D7139" w:rsidRPr="006D7C38">
              <w:rPr>
                <w:rFonts w:ascii="Arial" w:hAnsi="Arial" w:cs="Arial"/>
                <w:color w:val="222222"/>
                <w:lang w:val="es-ES"/>
              </w:rPr>
              <w:t>convenios</w:t>
            </w:r>
            <w:r w:rsidRPr="000C58A8">
              <w:rPr>
                <w:rFonts w:ascii="Arial" w:eastAsia="Arial" w:hAnsi="Arial" w:cs="Arial"/>
                <w:lang w:val="es-ES_tradnl"/>
              </w:rPr>
              <w:t>, con módulo en el SIPLAG; y (c) modelo de distribución de las cuotas de los municipios en la participación del ICMS, contemplando el cálculo y la distribución automatizada del índice de participación de los municipios y la capacitación en modelos estadísticos y económicos.</w:t>
            </w:r>
          </w:p>
        </w:tc>
      </w:tr>
      <w:tr w:rsidR="00523823" w:rsidRPr="003C561B" w14:paraId="1DD83B82" w14:textId="77777777" w:rsidTr="004F3157">
        <w:trPr>
          <w:trHeight w:val="4012"/>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15B9482D" w14:textId="791C86AD" w:rsidR="004341CC" w:rsidRPr="000C58A8" w:rsidRDefault="00225EEA">
            <w:pPr>
              <w:spacing w:after="0" w:line="240" w:lineRule="auto"/>
              <w:jc w:val="both"/>
              <w:rPr>
                <w:rFonts w:ascii="Arial" w:hAnsi="Arial" w:cs="Arial"/>
                <w:lang w:val="es-ES_tradnl"/>
              </w:rPr>
            </w:pPr>
            <w:r w:rsidRPr="000C58A8">
              <w:rPr>
                <w:rFonts w:ascii="Arial" w:eastAsia="Arial" w:hAnsi="Arial" w:cs="Arial"/>
                <w:lang w:val="es-ES_tradnl"/>
              </w:rPr>
              <w:t>(</w:t>
            </w:r>
            <w:proofErr w:type="spellStart"/>
            <w:r w:rsidRPr="000C58A8">
              <w:rPr>
                <w:rFonts w:ascii="Arial" w:eastAsia="Arial" w:hAnsi="Arial" w:cs="Arial"/>
                <w:lang w:val="es-ES_tradnl"/>
              </w:rPr>
              <w:t>iii</w:t>
            </w:r>
            <w:proofErr w:type="spellEnd"/>
            <w:r w:rsidRPr="000C58A8">
              <w:rPr>
                <w:rFonts w:ascii="Arial" w:eastAsia="Arial" w:hAnsi="Arial" w:cs="Arial"/>
                <w:lang w:val="es-ES_tradnl"/>
              </w:rPr>
              <w:t>) Ineficiencia en los procesos de compras públicas del estado, debido a: (a) la ineficacia en la planificación de las compras de forma global;</w:t>
            </w:r>
            <w:r w:rsidRPr="000C58A8">
              <w:rPr>
                <w:rStyle w:val="FootnoteReference"/>
                <w:rFonts w:ascii="Arial" w:hAnsi="Arial" w:cs="Arial"/>
                <w:lang w:val="es-ES_tradnl"/>
              </w:rPr>
              <w:footnoteReference w:id="52"/>
            </w:r>
            <w:r w:rsidRPr="000C58A8">
              <w:rPr>
                <w:rFonts w:ascii="Arial" w:eastAsia="Arial" w:hAnsi="Arial" w:cs="Arial"/>
                <w:lang w:val="es-ES_tradnl"/>
              </w:rPr>
              <w:t xml:space="preserve"> (b) la dificultad para realizar un proceso de compras porque el sistema actual presenta diversas deficiencias;</w:t>
            </w:r>
            <w:r w:rsidRPr="000C58A8">
              <w:rPr>
                <w:rStyle w:val="FootnoteReference"/>
                <w:rFonts w:ascii="Arial" w:hAnsi="Arial" w:cs="Arial"/>
                <w:lang w:val="es-ES_tradnl"/>
              </w:rPr>
              <w:footnoteReference w:id="53"/>
            </w:r>
            <w:r w:rsidRPr="000C58A8">
              <w:rPr>
                <w:rFonts w:ascii="Arial" w:eastAsia="Arial" w:hAnsi="Arial" w:cs="Arial"/>
                <w:lang w:val="es-ES_tradnl"/>
              </w:rPr>
              <w:t xml:space="preserve"> (c) la dificultad para finalizar licitaciones porque </w:t>
            </w:r>
            <w:r w:rsidR="000C58A8" w:rsidRPr="000C58A8">
              <w:rPr>
                <w:rFonts w:ascii="Arial" w:eastAsia="Arial" w:hAnsi="Arial" w:cs="Arial"/>
                <w:lang w:val="es-ES_tradnl"/>
              </w:rPr>
              <w:t>la determinación de los precios de referencia no es</w:t>
            </w:r>
            <w:r w:rsidRPr="000C58A8">
              <w:rPr>
                <w:rFonts w:ascii="Arial" w:eastAsia="Arial" w:hAnsi="Arial" w:cs="Arial"/>
                <w:lang w:val="es-ES_tradnl"/>
              </w:rPr>
              <w:t xml:space="preserve"> </w:t>
            </w:r>
            <w:r w:rsidR="000C58A8" w:rsidRPr="000C58A8">
              <w:rPr>
                <w:rFonts w:ascii="Arial" w:eastAsia="Arial" w:hAnsi="Arial" w:cs="Arial"/>
                <w:lang w:val="es-ES_tradnl"/>
              </w:rPr>
              <w:t>compatible</w:t>
            </w:r>
            <w:r w:rsidRPr="000C58A8">
              <w:rPr>
                <w:rFonts w:ascii="Arial" w:eastAsia="Arial" w:hAnsi="Arial" w:cs="Arial"/>
                <w:lang w:val="es-ES_tradnl"/>
              </w:rPr>
              <w:t xml:space="preserve"> con las ofertas para Amapá.</w:t>
            </w:r>
            <w:r w:rsidRPr="000C58A8">
              <w:rPr>
                <w:rStyle w:val="FootnoteReference"/>
                <w:rFonts w:ascii="Arial" w:hAnsi="Arial" w:cs="Arial"/>
                <w:lang w:val="es-ES_tradnl"/>
              </w:rPr>
              <w:footnoteReference w:id="54"/>
            </w:r>
            <w:r w:rsidRPr="000C58A8">
              <w:rPr>
                <w:rFonts w:ascii="Arial" w:eastAsia="Arial" w:hAnsi="Arial" w:cs="Arial"/>
                <w:lang w:val="es-ES_tradnl"/>
              </w:rPr>
              <w:t xml:space="preserve"> </w:t>
            </w:r>
          </w:p>
        </w:tc>
        <w:tc>
          <w:tcPr>
            <w:tcW w:w="4320" w:type="dxa"/>
            <w:tcBorders>
              <w:top w:val="single" w:sz="4" w:space="0" w:color="auto"/>
              <w:left w:val="single" w:sz="4" w:space="0" w:color="auto"/>
              <w:bottom w:val="single" w:sz="4" w:space="0" w:color="auto"/>
              <w:right w:val="single" w:sz="4" w:space="0" w:color="auto"/>
            </w:tcBorders>
            <w:shd w:val="clear" w:color="auto" w:fill="auto"/>
          </w:tcPr>
          <w:p w14:paraId="0012B1CE" w14:textId="38834CE2" w:rsidR="00893C9F" w:rsidRPr="000C58A8" w:rsidRDefault="00225EEA" w:rsidP="00DA5CCD">
            <w:pPr>
              <w:jc w:val="both"/>
              <w:rPr>
                <w:rFonts w:ascii="Arial" w:hAnsi="Arial" w:cs="Arial"/>
                <w:lang w:val="es-ES_tradnl"/>
              </w:rPr>
            </w:pPr>
            <w:r w:rsidRPr="000C58A8">
              <w:rPr>
                <w:rFonts w:ascii="Arial" w:eastAsia="Arial" w:hAnsi="Arial" w:cs="Arial"/>
                <w:lang w:val="es-ES_tradnl"/>
              </w:rPr>
              <w:t xml:space="preserve">Nota Técnica 3.3 </w:t>
            </w:r>
            <w:r w:rsidR="00D26172" w:rsidRPr="000C58A8">
              <w:rPr>
                <w:rFonts w:ascii="Arial" w:eastAsia="Arial" w:hAnsi="Arial" w:cs="Arial"/>
                <w:lang w:val="es-ES_tradnl"/>
              </w:rPr>
              <w:t>- 25</w:t>
            </w:r>
            <w:r w:rsidR="003D7139">
              <w:rPr>
                <w:rFonts w:ascii="Arial" w:eastAsia="Arial" w:hAnsi="Arial" w:cs="Arial"/>
                <w:lang w:val="es-ES_tradnl"/>
              </w:rPr>
              <w:t xml:space="preserve"> das las </w:t>
            </w:r>
            <w:r w:rsidRPr="000C58A8">
              <w:rPr>
                <w:rFonts w:ascii="Arial" w:eastAsia="Arial" w:hAnsi="Arial" w:cs="Arial"/>
                <w:lang w:val="es-ES_tradnl"/>
              </w:rPr>
              <w:t xml:space="preserve">55 </w:t>
            </w:r>
            <w:r w:rsidR="003D7139">
              <w:rPr>
                <w:rFonts w:ascii="Arial" w:eastAsia="Arial" w:hAnsi="Arial" w:cs="Arial"/>
                <w:lang w:val="es-ES_tradnl"/>
              </w:rPr>
              <w:t xml:space="preserve">Unidades de </w:t>
            </w:r>
            <w:r w:rsidR="00D26172">
              <w:rPr>
                <w:rFonts w:ascii="Arial" w:eastAsia="Arial" w:hAnsi="Arial" w:cs="Arial"/>
                <w:lang w:val="es-ES_tradnl"/>
              </w:rPr>
              <w:t xml:space="preserve">Gestión </w:t>
            </w:r>
            <w:r w:rsidR="00D26172" w:rsidRPr="000C58A8">
              <w:rPr>
                <w:rFonts w:ascii="Arial" w:eastAsia="Arial" w:hAnsi="Arial" w:cs="Arial"/>
                <w:lang w:val="es-ES_tradnl"/>
              </w:rPr>
              <w:t>del</w:t>
            </w:r>
            <w:r w:rsidRPr="000C58A8">
              <w:rPr>
                <w:rFonts w:ascii="Arial" w:eastAsia="Arial" w:hAnsi="Arial" w:cs="Arial"/>
                <w:lang w:val="es-ES_tradnl"/>
              </w:rPr>
              <w:t xml:space="preserve"> estado aún no están </w:t>
            </w:r>
            <w:r w:rsidR="00AF488C">
              <w:rPr>
                <w:rFonts w:ascii="Arial" w:eastAsia="Arial" w:hAnsi="Arial" w:cs="Arial"/>
                <w:lang w:val="es-ES_tradnl"/>
              </w:rPr>
              <w:t xml:space="preserve">completamente </w:t>
            </w:r>
            <w:r w:rsidRPr="000C58A8">
              <w:rPr>
                <w:rFonts w:ascii="Arial" w:eastAsia="Arial" w:hAnsi="Arial" w:cs="Arial"/>
                <w:lang w:val="es-ES_tradnl"/>
              </w:rPr>
              <w:t>integrados en el proceso de centralización de compras</w:t>
            </w:r>
            <w:proofErr w:type="gramStart"/>
            <w:r w:rsidR="00AF488C">
              <w:rPr>
                <w:rFonts w:ascii="Arial" w:eastAsia="Arial" w:hAnsi="Arial" w:cs="Arial"/>
                <w:lang w:val="es-ES_tradnl"/>
              </w:rPr>
              <w:t xml:space="preserve">. </w:t>
            </w:r>
            <w:r w:rsidRPr="000C58A8">
              <w:rPr>
                <w:rFonts w:ascii="Arial" w:eastAsia="Arial" w:hAnsi="Arial" w:cs="Arial"/>
                <w:lang w:val="es-ES_tradnl"/>
              </w:rPr>
              <w:t>.</w:t>
            </w:r>
            <w:proofErr w:type="gramEnd"/>
          </w:p>
          <w:p w14:paraId="683BDBF0" w14:textId="77777777" w:rsidR="000F5D33" w:rsidRPr="000C58A8" w:rsidRDefault="00225EEA" w:rsidP="00DA5CCD">
            <w:pPr>
              <w:jc w:val="both"/>
              <w:rPr>
                <w:rFonts w:ascii="Arial" w:hAnsi="Arial" w:cs="Arial"/>
                <w:lang w:val="es-ES_tradnl"/>
              </w:rPr>
            </w:pPr>
            <w:r w:rsidRPr="000C58A8">
              <w:rPr>
                <w:rFonts w:ascii="Arial" w:eastAsia="Arial" w:hAnsi="Arial" w:cs="Arial"/>
                <w:lang w:val="es-ES_tradnl"/>
              </w:rPr>
              <w:t xml:space="preserve">Nota Técnica 3.3 - </w:t>
            </w:r>
            <w:bookmarkStart w:id="16" w:name="_Hlk9966082"/>
            <w:r w:rsidRPr="000C58A8">
              <w:rPr>
                <w:rFonts w:ascii="Arial" w:eastAsia="Arial" w:hAnsi="Arial" w:cs="Arial"/>
                <w:lang w:val="es-ES_tradnl"/>
              </w:rPr>
              <w:t>Em 2018, fue necesario reiniciar 36 procesos de compras por deficiencias del sistema de un total de 95.</w:t>
            </w:r>
            <w:bookmarkEnd w:id="16"/>
          </w:p>
          <w:p w14:paraId="5B71778E" w14:textId="77777777" w:rsidR="006C7673" w:rsidRPr="000C58A8" w:rsidRDefault="00225EEA" w:rsidP="00DA5CCD">
            <w:pPr>
              <w:jc w:val="both"/>
              <w:rPr>
                <w:rFonts w:ascii="Arial" w:hAnsi="Arial" w:cs="Arial"/>
                <w:lang w:val="es-ES_tradnl"/>
              </w:rPr>
            </w:pPr>
            <w:r w:rsidRPr="000C58A8">
              <w:rPr>
                <w:rFonts w:ascii="Arial" w:eastAsia="Arial" w:hAnsi="Arial" w:cs="Arial"/>
                <w:lang w:val="es-ES_tradnl"/>
              </w:rPr>
              <w:t xml:space="preserve">Nota técnica 3.3 - </w:t>
            </w:r>
            <w:bookmarkStart w:id="17" w:name="_Hlk9966111"/>
            <w:r w:rsidRPr="000C58A8">
              <w:rPr>
                <w:rFonts w:ascii="Arial" w:eastAsia="Arial" w:hAnsi="Arial" w:cs="Arial"/>
                <w:lang w:val="es-ES_tradnl"/>
              </w:rPr>
              <w:t>De las 76 subastas realizadas en 2018, de 356 lotes, 216 no se concluyeron con éxito</w:t>
            </w:r>
            <w:bookmarkEnd w:id="17"/>
            <w:r w:rsidRPr="000C58A8">
              <w:rPr>
                <w:rFonts w:ascii="Arial" w:eastAsia="Arial" w:hAnsi="Arial" w:cs="Arial"/>
                <w:lang w:val="es-ES_tradnl"/>
              </w:rPr>
              <w:t>.</w:t>
            </w:r>
          </w:p>
          <w:p w14:paraId="2B04633F" w14:textId="5408F201" w:rsidR="005A567D" w:rsidRPr="000C58A8" w:rsidRDefault="005A567D" w:rsidP="00DA5CCD">
            <w:pPr>
              <w:jc w:val="both"/>
              <w:rPr>
                <w:rFonts w:ascii="Arial" w:hAnsi="Arial" w:cs="Arial"/>
                <w:lang w:val="es-ES_tradnl"/>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62602780" w14:textId="428A2758" w:rsidR="00893C9F" w:rsidRPr="000C58A8" w:rsidRDefault="00225EEA" w:rsidP="001B021A">
            <w:pPr>
              <w:spacing w:after="0" w:line="240" w:lineRule="auto"/>
              <w:jc w:val="both"/>
              <w:rPr>
                <w:rFonts w:ascii="Arial" w:hAnsi="Arial" w:cs="Arial"/>
                <w:lang w:val="es-ES_tradnl"/>
              </w:rPr>
            </w:pPr>
            <w:r w:rsidRPr="000C58A8">
              <w:rPr>
                <w:rFonts w:ascii="Arial" w:eastAsia="Arial" w:hAnsi="Arial" w:cs="Arial"/>
                <w:b/>
                <w:bCs/>
                <w:lang w:val="es-ES_tradnl"/>
              </w:rPr>
              <w:t>(</w:t>
            </w:r>
            <w:proofErr w:type="spellStart"/>
            <w:r w:rsidRPr="000C58A8">
              <w:rPr>
                <w:rFonts w:ascii="Arial" w:eastAsia="Arial" w:hAnsi="Arial" w:cs="Arial"/>
                <w:b/>
                <w:bCs/>
                <w:lang w:val="es-ES_tradnl"/>
              </w:rPr>
              <w:t>iii</w:t>
            </w:r>
            <w:proofErr w:type="spellEnd"/>
            <w:r w:rsidRPr="000C58A8">
              <w:rPr>
                <w:rFonts w:ascii="Arial" w:eastAsia="Arial" w:hAnsi="Arial" w:cs="Arial"/>
                <w:b/>
                <w:bCs/>
                <w:lang w:val="es-ES_tradnl"/>
              </w:rPr>
              <w:t>) Modelo de gestión de compras del Estado implantado,</w:t>
            </w:r>
            <w:r w:rsidRPr="000C58A8">
              <w:rPr>
                <w:rFonts w:ascii="Arial" w:eastAsia="Arial" w:hAnsi="Arial" w:cs="Arial"/>
                <w:lang w:val="es-ES_tradnl"/>
              </w:rPr>
              <w:t xml:space="preserve"> incluyendo: (a) Redes de organización y Procesos de compras y Planeación estratégica de los contratos (servicios </w:t>
            </w:r>
            <w:r w:rsidR="00AF488C">
              <w:rPr>
                <w:rFonts w:ascii="Arial" w:eastAsia="Arial" w:hAnsi="Arial" w:cs="Arial"/>
                <w:lang w:val="es-ES_tradnl"/>
              </w:rPr>
              <w:t xml:space="preserve">recursos </w:t>
            </w:r>
            <w:r w:rsidRPr="000C58A8">
              <w:rPr>
                <w:rFonts w:ascii="Arial" w:eastAsia="Arial" w:hAnsi="Arial" w:cs="Arial"/>
                <w:lang w:val="es-ES_tradnl"/>
              </w:rPr>
              <w:t xml:space="preserve">humanos, compras, adquisición de materiales, evaluación del sistema informático y propuesta de mejora) ; (b) Personalización del Sistema SIGA, en las gestiones del registro de proveedores, gestión de los contratos, la virtualización de los procesos y la interfaz con SIPLAG; (c) Metodología para una mejor determinación de los precios de referencia. </w:t>
            </w:r>
          </w:p>
        </w:tc>
      </w:tr>
      <w:tr w:rsidR="00523823" w:rsidRPr="003C561B" w14:paraId="13E3DD5A" w14:textId="77777777" w:rsidTr="009D0436">
        <w:trPr>
          <w:trHeight w:val="23"/>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B6FB42F" w14:textId="77777777" w:rsidR="00345FF8" w:rsidRPr="000C58A8" w:rsidRDefault="00225EEA" w:rsidP="009D0436">
            <w:pPr>
              <w:spacing w:after="0" w:line="240" w:lineRule="auto"/>
              <w:jc w:val="both"/>
              <w:rPr>
                <w:rFonts w:ascii="Arial" w:hAnsi="Arial" w:cs="Arial"/>
                <w:lang w:val="es-ES_tradnl"/>
              </w:rPr>
            </w:pPr>
            <w:r w:rsidRPr="000C58A8">
              <w:rPr>
                <w:rFonts w:ascii="Arial" w:eastAsia="Arial" w:hAnsi="Arial" w:cs="Arial"/>
                <w:lang w:val="es-ES_tradnl"/>
              </w:rPr>
              <w:t>(iv) insuficiente información contable oportuna y confiable para la toma de decisiones; debido a: que los diversos sistemas involucrados en la generación de la información contable no están integrados.</w:t>
            </w:r>
            <w:r w:rsidRPr="000C58A8">
              <w:rPr>
                <w:rStyle w:val="FootnoteReference"/>
                <w:rFonts w:ascii="Arial" w:hAnsi="Arial" w:cs="Arial"/>
                <w:lang w:val="es-ES_tradnl"/>
              </w:rPr>
              <w:footnoteReference w:id="55"/>
            </w:r>
            <w:r w:rsidRPr="000C58A8">
              <w:rPr>
                <w:rFonts w:ascii="Arial" w:eastAsia="Arial" w:hAnsi="Arial" w:cs="Arial"/>
                <w:lang w:val="es-ES_tradnl"/>
              </w:rPr>
              <w:t>. La conciliación bancaria se realiza de forma manual;</w:t>
            </w:r>
            <w:r w:rsidRPr="000C58A8">
              <w:rPr>
                <w:rStyle w:val="FootnoteReference"/>
                <w:rFonts w:ascii="Arial" w:hAnsi="Arial" w:cs="Arial"/>
                <w:lang w:val="es-ES_tradnl"/>
              </w:rPr>
              <w:footnoteReference w:id="56"/>
            </w:r>
            <w:r w:rsidRPr="000C58A8">
              <w:rPr>
                <w:rFonts w:ascii="Arial" w:eastAsia="Arial" w:hAnsi="Arial" w:cs="Arial"/>
                <w:lang w:val="es-ES_tradnl"/>
              </w:rPr>
              <w:t xml:space="preserve"> </w:t>
            </w:r>
          </w:p>
        </w:tc>
        <w:tc>
          <w:tcPr>
            <w:tcW w:w="4320" w:type="dxa"/>
            <w:tcBorders>
              <w:top w:val="single" w:sz="4" w:space="0" w:color="auto"/>
              <w:left w:val="single" w:sz="4" w:space="0" w:color="auto"/>
              <w:bottom w:val="single" w:sz="4" w:space="0" w:color="auto"/>
              <w:right w:val="single" w:sz="4" w:space="0" w:color="auto"/>
            </w:tcBorders>
            <w:shd w:val="clear" w:color="auto" w:fill="auto"/>
          </w:tcPr>
          <w:p w14:paraId="57602D43" w14:textId="77777777" w:rsidR="00DA5CCD" w:rsidRPr="000C58A8" w:rsidRDefault="00225EEA" w:rsidP="00DA5CCD">
            <w:pPr>
              <w:pStyle w:val="FootnoteText"/>
              <w:contextualSpacing/>
              <w:rPr>
                <w:rFonts w:ascii="Arial" w:hAnsi="Arial" w:cs="Arial"/>
                <w:sz w:val="22"/>
                <w:szCs w:val="22"/>
                <w:lang w:val="es-ES_tradnl"/>
              </w:rPr>
            </w:pPr>
            <w:r w:rsidRPr="000C58A8">
              <w:rPr>
                <w:rFonts w:ascii="Arial" w:eastAsia="Arial" w:hAnsi="Arial" w:cs="Arial"/>
                <w:sz w:val="22"/>
                <w:szCs w:val="22"/>
                <w:lang w:val="es-ES_tradnl"/>
              </w:rPr>
              <w:t>Nota técnica 3.4 - Los 5 principales sistemas del estado no están integrados; en 2018 se registraron 43.106 inconsistencias en el balance; sólo 160 de los 3.500 inmuebles del estado están regularizados</w:t>
            </w:r>
          </w:p>
          <w:p w14:paraId="1FB55A67" w14:textId="7638F7C3" w:rsidR="00913256" w:rsidRPr="000C58A8" w:rsidRDefault="00913256" w:rsidP="001B021A">
            <w:pPr>
              <w:spacing w:after="0" w:line="240" w:lineRule="auto"/>
              <w:jc w:val="both"/>
              <w:rPr>
                <w:rFonts w:ascii="Arial" w:hAnsi="Arial" w:cs="Arial"/>
                <w:highlight w:val="yellow"/>
                <w:lang w:val="es-ES_tradnl"/>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0B59ECF3" w14:textId="77777777" w:rsidR="00345FF8" w:rsidRPr="000C58A8" w:rsidRDefault="00225EEA" w:rsidP="001B021A">
            <w:pPr>
              <w:spacing w:after="0" w:line="240" w:lineRule="auto"/>
              <w:jc w:val="both"/>
              <w:rPr>
                <w:rFonts w:ascii="Arial" w:hAnsi="Arial" w:cs="Arial"/>
                <w:lang w:val="es-ES_tradnl"/>
              </w:rPr>
            </w:pPr>
            <w:r w:rsidRPr="000C58A8">
              <w:rPr>
                <w:rFonts w:ascii="Arial" w:eastAsia="Arial" w:hAnsi="Arial" w:cs="Arial"/>
                <w:b/>
                <w:bCs/>
                <w:lang w:val="es-ES_tradnl"/>
              </w:rPr>
              <w:t>(iv) Modelo de gestión contable de la SEFAZ ampliado,</w:t>
            </w:r>
            <w:r w:rsidRPr="000C58A8">
              <w:rPr>
                <w:rFonts w:ascii="Arial" w:eastAsia="Arial" w:hAnsi="Arial" w:cs="Arial"/>
                <w:lang w:val="es-ES_tradnl"/>
              </w:rPr>
              <w:t xml:space="preserve"> incluyendo el perfeccionamiento del módulo contable del SIPLAG incluyendo, entre otros, la conciliación bancaria y su integración a otros sistemas del estado (SATE - Administración Financiera), SIGA - Compras, Patrimonio y Almacén, SIGRH - Recursos Humanos, GETRAN - Tránsito y SISPREV - Seguridad Social.</w:t>
            </w:r>
          </w:p>
        </w:tc>
      </w:tr>
      <w:tr w:rsidR="00523823" w:rsidRPr="003C561B" w14:paraId="3F2923A8" w14:textId="77777777" w:rsidTr="009D0436">
        <w:trPr>
          <w:trHeight w:val="23"/>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27AF8C94" w14:textId="77777777" w:rsidR="000B60B0" w:rsidRPr="000C58A8" w:rsidRDefault="00225EEA" w:rsidP="000B60B0">
            <w:pPr>
              <w:pStyle w:val="Paragraph"/>
              <w:numPr>
                <w:ilvl w:val="0"/>
                <w:numId w:val="0"/>
              </w:numPr>
              <w:rPr>
                <w:rFonts w:ascii="Arial" w:hAnsi="Arial" w:cs="Arial"/>
                <w:b/>
                <w:sz w:val="22"/>
                <w:szCs w:val="22"/>
              </w:rPr>
            </w:pPr>
            <w:r w:rsidRPr="000C58A8">
              <w:rPr>
                <w:rFonts w:ascii="Arial" w:eastAsia="Arial" w:hAnsi="Arial" w:cs="Arial"/>
                <w:sz w:val="22"/>
                <w:szCs w:val="22"/>
              </w:rPr>
              <w:t>(v) insuficiente control de la deuda pública y en su dirección estratégica; debido a que la gestión de la deuda se realiza el 100% de forma manual en hojas de control. No se realizan estimaciones.</w:t>
            </w:r>
            <w:r w:rsidRPr="000C58A8">
              <w:rPr>
                <w:rStyle w:val="FootnoteReference"/>
                <w:rFonts w:ascii="Arial" w:hAnsi="Arial" w:cs="Arial"/>
                <w:sz w:val="22"/>
                <w:szCs w:val="22"/>
              </w:rPr>
              <w:footnoteReference w:id="57"/>
            </w:r>
          </w:p>
          <w:p w14:paraId="14B0DD2A" w14:textId="77777777" w:rsidR="00345FF8" w:rsidRPr="000C58A8" w:rsidRDefault="00225EEA" w:rsidP="009D0436">
            <w:pPr>
              <w:spacing w:after="0" w:line="240" w:lineRule="auto"/>
              <w:jc w:val="both"/>
              <w:rPr>
                <w:rFonts w:ascii="Arial" w:hAnsi="Arial" w:cs="Arial"/>
                <w:lang w:val="es-ES_tradnl"/>
              </w:rPr>
            </w:pPr>
            <w:r w:rsidRPr="000C58A8">
              <w:rPr>
                <w:rFonts w:ascii="Arial" w:hAnsi="Arial" w:cs="Arial"/>
                <w:lang w:val="es-ES_tradnl"/>
              </w:rPr>
              <w:t xml:space="preserve">.  </w:t>
            </w:r>
            <w:r w:rsidR="007F0896" w:rsidRPr="000C58A8">
              <w:rPr>
                <w:rFonts w:ascii="Arial" w:hAnsi="Arial" w:cs="Arial"/>
                <w:lang w:val="es-ES_tradnl"/>
              </w:rPr>
              <w:t xml:space="preserve"> </w:t>
            </w:r>
          </w:p>
        </w:tc>
        <w:tc>
          <w:tcPr>
            <w:tcW w:w="4320" w:type="dxa"/>
            <w:tcBorders>
              <w:top w:val="single" w:sz="4" w:space="0" w:color="auto"/>
              <w:left w:val="single" w:sz="4" w:space="0" w:color="auto"/>
              <w:bottom w:val="single" w:sz="4" w:space="0" w:color="auto"/>
              <w:right w:val="single" w:sz="4" w:space="0" w:color="auto"/>
            </w:tcBorders>
            <w:shd w:val="clear" w:color="auto" w:fill="auto"/>
          </w:tcPr>
          <w:p w14:paraId="60214E1A" w14:textId="77777777" w:rsidR="00B43C0F" w:rsidRPr="000C58A8" w:rsidRDefault="00225EEA" w:rsidP="00B43C0F">
            <w:pPr>
              <w:spacing w:after="0" w:line="240" w:lineRule="auto"/>
              <w:jc w:val="both"/>
              <w:rPr>
                <w:rFonts w:ascii="Arial" w:hAnsi="Arial" w:cs="Arial"/>
                <w:lang w:val="es-ES_tradnl"/>
              </w:rPr>
            </w:pPr>
            <w:r w:rsidRPr="000C58A8">
              <w:rPr>
                <w:rFonts w:ascii="Arial" w:eastAsia="Arial" w:hAnsi="Arial" w:cs="Arial"/>
                <w:lang w:val="es-ES_tradnl"/>
              </w:rPr>
              <w:t xml:space="preserve">Nota técnica 3.5 - </w:t>
            </w:r>
            <w:bookmarkStart w:id="18" w:name="_Hlk9965852"/>
            <w:r w:rsidRPr="000C58A8">
              <w:rPr>
                <w:rFonts w:ascii="Arial" w:eastAsia="Arial" w:hAnsi="Arial" w:cs="Arial"/>
                <w:lang w:val="es-ES_tradnl"/>
              </w:rPr>
              <w:t xml:space="preserve">Las deudas contractuales involucran préstamos internos y externos, deuda con la seguridad social, deuda flotante y pagarés, representando a R$ 3,8 mil millones controlados de forma manual (3 veces la recaudación tributaria).   </w:t>
            </w:r>
          </w:p>
          <w:bookmarkEnd w:id="18"/>
          <w:p w14:paraId="78BE1DF9" w14:textId="6601B1FC" w:rsidR="004D5999" w:rsidRPr="000C58A8" w:rsidRDefault="00225EEA">
            <w:pPr>
              <w:spacing w:after="0" w:line="240" w:lineRule="auto"/>
              <w:jc w:val="both"/>
              <w:rPr>
                <w:rFonts w:ascii="Arial" w:hAnsi="Arial" w:cs="Arial"/>
                <w:highlight w:val="yellow"/>
                <w:lang w:val="es-ES_tradnl"/>
              </w:rPr>
            </w:pPr>
            <w:r w:rsidRPr="000C58A8">
              <w:rPr>
                <w:rFonts w:ascii="Arial" w:eastAsia="Arial" w:hAnsi="Arial" w:cs="Arial"/>
                <w:lang w:val="es-ES_tradnl"/>
              </w:rPr>
              <w:t xml:space="preserve"> </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3090D431" w14:textId="2B1DC63E" w:rsidR="00345FF8" w:rsidRPr="000C58A8" w:rsidRDefault="00225EEA" w:rsidP="007F0896">
            <w:pPr>
              <w:spacing w:after="0" w:line="240" w:lineRule="auto"/>
              <w:jc w:val="both"/>
              <w:rPr>
                <w:rFonts w:ascii="Arial" w:hAnsi="Arial" w:cs="Arial"/>
                <w:lang w:val="es-ES_tradnl"/>
              </w:rPr>
            </w:pPr>
            <w:r w:rsidRPr="000C58A8">
              <w:rPr>
                <w:rFonts w:ascii="Arial" w:eastAsia="Arial" w:hAnsi="Arial" w:cs="Arial"/>
                <w:b/>
                <w:bCs/>
                <w:lang w:val="es-ES_tradnl"/>
              </w:rPr>
              <w:t>(v) Modelo de gestión de la deuda pública del Estado implantado,</w:t>
            </w:r>
            <w:r w:rsidRPr="000C58A8">
              <w:rPr>
                <w:rFonts w:ascii="Arial" w:eastAsia="Arial" w:hAnsi="Arial" w:cs="Arial"/>
                <w:lang w:val="es-ES_tradnl"/>
              </w:rPr>
              <w:t xml:space="preserve"> incluyendo: a) Procedimientos, Normas y directrices estratégicas para la gestión de la deuda (criterios, evaluación de resultados </w:t>
            </w:r>
            <w:r w:rsidR="00D26172" w:rsidRPr="000C58A8">
              <w:rPr>
                <w:rFonts w:ascii="Arial" w:eastAsia="Arial" w:hAnsi="Arial" w:cs="Arial"/>
                <w:lang w:val="es-ES_tradnl"/>
              </w:rPr>
              <w:t>en relación con</w:t>
            </w:r>
            <w:r w:rsidRPr="000C58A8">
              <w:rPr>
                <w:rFonts w:ascii="Arial" w:eastAsia="Arial" w:hAnsi="Arial" w:cs="Arial"/>
                <w:lang w:val="es-ES_tradnl"/>
              </w:rPr>
              <w:t xml:space="preserve"> los objetivos de gestión, extracción de saldos, proyecciones); y (b) la implantación del módulo de gestión de la deuda pública en el SIPLAG para incluir a nuevos procedimientos.  </w:t>
            </w:r>
          </w:p>
        </w:tc>
      </w:tr>
      <w:tr w:rsidR="00523823" w:rsidRPr="00D26172" w14:paraId="7732D20D" w14:textId="77777777" w:rsidTr="009D0436">
        <w:trPr>
          <w:trHeight w:val="23"/>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2849C54A" w14:textId="09A30B1E" w:rsidR="00345FF8" w:rsidRPr="000C58A8" w:rsidRDefault="00225EEA" w:rsidP="005A4AB7">
            <w:pPr>
              <w:spacing w:after="0" w:line="240" w:lineRule="auto"/>
              <w:jc w:val="both"/>
              <w:rPr>
                <w:rFonts w:ascii="Arial" w:hAnsi="Arial" w:cs="Arial"/>
                <w:lang w:val="es-ES_tradnl"/>
              </w:rPr>
            </w:pPr>
            <w:r w:rsidRPr="000C58A8">
              <w:rPr>
                <w:rFonts w:ascii="Arial" w:eastAsia="Arial" w:hAnsi="Arial" w:cs="Arial"/>
                <w:lang w:val="es-ES_tradnl"/>
              </w:rPr>
              <w:t xml:space="preserve">(vi) ineficiencia en la gestión de la calidad del gasto, con desperdicio de recursos públicos, debido a: (a) El modelo actual se basa principalmente en los aspectos cuantitativos de la ejecución presupuestaria y financiera. </w:t>
            </w:r>
            <w:r w:rsidR="00AF488C">
              <w:rPr>
                <w:rFonts w:ascii="Arial" w:eastAsia="Arial" w:hAnsi="Arial" w:cs="Arial"/>
                <w:lang w:val="es-ES_tradnl"/>
              </w:rPr>
              <w:t xml:space="preserve">No </w:t>
            </w:r>
            <w:r w:rsidR="00D26172">
              <w:rPr>
                <w:rFonts w:ascii="Arial" w:eastAsia="Arial" w:hAnsi="Arial" w:cs="Arial"/>
                <w:lang w:val="es-ES_tradnl"/>
              </w:rPr>
              <w:t xml:space="preserve">se </w:t>
            </w:r>
            <w:r w:rsidR="00D26172" w:rsidRPr="000C58A8">
              <w:rPr>
                <w:rFonts w:ascii="Arial" w:eastAsia="Arial" w:hAnsi="Arial" w:cs="Arial"/>
                <w:lang w:val="es-ES_tradnl"/>
              </w:rPr>
              <w:t>realizan evaluaciones</w:t>
            </w:r>
            <w:r w:rsidRPr="000C58A8">
              <w:rPr>
                <w:rFonts w:ascii="Arial" w:eastAsia="Arial" w:hAnsi="Arial" w:cs="Arial"/>
                <w:lang w:val="es-ES_tradnl"/>
              </w:rPr>
              <w:t xml:space="preserve"> sobre la efectividad y la calidad del gasto. No se cuenta con indicadores comunes para la medición del gasto público entre las diferentes Unidades Gestoras;</w:t>
            </w:r>
            <w:r w:rsidRPr="000C58A8">
              <w:rPr>
                <w:rStyle w:val="FootnoteReference"/>
                <w:rFonts w:ascii="Arial" w:hAnsi="Arial" w:cs="Arial"/>
                <w:lang w:val="es-ES_tradnl"/>
              </w:rPr>
              <w:footnoteReference w:id="58"/>
            </w:r>
            <w:r w:rsidRPr="000C58A8">
              <w:rPr>
                <w:rFonts w:ascii="Arial" w:eastAsia="Arial" w:hAnsi="Arial" w:cs="Arial"/>
                <w:lang w:val="es-ES_tradnl"/>
              </w:rPr>
              <w:t xml:space="preserve"> y (b) Dificultad para recoger, procesar y generar informes sobre la información básica para realizar la gestión de la calidad de los gastos.</w:t>
            </w:r>
            <w:r w:rsidRPr="000C58A8">
              <w:rPr>
                <w:rStyle w:val="FootnoteReference"/>
                <w:rFonts w:ascii="Arial" w:hAnsi="Arial" w:cs="Arial"/>
                <w:lang w:val="es-ES_tradnl"/>
              </w:rPr>
              <w:footnoteReference w:id="59"/>
            </w:r>
          </w:p>
        </w:tc>
        <w:tc>
          <w:tcPr>
            <w:tcW w:w="4320" w:type="dxa"/>
            <w:tcBorders>
              <w:top w:val="single" w:sz="4" w:space="0" w:color="auto"/>
              <w:left w:val="single" w:sz="4" w:space="0" w:color="auto"/>
              <w:bottom w:val="single" w:sz="4" w:space="0" w:color="auto"/>
              <w:right w:val="single" w:sz="4" w:space="0" w:color="auto"/>
            </w:tcBorders>
            <w:shd w:val="clear" w:color="auto" w:fill="auto"/>
          </w:tcPr>
          <w:p w14:paraId="312278E2" w14:textId="77777777" w:rsidR="00DA5CCD" w:rsidRPr="000C58A8" w:rsidRDefault="00225EEA" w:rsidP="00B93BDC">
            <w:pPr>
              <w:spacing w:after="0"/>
              <w:contextualSpacing/>
              <w:jc w:val="both"/>
              <w:rPr>
                <w:rFonts w:ascii="Arial" w:hAnsi="Arial" w:cs="Arial"/>
                <w:lang w:val="es-ES_tradnl"/>
              </w:rPr>
            </w:pPr>
            <w:r w:rsidRPr="000C58A8">
              <w:rPr>
                <w:rFonts w:ascii="Arial" w:eastAsia="Arial" w:hAnsi="Arial" w:cs="Arial"/>
                <w:lang w:val="es-ES_tradnl"/>
              </w:rPr>
              <w:t>Nota Técnica 3.6 - Los 4 sistemas corporativos del estado (SIPLAG, SATE, SIGA (Compras e Patrimonio), SIGRH) no cuentan con interfaces para proveer la información necesaria para la gestión de costos públicos.</w:t>
            </w:r>
          </w:p>
          <w:p w14:paraId="12843724" w14:textId="36E222A3" w:rsidR="00B93BDC" w:rsidRPr="000C58A8" w:rsidRDefault="00225EEA" w:rsidP="00B93BDC">
            <w:pPr>
              <w:spacing w:after="0"/>
              <w:contextualSpacing/>
              <w:jc w:val="both"/>
              <w:rPr>
                <w:rFonts w:ascii="Arial" w:hAnsi="Arial" w:cs="Arial"/>
                <w:lang w:val="es-ES_tradnl"/>
              </w:rPr>
            </w:pPr>
            <w:r w:rsidRPr="000C58A8">
              <w:rPr>
                <w:rFonts w:ascii="Arial" w:eastAsia="Arial" w:hAnsi="Arial" w:cs="Arial"/>
                <w:lang w:val="es-ES_tradnl"/>
              </w:rPr>
              <w:t>Nota Técnica 3.6 - El alquiler de vehículos puede presentar disparidades de hasta un 30% en sus valores</w:t>
            </w:r>
            <w:r w:rsidR="00AF488C">
              <w:rPr>
                <w:rFonts w:ascii="Arial" w:eastAsia="Arial" w:hAnsi="Arial" w:cs="Arial"/>
                <w:lang w:val="es-ES_tradnl"/>
              </w:rPr>
              <w:t xml:space="preserve"> (2018)</w:t>
            </w:r>
            <w:r w:rsidRPr="000C58A8">
              <w:rPr>
                <w:rFonts w:ascii="Arial" w:eastAsia="Arial" w:hAnsi="Arial" w:cs="Arial"/>
                <w:lang w:val="es-ES_tradnl"/>
              </w:rPr>
              <w:t>.</w:t>
            </w:r>
          </w:p>
          <w:p w14:paraId="53805449" w14:textId="69E2949D" w:rsidR="007226DB" w:rsidRPr="000C58A8" w:rsidRDefault="00D26172" w:rsidP="00D26172">
            <w:pPr>
              <w:spacing w:after="0"/>
              <w:contextualSpacing/>
              <w:jc w:val="both"/>
              <w:rPr>
                <w:rFonts w:ascii="Arial" w:hAnsi="Arial" w:cs="Arial"/>
                <w:lang w:val="es-ES_tradnl"/>
              </w:rPr>
            </w:pPr>
            <w:r>
              <w:rPr>
                <w:rFonts w:ascii="Arial" w:eastAsia="Arial" w:hAnsi="Arial" w:cs="Arial"/>
                <w:lang w:val="es-ES_tradnl"/>
              </w:rPr>
              <w:t>Entre 2015</w:t>
            </w:r>
            <w:r w:rsidR="00AF488C">
              <w:rPr>
                <w:rFonts w:ascii="Arial" w:eastAsia="Arial" w:hAnsi="Arial" w:cs="Arial"/>
                <w:lang w:val="es-ES_tradnl"/>
              </w:rPr>
              <w:t xml:space="preserve"> y</w:t>
            </w:r>
            <w:r w:rsidR="00225EEA" w:rsidRPr="000C58A8">
              <w:rPr>
                <w:rFonts w:ascii="Arial" w:eastAsia="Arial" w:hAnsi="Arial" w:cs="Arial"/>
                <w:lang w:val="es-ES_tradnl"/>
              </w:rPr>
              <w:t xml:space="preserve"> 2018 se registraron pagos en duplicidades en energía eléctrica de aproximadamente R$ 3 millones.</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7D2E6057" w14:textId="77777777" w:rsidR="00345FF8" w:rsidRPr="000C58A8" w:rsidRDefault="00225EEA" w:rsidP="005A4AB7">
            <w:pPr>
              <w:spacing w:after="0" w:line="240" w:lineRule="auto"/>
              <w:jc w:val="both"/>
              <w:rPr>
                <w:rFonts w:ascii="Arial" w:hAnsi="Arial" w:cs="Arial"/>
                <w:lang w:val="es-ES_tradnl"/>
              </w:rPr>
            </w:pPr>
            <w:r w:rsidRPr="000C58A8">
              <w:rPr>
                <w:rFonts w:ascii="Arial" w:eastAsia="Arial" w:hAnsi="Arial" w:cs="Arial"/>
                <w:b/>
                <w:bCs/>
                <w:lang w:val="es-ES_tradnl"/>
              </w:rPr>
              <w:t>(vi) Modelo de gestión de la calidad de los gastos públicos del Estado implantado:</w:t>
            </w:r>
            <w:r w:rsidRPr="000C58A8">
              <w:rPr>
                <w:rFonts w:ascii="Arial" w:eastAsia="Arial" w:hAnsi="Arial" w:cs="Arial"/>
                <w:lang w:val="es-ES_tradnl"/>
              </w:rPr>
              <w:t xml:space="preserve"> (a) Cartografía de los procesos para el control de los costos, definición de los centros de costo y definición de metodología de evaluación de los costos de las unidades; y (b) Implantación de un Sistema integrado de recolección de información y apropiación en las unidades a partir de interfaces con los diversos sistemas de gestión pública del Estado. Generación de BI con la información recopilada.</w:t>
            </w:r>
          </w:p>
        </w:tc>
      </w:tr>
    </w:tbl>
    <w:p w14:paraId="73B14504" w14:textId="77777777" w:rsidR="00726FBB" w:rsidRPr="000C58A8" w:rsidRDefault="00726FBB">
      <w:pPr>
        <w:rPr>
          <w:rFonts w:ascii="Arial" w:hAnsi="Arial" w:cs="Arial"/>
          <w:lang w:val="es-ES_tradnl"/>
        </w:rPr>
      </w:pPr>
    </w:p>
    <w:sectPr w:rsidR="00726FBB" w:rsidRPr="000C58A8" w:rsidSect="00F44948">
      <w:headerReference w:type="default" r:id="rId8"/>
      <w:pgSz w:w="15840" w:h="12240" w:orient="landscape"/>
      <w:pgMar w:top="1440" w:right="1440" w:bottom="45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10496" w14:textId="77777777" w:rsidR="005E2FC4" w:rsidRDefault="005E2FC4">
      <w:pPr>
        <w:spacing w:after="0" w:line="240" w:lineRule="auto"/>
      </w:pPr>
      <w:r>
        <w:separator/>
      </w:r>
    </w:p>
  </w:endnote>
  <w:endnote w:type="continuationSeparator" w:id="0">
    <w:p w14:paraId="67CA2B39" w14:textId="77777777" w:rsidR="005E2FC4" w:rsidRDefault="005E2F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font306">
    <w:altName w:val="Calibri"/>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5DB914" w14:textId="77777777" w:rsidR="005E2FC4" w:rsidRDefault="005E2FC4" w:rsidP="008B32ED">
      <w:pPr>
        <w:spacing w:after="0" w:line="240" w:lineRule="auto"/>
      </w:pPr>
      <w:r>
        <w:separator/>
      </w:r>
    </w:p>
  </w:footnote>
  <w:footnote w:type="continuationSeparator" w:id="0">
    <w:p w14:paraId="1C2C01E9" w14:textId="77777777" w:rsidR="005E2FC4" w:rsidRDefault="005E2FC4" w:rsidP="008B32ED">
      <w:pPr>
        <w:spacing w:after="0" w:line="240" w:lineRule="auto"/>
      </w:pPr>
      <w:r>
        <w:continuationSeparator/>
      </w:r>
    </w:p>
  </w:footnote>
  <w:footnote w:type="continuationNotice" w:id="1">
    <w:p w14:paraId="6A492155" w14:textId="77777777" w:rsidR="005E2FC4" w:rsidRDefault="005E2FC4">
      <w:pPr>
        <w:spacing w:after="0" w:line="240" w:lineRule="auto"/>
      </w:pPr>
    </w:p>
  </w:footnote>
  <w:footnote w:id="2">
    <w:p w14:paraId="1E4B470B" w14:textId="77777777" w:rsidR="0085641E" w:rsidRPr="000C58A8" w:rsidRDefault="00225EEA" w:rsidP="00891738">
      <w:pPr>
        <w:pStyle w:val="FootnoteText"/>
        <w:ind w:left="360" w:hanging="360"/>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ab/>
        <w:t xml:space="preserve">BR-L1242, aprobada por la Junta Directiva del Banco el 12 de diciembre de 2013 (PR-4124). </w:t>
      </w:r>
    </w:p>
  </w:footnote>
  <w:footnote w:id="3">
    <w:p w14:paraId="48F12EF6" w14:textId="59E123E8" w:rsidR="0085641E" w:rsidRPr="000C58A8" w:rsidRDefault="00225EEA" w:rsidP="00891738">
      <w:pPr>
        <w:pStyle w:val="FootnoteText"/>
        <w:ind w:left="360" w:hanging="360"/>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ab/>
        <w:t xml:space="preserve">Ley Complementaria </w:t>
      </w:r>
      <w:r w:rsidR="003C561B" w:rsidRPr="000C58A8">
        <w:rPr>
          <w:rFonts w:ascii="Arial" w:eastAsia="Arial" w:hAnsi="Arial" w:cs="Arial"/>
          <w:sz w:val="18"/>
          <w:szCs w:val="18"/>
          <w:lang w:val="es-ES_tradnl"/>
        </w:rPr>
        <w:t>N.º</w:t>
      </w:r>
      <w:r w:rsidRPr="000C58A8">
        <w:rPr>
          <w:rFonts w:ascii="Arial" w:eastAsia="Arial" w:hAnsi="Arial" w:cs="Arial"/>
          <w:sz w:val="18"/>
          <w:szCs w:val="18"/>
          <w:lang w:val="es-ES_tradnl"/>
        </w:rPr>
        <w:t xml:space="preserve"> 101, de 4 de mayo de 2000. </w:t>
      </w:r>
    </w:p>
  </w:footnote>
  <w:footnote w:id="4">
    <w:p w14:paraId="67A37585" w14:textId="77777777" w:rsidR="0085641E" w:rsidRPr="000C58A8" w:rsidRDefault="00225EEA" w:rsidP="00891738">
      <w:pPr>
        <w:pStyle w:val="FootnoteText"/>
        <w:ind w:left="360" w:hanging="360"/>
        <w:rPr>
          <w:rFonts w:ascii="Arial" w:hAnsi="Arial" w:cs="Arial"/>
          <w:sz w:val="18"/>
          <w:szCs w:val="18"/>
          <w:lang w:val="es-ES_tradnl"/>
        </w:rPr>
      </w:pPr>
      <w:r w:rsidRPr="00710B87">
        <w:rPr>
          <w:rStyle w:val="FootnoteReference"/>
          <w:rFonts w:ascii="Arial" w:hAnsi="Arial" w:cs="Arial"/>
          <w:sz w:val="18"/>
          <w:szCs w:val="18"/>
        </w:rPr>
        <w:footnoteRef/>
      </w:r>
      <w:bookmarkStart w:id="3" w:name="_Hlk8144945"/>
      <w:r w:rsidRPr="000C58A8">
        <w:rPr>
          <w:rFonts w:ascii="Arial" w:eastAsia="Arial" w:hAnsi="Arial" w:cs="Arial"/>
          <w:sz w:val="18"/>
          <w:szCs w:val="18"/>
          <w:lang w:val="es-ES_tradnl"/>
        </w:rPr>
        <w:tab/>
        <w:t xml:space="preserve">Contrato </w:t>
      </w:r>
      <w:proofErr w:type="spellStart"/>
      <w:r w:rsidRPr="000C58A8">
        <w:rPr>
          <w:rFonts w:ascii="Arial" w:eastAsia="Arial" w:hAnsi="Arial" w:cs="Arial"/>
          <w:sz w:val="18"/>
          <w:szCs w:val="18"/>
          <w:lang w:val="es-ES_tradnl"/>
        </w:rPr>
        <w:t>nº</w:t>
      </w:r>
      <w:proofErr w:type="spellEnd"/>
      <w:r w:rsidRPr="000C58A8">
        <w:rPr>
          <w:rFonts w:ascii="Arial" w:eastAsia="Arial" w:hAnsi="Arial" w:cs="Arial"/>
          <w:sz w:val="18"/>
          <w:szCs w:val="18"/>
          <w:lang w:val="es-ES_tradnl"/>
        </w:rPr>
        <w:t xml:space="preserve"> 09.20130.1 de 5 de abril de 2013, concluido en diciembre de 2018, de acuerdo con el Informe Conclusivo del Proyecto PMAE/AP-2019</w:t>
      </w:r>
      <w:bookmarkEnd w:id="3"/>
      <w:r w:rsidRPr="000C58A8">
        <w:rPr>
          <w:rFonts w:ascii="Arial" w:eastAsia="Arial" w:hAnsi="Arial" w:cs="Arial"/>
          <w:sz w:val="18"/>
          <w:szCs w:val="18"/>
          <w:lang w:val="es-ES_tradnl"/>
        </w:rPr>
        <w:t>.</w:t>
      </w:r>
    </w:p>
  </w:footnote>
  <w:footnote w:id="5">
    <w:p w14:paraId="04E06D93" w14:textId="77777777" w:rsidR="0085641E" w:rsidRPr="000C58A8" w:rsidRDefault="00225EEA" w:rsidP="00891738">
      <w:pPr>
        <w:pStyle w:val="FootnoteText"/>
        <w:ind w:left="360" w:hanging="360"/>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ab/>
        <w:t xml:space="preserve">Aún vigente, hasta que se apruebe la nueva Estrategia, actualmente en aprobación. </w:t>
      </w:r>
    </w:p>
  </w:footnote>
  <w:footnote w:id="6">
    <w:p w14:paraId="30D8565A" w14:textId="77777777" w:rsidR="0085641E" w:rsidRPr="000C58A8" w:rsidRDefault="00225EEA" w:rsidP="00891738">
      <w:pPr>
        <w:pStyle w:val="FootnoteText"/>
        <w:ind w:left="360" w:hanging="360"/>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r w:rsidRPr="000C58A8">
        <w:rPr>
          <w:rFonts w:ascii="Arial" w:eastAsia="Arial" w:hAnsi="Arial" w:cs="Arial"/>
          <w:sz w:val="18"/>
          <w:szCs w:val="18"/>
          <w:lang w:val="es-ES_tradnl"/>
        </w:rPr>
        <w:tab/>
        <w:t xml:space="preserve">Esta inclusión debe realizarse antes de la preparación del POD. </w:t>
      </w:r>
    </w:p>
  </w:footnote>
  <w:footnote w:id="7">
    <w:p w14:paraId="76758C24" w14:textId="2D2B6EF9" w:rsidR="0085641E" w:rsidRPr="000C58A8" w:rsidRDefault="00225EEA" w:rsidP="00891738">
      <w:pPr>
        <w:pStyle w:val="FootnoteText"/>
        <w:ind w:left="360" w:hanging="360"/>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r w:rsidRPr="000C58A8">
        <w:rPr>
          <w:rFonts w:ascii="Arial" w:eastAsia="Arial" w:hAnsi="Arial" w:cs="Arial"/>
          <w:sz w:val="18"/>
          <w:szCs w:val="18"/>
          <w:lang w:val="es-ES_tradnl"/>
        </w:rPr>
        <w:tab/>
        <w:t xml:space="preserve"> RESOLUCIÓN </w:t>
      </w:r>
      <w:r w:rsidR="003C561B" w:rsidRPr="000C58A8">
        <w:rPr>
          <w:rFonts w:ascii="Arial" w:eastAsia="Arial" w:hAnsi="Arial" w:cs="Arial"/>
          <w:sz w:val="18"/>
          <w:szCs w:val="18"/>
          <w:lang w:val="es-ES_tradnl"/>
        </w:rPr>
        <w:t>N.º</w:t>
      </w:r>
      <w:r w:rsidRPr="000C58A8">
        <w:rPr>
          <w:rFonts w:ascii="Arial" w:eastAsia="Arial" w:hAnsi="Arial" w:cs="Arial"/>
          <w:sz w:val="18"/>
          <w:szCs w:val="18"/>
          <w:lang w:val="es-ES_tradnl"/>
        </w:rPr>
        <w:t xml:space="preserve"> 02/0133, de 7 de diciembre de 2018.</w:t>
      </w:r>
    </w:p>
  </w:footnote>
  <w:footnote w:id="8">
    <w:p w14:paraId="168E2BEE" w14:textId="77777777" w:rsidR="0085641E" w:rsidRPr="000C58A8" w:rsidRDefault="00225EEA" w:rsidP="00891738">
      <w:pPr>
        <w:pStyle w:val="FootnoteText"/>
        <w:ind w:left="360" w:hanging="360"/>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r w:rsidRPr="000C58A8">
        <w:rPr>
          <w:rFonts w:ascii="Arial" w:eastAsia="Arial" w:hAnsi="Arial" w:cs="Arial"/>
          <w:sz w:val="18"/>
          <w:szCs w:val="18"/>
          <w:lang w:val="es-ES_tradnl"/>
        </w:rPr>
        <w:tab/>
      </w:r>
      <w:hyperlink r:id="rId1" w:history="1">
        <w:r w:rsidRPr="000C58A8">
          <w:rPr>
            <w:rFonts w:ascii="Arial" w:eastAsia="Arial" w:hAnsi="Arial" w:cs="Arial"/>
            <w:color w:val="0000FF"/>
            <w:sz w:val="18"/>
            <w:szCs w:val="18"/>
            <w:u w:val="single"/>
            <w:lang w:val="es-ES_tradnl"/>
          </w:rPr>
          <w:t>IBGE-2018</w:t>
        </w:r>
      </w:hyperlink>
      <w:r w:rsidRPr="000C58A8">
        <w:rPr>
          <w:rFonts w:ascii="Arial" w:eastAsia="Arial" w:hAnsi="Arial" w:cs="Arial"/>
          <w:sz w:val="18"/>
          <w:szCs w:val="18"/>
          <w:lang w:val="es-ES_tradnl"/>
        </w:rPr>
        <w:t xml:space="preserve"> (Instituto Brasileño de Geografía y Estadística).</w:t>
      </w:r>
    </w:p>
  </w:footnote>
  <w:footnote w:id="9">
    <w:p w14:paraId="6737FDD5" w14:textId="77777777" w:rsidR="0085641E" w:rsidRPr="000C58A8" w:rsidRDefault="00225EEA" w:rsidP="00B17805">
      <w:pPr>
        <w:pStyle w:val="FootnoteText"/>
        <w:ind w:left="360" w:hanging="360"/>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r w:rsidRPr="000C58A8">
        <w:rPr>
          <w:rFonts w:ascii="Arial" w:eastAsia="Arial" w:hAnsi="Arial" w:cs="Arial"/>
          <w:sz w:val="18"/>
          <w:szCs w:val="18"/>
          <w:lang w:val="es-ES_tradnl"/>
        </w:rPr>
        <w:tab/>
      </w:r>
      <w:hyperlink r:id="rId2" w:history="1">
        <w:r w:rsidRPr="000C58A8">
          <w:rPr>
            <w:rFonts w:ascii="Arial" w:eastAsia="Arial" w:hAnsi="Arial" w:cs="Arial"/>
            <w:color w:val="0000FF"/>
            <w:sz w:val="18"/>
            <w:szCs w:val="18"/>
            <w:u w:val="single"/>
            <w:lang w:val="es-ES_tradnl"/>
          </w:rPr>
          <w:t>FMI, 2018</w:t>
        </w:r>
        <w:r w:rsidRPr="000C58A8">
          <w:rPr>
            <w:rFonts w:ascii="Arial" w:eastAsia="Arial" w:hAnsi="Arial" w:cs="Arial"/>
            <w:color w:val="000000"/>
            <w:sz w:val="18"/>
            <w:szCs w:val="18"/>
            <w:lang w:val="es-ES_tradnl"/>
          </w:rPr>
          <w:t>.</w:t>
        </w:r>
      </w:hyperlink>
    </w:p>
  </w:footnote>
  <w:footnote w:id="10">
    <w:p w14:paraId="6A11D34E" w14:textId="77777777" w:rsidR="0085641E" w:rsidRPr="000C58A8" w:rsidRDefault="00225EEA" w:rsidP="00B17805">
      <w:pPr>
        <w:pStyle w:val="FootnoteText"/>
        <w:ind w:left="360" w:hanging="360"/>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r w:rsidRPr="000C58A8">
        <w:rPr>
          <w:rFonts w:ascii="Arial" w:eastAsia="Arial" w:hAnsi="Arial" w:cs="Arial"/>
          <w:sz w:val="18"/>
          <w:szCs w:val="18"/>
          <w:lang w:val="es-ES_tradnl"/>
        </w:rPr>
        <w:tab/>
        <w:t>IBGE-PIB Amapá 2016.</w:t>
      </w:r>
    </w:p>
  </w:footnote>
  <w:footnote w:id="11">
    <w:p w14:paraId="48E44C00" w14:textId="77777777" w:rsidR="0085641E" w:rsidRPr="000C58A8" w:rsidRDefault="00225EEA" w:rsidP="00891738">
      <w:pPr>
        <w:pStyle w:val="FootnoteText"/>
        <w:ind w:left="360" w:hanging="360"/>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ab/>
        <w:t>A pesar de su situación fiscal inestable, según un informe de la STN 2019, el estado de Amapá fue evaluado como la mejor situación fiscal entre los estados.</w:t>
      </w:r>
    </w:p>
  </w:footnote>
  <w:footnote w:id="12">
    <w:p w14:paraId="79446EB8" w14:textId="77777777" w:rsidR="0085641E" w:rsidRPr="000C58A8" w:rsidRDefault="00225EEA" w:rsidP="00891738">
      <w:pPr>
        <w:pStyle w:val="FootnoteText"/>
        <w:ind w:left="360" w:hanging="360"/>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ab/>
        <w:t>Boletín de Finanzas Públicas de los Entes Subnacionales 2018 - Secretaría del Tesoro Nacional - Ministerio de Hacienda.</w:t>
      </w:r>
    </w:p>
  </w:footnote>
  <w:footnote w:id="13">
    <w:p w14:paraId="51587710" w14:textId="619F0E5E" w:rsidR="0085641E" w:rsidRPr="000C58A8" w:rsidRDefault="00225EEA" w:rsidP="003C561B">
      <w:pPr>
        <w:pStyle w:val="FootnoteText"/>
        <w:ind w:left="360" w:hanging="360"/>
        <w:contextualSpacing/>
        <w:rPr>
          <w:rFonts w:ascii="Arial" w:hAnsi="Arial" w:cs="Arial"/>
          <w:sz w:val="18"/>
          <w:szCs w:val="18"/>
          <w:lang w:val="es-ES_tradnl"/>
        </w:rPr>
      </w:pPr>
      <w:r w:rsidRPr="00710B87">
        <w:rPr>
          <w:rStyle w:val="FootnoteReference"/>
          <w:rFonts w:ascii="Arial" w:hAnsi="Arial" w:cs="Arial"/>
          <w:sz w:val="18"/>
          <w:szCs w:val="18"/>
        </w:rPr>
        <w:footnoteRef/>
      </w:r>
      <w:r w:rsidR="003C561B" w:rsidRPr="003C561B">
        <w:rPr>
          <w:rFonts w:ascii="Arial" w:eastAsia="Arial" w:hAnsi="Arial" w:cs="Arial"/>
          <w:sz w:val="18"/>
          <w:szCs w:val="18"/>
          <w:lang w:val="es-ES_tradnl"/>
        </w:rPr>
        <w:t xml:space="preserve"> </w:t>
      </w:r>
      <w:r w:rsidR="003C561B">
        <w:rPr>
          <w:rFonts w:ascii="Arial" w:eastAsia="Arial" w:hAnsi="Arial" w:cs="Arial"/>
          <w:sz w:val="18"/>
          <w:szCs w:val="18"/>
          <w:lang w:val="es-ES_tradnl"/>
        </w:rPr>
        <w:t xml:space="preserve">    </w:t>
      </w:r>
      <w:r w:rsidRPr="000C58A8">
        <w:rPr>
          <w:rFonts w:ascii="Arial" w:eastAsia="Arial" w:hAnsi="Arial" w:cs="Arial"/>
          <w:sz w:val="18"/>
          <w:szCs w:val="18"/>
          <w:lang w:val="es-ES_tradnl"/>
        </w:rPr>
        <w:t>IBGE-PIB-US$ 4,3 mil millones, PIB/per cápita-US$ 5.200,00 población-830.000 habitantes.</w:t>
      </w:r>
    </w:p>
  </w:footnote>
  <w:footnote w:id="14">
    <w:p w14:paraId="49DC8225" w14:textId="77777777" w:rsidR="0085641E" w:rsidRPr="000C58A8" w:rsidRDefault="00225EEA" w:rsidP="00B17805">
      <w:pPr>
        <w:pStyle w:val="FootnoteText"/>
        <w:ind w:left="360" w:hanging="360"/>
        <w:contextualSpacing/>
        <w:rPr>
          <w:rFonts w:ascii="Arial" w:hAnsi="Arial" w:cs="Arial"/>
          <w:sz w:val="18"/>
          <w:szCs w:val="18"/>
          <w:lang w:val="es-ES_tradnl"/>
        </w:rPr>
      </w:pPr>
      <w:r w:rsidRPr="00710B87">
        <w:rPr>
          <w:rFonts w:ascii="Arial" w:hAnsi="Arial" w:cs="Arial"/>
          <w:sz w:val="18"/>
          <w:szCs w:val="18"/>
          <w:vertAlign w:val="superscript"/>
        </w:rPr>
        <w:footnoteRef/>
      </w:r>
      <w:r w:rsidRPr="000C58A8">
        <w:rPr>
          <w:rFonts w:ascii="Arial" w:eastAsia="Arial" w:hAnsi="Arial" w:cs="Arial"/>
          <w:sz w:val="18"/>
          <w:szCs w:val="18"/>
          <w:lang w:val="es-ES_tradnl"/>
        </w:rPr>
        <w:tab/>
        <w:t>De la Unión a los estados (artículo 159 de la Constitución Federal).</w:t>
      </w:r>
    </w:p>
  </w:footnote>
  <w:footnote w:id="15">
    <w:p w14:paraId="2B799D69" w14:textId="48B4EF9F" w:rsidR="0085641E" w:rsidRPr="000C58A8" w:rsidRDefault="00225EEA" w:rsidP="00B17805">
      <w:pPr>
        <w:pStyle w:val="FootnoteText"/>
        <w:ind w:left="-288"/>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r w:rsidR="00B17805">
        <w:rPr>
          <w:rFonts w:ascii="Arial" w:eastAsia="Arial" w:hAnsi="Arial" w:cs="Arial"/>
          <w:sz w:val="18"/>
          <w:szCs w:val="18"/>
          <w:lang w:val="es-ES_tradnl"/>
        </w:rPr>
        <w:t xml:space="preserve"> </w:t>
      </w:r>
      <w:r w:rsidRPr="000C58A8">
        <w:rPr>
          <w:rFonts w:ascii="Arial" w:eastAsia="Arial" w:hAnsi="Arial" w:cs="Arial"/>
          <w:sz w:val="18"/>
          <w:szCs w:val="18"/>
          <w:lang w:val="es-ES_tradnl"/>
        </w:rPr>
        <w:t>Nota Técnica 1.1 - Los procedimientos de evaluación de desempeño de SEFAZ son deficientes, y no se cuenta con indicadores estratégicos representativos para medir los avances de las intervenciones. En 2018 la SEFAZ cumplió con sólo el 20% de las metas estratégicas planificadas.</w:t>
      </w:r>
    </w:p>
  </w:footnote>
  <w:footnote w:id="16">
    <w:p w14:paraId="7398820F" w14:textId="6059853F" w:rsidR="0085641E" w:rsidRPr="000C58A8" w:rsidRDefault="00225EEA" w:rsidP="00B17805">
      <w:pPr>
        <w:pStyle w:val="FootnoteText"/>
        <w:ind w:hanging="288"/>
        <w:rPr>
          <w:rFonts w:ascii="Arial" w:hAnsi="Arial" w:cs="Arial"/>
          <w:sz w:val="18"/>
          <w:szCs w:val="18"/>
          <w:lang w:val="es-ES_tradnl"/>
        </w:rPr>
      </w:pPr>
      <w:r w:rsidRPr="00710B87">
        <w:rPr>
          <w:rStyle w:val="FootnoteReference"/>
          <w:rFonts w:ascii="Arial" w:hAnsi="Arial" w:cs="Arial"/>
          <w:sz w:val="18"/>
          <w:szCs w:val="18"/>
        </w:rPr>
        <w:footnoteRef/>
      </w:r>
      <w:r w:rsidR="00B17805">
        <w:rPr>
          <w:rFonts w:ascii="Arial" w:eastAsia="Arial" w:hAnsi="Arial" w:cs="Arial"/>
          <w:sz w:val="18"/>
          <w:szCs w:val="18"/>
          <w:lang w:val="es-ES_tradnl"/>
        </w:rPr>
        <w:t xml:space="preserve">  </w:t>
      </w:r>
      <w:r w:rsidRPr="000C58A8">
        <w:rPr>
          <w:rFonts w:ascii="Arial" w:eastAsia="Arial" w:hAnsi="Arial" w:cs="Arial"/>
          <w:sz w:val="18"/>
          <w:szCs w:val="18"/>
          <w:lang w:val="es-ES_tradnl"/>
        </w:rPr>
        <w:t>Nota Técnica 1.1 - Sólo se evalúan los riesgos de la Ley de Responsabilidad Fiscal (LRF).</w:t>
      </w:r>
    </w:p>
  </w:footnote>
  <w:footnote w:id="17">
    <w:p w14:paraId="3CC26D24" w14:textId="39FFDD02" w:rsidR="0085641E" w:rsidRPr="000C58A8" w:rsidRDefault="00225EEA" w:rsidP="00B17805">
      <w:pPr>
        <w:pStyle w:val="FootnoteText"/>
        <w:ind w:hanging="288"/>
        <w:contextualSpacing/>
        <w:rPr>
          <w:rFonts w:ascii="Arial" w:hAnsi="Arial" w:cs="Arial"/>
          <w:sz w:val="18"/>
          <w:szCs w:val="18"/>
          <w:lang w:val="es-ES_tradnl"/>
        </w:rPr>
      </w:pPr>
      <w:r w:rsidRPr="00710B87">
        <w:rPr>
          <w:rStyle w:val="FootnoteReference"/>
          <w:rFonts w:ascii="Arial" w:hAnsi="Arial" w:cs="Arial"/>
          <w:sz w:val="18"/>
          <w:szCs w:val="18"/>
        </w:rPr>
        <w:footnoteRef/>
      </w:r>
      <w:r w:rsidR="00B17805">
        <w:rPr>
          <w:rFonts w:ascii="Arial" w:eastAsia="Arial" w:hAnsi="Arial" w:cs="Arial"/>
          <w:sz w:val="18"/>
          <w:szCs w:val="18"/>
          <w:lang w:val="es-ES_tradnl"/>
        </w:rPr>
        <w:t xml:space="preserve">  </w:t>
      </w:r>
      <w:r w:rsidRPr="000C58A8">
        <w:rPr>
          <w:rFonts w:ascii="Arial" w:eastAsia="Arial" w:hAnsi="Arial" w:cs="Arial"/>
          <w:sz w:val="18"/>
          <w:szCs w:val="18"/>
          <w:lang w:val="es-ES_tradnl"/>
        </w:rPr>
        <w:t>Nota Técnica 1.1 - Existen aproximadamente 260 tipos de procesos realizados manualmente en la SEFAZ/AP.</w:t>
      </w:r>
    </w:p>
  </w:footnote>
  <w:footnote w:id="18">
    <w:p w14:paraId="09E1C2F1" w14:textId="27CE7B2E" w:rsidR="0085641E" w:rsidRPr="000C58A8" w:rsidRDefault="00225EEA" w:rsidP="00B17805">
      <w:pPr>
        <w:pStyle w:val="FootnoteText"/>
        <w:ind w:hanging="288"/>
        <w:contextualSpacing/>
        <w:rPr>
          <w:rFonts w:ascii="Arial" w:hAnsi="Arial" w:cs="Arial"/>
          <w:sz w:val="18"/>
          <w:szCs w:val="18"/>
          <w:lang w:val="es-ES_tradnl"/>
        </w:rPr>
      </w:pPr>
      <w:r w:rsidRPr="00710B87">
        <w:rPr>
          <w:rStyle w:val="FootnoteReference"/>
          <w:rFonts w:ascii="Arial" w:hAnsi="Arial" w:cs="Arial"/>
          <w:sz w:val="18"/>
          <w:szCs w:val="18"/>
        </w:rPr>
        <w:footnoteRef/>
      </w:r>
      <w:r w:rsidR="00B17805">
        <w:rPr>
          <w:rFonts w:ascii="Arial" w:eastAsia="Arial" w:hAnsi="Arial" w:cs="Arial"/>
          <w:sz w:val="18"/>
          <w:szCs w:val="18"/>
          <w:lang w:val="es-ES_tradnl"/>
        </w:rPr>
        <w:t xml:space="preserve">  </w:t>
      </w:r>
      <w:r w:rsidRPr="000C58A8">
        <w:rPr>
          <w:rFonts w:ascii="Arial" w:eastAsia="Arial" w:hAnsi="Arial" w:cs="Arial"/>
          <w:sz w:val="18"/>
          <w:szCs w:val="18"/>
          <w:lang w:val="es-ES_tradnl"/>
        </w:rPr>
        <w:t>Nota Técnica 1.1 - Nunca se realizó una evaluación del control interno.</w:t>
      </w:r>
    </w:p>
  </w:footnote>
  <w:footnote w:id="19">
    <w:p w14:paraId="35004841" w14:textId="37586B4E" w:rsidR="0085641E" w:rsidRPr="000C58A8" w:rsidRDefault="00225EEA" w:rsidP="00B17805">
      <w:pPr>
        <w:pStyle w:val="FootnoteText"/>
        <w:ind w:left="-288"/>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r w:rsidR="00B17805">
        <w:rPr>
          <w:rFonts w:ascii="Arial" w:eastAsia="Arial" w:hAnsi="Arial" w:cs="Arial"/>
          <w:sz w:val="18"/>
          <w:szCs w:val="18"/>
          <w:lang w:val="es-ES_tradnl"/>
        </w:rPr>
        <w:t xml:space="preserve"> </w:t>
      </w:r>
      <w:r w:rsidRPr="000C58A8">
        <w:rPr>
          <w:rFonts w:ascii="Arial" w:eastAsia="Arial" w:hAnsi="Arial" w:cs="Arial"/>
          <w:sz w:val="18"/>
          <w:szCs w:val="18"/>
          <w:lang w:val="es-ES_tradnl"/>
        </w:rPr>
        <w:t>Nota Técnica 1.1 - El código de ética de los servidores de la hacienda no se aplica en los procesos de corrección debido a su desactualización.</w:t>
      </w:r>
    </w:p>
  </w:footnote>
  <w:footnote w:id="20">
    <w:p w14:paraId="66E0C1FF" w14:textId="56194FC6" w:rsidR="0085641E" w:rsidRPr="000C58A8" w:rsidRDefault="00225EEA" w:rsidP="00B17805">
      <w:pPr>
        <w:pStyle w:val="FootnoteText"/>
        <w:ind w:left="-288"/>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r w:rsidR="00B17805">
        <w:rPr>
          <w:rFonts w:ascii="Arial" w:eastAsia="Arial" w:hAnsi="Arial" w:cs="Arial"/>
          <w:sz w:val="18"/>
          <w:szCs w:val="18"/>
          <w:lang w:val="es-ES_tradnl"/>
        </w:rPr>
        <w:t xml:space="preserve"> </w:t>
      </w:r>
      <w:r w:rsidRPr="000C58A8">
        <w:rPr>
          <w:rFonts w:ascii="Arial" w:eastAsia="Arial" w:hAnsi="Arial" w:cs="Arial"/>
          <w:sz w:val="18"/>
          <w:szCs w:val="18"/>
          <w:lang w:val="es-ES_tradnl"/>
        </w:rPr>
        <w:t>Nota Técnica 1.1 - Hay cerca de 400.000 expedientes que tramitan en forma física (papel).</w:t>
      </w:r>
    </w:p>
  </w:footnote>
  <w:footnote w:id="21">
    <w:p w14:paraId="577F526A" w14:textId="241640DD" w:rsidR="0085641E" w:rsidRPr="000C58A8" w:rsidRDefault="00225EEA" w:rsidP="00B17805">
      <w:pPr>
        <w:pStyle w:val="FootnoteText"/>
        <w:ind w:hanging="288"/>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r w:rsidR="00B17805">
        <w:rPr>
          <w:rFonts w:ascii="Arial" w:eastAsia="Arial" w:hAnsi="Arial" w:cs="Arial"/>
          <w:sz w:val="18"/>
          <w:szCs w:val="18"/>
          <w:lang w:val="es-ES_tradnl"/>
        </w:rPr>
        <w:t xml:space="preserve"> </w:t>
      </w:r>
      <w:r w:rsidRPr="000C58A8">
        <w:rPr>
          <w:rFonts w:ascii="Arial" w:eastAsia="Arial" w:hAnsi="Arial" w:cs="Arial"/>
          <w:sz w:val="18"/>
          <w:szCs w:val="18"/>
          <w:lang w:val="es-ES_tradnl"/>
        </w:rPr>
        <w:t>La gestión fiscal incluye: SEFAZ/AP, SEPLAN/AP SEAD/AP, PGE/AP y CGE/AP.</w:t>
      </w:r>
    </w:p>
  </w:footnote>
  <w:footnote w:id="22">
    <w:p w14:paraId="4A89933C" w14:textId="2738B42B" w:rsidR="0085641E" w:rsidRPr="000C58A8" w:rsidRDefault="00225EEA" w:rsidP="00B17805">
      <w:pPr>
        <w:pStyle w:val="FootnoteText"/>
        <w:ind w:left="-288"/>
        <w:rPr>
          <w:rFonts w:ascii="Arial" w:hAnsi="Arial" w:cs="Arial"/>
          <w:lang w:val="es-ES_tradnl"/>
        </w:rPr>
      </w:pPr>
      <w:r w:rsidRPr="00710B87">
        <w:rPr>
          <w:rStyle w:val="FootnoteReference"/>
          <w:rFonts w:ascii="Arial" w:hAnsi="Arial" w:cs="Arial"/>
          <w:sz w:val="18"/>
          <w:szCs w:val="18"/>
        </w:rPr>
        <w:footnoteRef/>
      </w:r>
      <w:r w:rsidR="00B17805">
        <w:rPr>
          <w:rFonts w:ascii="Arial" w:eastAsia="Arial" w:hAnsi="Arial" w:cs="Arial"/>
          <w:sz w:val="18"/>
          <w:szCs w:val="18"/>
          <w:lang w:val="es-ES_tradnl"/>
        </w:rPr>
        <w:t xml:space="preserve">  </w:t>
      </w:r>
      <w:r w:rsidRPr="000C58A8">
        <w:rPr>
          <w:rFonts w:ascii="Arial" w:eastAsia="Arial" w:hAnsi="Arial" w:cs="Arial"/>
          <w:sz w:val="18"/>
          <w:szCs w:val="18"/>
          <w:lang w:val="es-ES_tradnl"/>
        </w:rPr>
        <w:t>Metodología, procesos, sistema informatizado.</w:t>
      </w:r>
    </w:p>
  </w:footnote>
  <w:footnote w:id="23">
    <w:p w14:paraId="1AE23FC3" w14:textId="77777777" w:rsidR="0085641E" w:rsidRPr="000C58A8" w:rsidRDefault="00225EEA" w:rsidP="00B17805">
      <w:pPr>
        <w:pStyle w:val="FootnoteText"/>
        <w:ind w:hanging="288"/>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Nota Técnica 1.2 - No se cuenta con herramientas tecnológicas de capacitación para apoyar a la gestión de recursos humanos o de conocimientos</w:t>
      </w:r>
    </w:p>
  </w:footnote>
  <w:footnote w:id="24">
    <w:p w14:paraId="74B4E2F2" w14:textId="77777777" w:rsidR="0085641E" w:rsidRPr="000C58A8" w:rsidRDefault="00225EEA" w:rsidP="00B17805">
      <w:pPr>
        <w:pStyle w:val="FootnoteText"/>
        <w:ind w:left="-288"/>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En el año 2018, de los 352 funcionarios de la SEFAZ, ningún de ellos fue capacitado sobre la base de una evaluación de competencias. Sólo 79 de 391 funcionarios recibieron capacitación.</w:t>
      </w:r>
    </w:p>
  </w:footnote>
  <w:footnote w:id="25">
    <w:p w14:paraId="5A734637" w14:textId="77777777" w:rsidR="0085641E" w:rsidRPr="000C58A8" w:rsidRDefault="00225EEA" w:rsidP="00B17805">
      <w:pPr>
        <w:pStyle w:val="FootnoteText"/>
        <w:ind w:hanging="288"/>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Nota Técnica 1.3 - Las 238 horas de indisponibilidad por ataques y problema de infraestructura tecnológica.</w:t>
      </w:r>
    </w:p>
  </w:footnote>
  <w:footnote w:id="26">
    <w:p w14:paraId="13597FD4" w14:textId="77777777" w:rsidR="0085641E" w:rsidRPr="000C58A8" w:rsidRDefault="00225EEA" w:rsidP="00B17805">
      <w:pPr>
        <w:pStyle w:val="FootnoteText"/>
        <w:ind w:hanging="288"/>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bookmarkStart w:id="9" w:name="_Hlk2875509"/>
      <w:r w:rsidRPr="000C58A8">
        <w:rPr>
          <w:rFonts w:ascii="Arial" w:eastAsia="Arial" w:hAnsi="Arial" w:cs="Arial"/>
          <w:sz w:val="18"/>
          <w:szCs w:val="18"/>
          <w:lang w:val="es-ES_tradnl"/>
        </w:rPr>
        <w:t xml:space="preserve">  Nota Técnica 1.3 </w:t>
      </w:r>
      <w:bookmarkEnd w:id="9"/>
      <w:r w:rsidRPr="000C58A8">
        <w:rPr>
          <w:rFonts w:ascii="Arial" w:eastAsia="Arial" w:hAnsi="Arial" w:cs="Arial"/>
          <w:sz w:val="18"/>
          <w:szCs w:val="18"/>
          <w:lang w:val="es-ES_tradnl"/>
        </w:rPr>
        <w:t>- El 95% del almacenamiento y el procesamiento ya se están utilizando? El entorno de redundancia se utiliza para el procesamiento regular.</w:t>
      </w:r>
    </w:p>
  </w:footnote>
  <w:footnote w:id="27">
    <w:p w14:paraId="6B89A54E" w14:textId="77777777" w:rsidR="0085641E" w:rsidRPr="000C58A8" w:rsidRDefault="00225EEA" w:rsidP="00B17805">
      <w:pPr>
        <w:spacing w:after="0"/>
        <w:ind w:hanging="288"/>
        <w:contextualSpacing/>
        <w:jc w:val="both"/>
        <w:rPr>
          <w:rFonts w:ascii="Arial" w:hAnsi="Arial" w:cs="Arial"/>
          <w:sz w:val="18"/>
          <w:szCs w:val="18"/>
          <w:lang w:val="es-ES_tradnl"/>
        </w:rPr>
      </w:pPr>
      <w:r w:rsidRPr="00710B87">
        <w:rPr>
          <w:rFonts w:ascii="Arial" w:hAnsi="Arial" w:cs="Arial"/>
          <w:color w:val="000000" w:themeColor="text1"/>
          <w:sz w:val="18"/>
          <w:szCs w:val="18"/>
          <w:vertAlign w:val="superscript"/>
        </w:rPr>
        <w:footnoteRef/>
      </w:r>
      <w:r w:rsidRPr="000C58A8">
        <w:rPr>
          <w:rFonts w:ascii="Arial" w:eastAsia="Arial" w:hAnsi="Arial" w:cs="Arial"/>
          <w:color w:val="000000"/>
          <w:sz w:val="18"/>
          <w:szCs w:val="18"/>
          <w:vertAlign w:val="superscript"/>
          <w:lang w:val="es-ES_tradnl"/>
        </w:rPr>
        <w:t xml:space="preserve"> </w:t>
      </w:r>
      <w:r w:rsidRPr="000C58A8">
        <w:rPr>
          <w:rFonts w:ascii="Arial" w:eastAsia="Arial" w:hAnsi="Arial" w:cs="Arial"/>
          <w:color w:val="000000"/>
          <w:sz w:val="18"/>
          <w:szCs w:val="18"/>
          <w:vertAlign w:val="superscript"/>
          <w:lang w:val="es-ES_tradnl"/>
        </w:rPr>
        <w:tab/>
      </w:r>
      <w:hyperlink r:id="rId3" w:history="1">
        <w:r w:rsidRPr="000C58A8">
          <w:rPr>
            <w:rFonts w:ascii="Arial" w:eastAsia="Arial" w:hAnsi="Arial" w:cs="Arial"/>
            <w:color w:val="000000"/>
            <w:sz w:val="18"/>
            <w:szCs w:val="18"/>
            <w:lang w:val="es-ES_tradnl"/>
          </w:rPr>
          <w:t>Nota</w:t>
        </w:r>
      </w:hyperlink>
      <w:r w:rsidRPr="000C58A8">
        <w:rPr>
          <w:rFonts w:ascii="Arial" w:eastAsia="Arial" w:hAnsi="Arial" w:cs="Arial"/>
          <w:color w:val="000000"/>
          <w:sz w:val="18"/>
          <w:szCs w:val="18"/>
          <w:lang w:val="es-ES_tradnl"/>
        </w:rPr>
        <w:t xml:space="preserve"> Técnica 1.4 – </w:t>
      </w:r>
      <w:r w:rsidRPr="000C58A8">
        <w:rPr>
          <w:rFonts w:ascii="Arial" w:eastAsia="Arial" w:hAnsi="Arial" w:cs="Arial"/>
          <w:sz w:val="18"/>
          <w:szCs w:val="18"/>
          <w:lang w:val="es-ES_tradnl"/>
        </w:rPr>
        <w:t>La información del Portal de Transparencia se actualiza manualmente.</w:t>
      </w:r>
    </w:p>
  </w:footnote>
  <w:footnote w:id="28">
    <w:p w14:paraId="1A979182" w14:textId="274BA1ED" w:rsidR="0085641E" w:rsidRPr="003C561B" w:rsidRDefault="00225EEA" w:rsidP="00B17805">
      <w:pPr>
        <w:pStyle w:val="FootnoteText"/>
        <w:ind w:hanging="288"/>
        <w:contextualSpacing/>
        <w:rPr>
          <w:rFonts w:ascii="Arial" w:hAnsi="Arial" w:cs="Arial"/>
          <w:sz w:val="18"/>
          <w:szCs w:val="18"/>
          <w:lang w:val="es-ES_tradnl"/>
        </w:rPr>
      </w:pPr>
      <w:r w:rsidRPr="00710B87">
        <w:rPr>
          <w:rStyle w:val="FootnoteReference"/>
          <w:rFonts w:ascii="Arial" w:hAnsi="Arial" w:cs="Arial"/>
          <w:sz w:val="18"/>
          <w:szCs w:val="18"/>
        </w:rPr>
        <w:footnoteRef/>
      </w:r>
      <w:r w:rsidR="00B17805">
        <w:rPr>
          <w:rFonts w:ascii="Arial" w:eastAsia="Arial" w:hAnsi="Arial" w:cs="Arial"/>
          <w:sz w:val="18"/>
          <w:szCs w:val="18"/>
          <w:lang w:val="es-ES_tradnl"/>
        </w:rPr>
        <w:t xml:space="preserve">  </w:t>
      </w:r>
      <w:r w:rsidRPr="000C58A8">
        <w:rPr>
          <w:rFonts w:ascii="Arial" w:eastAsia="Arial" w:hAnsi="Arial" w:cs="Arial"/>
          <w:sz w:val="18"/>
          <w:szCs w:val="18"/>
          <w:lang w:val="es-ES_tradnl"/>
        </w:rPr>
        <w:t xml:space="preserve"> Nota Técnica 1.4 - El portal de SEFAZ es una de las fuentes de información para la actualización del portal del estado que está clasificado en 5.99 de 10 puntos. El último entre los 27 estados</w:t>
      </w:r>
    </w:p>
  </w:footnote>
  <w:footnote w:id="29">
    <w:p w14:paraId="43B5D88E" w14:textId="4A06B73A" w:rsidR="0085641E" w:rsidRPr="000C58A8" w:rsidRDefault="00225EEA" w:rsidP="00B17805">
      <w:pPr>
        <w:pStyle w:val="FootnoteText"/>
        <w:ind w:hanging="288"/>
        <w:contextualSpacing/>
        <w:rPr>
          <w:rFonts w:ascii="Arial" w:hAnsi="Arial" w:cs="Arial"/>
          <w:lang w:val="es-ES_tradnl"/>
        </w:rPr>
      </w:pPr>
      <w:r w:rsidRPr="00710B87">
        <w:rPr>
          <w:rStyle w:val="FootnoteReference"/>
          <w:rFonts w:ascii="Arial" w:hAnsi="Arial" w:cs="Arial"/>
          <w:sz w:val="18"/>
          <w:szCs w:val="18"/>
        </w:rPr>
        <w:footnoteRef/>
      </w:r>
      <w:r w:rsidR="00D26172">
        <w:rPr>
          <w:rFonts w:ascii="Arial" w:eastAsia="Arial" w:hAnsi="Arial" w:cs="Arial"/>
          <w:sz w:val="18"/>
          <w:szCs w:val="18"/>
          <w:lang w:val="es-ES_tradnl"/>
        </w:rPr>
        <w:t xml:space="preserve">  </w:t>
      </w:r>
      <w:r w:rsidRPr="000C58A8">
        <w:rPr>
          <w:rFonts w:ascii="Arial" w:eastAsia="Arial" w:hAnsi="Arial" w:cs="Arial"/>
          <w:sz w:val="18"/>
          <w:szCs w:val="18"/>
          <w:lang w:val="es-ES_tradnl"/>
        </w:rPr>
        <w:t xml:space="preserve"> Nota Técnica 1.4 - Sólo 1 (Serra do </w:t>
      </w:r>
      <w:proofErr w:type="spellStart"/>
      <w:r w:rsidRPr="000C58A8">
        <w:rPr>
          <w:rFonts w:ascii="Arial" w:eastAsia="Arial" w:hAnsi="Arial" w:cs="Arial"/>
          <w:sz w:val="18"/>
          <w:szCs w:val="18"/>
          <w:lang w:val="es-ES_tradnl"/>
        </w:rPr>
        <w:t>Navio</w:t>
      </w:r>
      <w:proofErr w:type="spellEnd"/>
      <w:r w:rsidRPr="000C58A8">
        <w:rPr>
          <w:rFonts w:ascii="Arial" w:eastAsia="Arial" w:hAnsi="Arial" w:cs="Arial"/>
          <w:sz w:val="18"/>
          <w:szCs w:val="18"/>
          <w:lang w:val="es-ES_tradnl"/>
        </w:rPr>
        <w:t>) de los 16 municipios cuenta con el programa de educación fiscal.</w:t>
      </w:r>
      <w:r w:rsidRPr="000C58A8">
        <w:rPr>
          <w:rFonts w:ascii="Arial" w:eastAsia="Arial" w:hAnsi="Arial" w:cs="Arial"/>
          <w:lang w:val="es-ES_tradnl"/>
        </w:rPr>
        <w:t xml:space="preserve"> </w:t>
      </w:r>
    </w:p>
  </w:footnote>
  <w:footnote w:id="30">
    <w:p w14:paraId="32419F7F" w14:textId="7EAFFCD7" w:rsidR="0085641E" w:rsidRPr="000C58A8" w:rsidRDefault="00225EEA" w:rsidP="00B17805">
      <w:pPr>
        <w:pStyle w:val="FootnoteText"/>
        <w:ind w:hanging="288"/>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r w:rsidR="00D26172">
        <w:rPr>
          <w:rFonts w:ascii="Arial" w:eastAsia="Arial" w:hAnsi="Arial" w:cs="Arial"/>
          <w:sz w:val="18"/>
          <w:szCs w:val="18"/>
          <w:lang w:val="es-ES_tradnl"/>
        </w:rPr>
        <w:t xml:space="preserve"> </w:t>
      </w:r>
      <w:r w:rsidRPr="000C58A8">
        <w:rPr>
          <w:rFonts w:ascii="Arial" w:eastAsia="Arial" w:hAnsi="Arial" w:cs="Arial"/>
          <w:sz w:val="18"/>
          <w:szCs w:val="18"/>
          <w:lang w:val="es-ES_tradnl"/>
        </w:rPr>
        <w:t>Nota técnica 2.1 - La renuncia fiscal del estado fue de aproximadamente el 10% de la recaudación del Estado.</w:t>
      </w:r>
    </w:p>
  </w:footnote>
  <w:footnote w:id="31">
    <w:p w14:paraId="1A9091CC" w14:textId="4083BCF7" w:rsidR="0085641E" w:rsidRPr="000C58A8" w:rsidRDefault="00225EEA" w:rsidP="00D26172">
      <w:pPr>
        <w:pStyle w:val="FootnoteText"/>
        <w:tabs>
          <w:tab w:val="left" w:pos="0"/>
        </w:tabs>
        <w:ind w:left="288" w:hanging="288"/>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r w:rsidR="00D26172">
        <w:rPr>
          <w:rFonts w:ascii="Arial" w:eastAsia="Arial" w:hAnsi="Arial" w:cs="Arial"/>
          <w:sz w:val="18"/>
          <w:szCs w:val="18"/>
          <w:lang w:val="es-ES_tradnl"/>
        </w:rPr>
        <w:t xml:space="preserve"> </w:t>
      </w:r>
      <w:r w:rsidRPr="000C58A8">
        <w:rPr>
          <w:rFonts w:ascii="Arial" w:eastAsia="Arial" w:hAnsi="Arial" w:cs="Arial"/>
          <w:sz w:val="18"/>
          <w:szCs w:val="18"/>
          <w:lang w:val="es-ES_tradnl"/>
        </w:rPr>
        <w:t xml:space="preserve">Nota Técnica 2.1 - Existe </w:t>
      </w:r>
      <w:r w:rsidRPr="000C58A8">
        <w:rPr>
          <w:rFonts w:ascii="Arial" w:eastAsia="Arial" w:hAnsi="Arial" w:cs="Arial"/>
          <w:b/>
          <w:bCs/>
          <w:sz w:val="18"/>
          <w:szCs w:val="18"/>
          <w:lang w:val="es-ES_tradnl"/>
        </w:rPr>
        <w:t>una</w:t>
      </w:r>
      <w:r w:rsidRPr="000C58A8">
        <w:rPr>
          <w:rFonts w:ascii="Arial" w:eastAsia="Arial" w:hAnsi="Arial" w:cs="Arial"/>
          <w:sz w:val="18"/>
          <w:szCs w:val="18"/>
          <w:lang w:val="es-ES_tradnl"/>
        </w:rPr>
        <w:t xml:space="preserve"> ley (Código tributario) y </w:t>
      </w:r>
      <w:r w:rsidRPr="000C58A8">
        <w:rPr>
          <w:rFonts w:ascii="Arial" w:eastAsia="Arial" w:hAnsi="Arial" w:cs="Arial"/>
          <w:b/>
          <w:bCs/>
          <w:sz w:val="18"/>
          <w:szCs w:val="18"/>
          <w:lang w:val="es-ES_tradnl"/>
        </w:rPr>
        <w:t>cuatro</w:t>
      </w:r>
      <w:r w:rsidRPr="000C58A8">
        <w:rPr>
          <w:rFonts w:ascii="Arial" w:eastAsia="Arial" w:hAnsi="Arial" w:cs="Arial"/>
          <w:sz w:val="18"/>
          <w:szCs w:val="18"/>
          <w:lang w:val="es-ES_tradnl"/>
        </w:rPr>
        <w:t xml:space="preserve"> reglamentos por tributos desactualizados.</w:t>
      </w:r>
    </w:p>
  </w:footnote>
  <w:footnote w:id="32">
    <w:p w14:paraId="3735FD9A" w14:textId="77777777" w:rsidR="0085641E" w:rsidRPr="000C58A8" w:rsidRDefault="00225EEA" w:rsidP="00D26172">
      <w:pPr>
        <w:pStyle w:val="FootnoteText"/>
        <w:tabs>
          <w:tab w:val="left" w:pos="0"/>
        </w:tabs>
        <w:ind w:left="288" w:hanging="288"/>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Nota Técnica 2.1 - Se desconoce cuál es el GAP tributario del estado.</w:t>
      </w:r>
    </w:p>
  </w:footnote>
  <w:footnote w:id="33">
    <w:p w14:paraId="2D4EC328" w14:textId="77777777" w:rsidR="0085641E" w:rsidRPr="000C58A8" w:rsidRDefault="00225EEA" w:rsidP="00D26172">
      <w:pPr>
        <w:pStyle w:val="FootnoteText"/>
        <w:ind w:left="288" w:hanging="288"/>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Nota Técnica 2.2 - Cuerpo de bomberos, vigilancia sanitaria, defensa e inspección agropecuaria, medio ambiente, y con las 16 municipalidades.</w:t>
      </w:r>
    </w:p>
  </w:footnote>
  <w:footnote w:id="34">
    <w:p w14:paraId="41A19093" w14:textId="23956C1A" w:rsidR="0085641E" w:rsidRPr="000C58A8" w:rsidRDefault="00225EEA" w:rsidP="00D26172">
      <w:pPr>
        <w:pStyle w:val="FootnoteText"/>
        <w:tabs>
          <w:tab w:val="left" w:pos="0"/>
        </w:tabs>
        <w:ind w:left="288" w:hanging="288"/>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r w:rsidR="00D26172">
        <w:rPr>
          <w:rFonts w:ascii="Arial" w:eastAsia="Arial" w:hAnsi="Arial" w:cs="Arial"/>
          <w:sz w:val="18"/>
          <w:szCs w:val="18"/>
          <w:lang w:val="es-ES_tradnl"/>
        </w:rPr>
        <w:t xml:space="preserve">  </w:t>
      </w:r>
      <w:r w:rsidRPr="000C58A8">
        <w:rPr>
          <w:rFonts w:ascii="Arial" w:eastAsia="Arial" w:hAnsi="Arial" w:cs="Arial"/>
          <w:sz w:val="18"/>
          <w:szCs w:val="18"/>
          <w:lang w:val="es-ES_tradnl"/>
        </w:rPr>
        <w:t>Nota Técnica 2.2 - En 2018, SEFAZ gastó 30 días para actualizar la información del Impuesto de Transmisión Causas Mortis y Donaciones-ITCMD. El tiempo entre la entrada del proceso para la determinación del impuesto es de 30 días; y el Sistema de Administración Tributaria (SATE) no cuenta con ninguna funcionalidad para la gestión del comercio exterior</w:t>
      </w:r>
    </w:p>
  </w:footnote>
  <w:footnote w:id="35">
    <w:p w14:paraId="6E343656" w14:textId="77777777" w:rsidR="0085641E" w:rsidRPr="000C58A8" w:rsidRDefault="00225EEA" w:rsidP="00D26172">
      <w:pPr>
        <w:pStyle w:val="FootnoteText"/>
        <w:ind w:left="288" w:hanging="288"/>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Nota Técnica 2.2 - El SATE no cuenta con ninguna funcionalidad para la gestión del comercio exterior</w:t>
      </w:r>
    </w:p>
  </w:footnote>
  <w:footnote w:id="36">
    <w:p w14:paraId="64156066" w14:textId="267971BF" w:rsidR="0085641E" w:rsidRPr="000C58A8" w:rsidRDefault="00225EEA" w:rsidP="002D2082">
      <w:pPr>
        <w:pStyle w:val="FootnoteText"/>
        <w:ind w:left="270" w:hanging="274"/>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Nota técnica 2.3 - Una auditoría integral lleva 240 días</w:t>
      </w:r>
      <w:r w:rsidR="00B135AB">
        <w:rPr>
          <w:rFonts w:ascii="Arial" w:eastAsia="Arial" w:hAnsi="Arial" w:cs="Arial"/>
          <w:sz w:val="18"/>
          <w:szCs w:val="18"/>
          <w:lang w:val="es-ES_tradnl"/>
        </w:rPr>
        <w:t xml:space="preserve"> (</w:t>
      </w:r>
      <w:r w:rsidR="00B135AB" w:rsidRPr="003C561B">
        <w:rPr>
          <w:rFonts w:ascii="Arial" w:eastAsia="Arial" w:hAnsi="Arial" w:cs="Arial"/>
          <w:sz w:val="18"/>
          <w:szCs w:val="18"/>
          <w:lang w:val="es-ES_tradnl"/>
        </w:rPr>
        <w:t>promedio de los últimos 5 año</w:t>
      </w:r>
      <w:r w:rsidR="00B135AB">
        <w:rPr>
          <w:rFonts w:ascii="Arial" w:eastAsia="Arial" w:hAnsi="Arial" w:cs="Arial"/>
          <w:sz w:val="18"/>
          <w:szCs w:val="18"/>
          <w:lang w:val="es-ES_tradnl"/>
        </w:rPr>
        <w:t>)</w:t>
      </w:r>
      <w:r w:rsidRPr="000C58A8">
        <w:rPr>
          <w:rFonts w:ascii="Arial" w:eastAsia="Arial" w:hAnsi="Arial" w:cs="Arial"/>
          <w:sz w:val="18"/>
          <w:szCs w:val="18"/>
          <w:lang w:val="es-ES_tradnl"/>
        </w:rPr>
        <w:t>.</w:t>
      </w:r>
    </w:p>
  </w:footnote>
  <w:footnote w:id="37">
    <w:p w14:paraId="23201D45" w14:textId="3EA3D313" w:rsidR="0085641E" w:rsidRPr="000C58A8" w:rsidRDefault="00225EEA" w:rsidP="002D2082">
      <w:pPr>
        <w:pStyle w:val="FootnoteText"/>
        <w:ind w:left="270" w:hanging="274"/>
        <w:contextualSpacing/>
        <w:rPr>
          <w:rFonts w:ascii="Arial" w:hAnsi="Arial" w:cs="Arial"/>
          <w:sz w:val="18"/>
          <w:szCs w:val="18"/>
          <w:lang w:val="es-ES_tradnl"/>
        </w:rPr>
      </w:pPr>
      <w:r w:rsidRPr="00710B87">
        <w:rPr>
          <w:rStyle w:val="FootnoteReference"/>
          <w:rFonts w:ascii="Arial" w:hAnsi="Arial" w:cs="Arial"/>
          <w:sz w:val="18"/>
          <w:szCs w:val="18"/>
        </w:rPr>
        <w:footnoteRef/>
      </w:r>
      <w:bookmarkStart w:id="12" w:name="_Hlk2878205"/>
      <w:r w:rsidRPr="000C58A8">
        <w:rPr>
          <w:rFonts w:ascii="Arial" w:eastAsia="Arial" w:hAnsi="Arial" w:cs="Arial"/>
          <w:sz w:val="18"/>
          <w:szCs w:val="18"/>
          <w:lang w:val="es-ES_tradnl"/>
        </w:rPr>
        <w:t xml:space="preserve"> </w:t>
      </w:r>
      <w:r w:rsidR="00D26172">
        <w:rPr>
          <w:rFonts w:ascii="Arial" w:eastAsia="Arial" w:hAnsi="Arial" w:cs="Arial"/>
          <w:sz w:val="18"/>
          <w:szCs w:val="18"/>
          <w:lang w:val="es-ES_tradnl"/>
        </w:rPr>
        <w:t xml:space="preserve">  </w:t>
      </w:r>
      <w:r w:rsidRPr="000C58A8">
        <w:rPr>
          <w:rFonts w:ascii="Arial" w:eastAsia="Arial" w:hAnsi="Arial" w:cs="Arial"/>
          <w:sz w:val="18"/>
          <w:szCs w:val="18"/>
          <w:lang w:val="es-ES_tradnl"/>
        </w:rPr>
        <w:t xml:space="preserve">Nota Técnica 2.3 </w:t>
      </w:r>
      <w:bookmarkEnd w:id="12"/>
      <w:r w:rsidRPr="000C58A8">
        <w:rPr>
          <w:rFonts w:ascii="Arial" w:eastAsia="Arial" w:hAnsi="Arial" w:cs="Arial"/>
          <w:sz w:val="18"/>
          <w:szCs w:val="18"/>
          <w:lang w:val="es-ES_tradnl"/>
        </w:rPr>
        <w:t>- En 2018, en el mayor puerto, pasaron 30,597 unidades de carga, con un valor de R$ 4,3 mil millones</w:t>
      </w:r>
    </w:p>
  </w:footnote>
  <w:footnote w:id="38">
    <w:p w14:paraId="220FAF58" w14:textId="2DE55ED7" w:rsidR="0085641E" w:rsidRPr="000C58A8" w:rsidRDefault="00225EEA" w:rsidP="002D2082">
      <w:pPr>
        <w:pStyle w:val="FootnoteText"/>
        <w:ind w:left="270" w:hanging="274"/>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r w:rsidR="00D26172">
        <w:rPr>
          <w:rFonts w:ascii="Arial" w:eastAsia="Arial" w:hAnsi="Arial" w:cs="Arial"/>
          <w:sz w:val="18"/>
          <w:szCs w:val="18"/>
          <w:lang w:val="es-ES_tradnl"/>
        </w:rPr>
        <w:t xml:space="preserve"> </w:t>
      </w:r>
      <w:r w:rsidRPr="000C58A8">
        <w:rPr>
          <w:rFonts w:ascii="Arial" w:eastAsia="Arial" w:hAnsi="Arial" w:cs="Arial"/>
          <w:sz w:val="18"/>
          <w:szCs w:val="18"/>
          <w:lang w:val="es-ES_tradnl"/>
        </w:rPr>
        <w:t>Nota Técnica 2.4- Aproximadamente 90 días de la fecha de impugnación del contribuyente y el término del proceso de 1ª instancia.</w:t>
      </w:r>
    </w:p>
  </w:footnote>
  <w:footnote w:id="39">
    <w:p w14:paraId="4EC67D30" w14:textId="77777777" w:rsidR="0085641E" w:rsidRPr="000C58A8" w:rsidRDefault="00225EEA" w:rsidP="002D2082">
      <w:pPr>
        <w:pStyle w:val="FootnoteText"/>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Nota Técnica 2.4 - En el año 2018 el tiempo medio de finalización del proceso contencioso (2ª instancia) fue de 1 año y medio.</w:t>
      </w:r>
    </w:p>
  </w:footnote>
  <w:footnote w:id="40">
    <w:p w14:paraId="2FBD7973" w14:textId="77777777" w:rsidR="0085641E" w:rsidRPr="000C58A8" w:rsidRDefault="00225EEA" w:rsidP="002D2082">
      <w:pPr>
        <w:pStyle w:val="FootnoteText"/>
        <w:ind w:left="180" w:hanging="180"/>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Nota Técnica 2.5 - El tiempo promedio de atención es de 60 minutos, cuando el ideal sería de 10 minutos.</w:t>
      </w:r>
    </w:p>
  </w:footnote>
  <w:footnote w:id="41">
    <w:p w14:paraId="12E8F08B" w14:textId="77777777" w:rsidR="0085641E" w:rsidRPr="000C58A8" w:rsidRDefault="00225EEA" w:rsidP="002D2082">
      <w:pPr>
        <w:pStyle w:val="FootnoteText"/>
        <w:ind w:left="180" w:hanging="180"/>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Nota Técnica 2.5 - Hay únicamente 3 centrales de atención para 16 municipios.  </w:t>
      </w:r>
    </w:p>
  </w:footnote>
  <w:footnote w:id="42">
    <w:p w14:paraId="0D60CE14" w14:textId="77777777" w:rsidR="0085641E" w:rsidRPr="000C58A8" w:rsidRDefault="00225EEA" w:rsidP="002D2082">
      <w:pPr>
        <w:pStyle w:val="FootnoteText"/>
        <w:ind w:left="180" w:hanging="180"/>
        <w:contextualSpacing/>
        <w:rPr>
          <w:rFonts w:ascii="Arial" w:hAnsi="Arial" w:cs="Arial"/>
          <w:sz w:val="18"/>
          <w:szCs w:val="18"/>
          <w:lang w:val="es-ES_tradnl"/>
        </w:rPr>
      </w:pPr>
      <w:r w:rsidRPr="00710B87">
        <w:rPr>
          <w:rStyle w:val="FootnoteReference"/>
          <w:rFonts w:ascii="Arial" w:hAnsi="Arial" w:cs="Arial"/>
          <w:sz w:val="18"/>
          <w:szCs w:val="18"/>
        </w:rPr>
        <w:footnoteRef/>
      </w:r>
      <w:bookmarkStart w:id="13" w:name="_Hlk2878874"/>
      <w:r w:rsidRPr="000C58A8">
        <w:rPr>
          <w:rFonts w:ascii="Arial" w:eastAsia="Arial" w:hAnsi="Arial" w:cs="Arial"/>
          <w:sz w:val="18"/>
          <w:szCs w:val="18"/>
          <w:lang w:val="es-ES_tradnl"/>
        </w:rPr>
        <w:t xml:space="preserve">   Nota Técnica 2.5 </w:t>
      </w:r>
      <w:bookmarkEnd w:id="13"/>
      <w:r w:rsidRPr="000C58A8">
        <w:rPr>
          <w:rFonts w:ascii="Arial" w:eastAsia="Arial" w:hAnsi="Arial" w:cs="Arial"/>
          <w:sz w:val="18"/>
          <w:szCs w:val="18"/>
          <w:lang w:val="es-ES_tradnl"/>
        </w:rPr>
        <w:t xml:space="preserve">-Sólo 10 de los 50 servicios existentes están en línea. </w:t>
      </w:r>
    </w:p>
  </w:footnote>
  <w:footnote w:id="43">
    <w:p w14:paraId="55CE96FA" w14:textId="537416E6" w:rsidR="0085641E" w:rsidRPr="000C58A8" w:rsidRDefault="00225EEA" w:rsidP="00DA5CCD">
      <w:pPr>
        <w:spacing w:after="0"/>
        <w:ind w:left="360" w:hanging="360"/>
        <w:contextualSpacing/>
        <w:jc w:val="both"/>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r w:rsidR="00D26172">
        <w:rPr>
          <w:rFonts w:ascii="Arial" w:eastAsia="Arial" w:hAnsi="Arial" w:cs="Arial"/>
          <w:sz w:val="18"/>
          <w:szCs w:val="18"/>
          <w:lang w:val="es-ES_tradnl"/>
        </w:rPr>
        <w:t xml:space="preserve"> </w:t>
      </w:r>
      <w:r w:rsidRPr="000C58A8">
        <w:rPr>
          <w:rFonts w:ascii="Arial" w:eastAsia="Arial" w:hAnsi="Arial" w:cs="Arial"/>
          <w:sz w:val="18"/>
          <w:szCs w:val="18"/>
          <w:lang w:val="es-ES_tradnl"/>
        </w:rPr>
        <w:t>Nota técnica 2.6 - En 2018 el saldo de pagos atrasados fue de R$ 3,67 millones. La inscripción en deuda activa del valor declarado y no pagado fue de R$ 2,36 millones. La cantidad de omisos fue de 212; La información de la recaudación lleva una semana para ser puesta a disposición del tesoro.</w:t>
      </w:r>
    </w:p>
  </w:footnote>
  <w:footnote w:id="44">
    <w:p w14:paraId="7182DA1F" w14:textId="77777777" w:rsidR="0085641E" w:rsidRPr="000C58A8" w:rsidRDefault="00225EEA" w:rsidP="00DA5CCD">
      <w:pPr>
        <w:pStyle w:val="FootnoteText"/>
        <w:ind w:left="360" w:hanging="360"/>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Nota Técnica 2.6 - La información de la recaudación de impuestos tarda 1 semana para ser puesta a disposición del sistema financiero (SIPLAG).</w:t>
      </w:r>
    </w:p>
  </w:footnote>
  <w:footnote w:id="45">
    <w:p w14:paraId="43F6C748" w14:textId="68581855" w:rsidR="0085641E" w:rsidRPr="000C58A8" w:rsidRDefault="00225EEA" w:rsidP="00DA5CCD">
      <w:pPr>
        <w:pStyle w:val="FootnoteText"/>
        <w:ind w:left="360" w:right="-360" w:hanging="360"/>
        <w:contextualSpacing/>
        <w:rPr>
          <w:rFonts w:ascii="Arial" w:hAnsi="Arial" w:cs="Arial"/>
          <w:sz w:val="18"/>
          <w:szCs w:val="18"/>
          <w:lang w:val="es-ES_tradnl"/>
        </w:rPr>
      </w:pPr>
      <w:r w:rsidRPr="00710B87">
        <w:rPr>
          <w:rStyle w:val="FootnoteReference"/>
          <w:rFonts w:ascii="Arial" w:hAnsi="Arial" w:cs="Arial"/>
          <w:sz w:val="18"/>
          <w:szCs w:val="18"/>
        </w:rPr>
        <w:footnoteRef/>
      </w:r>
      <w:r w:rsidR="00D26172" w:rsidRPr="00D26172">
        <w:rPr>
          <w:rFonts w:ascii="Arial" w:eastAsia="Arial" w:hAnsi="Arial" w:cs="Arial"/>
          <w:sz w:val="18"/>
          <w:szCs w:val="18"/>
          <w:lang w:val="es-ES_tradnl"/>
        </w:rPr>
        <w:t xml:space="preserve"> </w:t>
      </w:r>
      <w:r w:rsidR="00D26172">
        <w:rPr>
          <w:rFonts w:ascii="Arial" w:eastAsia="Arial" w:hAnsi="Arial" w:cs="Arial"/>
          <w:sz w:val="18"/>
          <w:szCs w:val="18"/>
          <w:lang w:val="es-ES_tradnl"/>
        </w:rPr>
        <w:t xml:space="preserve">  </w:t>
      </w:r>
      <w:r w:rsidRPr="000C58A8">
        <w:rPr>
          <w:rFonts w:ascii="Arial" w:eastAsia="Arial" w:hAnsi="Arial" w:cs="Arial"/>
          <w:sz w:val="18"/>
          <w:szCs w:val="18"/>
          <w:lang w:val="es-ES_tradnl"/>
        </w:rPr>
        <w:t>Verificado por medio de la comparación entre los valores del presupuesto aprobado y su ejecución registrados en el Balance General del Estado.</w:t>
      </w:r>
    </w:p>
  </w:footnote>
  <w:footnote w:id="46">
    <w:p w14:paraId="6D47DDE9" w14:textId="77777777" w:rsidR="0085641E" w:rsidRPr="000C58A8" w:rsidRDefault="00225EEA" w:rsidP="004F3157">
      <w:pPr>
        <w:pStyle w:val="FootnoteText"/>
        <w:ind w:left="270" w:hanging="270"/>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Nota Técnica 3.1 - El sobrecosto medio en la ejecución de proyectos es del 41%.</w:t>
      </w:r>
    </w:p>
  </w:footnote>
  <w:footnote w:id="47">
    <w:p w14:paraId="79191BCB" w14:textId="77777777" w:rsidR="0085641E" w:rsidRPr="000C58A8" w:rsidRDefault="00225EEA" w:rsidP="004F3157">
      <w:pPr>
        <w:pStyle w:val="FootnoteText"/>
        <w:ind w:left="270" w:hanging="270"/>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Nota Técnica 3.1 - El 100% de los proyectos no cuentan con estudios de </w:t>
      </w:r>
      <w:proofErr w:type="spellStart"/>
      <w:r w:rsidRPr="000C58A8">
        <w:rPr>
          <w:rFonts w:ascii="Arial" w:eastAsia="Arial" w:hAnsi="Arial" w:cs="Arial"/>
          <w:sz w:val="18"/>
          <w:szCs w:val="18"/>
          <w:lang w:val="es-ES_tradnl"/>
        </w:rPr>
        <w:t>pre-inversión</w:t>
      </w:r>
      <w:proofErr w:type="spellEnd"/>
      <w:r w:rsidRPr="000C58A8">
        <w:rPr>
          <w:rFonts w:ascii="Arial" w:eastAsia="Arial" w:hAnsi="Arial" w:cs="Arial"/>
          <w:sz w:val="18"/>
          <w:szCs w:val="18"/>
          <w:lang w:val="es-ES_tradnl"/>
        </w:rPr>
        <w:t xml:space="preserve">. </w:t>
      </w:r>
    </w:p>
  </w:footnote>
  <w:footnote w:id="48">
    <w:p w14:paraId="534C272B" w14:textId="29A3BA1A" w:rsidR="0085641E" w:rsidRPr="000C58A8" w:rsidRDefault="00225EEA" w:rsidP="004F3157">
      <w:pPr>
        <w:pStyle w:val="FootnoteText"/>
        <w:ind w:left="270" w:hanging="270"/>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r w:rsidR="00D26172">
        <w:rPr>
          <w:rFonts w:ascii="Arial" w:eastAsia="Arial" w:hAnsi="Arial" w:cs="Arial"/>
          <w:sz w:val="18"/>
          <w:szCs w:val="18"/>
          <w:lang w:val="es-ES_tradnl"/>
        </w:rPr>
        <w:t xml:space="preserve">  </w:t>
      </w:r>
      <w:r w:rsidRPr="000C58A8">
        <w:rPr>
          <w:rFonts w:ascii="Arial" w:eastAsia="Arial" w:hAnsi="Arial" w:cs="Arial"/>
          <w:sz w:val="18"/>
          <w:szCs w:val="18"/>
          <w:lang w:val="es-ES_tradnl"/>
        </w:rPr>
        <w:t xml:space="preserve">Nota Técnica 3.1 - El 80% de los proyectos que comenzaron en los últimos 5 años no terminarán.   </w:t>
      </w:r>
    </w:p>
  </w:footnote>
  <w:footnote w:id="49">
    <w:p w14:paraId="2B87702B" w14:textId="092739E9" w:rsidR="0085641E" w:rsidRPr="003C561B" w:rsidRDefault="00225EEA" w:rsidP="004F3157">
      <w:pPr>
        <w:pStyle w:val="FootnoteText"/>
        <w:ind w:left="270" w:hanging="270"/>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r w:rsidR="00D26172">
        <w:rPr>
          <w:rFonts w:ascii="Arial" w:eastAsia="Arial" w:hAnsi="Arial" w:cs="Arial"/>
          <w:sz w:val="18"/>
          <w:szCs w:val="18"/>
          <w:lang w:val="es-ES_tradnl"/>
        </w:rPr>
        <w:t xml:space="preserve"> </w:t>
      </w:r>
      <w:r w:rsidRPr="000C58A8">
        <w:rPr>
          <w:rFonts w:ascii="Arial" w:eastAsia="Arial" w:hAnsi="Arial" w:cs="Arial"/>
          <w:sz w:val="18"/>
          <w:szCs w:val="18"/>
          <w:lang w:val="es-ES_tradnl"/>
        </w:rPr>
        <w:t xml:space="preserve">Nota Técnica 3.1 - El 70% del personal que trabaja en las áreas de inversión no cuenta con especialización en inversión pública </w:t>
      </w:r>
    </w:p>
  </w:footnote>
  <w:footnote w:id="50">
    <w:p w14:paraId="05E6E968" w14:textId="40E5578B" w:rsidR="0085641E" w:rsidRPr="000C58A8" w:rsidRDefault="00225EEA" w:rsidP="004F3157">
      <w:pPr>
        <w:pStyle w:val="FootnoteText"/>
        <w:ind w:left="270" w:hanging="270"/>
        <w:contextualSpacing/>
        <w:rPr>
          <w:rFonts w:ascii="Arial" w:hAnsi="Arial" w:cs="Arial"/>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r w:rsidR="00D26172">
        <w:rPr>
          <w:rFonts w:ascii="Arial" w:eastAsia="Arial" w:hAnsi="Arial" w:cs="Arial"/>
          <w:sz w:val="18"/>
          <w:szCs w:val="18"/>
          <w:lang w:val="es-ES_tradnl"/>
        </w:rPr>
        <w:t xml:space="preserve"> </w:t>
      </w:r>
      <w:r w:rsidRPr="000C58A8">
        <w:rPr>
          <w:rFonts w:ascii="Arial" w:eastAsia="Arial" w:hAnsi="Arial" w:cs="Arial"/>
          <w:sz w:val="18"/>
          <w:szCs w:val="18"/>
          <w:lang w:val="es-ES_tradnl"/>
        </w:rPr>
        <w:t>Nota Técnica 3.2 - El stock de la deuda de ejercicios anteriores es de R$ 3,63 millones.</w:t>
      </w:r>
    </w:p>
  </w:footnote>
  <w:footnote w:id="51">
    <w:p w14:paraId="0694EEB6" w14:textId="77777777" w:rsidR="0085641E" w:rsidRPr="003C561B" w:rsidRDefault="00225EEA" w:rsidP="004F3157">
      <w:pPr>
        <w:pStyle w:val="FootnoteText"/>
        <w:ind w:left="270" w:hanging="270"/>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Nota Técnica 3.2 - En 2018 el Municipio de Santana tuvo una caída del 5% en su índice.</w:t>
      </w:r>
    </w:p>
  </w:footnote>
  <w:footnote w:id="52">
    <w:p w14:paraId="1A966AE0" w14:textId="136131DD" w:rsidR="0085641E" w:rsidRPr="000C58A8" w:rsidRDefault="00225EEA" w:rsidP="004F3157">
      <w:pPr>
        <w:pStyle w:val="FootnoteText"/>
        <w:ind w:left="274" w:hanging="274"/>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bookmarkStart w:id="14" w:name="_Hlk9966069"/>
      <w:r w:rsidRPr="000C58A8">
        <w:rPr>
          <w:rFonts w:ascii="Arial" w:eastAsia="Arial" w:hAnsi="Arial" w:cs="Arial"/>
          <w:sz w:val="18"/>
          <w:szCs w:val="18"/>
          <w:lang w:val="es-ES_tradnl"/>
        </w:rPr>
        <w:t xml:space="preserve"> Nota Técnica 3.3 </w:t>
      </w:r>
      <w:bookmarkEnd w:id="14"/>
      <w:r w:rsidRPr="000C58A8">
        <w:rPr>
          <w:rFonts w:ascii="Arial" w:eastAsia="Arial" w:hAnsi="Arial" w:cs="Arial"/>
          <w:sz w:val="18"/>
          <w:szCs w:val="18"/>
          <w:lang w:val="es-ES_tradnl"/>
        </w:rPr>
        <w:t>- Veintidós dos 55 órganos y entidades del estado aún no están integrados en el proceso de centralización de compras y de los integrados, sólo 3 están parcialmente.</w:t>
      </w:r>
    </w:p>
  </w:footnote>
  <w:footnote w:id="53">
    <w:p w14:paraId="178ED40A" w14:textId="77777777" w:rsidR="0085641E" w:rsidRPr="000C58A8" w:rsidRDefault="00225EEA" w:rsidP="004F3157">
      <w:pPr>
        <w:pStyle w:val="FootnoteText"/>
        <w:ind w:left="274" w:hanging="274"/>
        <w:contextualSpacing/>
        <w:rPr>
          <w:rFonts w:ascii="Arial" w:hAnsi="Arial" w:cs="Arial"/>
          <w:sz w:val="18"/>
          <w:szCs w:val="18"/>
          <w:lang w:val="es-ES_tradnl"/>
        </w:rPr>
      </w:pPr>
      <w:r w:rsidRPr="00710B87">
        <w:rPr>
          <w:rStyle w:val="FootnoteReference"/>
          <w:rFonts w:ascii="Arial" w:hAnsi="Arial" w:cs="Arial"/>
          <w:sz w:val="18"/>
          <w:szCs w:val="18"/>
        </w:rPr>
        <w:footnoteRef/>
      </w:r>
      <w:bookmarkStart w:id="15" w:name="_Hlk9966099"/>
      <w:r w:rsidRPr="000C58A8">
        <w:rPr>
          <w:rFonts w:ascii="Arial" w:eastAsia="Arial" w:hAnsi="Arial" w:cs="Arial"/>
          <w:sz w:val="18"/>
          <w:szCs w:val="18"/>
          <w:lang w:val="es-ES_tradnl"/>
        </w:rPr>
        <w:t xml:space="preserve">  Nota Técnica 3.3 </w:t>
      </w:r>
      <w:bookmarkEnd w:id="15"/>
      <w:r w:rsidRPr="000C58A8">
        <w:rPr>
          <w:rFonts w:ascii="Arial" w:eastAsia="Arial" w:hAnsi="Arial" w:cs="Arial"/>
          <w:sz w:val="18"/>
          <w:szCs w:val="18"/>
          <w:lang w:val="es-ES_tradnl"/>
        </w:rPr>
        <w:t>- Em 2018, fue necesario reiniciar 36 procesos de compras por deficiencias del sistema de un total de 95.</w:t>
      </w:r>
    </w:p>
  </w:footnote>
  <w:footnote w:id="54">
    <w:p w14:paraId="5D69541B" w14:textId="77777777" w:rsidR="0085641E" w:rsidRPr="000C58A8" w:rsidRDefault="00225EEA" w:rsidP="004F3157">
      <w:pPr>
        <w:pStyle w:val="FootnoteText"/>
        <w:ind w:left="274" w:hanging="274"/>
        <w:contextualSpacing/>
        <w:rPr>
          <w:rFonts w:ascii="Arial" w:hAnsi="Arial" w:cs="Arial"/>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Nota Técnica 3.3 - De las 76 sesiones realizadas en 2018, de 356 lotes, 216 no se concluyeron con éxito</w:t>
      </w:r>
    </w:p>
  </w:footnote>
  <w:footnote w:id="55">
    <w:p w14:paraId="2CCC6CCC" w14:textId="5F021BDE" w:rsidR="0085641E" w:rsidRPr="000C58A8" w:rsidRDefault="00225EEA" w:rsidP="004F3157">
      <w:pPr>
        <w:pStyle w:val="FootnoteText"/>
        <w:ind w:left="274" w:hanging="274"/>
        <w:contextualSpacing/>
        <w:rPr>
          <w:rFonts w:ascii="Arial" w:hAnsi="Arial" w:cs="Arial"/>
          <w:sz w:val="18"/>
          <w:szCs w:val="18"/>
          <w:lang w:val="es-ES_tradnl"/>
        </w:rPr>
      </w:pPr>
      <w:r w:rsidRPr="00710B87">
        <w:rPr>
          <w:rStyle w:val="FootnoteReference"/>
          <w:rFonts w:ascii="Arial" w:hAnsi="Arial" w:cs="Arial"/>
          <w:sz w:val="18"/>
          <w:szCs w:val="18"/>
        </w:rPr>
        <w:footnoteRef/>
      </w:r>
      <w:r w:rsidR="00D26172" w:rsidRPr="00D26172">
        <w:rPr>
          <w:rFonts w:ascii="Arial" w:eastAsia="Arial" w:hAnsi="Arial" w:cs="Arial"/>
          <w:sz w:val="18"/>
          <w:szCs w:val="18"/>
          <w:lang w:val="es-ES_tradnl"/>
        </w:rPr>
        <w:t xml:space="preserve"> </w:t>
      </w:r>
      <w:r w:rsidRPr="000C58A8">
        <w:rPr>
          <w:rFonts w:ascii="Arial" w:eastAsia="Arial" w:hAnsi="Arial" w:cs="Arial"/>
          <w:sz w:val="18"/>
          <w:szCs w:val="18"/>
          <w:lang w:val="es-ES_tradnl"/>
        </w:rPr>
        <w:t xml:space="preserve"> Nota técnica 3.4 - Sistemas SIPLAG (Financiero), SATE (Administración Financiera), SIGA (Compras, Patrimonio y Almacén) SIGRH (Recursos Humanos) y GETRAN (IPBA), adicionalmente, los 3 poderes trabajan con sistemas diferentes, como también la seguridad social, al que no están integrados. </w:t>
      </w:r>
    </w:p>
  </w:footnote>
  <w:footnote w:id="56">
    <w:p w14:paraId="3976918C" w14:textId="1F6360A7" w:rsidR="0085641E" w:rsidRPr="000C58A8" w:rsidRDefault="00225EEA" w:rsidP="004F3157">
      <w:pPr>
        <w:pStyle w:val="FootnoteText"/>
        <w:ind w:left="274" w:hanging="274"/>
        <w:contextualSpacing/>
        <w:rPr>
          <w:rFonts w:ascii="Arial" w:hAnsi="Arial" w:cs="Arial"/>
          <w:sz w:val="18"/>
          <w:szCs w:val="18"/>
          <w:lang w:val="es-ES_tradnl"/>
        </w:rPr>
      </w:pPr>
      <w:r w:rsidRPr="00710B87">
        <w:rPr>
          <w:rStyle w:val="FootnoteReference"/>
          <w:rFonts w:ascii="Arial" w:hAnsi="Arial" w:cs="Arial"/>
          <w:sz w:val="18"/>
          <w:szCs w:val="18"/>
        </w:rPr>
        <w:footnoteRef/>
      </w:r>
      <w:r w:rsidR="00D26172">
        <w:rPr>
          <w:rFonts w:ascii="Arial" w:eastAsia="Arial" w:hAnsi="Arial" w:cs="Arial"/>
          <w:sz w:val="18"/>
          <w:szCs w:val="18"/>
          <w:lang w:val="es-ES_tradnl"/>
        </w:rPr>
        <w:t xml:space="preserve">  </w:t>
      </w:r>
      <w:r w:rsidRPr="000C58A8">
        <w:rPr>
          <w:rFonts w:ascii="Arial" w:eastAsia="Arial" w:hAnsi="Arial" w:cs="Arial"/>
          <w:sz w:val="18"/>
          <w:szCs w:val="18"/>
          <w:lang w:val="es-ES_tradnl"/>
        </w:rPr>
        <w:t>Nota técnica 3.4 - Los 5 principales sistemas del estado no están integrados; en 2018 se registraron 43.106 inconsistencias en el balance; sólo 160 de los 3.500 inmuebles del estado están regularizados</w:t>
      </w:r>
    </w:p>
  </w:footnote>
  <w:footnote w:id="57">
    <w:p w14:paraId="14BA6D9F" w14:textId="77777777" w:rsidR="0085641E" w:rsidRPr="000C58A8" w:rsidRDefault="00225EEA">
      <w:pPr>
        <w:pStyle w:val="FootnoteText"/>
        <w:ind w:left="270" w:hanging="270"/>
        <w:contextualSpacing/>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Nota Técnica 3.5 - Las deudas contractuales involucran préstamos internos y externos, deuda con la seguridad social, deuda flotante y pagarés, representando R$ 3,8 mil millones controlados de forma manual (3 veces la recaudación tributaria).   </w:t>
      </w:r>
    </w:p>
  </w:footnote>
  <w:footnote w:id="58">
    <w:p w14:paraId="4F0C245C" w14:textId="77777777" w:rsidR="0085641E" w:rsidRPr="000C58A8" w:rsidRDefault="00225EEA">
      <w:pPr>
        <w:spacing w:after="0"/>
        <w:ind w:left="270" w:hanging="270"/>
        <w:contextualSpacing/>
        <w:jc w:val="both"/>
        <w:rPr>
          <w:rFonts w:ascii="Arial" w:hAnsi="Arial" w:cs="Arial"/>
          <w:sz w:val="18"/>
          <w:szCs w:val="18"/>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ab/>
      </w:r>
      <w:r w:rsidRPr="00D26172">
        <w:rPr>
          <w:rFonts w:ascii="Arial" w:eastAsia="Arial" w:hAnsi="Arial" w:cs="Arial"/>
          <w:sz w:val="18"/>
          <w:szCs w:val="18"/>
          <w:lang w:val="es-ES_tradnl"/>
        </w:rPr>
        <w:t>Nota Técnica 3.6</w:t>
      </w:r>
      <w:r w:rsidRPr="000C58A8">
        <w:rPr>
          <w:rFonts w:ascii="Arial" w:eastAsia="Arial" w:hAnsi="Arial" w:cs="Arial"/>
          <w:lang w:val="es-ES_tradnl"/>
        </w:rPr>
        <w:t xml:space="preserve"> </w:t>
      </w:r>
      <w:r w:rsidRPr="000C58A8">
        <w:rPr>
          <w:rFonts w:ascii="Arial" w:eastAsia="Arial" w:hAnsi="Arial" w:cs="Arial"/>
          <w:sz w:val="18"/>
          <w:szCs w:val="18"/>
          <w:lang w:val="es-ES_tradnl"/>
        </w:rPr>
        <w:t xml:space="preserve">- Los 4 sistemas corporativos del estado no cuentan con interfaces para proveer la información necesaria para la gestión de costos públicos. </w:t>
      </w:r>
    </w:p>
  </w:footnote>
  <w:footnote w:id="59">
    <w:p w14:paraId="1FDBAEB9" w14:textId="77777777" w:rsidR="0085641E" w:rsidRPr="000C58A8" w:rsidRDefault="00225EEA">
      <w:pPr>
        <w:pStyle w:val="FootnoteText"/>
        <w:ind w:left="187" w:hanging="187"/>
        <w:contextualSpacing/>
        <w:rPr>
          <w:rFonts w:ascii="Arial" w:hAnsi="Arial" w:cs="Arial"/>
          <w:lang w:val="es-ES_tradnl"/>
        </w:rPr>
      </w:pPr>
      <w:r w:rsidRPr="00710B87">
        <w:rPr>
          <w:rStyle w:val="FootnoteReference"/>
          <w:rFonts w:ascii="Arial" w:hAnsi="Arial" w:cs="Arial"/>
          <w:sz w:val="18"/>
          <w:szCs w:val="18"/>
        </w:rPr>
        <w:footnoteRef/>
      </w:r>
      <w:r w:rsidRPr="000C58A8">
        <w:rPr>
          <w:rFonts w:ascii="Arial" w:eastAsia="Arial" w:hAnsi="Arial" w:cs="Arial"/>
          <w:sz w:val="18"/>
          <w:szCs w:val="18"/>
          <w:lang w:val="es-ES_tradnl"/>
        </w:rPr>
        <w:t xml:space="preserve">  </w:t>
      </w:r>
      <w:bookmarkStart w:id="19" w:name="_Hlk9965439"/>
      <w:r w:rsidRPr="000C58A8">
        <w:rPr>
          <w:rFonts w:ascii="Arial" w:eastAsia="Arial" w:hAnsi="Arial" w:cs="Arial"/>
          <w:sz w:val="18"/>
          <w:szCs w:val="18"/>
          <w:lang w:val="es-ES_tradnl"/>
        </w:rPr>
        <w:t xml:space="preserve"> Nota Técnica 3.6 </w:t>
      </w:r>
      <w:bookmarkEnd w:id="19"/>
      <w:r w:rsidRPr="000C58A8">
        <w:rPr>
          <w:rFonts w:ascii="Arial" w:eastAsia="Arial" w:hAnsi="Arial" w:cs="Arial"/>
          <w:sz w:val="18"/>
          <w:szCs w:val="18"/>
          <w:lang w:val="es-ES_tradnl"/>
        </w:rPr>
        <w:t>- El alquiler de vehículos puede presentar discrepancias de hasta un 30% en sus valores. En 2018 se registraron pagos en duplicidades en energía eléctrica de aproximadamente R$ 3 millones.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50521" w14:textId="25071B7B" w:rsidR="0085641E" w:rsidRPr="000C58A8" w:rsidRDefault="00225EEA" w:rsidP="003C4863">
    <w:pPr>
      <w:pStyle w:val="Header"/>
      <w:jc w:val="center"/>
      <w:rPr>
        <w:lang w:val="es-ES_tradnl"/>
      </w:rPr>
    </w:pPr>
    <w:r>
      <w:rPr>
        <w:noProof/>
        <w:lang w:eastAsia="pt-BR"/>
      </w:rPr>
      <w:drawing>
        <wp:anchor distT="0" distB="0" distL="114300" distR="114300" simplePos="0" relativeHeight="251658240" behindDoc="0" locked="0" layoutInCell="1" allowOverlap="1" wp14:anchorId="5CB8B919" wp14:editId="35A1E141">
          <wp:simplePos x="0" y="0"/>
          <wp:positionH relativeFrom="column">
            <wp:posOffset>-180975</wp:posOffset>
          </wp:positionH>
          <wp:positionV relativeFrom="paragraph">
            <wp:posOffset>0</wp:posOffset>
          </wp:positionV>
          <wp:extent cx="956310" cy="405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430234" name="Imagem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56310" cy="405130"/>
                  </a:xfrm>
                  <a:prstGeom prst="rect">
                    <a:avLst/>
                  </a:prstGeom>
                  <a:noFill/>
                  <a:ln>
                    <a:noFill/>
                  </a:ln>
                </pic:spPr>
              </pic:pic>
            </a:graphicData>
          </a:graphic>
        </wp:anchor>
      </w:drawing>
    </w:r>
    <w:r w:rsidRPr="000C58A8">
      <w:rPr>
        <w:rFonts w:ascii="Calibri" w:eastAsia="Calibri" w:hAnsi="Calibri" w:cs="Times New Roman"/>
        <w:noProof/>
        <w:lang w:val="es-ES_tradnl" w:eastAsia="pt-BR"/>
      </w:rPr>
      <w:t xml:space="preserve">MATRIZ DE PROBLEMAS, CAUSAS, SOLUCIONES Y RESULTADOS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03F9D"/>
    <w:multiLevelType w:val="hybridMultilevel"/>
    <w:tmpl w:val="E1E0F5A6"/>
    <w:lvl w:ilvl="0" w:tplc="48C8B6BE">
      <w:start w:val="1"/>
      <w:numFmt w:val="bullet"/>
      <w:lvlText w:val=""/>
      <w:lvlJc w:val="left"/>
      <w:pPr>
        <w:ind w:left="720" w:hanging="360"/>
      </w:pPr>
      <w:rPr>
        <w:rFonts w:ascii="Symbol" w:hAnsi="Symbol" w:hint="default"/>
      </w:rPr>
    </w:lvl>
    <w:lvl w:ilvl="1" w:tplc="116E0ED8" w:tentative="1">
      <w:start w:val="1"/>
      <w:numFmt w:val="bullet"/>
      <w:lvlText w:val="o"/>
      <w:lvlJc w:val="left"/>
      <w:pPr>
        <w:ind w:left="1440" w:hanging="360"/>
      </w:pPr>
      <w:rPr>
        <w:rFonts w:ascii="Courier New" w:hAnsi="Courier New" w:cs="Courier New" w:hint="default"/>
      </w:rPr>
    </w:lvl>
    <w:lvl w:ilvl="2" w:tplc="CA165E2E" w:tentative="1">
      <w:start w:val="1"/>
      <w:numFmt w:val="bullet"/>
      <w:lvlText w:val=""/>
      <w:lvlJc w:val="left"/>
      <w:pPr>
        <w:ind w:left="2160" w:hanging="360"/>
      </w:pPr>
      <w:rPr>
        <w:rFonts w:ascii="Wingdings" w:hAnsi="Wingdings" w:hint="default"/>
      </w:rPr>
    </w:lvl>
    <w:lvl w:ilvl="3" w:tplc="9CF85BAA" w:tentative="1">
      <w:start w:val="1"/>
      <w:numFmt w:val="bullet"/>
      <w:lvlText w:val=""/>
      <w:lvlJc w:val="left"/>
      <w:pPr>
        <w:ind w:left="2880" w:hanging="360"/>
      </w:pPr>
      <w:rPr>
        <w:rFonts w:ascii="Symbol" w:hAnsi="Symbol" w:hint="default"/>
      </w:rPr>
    </w:lvl>
    <w:lvl w:ilvl="4" w:tplc="F730B402" w:tentative="1">
      <w:start w:val="1"/>
      <w:numFmt w:val="bullet"/>
      <w:lvlText w:val="o"/>
      <w:lvlJc w:val="left"/>
      <w:pPr>
        <w:ind w:left="3600" w:hanging="360"/>
      </w:pPr>
      <w:rPr>
        <w:rFonts w:ascii="Courier New" w:hAnsi="Courier New" w:cs="Courier New" w:hint="default"/>
      </w:rPr>
    </w:lvl>
    <w:lvl w:ilvl="5" w:tplc="5350BB38" w:tentative="1">
      <w:start w:val="1"/>
      <w:numFmt w:val="bullet"/>
      <w:lvlText w:val=""/>
      <w:lvlJc w:val="left"/>
      <w:pPr>
        <w:ind w:left="4320" w:hanging="360"/>
      </w:pPr>
      <w:rPr>
        <w:rFonts w:ascii="Wingdings" w:hAnsi="Wingdings" w:hint="default"/>
      </w:rPr>
    </w:lvl>
    <w:lvl w:ilvl="6" w:tplc="E9FE3A18" w:tentative="1">
      <w:start w:val="1"/>
      <w:numFmt w:val="bullet"/>
      <w:lvlText w:val=""/>
      <w:lvlJc w:val="left"/>
      <w:pPr>
        <w:ind w:left="5040" w:hanging="360"/>
      </w:pPr>
      <w:rPr>
        <w:rFonts w:ascii="Symbol" w:hAnsi="Symbol" w:hint="default"/>
      </w:rPr>
    </w:lvl>
    <w:lvl w:ilvl="7" w:tplc="19BCA3CA" w:tentative="1">
      <w:start w:val="1"/>
      <w:numFmt w:val="bullet"/>
      <w:lvlText w:val="o"/>
      <w:lvlJc w:val="left"/>
      <w:pPr>
        <w:ind w:left="5760" w:hanging="360"/>
      </w:pPr>
      <w:rPr>
        <w:rFonts w:ascii="Courier New" w:hAnsi="Courier New" w:cs="Courier New" w:hint="default"/>
      </w:rPr>
    </w:lvl>
    <w:lvl w:ilvl="8" w:tplc="117C1E26" w:tentative="1">
      <w:start w:val="1"/>
      <w:numFmt w:val="bullet"/>
      <w:lvlText w:val=""/>
      <w:lvlJc w:val="left"/>
      <w:pPr>
        <w:ind w:left="6480" w:hanging="360"/>
      </w:pPr>
      <w:rPr>
        <w:rFonts w:ascii="Wingdings" w:hAnsi="Wingdings" w:hint="default"/>
      </w:rPr>
    </w:lvl>
  </w:abstractNum>
  <w:abstractNum w:abstractNumId="1" w15:restartNumberingAfterBreak="0">
    <w:nsid w:val="14105CA9"/>
    <w:multiLevelType w:val="hybridMultilevel"/>
    <w:tmpl w:val="5232CCBC"/>
    <w:lvl w:ilvl="0" w:tplc="DB7CE320">
      <w:start w:val="1"/>
      <w:numFmt w:val="decimal"/>
      <w:pStyle w:val="ParagraphNumbering"/>
      <w:lvlText w:val="%1.     "/>
      <w:lvlJc w:val="left"/>
      <w:pPr>
        <w:tabs>
          <w:tab w:val="num" w:pos="720"/>
        </w:tabs>
        <w:ind w:left="0" w:firstLine="0"/>
      </w:pPr>
      <w:rPr>
        <w:rFonts w:hint="default"/>
        <w:b w:val="0"/>
        <w:i w:val="0"/>
        <w:color w:val="000000" w:themeColor="text1"/>
      </w:rPr>
    </w:lvl>
    <w:lvl w:ilvl="1" w:tplc="C35654C0">
      <w:start w:val="1"/>
      <w:numFmt w:val="lowerLetter"/>
      <w:lvlText w:val="%2."/>
      <w:lvlJc w:val="left"/>
      <w:pPr>
        <w:tabs>
          <w:tab w:val="num" w:pos="1440"/>
        </w:tabs>
        <w:ind w:left="1440" w:hanging="360"/>
      </w:pPr>
    </w:lvl>
    <w:lvl w:ilvl="2" w:tplc="C0FE4BDA" w:tentative="1">
      <w:start w:val="1"/>
      <w:numFmt w:val="lowerRoman"/>
      <w:lvlText w:val="%3."/>
      <w:lvlJc w:val="right"/>
      <w:pPr>
        <w:tabs>
          <w:tab w:val="num" w:pos="2160"/>
        </w:tabs>
        <w:ind w:left="2160" w:hanging="180"/>
      </w:pPr>
    </w:lvl>
    <w:lvl w:ilvl="3" w:tplc="4C7C816A" w:tentative="1">
      <w:start w:val="1"/>
      <w:numFmt w:val="decimal"/>
      <w:lvlText w:val="%4."/>
      <w:lvlJc w:val="left"/>
      <w:pPr>
        <w:tabs>
          <w:tab w:val="num" w:pos="2880"/>
        </w:tabs>
        <w:ind w:left="2880" w:hanging="360"/>
      </w:pPr>
    </w:lvl>
    <w:lvl w:ilvl="4" w:tplc="62585608" w:tentative="1">
      <w:start w:val="1"/>
      <w:numFmt w:val="lowerLetter"/>
      <w:lvlText w:val="%5."/>
      <w:lvlJc w:val="left"/>
      <w:pPr>
        <w:tabs>
          <w:tab w:val="num" w:pos="3600"/>
        </w:tabs>
        <w:ind w:left="3600" w:hanging="360"/>
      </w:pPr>
    </w:lvl>
    <w:lvl w:ilvl="5" w:tplc="D8F81A5C" w:tentative="1">
      <w:start w:val="1"/>
      <w:numFmt w:val="lowerRoman"/>
      <w:lvlText w:val="%6."/>
      <w:lvlJc w:val="right"/>
      <w:pPr>
        <w:tabs>
          <w:tab w:val="num" w:pos="4320"/>
        </w:tabs>
        <w:ind w:left="4320" w:hanging="180"/>
      </w:pPr>
    </w:lvl>
    <w:lvl w:ilvl="6" w:tplc="9898AAAE" w:tentative="1">
      <w:start w:val="1"/>
      <w:numFmt w:val="decimal"/>
      <w:lvlText w:val="%7."/>
      <w:lvlJc w:val="left"/>
      <w:pPr>
        <w:tabs>
          <w:tab w:val="num" w:pos="5040"/>
        </w:tabs>
        <w:ind w:left="5040" w:hanging="360"/>
      </w:pPr>
    </w:lvl>
    <w:lvl w:ilvl="7" w:tplc="5992D1D6" w:tentative="1">
      <w:start w:val="1"/>
      <w:numFmt w:val="lowerLetter"/>
      <w:lvlText w:val="%8."/>
      <w:lvlJc w:val="left"/>
      <w:pPr>
        <w:tabs>
          <w:tab w:val="num" w:pos="5760"/>
        </w:tabs>
        <w:ind w:left="5760" w:hanging="360"/>
      </w:pPr>
    </w:lvl>
    <w:lvl w:ilvl="8" w:tplc="AA389B12" w:tentative="1">
      <w:start w:val="1"/>
      <w:numFmt w:val="lowerRoman"/>
      <w:lvlText w:val="%9."/>
      <w:lvlJc w:val="right"/>
      <w:pPr>
        <w:tabs>
          <w:tab w:val="num" w:pos="6480"/>
        </w:tabs>
        <w:ind w:left="6480" w:hanging="180"/>
      </w:pPr>
    </w:lvl>
  </w:abstractNum>
  <w:abstractNum w:abstractNumId="2" w15:restartNumberingAfterBreak="0">
    <w:nsid w:val="34BE12CD"/>
    <w:multiLevelType w:val="multilevel"/>
    <w:tmpl w:val="6686BD82"/>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359B4991"/>
    <w:multiLevelType w:val="multilevel"/>
    <w:tmpl w:val="CFF0D312"/>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196"/>
        </w:tabs>
        <w:ind w:left="2196" w:hanging="1296"/>
      </w:pPr>
      <w:rPr>
        <w:rFonts w:ascii="Arial" w:hAnsi="Arial" w:cs="Arial" w:hint="default"/>
        <w:b w:val="0"/>
        <w:strike w:val="0"/>
        <w:color w:val="auto"/>
        <w:sz w:val="22"/>
        <w:szCs w:val="22"/>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37B25BF2"/>
    <w:multiLevelType w:val="multilevel"/>
    <w:tmpl w:val="3FF275D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E9402F3"/>
    <w:multiLevelType w:val="hybridMultilevel"/>
    <w:tmpl w:val="6E96E81C"/>
    <w:lvl w:ilvl="0" w:tplc="8E748AD6">
      <w:start w:val="1"/>
      <w:numFmt w:val="lowerLetter"/>
      <w:lvlText w:val="(%1)"/>
      <w:lvlJc w:val="left"/>
      <w:pPr>
        <w:ind w:left="720" w:hanging="360"/>
      </w:pPr>
      <w:rPr>
        <w:rFonts w:hint="default"/>
      </w:rPr>
    </w:lvl>
    <w:lvl w:ilvl="1" w:tplc="D860713E" w:tentative="1">
      <w:start w:val="1"/>
      <w:numFmt w:val="lowerLetter"/>
      <w:lvlText w:val="%2."/>
      <w:lvlJc w:val="left"/>
      <w:pPr>
        <w:ind w:left="1440" w:hanging="360"/>
      </w:pPr>
    </w:lvl>
    <w:lvl w:ilvl="2" w:tplc="CC30C5FC" w:tentative="1">
      <w:start w:val="1"/>
      <w:numFmt w:val="lowerRoman"/>
      <w:lvlText w:val="%3."/>
      <w:lvlJc w:val="right"/>
      <w:pPr>
        <w:ind w:left="2160" w:hanging="180"/>
      </w:pPr>
    </w:lvl>
    <w:lvl w:ilvl="3" w:tplc="CBAAF020" w:tentative="1">
      <w:start w:val="1"/>
      <w:numFmt w:val="decimal"/>
      <w:lvlText w:val="%4."/>
      <w:lvlJc w:val="left"/>
      <w:pPr>
        <w:ind w:left="2880" w:hanging="360"/>
      </w:pPr>
    </w:lvl>
    <w:lvl w:ilvl="4" w:tplc="8F762958" w:tentative="1">
      <w:start w:val="1"/>
      <w:numFmt w:val="lowerLetter"/>
      <w:lvlText w:val="%5."/>
      <w:lvlJc w:val="left"/>
      <w:pPr>
        <w:ind w:left="3600" w:hanging="360"/>
      </w:pPr>
    </w:lvl>
    <w:lvl w:ilvl="5" w:tplc="6160075E" w:tentative="1">
      <w:start w:val="1"/>
      <w:numFmt w:val="lowerRoman"/>
      <w:lvlText w:val="%6."/>
      <w:lvlJc w:val="right"/>
      <w:pPr>
        <w:ind w:left="4320" w:hanging="180"/>
      </w:pPr>
    </w:lvl>
    <w:lvl w:ilvl="6" w:tplc="1D129BD0" w:tentative="1">
      <w:start w:val="1"/>
      <w:numFmt w:val="decimal"/>
      <w:lvlText w:val="%7."/>
      <w:lvlJc w:val="left"/>
      <w:pPr>
        <w:ind w:left="5040" w:hanging="360"/>
      </w:pPr>
    </w:lvl>
    <w:lvl w:ilvl="7" w:tplc="15DAA20A" w:tentative="1">
      <w:start w:val="1"/>
      <w:numFmt w:val="lowerLetter"/>
      <w:lvlText w:val="%8."/>
      <w:lvlJc w:val="left"/>
      <w:pPr>
        <w:ind w:left="5760" w:hanging="360"/>
      </w:pPr>
    </w:lvl>
    <w:lvl w:ilvl="8" w:tplc="FD9E2668" w:tentative="1">
      <w:start w:val="1"/>
      <w:numFmt w:val="lowerRoman"/>
      <w:lvlText w:val="%9."/>
      <w:lvlJc w:val="right"/>
      <w:pPr>
        <w:ind w:left="6480" w:hanging="180"/>
      </w:pPr>
    </w:lvl>
  </w:abstractNum>
  <w:abstractNum w:abstractNumId="6" w15:restartNumberingAfterBreak="0">
    <w:nsid w:val="4DED47CA"/>
    <w:multiLevelType w:val="multilevel"/>
    <w:tmpl w:val="766200D0"/>
    <w:lvl w:ilvl="0">
      <w:start w:val="1"/>
      <w:numFmt w:val="upperRoman"/>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569905A8"/>
    <w:multiLevelType w:val="multilevel"/>
    <w:tmpl w:val="FBF0F3A2"/>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66"/>
        </w:tabs>
        <w:ind w:left="2466" w:hanging="1296"/>
      </w:pPr>
      <w:rPr>
        <w:rFonts w:ascii="Arial" w:hAnsi="Arial" w:cs="Arial" w:hint="default"/>
        <w:i w:val="0"/>
        <w:sz w:val="22"/>
        <w:szCs w:val="22"/>
      </w:rPr>
    </w:lvl>
    <w:lvl w:ilvl="2">
      <w:start w:val="1"/>
      <w:numFmt w:val="lowerLetter"/>
      <w:lvlText w:val="%3."/>
      <w:lvlJc w:val="left"/>
      <w:pPr>
        <w:tabs>
          <w:tab w:val="num" w:pos="2304"/>
        </w:tabs>
        <w:ind w:left="2304" w:hanging="432"/>
      </w:pPr>
      <w:rPr>
        <w:b w:val="0"/>
      </w:rPr>
    </w:lvl>
    <w:lvl w:ilvl="3">
      <w:start w:val="1"/>
      <w:numFmt w:val="lowerLetter"/>
      <w:lvlText w:val="%4."/>
      <w:lvlJc w:val="left"/>
      <w:pPr>
        <w:tabs>
          <w:tab w:val="num" w:pos="828"/>
        </w:tabs>
        <w:ind w:left="828"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8" w15:restartNumberingAfterBreak="0">
    <w:nsid w:val="62C57749"/>
    <w:multiLevelType w:val="hybridMultilevel"/>
    <w:tmpl w:val="9738D960"/>
    <w:lvl w:ilvl="0" w:tplc="FD88F204">
      <w:start w:val="1"/>
      <w:numFmt w:val="lowerLetter"/>
      <w:lvlText w:val="(%1)"/>
      <w:lvlJc w:val="left"/>
      <w:pPr>
        <w:ind w:left="720" w:hanging="360"/>
      </w:pPr>
      <w:rPr>
        <w:rFonts w:hint="default"/>
      </w:rPr>
    </w:lvl>
    <w:lvl w:ilvl="1" w:tplc="39B89A46" w:tentative="1">
      <w:start w:val="1"/>
      <w:numFmt w:val="lowerLetter"/>
      <w:lvlText w:val="%2."/>
      <w:lvlJc w:val="left"/>
      <w:pPr>
        <w:ind w:left="1440" w:hanging="360"/>
      </w:pPr>
    </w:lvl>
    <w:lvl w:ilvl="2" w:tplc="1A58006E" w:tentative="1">
      <w:start w:val="1"/>
      <w:numFmt w:val="lowerRoman"/>
      <w:lvlText w:val="%3."/>
      <w:lvlJc w:val="right"/>
      <w:pPr>
        <w:ind w:left="2160" w:hanging="180"/>
      </w:pPr>
    </w:lvl>
    <w:lvl w:ilvl="3" w:tplc="C5143516" w:tentative="1">
      <w:start w:val="1"/>
      <w:numFmt w:val="decimal"/>
      <w:lvlText w:val="%4."/>
      <w:lvlJc w:val="left"/>
      <w:pPr>
        <w:ind w:left="2880" w:hanging="360"/>
      </w:pPr>
    </w:lvl>
    <w:lvl w:ilvl="4" w:tplc="E3A8573E" w:tentative="1">
      <w:start w:val="1"/>
      <w:numFmt w:val="lowerLetter"/>
      <w:lvlText w:val="%5."/>
      <w:lvlJc w:val="left"/>
      <w:pPr>
        <w:ind w:left="3600" w:hanging="360"/>
      </w:pPr>
    </w:lvl>
    <w:lvl w:ilvl="5" w:tplc="666A7A5C" w:tentative="1">
      <w:start w:val="1"/>
      <w:numFmt w:val="lowerRoman"/>
      <w:lvlText w:val="%6."/>
      <w:lvlJc w:val="right"/>
      <w:pPr>
        <w:ind w:left="4320" w:hanging="180"/>
      </w:pPr>
    </w:lvl>
    <w:lvl w:ilvl="6" w:tplc="79D8F5CE" w:tentative="1">
      <w:start w:val="1"/>
      <w:numFmt w:val="decimal"/>
      <w:lvlText w:val="%7."/>
      <w:lvlJc w:val="left"/>
      <w:pPr>
        <w:ind w:left="5040" w:hanging="360"/>
      </w:pPr>
    </w:lvl>
    <w:lvl w:ilvl="7" w:tplc="A14416C8" w:tentative="1">
      <w:start w:val="1"/>
      <w:numFmt w:val="lowerLetter"/>
      <w:lvlText w:val="%8."/>
      <w:lvlJc w:val="left"/>
      <w:pPr>
        <w:ind w:left="5760" w:hanging="360"/>
      </w:pPr>
    </w:lvl>
    <w:lvl w:ilvl="8" w:tplc="44FE2FF0" w:tentative="1">
      <w:start w:val="1"/>
      <w:numFmt w:val="lowerRoman"/>
      <w:lvlText w:val="%9."/>
      <w:lvlJc w:val="right"/>
      <w:pPr>
        <w:ind w:left="6480" w:hanging="180"/>
      </w:pPr>
    </w:lvl>
  </w:abstractNum>
  <w:abstractNum w:abstractNumId="9" w15:restartNumberingAfterBreak="0">
    <w:nsid w:val="67840055"/>
    <w:multiLevelType w:val="hybridMultilevel"/>
    <w:tmpl w:val="A56CA848"/>
    <w:lvl w:ilvl="0" w:tplc="DDD2647C">
      <w:start w:val="1"/>
      <w:numFmt w:val="decimal"/>
      <w:lvlText w:val="%1."/>
      <w:lvlJc w:val="left"/>
      <w:pPr>
        <w:ind w:left="490" w:hanging="360"/>
      </w:pPr>
      <w:rPr>
        <w:rFonts w:hint="default"/>
      </w:rPr>
    </w:lvl>
    <w:lvl w:ilvl="1" w:tplc="720A689A" w:tentative="1">
      <w:start w:val="1"/>
      <w:numFmt w:val="lowerLetter"/>
      <w:lvlText w:val="%2."/>
      <w:lvlJc w:val="left"/>
      <w:pPr>
        <w:ind w:left="1210" w:hanging="360"/>
      </w:pPr>
    </w:lvl>
    <w:lvl w:ilvl="2" w:tplc="44EEF34A" w:tentative="1">
      <w:start w:val="1"/>
      <w:numFmt w:val="lowerRoman"/>
      <w:lvlText w:val="%3."/>
      <w:lvlJc w:val="right"/>
      <w:pPr>
        <w:ind w:left="1930" w:hanging="180"/>
      </w:pPr>
    </w:lvl>
    <w:lvl w:ilvl="3" w:tplc="F9944CA4" w:tentative="1">
      <w:start w:val="1"/>
      <w:numFmt w:val="decimal"/>
      <w:lvlText w:val="%4."/>
      <w:lvlJc w:val="left"/>
      <w:pPr>
        <w:ind w:left="2650" w:hanging="360"/>
      </w:pPr>
    </w:lvl>
    <w:lvl w:ilvl="4" w:tplc="BF18AACE" w:tentative="1">
      <w:start w:val="1"/>
      <w:numFmt w:val="lowerLetter"/>
      <w:lvlText w:val="%5."/>
      <w:lvlJc w:val="left"/>
      <w:pPr>
        <w:ind w:left="3370" w:hanging="360"/>
      </w:pPr>
    </w:lvl>
    <w:lvl w:ilvl="5" w:tplc="1A0CBE76" w:tentative="1">
      <w:start w:val="1"/>
      <w:numFmt w:val="lowerRoman"/>
      <w:lvlText w:val="%6."/>
      <w:lvlJc w:val="right"/>
      <w:pPr>
        <w:ind w:left="4090" w:hanging="180"/>
      </w:pPr>
    </w:lvl>
    <w:lvl w:ilvl="6" w:tplc="563E0746" w:tentative="1">
      <w:start w:val="1"/>
      <w:numFmt w:val="decimal"/>
      <w:lvlText w:val="%7."/>
      <w:lvlJc w:val="left"/>
      <w:pPr>
        <w:ind w:left="4810" w:hanging="360"/>
      </w:pPr>
    </w:lvl>
    <w:lvl w:ilvl="7" w:tplc="7EBA3C94" w:tentative="1">
      <w:start w:val="1"/>
      <w:numFmt w:val="lowerLetter"/>
      <w:lvlText w:val="%8."/>
      <w:lvlJc w:val="left"/>
      <w:pPr>
        <w:ind w:left="5530" w:hanging="360"/>
      </w:pPr>
    </w:lvl>
    <w:lvl w:ilvl="8" w:tplc="8A5697EA" w:tentative="1">
      <w:start w:val="1"/>
      <w:numFmt w:val="lowerRoman"/>
      <w:lvlText w:val="%9."/>
      <w:lvlJc w:val="right"/>
      <w:pPr>
        <w:ind w:left="6250" w:hanging="180"/>
      </w:pPr>
    </w:lvl>
  </w:abstractNum>
  <w:abstractNum w:abstractNumId="10" w15:restartNumberingAfterBreak="0">
    <w:nsid w:val="74C74592"/>
    <w:multiLevelType w:val="multilevel"/>
    <w:tmpl w:val="D68E96DE"/>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1"/>
  </w:num>
  <w:num w:numId="5">
    <w:abstractNumId w:val="0"/>
  </w:num>
  <w:num w:numId="6">
    <w:abstractNumId w:val="10"/>
  </w:num>
  <w:num w:numId="7">
    <w:abstractNumId w:val="7"/>
  </w:num>
  <w:num w:numId="8">
    <w:abstractNumId w:val="9"/>
  </w:num>
  <w:num w:numId="9">
    <w:abstractNumId w:val="3"/>
  </w:num>
  <w:num w:numId="10">
    <w:abstractNumId w:val="5"/>
  </w:num>
  <w:num w:numId="11">
    <w:abstractNumId w:val="8"/>
  </w:num>
  <w:num w:numId="1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2ED"/>
    <w:rsid w:val="00000528"/>
    <w:rsid w:val="0000098B"/>
    <w:rsid w:val="00001437"/>
    <w:rsid w:val="00003688"/>
    <w:rsid w:val="00004FA0"/>
    <w:rsid w:val="000050F9"/>
    <w:rsid w:val="00005622"/>
    <w:rsid w:val="00005AFF"/>
    <w:rsid w:val="000067C7"/>
    <w:rsid w:val="00006FC2"/>
    <w:rsid w:val="00007A42"/>
    <w:rsid w:val="00007A53"/>
    <w:rsid w:val="0001098A"/>
    <w:rsid w:val="00010FE6"/>
    <w:rsid w:val="00011822"/>
    <w:rsid w:val="00011CB6"/>
    <w:rsid w:val="000129C8"/>
    <w:rsid w:val="000132E4"/>
    <w:rsid w:val="00013FBD"/>
    <w:rsid w:val="000201E5"/>
    <w:rsid w:val="00020D0E"/>
    <w:rsid w:val="00020D72"/>
    <w:rsid w:val="00021B19"/>
    <w:rsid w:val="00024119"/>
    <w:rsid w:val="00024532"/>
    <w:rsid w:val="00026004"/>
    <w:rsid w:val="00026ADB"/>
    <w:rsid w:val="00027201"/>
    <w:rsid w:val="000302C2"/>
    <w:rsid w:val="0003043D"/>
    <w:rsid w:val="00030483"/>
    <w:rsid w:val="000307A3"/>
    <w:rsid w:val="000322B8"/>
    <w:rsid w:val="00032C7A"/>
    <w:rsid w:val="00035D05"/>
    <w:rsid w:val="00035D07"/>
    <w:rsid w:val="0003753A"/>
    <w:rsid w:val="00040498"/>
    <w:rsid w:val="000405E8"/>
    <w:rsid w:val="000413F5"/>
    <w:rsid w:val="00041E57"/>
    <w:rsid w:val="00042C8F"/>
    <w:rsid w:val="00043220"/>
    <w:rsid w:val="000439CB"/>
    <w:rsid w:val="00044237"/>
    <w:rsid w:val="00044543"/>
    <w:rsid w:val="000445F4"/>
    <w:rsid w:val="00044AD4"/>
    <w:rsid w:val="00045F0D"/>
    <w:rsid w:val="0004734B"/>
    <w:rsid w:val="000475BC"/>
    <w:rsid w:val="00050754"/>
    <w:rsid w:val="00051073"/>
    <w:rsid w:val="00051232"/>
    <w:rsid w:val="000516FC"/>
    <w:rsid w:val="00051B75"/>
    <w:rsid w:val="00051C2A"/>
    <w:rsid w:val="00053037"/>
    <w:rsid w:val="00055445"/>
    <w:rsid w:val="00055D60"/>
    <w:rsid w:val="00056800"/>
    <w:rsid w:val="00057698"/>
    <w:rsid w:val="0005786F"/>
    <w:rsid w:val="000602A2"/>
    <w:rsid w:val="00061BF9"/>
    <w:rsid w:val="00061FBA"/>
    <w:rsid w:val="00062255"/>
    <w:rsid w:val="00063BB3"/>
    <w:rsid w:val="0006423F"/>
    <w:rsid w:val="0006431F"/>
    <w:rsid w:val="00064D30"/>
    <w:rsid w:val="0006506B"/>
    <w:rsid w:val="00066778"/>
    <w:rsid w:val="00066E0C"/>
    <w:rsid w:val="00067409"/>
    <w:rsid w:val="0007083D"/>
    <w:rsid w:val="00070A4F"/>
    <w:rsid w:val="00070F96"/>
    <w:rsid w:val="00073008"/>
    <w:rsid w:val="0007302D"/>
    <w:rsid w:val="0007532B"/>
    <w:rsid w:val="000777E4"/>
    <w:rsid w:val="00077950"/>
    <w:rsid w:val="00084D0A"/>
    <w:rsid w:val="00085D9F"/>
    <w:rsid w:val="00086A73"/>
    <w:rsid w:val="00086A9F"/>
    <w:rsid w:val="0008718D"/>
    <w:rsid w:val="000872E6"/>
    <w:rsid w:val="000873DE"/>
    <w:rsid w:val="00087E17"/>
    <w:rsid w:val="000913D2"/>
    <w:rsid w:val="00091FC6"/>
    <w:rsid w:val="00092C81"/>
    <w:rsid w:val="000949EC"/>
    <w:rsid w:val="00094B77"/>
    <w:rsid w:val="000960F8"/>
    <w:rsid w:val="00097E10"/>
    <w:rsid w:val="000A12C5"/>
    <w:rsid w:val="000A22B5"/>
    <w:rsid w:val="000A3A83"/>
    <w:rsid w:val="000A4113"/>
    <w:rsid w:val="000A47F0"/>
    <w:rsid w:val="000A66E5"/>
    <w:rsid w:val="000B1E60"/>
    <w:rsid w:val="000B25FA"/>
    <w:rsid w:val="000B2660"/>
    <w:rsid w:val="000B2DD5"/>
    <w:rsid w:val="000B3F2D"/>
    <w:rsid w:val="000B5345"/>
    <w:rsid w:val="000B560F"/>
    <w:rsid w:val="000B60B0"/>
    <w:rsid w:val="000B7D9B"/>
    <w:rsid w:val="000C05BC"/>
    <w:rsid w:val="000C06E9"/>
    <w:rsid w:val="000C0BED"/>
    <w:rsid w:val="000C3FB4"/>
    <w:rsid w:val="000C4A4D"/>
    <w:rsid w:val="000C51C2"/>
    <w:rsid w:val="000C55B2"/>
    <w:rsid w:val="000C58A8"/>
    <w:rsid w:val="000C6E7D"/>
    <w:rsid w:val="000C7621"/>
    <w:rsid w:val="000D1CA0"/>
    <w:rsid w:val="000D29D4"/>
    <w:rsid w:val="000D32A9"/>
    <w:rsid w:val="000E1231"/>
    <w:rsid w:val="000E16B4"/>
    <w:rsid w:val="000E2931"/>
    <w:rsid w:val="000E2D6C"/>
    <w:rsid w:val="000E3A12"/>
    <w:rsid w:val="000E5EC9"/>
    <w:rsid w:val="000F0EB0"/>
    <w:rsid w:val="000F267D"/>
    <w:rsid w:val="000F2957"/>
    <w:rsid w:val="000F35A6"/>
    <w:rsid w:val="000F5571"/>
    <w:rsid w:val="000F5973"/>
    <w:rsid w:val="000F5D33"/>
    <w:rsid w:val="000F6957"/>
    <w:rsid w:val="000F7FDE"/>
    <w:rsid w:val="00101C47"/>
    <w:rsid w:val="00101E8C"/>
    <w:rsid w:val="0010227E"/>
    <w:rsid w:val="0010387F"/>
    <w:rsid w:val="0010427A"/>
    <w:rsid w:val="00104F14"/>
    <w:rsid w:val="0010555B"/>
    <w:rsid w:val="001069A3"/>
    <w:rsid w:val="00106D8D"/>
    <w:rsid w:val="001079BF"/>
    <w:rsid w:val="0011155D"/>
    <w:rsid w:val="001131A1"/>
    <w:rsid w:val="00114D79"/>
    <w:rsid w:val="00116360"/>
    <w:rsid w:val="00120DF7"/>
    <w:rsid w:val="00122521"/>
    <w:rsid w:val="0012253E"/>
    <w:rsid w:val="00122C97"/>
    <w:rsid w:val="00124513"/>
    <w:rsid w:val="00124B6A"/>
    <w:rsid w:val="00124ED8"/>
    <w:rsid w:val="001252E7"/>
    <w:rsid w:val="00125692"/>
    <w:rsid w:val="00130838"/>
    <w:rsid w:val="00131687"/>
    <w:rsid w:val="0013276E"/>
    <w:rsid w:val="00133E71"/>
    <w:rsid w:val="0013493E"/>
    <w:rsid w:val="00135F72"/>
    <w:rsid w:val="00137BE7"/>
    <w:rsid w:val="00137DD7"/>
    <w:rsid w:val="0014098A"/>
    <w:rsid w:val="00140B6D"/>
    <w:rsid w:val="001411D7"/>
    <w:rsid w:val="00142C20"/>
    <w:rsid w:val="00143BAB"/>
    <w:rsid w:val="00143CE3"/>
    <w:rsid w:val="00143E83"/>
    <w:rsid w:val="00143EED"/>
    <w:rsid w:val="00144198"/>
    <w:rsid w:val="00146275"/>
    <w:rsid w:val="00152868"/>
    <w:rsid w:val="001567B4"/>
    <w:rsid w:val="00156813"/>
    <w:rsid w:val="0015795B"/>
    <w:rsid w:val="001606E0"/>
    <w:rsid w:val="001612ED"/>
    <w:rsid w:val="00163C0E"/>
    <w:rsid w:val="0016425E"/>
    <w:rsid w:val="001647C1"/>
    <w:rsid w:val="00165AC0"/>
    <w:rsid w:val="001669B2"/>
    <w:rsid w:val="00167C60"/>
    <w:rsid w:val="001706C6"/>
    <w:rsid w:val="00171484"/>
    <w:rsid w:val="001716A4"/>
    <w:rsid w:val="0017218F"/>
    <w:rsid w:val="00172705"/>
    <w:rsid w:val="00173F35"/>
    <w:rsid w:val="001750AB"/>
    <w:rsid w:val="001752A4"/>
    <w:rsid w:val="00175527"/>
    <w:rsid w:val="00176978"/>
    <w:rsid w:val="00177714"/>
    <w:rsid w:val="00183A7E"/>
    <w:rsid w:val="00185A23"/>
    <w:rsid w:val="001872FD"/>
    <w:rsid w:val="00187B49"/>
    <w:rsid w:val="0019594F"/>
    <w:rsid w:val="00195D0E"/>
    <w:rsid w:val="001969B0"/>
    <w:rsid w:val="00196C3E"/>
    <w:rsid w:val="00196F17"/>
    <w:rsid w:val="001A1BBC"/>
    <w:rsid w:val="001A1E0A"/>
    <w:rsid w:val="001A303E"/>
    <w:rsid w:val="001A44EE"/>
    <w:rsid w:val="001A49BE"/>
    <w:rsid w:val="001A4B10"/>
    <w:rsid w:val="001A589F"/>
    <w:rsid w:val="001A58CD"/>
    <w:rsid w:val="001A6D29"/>
    <w:rsid w:val="001B01F5"/>
    <w:rsid w:val="001B021A"/>
    <w:rsid w:val="001B1453"/>
    <w:rsid w:val="001B3749"/>
    <w:rsid w:val="001B389F"/>
    <w:rsid w:val="001B3AFB"/>
    <w:rsid w:val="001B580B"/>
    <w:rsid w:val="001B5F1E"/>
    <w:rsid w:val="001B6EF2"/>
    <w:rsid w:val="001B7261"/>
    <w:rsid w:val="001B74CE"/>
    <w:rsid w:val="001B7612"/>
    <w:rsid w:val="001C1207"/>
    <w:rsid w:val="001C19C4"/>
    <w:rsid w:val="001C330F"/>
    <w:rsid w:val="001C3593"/>
    <w:rsid w:val="001C38B4"/>
    <w:rsid w:val="001C39BF"/>
    <w:rsid w:val="001C3B04"/>
    <w:rsid w:val="001C3FAC"/>
    <w:rsid w:val="001C3FDB"/>
    <w:rsid w:val="001C5C43"/>
    <w:rsid w:val="001C70CA"/>
    <w:rsid w:val="001C77E2"/>
    <w:rsid w:val="001D0A70"/>
    <w:rsid w:val="001D116F"/>
    <w:rsid w:val="001D274F"/>
    <w:rsid w:val="001D2D58"/>
    <w:rsid w:val="001D347A"/>
    <w:rsid w:val="001D3834"/>
    <w:rsid w:val="001D388A"/>
    <w:rsid w:val="001D4CAE"/>
    <w:rsid w:val="001D5204"/>
    <w:rsid w:val="001D5532"/>
    <w:rsid w:val="001E0D06"/>
    <w:rsid w:val="001E122E"/>
    <w:rsid w:val="001E213A"/>
    <w:rsid w:val="001E4530"/>
    <w:rsid w:val="001E6534"/>
    <w:rsid w:val="001E6883"/>
    <w:rsid w:val="001E6A8C"/>
    <w:rsid w:val="001E71F1"/>
    <w:rsid w:val="001E7B86"/>
    <w:rsid w:val="001F0DA1"/>
    <w:rsid w:val="001F15F3"/>
    <w:rsid w:val="001F208A"/>
    <w:rsid w:val="001F5129"/>
    <w:rsid w:val="001F62E6"/>
    <w:rsid w:val="00200A33"/>
    <w:rsid w:val="00201A19"/>
    <w:rsid w:val="00201CD3"/>
    <w:rsid w:val="00203133"/>
    <w:rsid w:val="00204497"/>
    <w:rsid w:val="00207209"/>
    <w:rsid w:val="00207344"/>
    <w:rsid w:val="002076FF"/>
    <w:rsid w:val="002119E1"/>
    <w:rsid w:val="002140F1"/>
    <w:rsid w:val="00214128"/>
    <w:rsid w:val="002153CB"/>
    <w:rsid w:val="00215540"/>
    <w:rsid w:val="0021659A"/>
    <w:rsid w:val="002173AD"/>
    <w:rsid w:val="00217EBA"/>
    <w:rsid w:val="00220698"/>
    <w:rsid w:val="002215CB"/>
    <w:rsid w:val="00221B41"/>
    <w:rsid w:val="00222355"/>
    <w:rsid w:val="00222DD3"/>
    <w:rsid w:val="00222EBC"/>
    <w:rsid w:val="00223030"/>
    <w:rsid w:val="002235A3"/>
    <w:rsid w:val="002240E7"/>
    <w:rsid w:val="00224C3C"/>
    <w:rsid w:val="00224D18"/>
    <w:rsid w:val="00224E53"/>
    <w:rsid w:val="00224F12"/>
    <w:rsid w:val="0022581D"/>
    <w:rsid w:val="00225EEA"/>
    <w:rsid w:val="0023086B"/>
    <w:rsid w:val="00230CB2"/>
    <w:rsid w:val="00231ED7"/>
    <w:rsid w:val="002321ED"/>
    <w:rsid w:val="00232BEF"/>
    <w:rsid w:val="0023388A"/>
    <w:rsid w:val="0023392F"/>
    <w:rsid w:val="00235049"/>
    <w:rsid w:val="0023563C"/>
    <w:rsid w:val="00237499"/>
    <w:rsid w:val="0023766A"/>
    <w:rsid w:val="00237D28"/>
    <w:rsid w:val="00240979"/>
    <w:rsid w:val="00241393"/>
    <w:rsid w:val="0024143E"/>
    <w:rsid w:val="00241CBE"/>
    <w:rsid w:val="00241DB2"/>
    <w:rsid w:val="00243354"/>
    <w:rsid w:val="00246B8F"/>
    <w:rsid w:val="00246DBF"/>
    <w:rsid w:val="00250785"/>
    <w:rsid w:val="00250980"/>
    <w:rsid w:val="00250C13"/>
    <w:rsid w:val="00252092"/>
    <w:rsid w:val="00252392"/>
    <w:rsid w:val="00253B96"/>
    <w:rsid w:val="00254B32"/>
    <w:rsid w:val="00254DCA"/>
    <w:rsid w:val="00255747"/>
    <w:rsid w:val="00256DD0"/>
    <w:rsid w:val="00256EA6"/>
    <w:rsid w:val="00264D42"/>
    <w:rsid w:val="00264F9A"/>
    <w:rsid w:val="00266002"/>
    <w:rsid w:val="0026634A"/>
    <w:rsid w:val="00266F6B"/>
    <w:rsid w:val="002670E4"/>
    <w:rsid w:val="00267596"/>
    <w:rsid w:val="00267745"/>
    <w:rsid w:val="002677EF"/>
    <w:rsid w:val="00270DA5"/>
    <w:rsid w:val="002712D3"/>
    <w:rsid w:val="002720D3"/>
    <w:rsid w:val="002756DC"/>
    <w:rsid w:val="00276615"/>
    <w:rsid w:val="00277BE7"/>
    <w:rsid w:val="002816B7"/>
    <w:rsid w:val="00282B27"/>
    <w:rsid w:val="002847E6"/>
    <w:rsid w:val="00285654"/>
    <w:rsid w:val="0028571B"/>
    <w:rsid w:val="00286332"/>
    <w:rsid w:val="00286B36"/>
    <w:rsid w:val="00286FED"/>
    <w:rsid w:val="00291595"/>
    <w:rsid w:val="002915AD"/>
    <w:rsid w:val="0029243E"/>
    <w:rsid w:val="00292AA9"/>
    <w:rsid w:val="00294320"/>
    <w:rsid w:val="00294764"/>
    <w:rsid w:val="0029487E"/>
    <w:rsid w:val="00294F7B"/>
    <w:rsid w:val="00296296"/>
    <w:rsid w:val="00296507"/>
    <w:rsid w:val="002974C8"/>
    <w:rsid w:val="00297A4C"/>
    <w:rsid w:val="00297D13"/>
    <w:rsid w:val="002A00BE"/>
    <w:rsid w:val="002A08FA"/>
    <w:rsid w:val="002A0AC2"/>
    <w:rsid w:val="002A2593"/>
    <w:rsid w:val="002A30E4"/>
    <w:rsid w:val="002A3277"/>
    <w:rsid w:val="002A33D9"/>
    <w:rsid w:val="002A5AB4"/>
    <w:rsid w:val="002A6CE9"/>
    <w:rsid w:val="002A734F"/>
    <w:rsid w:val="002A781B"/>
    <w:rsid w:val="002B135B"/>
    <w:rsid w:val="002B1C8D"/>
    <w:rsid w:val="002B1E3E"/>
    <w:rsid w:val="002B2D69"/>
    <w:rsid w:val="002B32E5"/>
    <w:rsid w:val="002B5159"/>
    <w:rsid w:val="002B71BD"/>
    <w:rsid w:val="002B7727"/>
    <w:rsid w:val="002C2049"/>
    <w:rsid w:val="002C29A8"/>
    <w:rsid w:val="002C38CA"/>
    <w:rsid w:val="002C3E71"/>
    <w:rsid w:val="002C4801"/>
    <w:rsid w:val="002C491B"/>
    <w:rsid w:val="002D0495"/>
    <w:rsid w:val="002D04D7"/>
    <w:rsid w:val="002D0A9B"/>
    <w:rsid w:val="002D13C3"/>
    <w:rsid w:val="002D17B3"/>
    <w:rsid w:val="002D1D83"/>
    <w:rsid w:val="002D2082"/>
    <w:rsid w:val="002D4005"/>
    <w:rsid w:val="002D46C0"/>
    <w:rsid w:val="002D4D6E"/>
    <w:rsid w:val="002D511B"/>
    <w:rsid w:val="002D54FB"/>
    <w:rsid w:val="002D76FA"/>
    <w:rsid w:val="002E0C88"/>
    <w:rsid w:val="002E11BB"/>
    <w:rsid w:val="002E16E8"/>
    <w:rsid w:val="002E1CCF"/>
    <w:rsid w:val="002E3289"/>
    <w:rsid w:val="002E3642"/>
    <w:rsid w:val="002E455C"/>
    <w:rsid w:val="002E4856"/>
    <w:rsid w:val="002E50C8"/>
    <w:rsid w:val="002E5164"/>
    <w:rsid w:val="002E66D0"/>
    <w:rsid w:val="002E71E5"/>
    <w:rsid w:val="002E7669"/>
    <w:rsid w:val="002F0992"/>
    <w:rsid w:val="002F19F7"/>
    <w:rsid w:val="002F3184"/>
    <w:rsid w:val="002F3E95"/>
    <w:rsid w:val="002F4E67"/>
    <w:rsid w:val="002F6ACC"/>
    <w:rsid w:val="002F763D"/>
    <w:rsid w:val="002F76CD"/>
    <w:rsid w:val="00300FDD"/>
    <w:rsid w:val="00301527"/>
    <w:rsid w:val="00301696"/>
    <w:rsid w:val="003033F0"/>
    <w:rsid w:val="00303A1C"/>
    <w:rsid w:val="00303DF5"/>
    <w:rsid w:val="0030449D"/>
    <w:rsid w:val="00310B8B"/>
    <w:rsid w:val="0031104A"/>
    <w:rsid w:val="00311449"/>
    <w:rsid w:val="00311A33"/>
    <w:rsid w:val="00311E74"/>
    <w:rsid w:val="0031232F"/>
    <w:rsid w:val="003135E3"/>
    <w:rsid w:val="00313836"/>
    <w:rsid w:val="00314692"/>
    <w:rsid w:val="0031563A"/>
    <w:rsid w:val="003163A8"/>
    <w:rsid w:val="00316476"/>
    <w:rsid w:val="00317FC8"/>
    <w:rsid w:val="00320257"/>
    <w:rsid w:val="00320BA7"/>
    <w:rsid w:val="003218AB"/>
    <w:rsid w:val="0032402E"/>
    <w:rsid w:val="003242EE"/>
    <w:rsid w:val="003261D2"/>
    <w:rsid w:val="0032790B"/>
    <w:rsid w:val="003310FC"/>
    <w:rsid w:val="00331F43"/>
    <w:rsid w:val="0033275B"/>
    <w:rsid w:val="00332E7A"/>
    <w:rsid w:val="00333465"/>
    <w:rsid w:val="0033369C"/>
    <w:rsid w:val="00334108"/>
    <w:rsid w:val="00334BF4"/>
    <w:rsid w:val="00334D89"/>
    <w:rsid w:val="003352CD"/>
    <w:rsid w:val="0033570C"/>
    <w:rsid w:val="00335A04"/>
    <w:rsid w:val="00336A4C"/>
    <w:rsid w:val="003405C0"/>
    <w:rsid w:val="0034096A"/>
    <w:rsid w:val="00340AEA"/>
    <w:rsid w:val="00342BD7"/>
    <w:rsid w:val="003436A4"/>
    <w:rsid w:val="00345CAF"/>
    <w:rsid w:val="00345FE2"/>
    <w:rsid w:val="00345FF8"/>
    <w:rsid w:val="00346596"/>
    <w:rsid w:val="0034670D"/>
    <w:rsid w:val="003470F4"/>
    <w:rsid w:val="00351A17"/>
    <w:rsid w:val="003525AC"/>
    <w:rsid w:val="003525F5"/>
    <w:rsid w:val="00354B55"/>
    <w:rsid w:val="00354D4B"/>
    <w:rsid w:val="003550F0"/>
    <w:rsid w:val="003554D6"/>
    <w:rsid w:val="003564EB"/>
    <w:rsid w:val="00356EE3"/>
    <w:rsid w:val="003570B1"/>
    <w:rsid w:val="00362DDB"/>
    <w:rsid w:val="00362F28"/>
    <w:rsid w:val="0036560C"/>
    <w:rsid w:val="00367E14"/>
    <w:rsid w:val="00371F1B"/>
    <w:rsid w:val="00372472"/>
    <w:rsid w:val="00372DFD"/>
    <w:rsid w:val="00373350"/>
    <w:rsid w:val="00373C49"/>
    <w:rsid w:val="00374520"/>
    <w:rsid w:val="00374971"/>
    <w:rsid w:val="00374E3A"/>
    <w:rsid w:val="00374E66"/>
    <w:rsid w:val="0037758F"/>
    <w:rsid w:val="0037778E"/>
    <w:rsid w:val="00377954"/>
    <w:rsid w:val="00384627"/>
    <w:rsid w:val="00385527"/>
    <w:rsid w:val="00385AA2"/>
    <w:rsid w:val="00386251"/>
    <w:rsid w:val="00387B1F"/>
    <w:rsid w:val="00391DEA"/>
    <w:rsid w:val="00392955"/>
    <w:rsid w:val="00394495"/>
    <w:rsid w:val="00394BB1"/>
    <w:rsid w:val="00395944"/>
    <w:rsid w:val="00396078"/>
    <w:rsid w:val="003973EE"/>
    <w:rsid w:val="00397CD8"/>
    <w:rsid w:val="00397E8F"/>
    <w:rsid w:val="003A1A8B"/>
    <w:rsid w:val="003A1CA6"/>
    <w:rsid w:val="003A1E0A"/>
    <w:rsid w:val="003A2B7F"/>
    <w:rsid w:val="003A5AD0"/>
    <w:rsid w:val="003A7CB6"/>
    <w:rsid w:val="003B05C2"/>
    <w:rsid w:val="003B1DCF"/>
    <w:rsid w:val="003B32B4"/>
    <w:rsid w:val="003B5286"/>
    <w:rsid w:val="003B5362"/>
    <w:rsid w:val="003B53B6"/>
    <w:rsid w:val="003B58E4"/>
    <w:rsid w:val="003B6364"/>
    <w:rsid w:val="003B6AA9"/>
    <w:rsid w:val="003C2E5A"/>
    <w:rsid w:val="003C44C0"/>
    <w:rsid w:val="003C45A4"/>
    <w:rsid w:val="003C4863"/>
    <w:rsid w:val="003C4A3E"/>
    <w:rsid w:val="003C561B"/>
    <w:rsid w:val="003C6138"/>
    <w:rsid w:val="003C6153"/>
    <w:rsid w:val="003C7D71"/>
    <w:rsid w:val="003D0FE9"/>
    <w:rsid w:val="003D189C"/>
    <w:rsid w:val="003D2998"/>
    <w:rsid w:val="003D2F82"/>
    <w:rsid w:val="003D395B"/>
    <w:rsid w:val="003D3A62"/>
    <w:rsid w:val="003D3F76"/>
    <w:rsid w:val="003D5AB1"/>
    <w:rsid w:val="003D5C67"/>
    <w:rsid w:val="003D7139"/>
    <w:rsid w:val="003E0BFB"/>
    <w:rsid w:val="003E1456"/>
    <w:rsid w:val="003E1970"/>
    <w:rsid w:val="003E4A51"/>
    <w:rsid w:val="003E5648"/>
    <w:rsid w:val="003E70C5"/>
    <w:rsid w:val="003F00B7"/>
    <w:rsid w:val="003F164A"/>
    <w:rsid w:val="003F20A3"/>
    <w:rsid w:val="003F2F7B"/>
    <w:rsid w:val="003F2FF6"/>
    <w:rsid w:val="003F3BE7"/>
    <w:rsid w:val="003F50B8"/>
    <w:rsid w:val="003F5861"/>
    <w:rsid w:val="003F7E9D"/>
    <w:rsid w:val="00400070"/>
    <w:rsid w:val="00400D16"/>
    <w:rsid w:val="004017E0"/>
    <w:rsid w:val="004021F8"/>
    <w:rsid w:val="00402B94"/>
    <w:rsid w:val="00403938"/>
    <w:rsid w:val="0040536B"/>
    <w:rsid w:val="00406299"/>
    <w:rsid w:val="00406EFC"/>
    <w:rsid w:val="004103B1"/>
    <w:rsid w:val="0041122B"/>
    <w:rsid w:val="00411F71"/>
    <w:rsid w:val="0041200A"/>
    <w:rsid w:val="00412582"/>
    <w:rsid w:val="00412A38"/>
    <w:rsid w:val="0041428D"/>
    <w:rsid w:val="00415B60"/>
    <w:rsid w:val="0041757A"/>
    <w:rsid w:val="00417842"/>
    <w:rsid w:val="0042054D"/>
    <w:rsid w:val="00421513"/>
    <w:rsid w:val="004228B7"/>
    <w:rsid w:val="00426E2E"/>
    <w:rsid w:val="00431E28"/>
    <w:rsid w:val="00432260"/>
    <w:rsid w:val="00433F0A"/>
    <w:rsid w:val="004341CC"/>
    <w:rsid w:val="00434304"/>
    <w:rsid w:val="0043431B"/>
    <w:rsid w:val="004364F9"/>
    <w:rsid w:val="00437679"/>
    <w:rsid w:val="0044024B"/>
    <w:rsid w:val="004413BF"/>
    <w:rsid w:val="00441991"/>
    <w:rsid w:val="004421B2"/>
    <w:rsid w:val="00443810"/>
    <w:rsid w:val="004446F8"/>
    <w:rsid w:val="00444967"/>
    <w:rsid w:val="00445172"/>
    <w:rsid w:val="004467BA"/>
    <w:rsid w:val="00446E68"/>
    <w:rsid w:val="004475BB"/>
    <w:rsid w:val="00447DFF"/>
    <w:rsid w:val="004500C5"/>
    <w:rsid w:val="0045144E"/>
    <w:rsid w:val="00451D04"/>
    <w:rsid w:val="004522ED"/>
    <w:rsid w:val="00453076"/>
    <w:rsid w:val="004538BB"/>
    <w:rsid w:val="00453C4F"/>
    <w:rsid w:val="0045402C"/>
    <w:rsid w:val="00455CFF"/>
    <w:rsid w:val="0045722C"/>
    <w:rsid w:val="00457CF0"/>
    <w:rsid w:val="004601D3"/>
    <w:rsid w:val="004602B8"/>
    <w:rsid w:val="0046089F"/>
    <w:rsid w:val="00460B4C"/>
    <w:rsid w:val="00461859"/>
    <w:rsid w:val="00462CDD"/>
    <w:rsid w:val="00463F53"/>
    <w:rsid w:val="004641D1"/>
    <w:rsid w:val="00464BD3"/>
    <w:rsid w:val="00466BE7"/>
    <w:rsid w:val="004705DC"/>
    <w:rsid w:val="004706FF"/>
    <w:rsid w:val="00471061"/>
    <w:rsid w:val="004720D3"/>
    <w:rsid w:val="00472878"/>
    <w:rsid w:val="00472C4A"/>
    <w:rsid w:val="004757FF"/>
    <w:rsid w:val="00475DB2"/>
    <w:rsid w:val="0047798B"/>
    <w:rsid w:val="00477D9E"/>
    <w:rsid w:val="004808EC"/>
    <w:rsid w:val="0048094C"/>
    <w:rsid w:val="00483231"/>
    <w:rsid w:val="004834A9"/>
    <w:rsid w:val="00483948"/>
    <w:rsid w:val="00483D15"/>
    <w:rsid w:val="00485AC2"/>
    <w:rsid w:val="004860FA"/>
    <w:rsid w:val="00486500"/>
    <w:rsid w:val="0048767D"/>
    <w:rsid w:val="00490538"/>
    <w:rsid w:val="004914F4"/>
    <w:rsid w:val="004919BC"/>
    <w:rsid w:val="00491C55"/>
    <w:rsid w:val="00493048"/>
    <w:rsid w:val="004933AE"/>
    <w:rsid w:val="004934B9"/>
    <w:rsid w:val="004944B3"/>
    <w:rsid w:val="00494609"/>
    <w:rsid w:val="00494E99"/>
    <w:rsid w:val="00494F7D"/>
    <w:rsid w:val="00495143"/>
    <w:rsid w:val="00496277"/>
    <w:rsid w:val="00496907"/>
    <w:rsid w:val="004A0131"/>
    <w:rsid w:val="004A0481"/>
    <w:rsid w:val="004A086A"/>
    <w:rsid w:val="004A2733"/>
    <w:rsid w:val="004A2F0C"/>
    <w:rsid w:val="004A3E48"/>
    <w:rsid w:val="004A44A3"/>
    <w:rsid w:val="004A48E9"/>
    <w:rsid w:val="004A4EEB"/>
    <w:rsid w:val="004A5BFA"/>
    <w:rsid w:val="004A5D1D"/>
    <w:rsid w:val="004A6292"/>
    <w:rsid w:val="004A6C02"/>
    <w:rsid w:val="004B1003"/>
    <w:rsid w:val="004B1AB9"/>
    <w:rsid w:val="004B4CE4"/>
    <w:rsid w:val="004B4F6A"/>
    <w:rsid w:val="004B6AA2"/>
    <w:rsid w:val="004B6C29"/>
    <w:rsid w:val="004B7576"/>
    <w:rsid w:val="004C067F"/>
    <w:rsid w:val="004C0C9F"/>
    <w:rsid w:val="004C196C"/>
    <w:rsid w:val="004C217F"/>
    <w:rsid w:val="004C268E"/>
    <w:rsid w:val="004C2982"/>
    <w:rsid w:val="004C3D6D"/>
    <w:rsid w:val="004C41F0"/>
    <w:rsid w:val="004C448F"/>
    <w:rsid w:val="004C4833"/>
    <w:rsid w:val="004C4A87"/>
    <w:rsid w:val="004C594F"/>
    <w:rsid w:val="004C5F8F"/>
    <w:rsid w:val="004C6096"/>
    <w:rsid w:val="004C655F"/>
    <w:rsid w:val="004C672B"/>
    <w:rsid w:val="004D0007"/>
    <w:rsid w:val="004D06FD"/>
    <w:rsid w:val="004D1FEB"/>
    <w:rsid w:val="004D306A"/>
    <w:rsid w:val="004D34A3"/>
    <w:rsid w:val="004D4435"/>
    <w:rsid w:val="004D5999"/>
    <w:rsid w:val="004D5AC7"/>
    <w:rsid w:val="004D5C5F"/>
    <w:rsid w:val="004D64AD"/>
    <w:rsid w:val="004D6A4B"/>
    <w:rsid w:val="004D74FC"/>
    <w:rsid w:val="004D759A"/>
    <w:rsid w:val="004D791E"/>
    <w:rsid w:val="004D7E36"/>
    <w:rsid w:val="004D7F77"/>
    <w:rsid w:val="004D7F7C"/>
    <w:rsid w:val="004E2CC2"/>
    <w:rsid w:val="004E3BFD"/>
    <w:rsid w:val="004E42C6"/>
    <w:rsid w:val="004E52CA"/>
    <w:rsid w:val="004E7C46"/>
    <w:rsid w:val="004F0BC3"/>
    <w:rsid w:val="004F0FA3"/>
    <w:rsid w:val="004F2109"/>
    <w:rsid w:val="004F2927"/>
    <w:rsid w:val="004F3035"/>
    <w:rsid w:val="004F3157"/>
    <w:rsid w:val="004F4CEB"/>
    <w:rsid w:val="004F5F4E"/>
    <w:rsid w:val="004F64DE"/>
    <w:rsid w:val="004F6562"/>
    <w:rsid w:val="004F71F0"/>
    <w:rsid w:val="004F7222"/>
    <w:rsid w:val="004F774C"/>
    <w:rsid w:val="00500706"/>
    <w:rsid w:val="0050106E"/>
    <w:rsid w:val="00501C15"/>
    <w:rsid w:val="0050247C"/>
    <w:rsid w:val="00502DC6"/>
    <w:rsid w:val="005063F3"/>
    <w:rsid w:val="00507D80"/>
    <w:rsid w:val="00512DFB"/>
    <w:rsid w:val="005142D7"/>
    <w:rsid w:val="00517E06"/>
    <w:rsid w:val="005211C4"/>
    <w:rsid w:val="00523823"/>
    <w:rsid w:val="00523F3B"/>
    <w:rsid w:val="005243A7"/>
    <w:rsid w:val="005252FE"/>
    <w:rsid w:val="005255E6"/>
    <w:rsid w:val="005259E7"/>
    <w:rsid w:val="00527FCF"/>
    <w:rsid w:val="0053074E"/>
    <w:rsid w:val="00530A31"/>
    <w:rsid w:val="00531418"/>
    <w:rsid w:val="005338DB"/>
    <w:rsid w:val="00534AAB"/>
    <w:rsid w:val="00534F00"/>
    <w:rsid w:val="0053568E"/>
    <w:rsid w:val="00535899"/>
    <w:rsid w:val="00535BCF"/>
    <w:rsid w:val="005368A0"/>
    <w:rsid w:val="00537C8B"/>
    <w:rsid w:val="005420F1"/>
    <w:rsid w:val="005422C6"/>
    <w:rsid w:val="00542319"/>
    <w:rsid w:val="00544869"/>
    <w:rsid w:val="00544AF3"/>
    <w:rsid w:val="00547246"/>
    <w:rsid w:val="00547E3E"/>
    <w:rsid w:val="00550B42"/>
    <w:rsid w:val="00551F7B"/>
    <w:rsid w:val="005523B7"/>
    <w:rsid w:val="00552AFB"/>
    <w:rsid w:val="00553469"/>
    <w:rsid w:val="00553BDC"/>
    <w:rsid w:val="005543BD"/>
    <w:rsid w:val="00554C32"/>
    <w:rsid w:val="005557F0"/>
    <w:rsid w:val="005559C4"/>
    <w:rsid w:val="00555D02"/>
    <w:rsid w:val="00555D8B"/>
    <w:rsid w:val="00560398"/>
    <w:rsid w:val="0056106B"/>
    <w:rsid w:val="00561077"/>
    <w:rsid w:val="0056124C"/>
    <w:rsid w:val="00561B76"/>
    <w:rsid w:val="0056292E"/>
    <w:rsid w:val="005637ED"/>
    <w:rsid w:val="00564453"/>
    <w:rsid w:val="00566BF4"/>
    <w:rsid w:val="0056710D"/>
    <w:rsid w:val="005706D5"/>
    <w:rsid w:val="00573326"/>
    <w:rsid w:val="0057422E"/>
    <w:rsid w:val="00574780"/>
    <w:rsid w:val="00574A0C"/>
    <w:rsid w:val="00575157"/>
    <w:rsid w:val="00575438"/>
    <w:rsid w:val="00575DF6"/>
    <w:rsid w:val="00577B30"/>
    <w:rsid w:val="00580D40"/>
    <w:rsid w:val="00580F8C"/>
    <w:rsid w:val="005816F5"/>
    <w:rsid w:val="00581A83"/>
    <w:rsid w:val="0058272A"/>
    <w:rsid w:val="00585A04"/>
    <w:rsid w:val="005872A5"/>
    <w:rsid w:val="00587379"/>
    <w:rsid w:val="00587F07"/>
    <w:rsid w:val="00590B40"/>
    <w:rsid w:val="00590C2A"/>
    <w:rsid w:val="00590DEB"/>
    <w:rsid w:val="00595915"/>
    <w:rsid w:val="00595B9C"/>
    <w:rsid w:val="00597573"/>
    <w:rsid w:val="005A01A0"/>
    <w:rsid w:val="005A0270"/>
    <w:rsid w:val="005A0FA6"/>
    <w:rsid w:val="005A1C4D"/>
    <w:rsid w:val="005A26F9"/>
    <w:rsid w:val="005A3079"/>
    <w:rsid w:val="005A341D"/>
    <w:rsid w:val="005A495C"/>
    <w:rsid w:val="005A49E4"/>
    <w:rsid w:val="005A4AB7"/>
    <w:rsid w:val="005A567D"/>
    <w:rsid w:val="005A5748"/>
    <w:rsid w:val="005A6355"/>
    <w:rsid w:val="005A79E3"/>
    <w:rsid w:val="005B1DF7"/>
    <w:rsid w:val="005B46AB"/>
    <w:rsid w:val="005B4E30"/>
    <w:rsid w:val="005B63C5"/>
    <w:rsid w:val="005B669B"/>
    <w:rsid w:val="005C127F"/>
    <w:rsid w:val="005C21D2"/>
    <w:rsid w:val="005C447B"/>
    <w:rsid w:val="005C58BC"/>
    <w:rsid w:val="005C625D"/>
    <w:rsid w:val="005C6CC9"/>
    <w:rsid w:val="005D1D75"/>
    <w:rsid w:val="005D2D2A"/>
    <w:rsid w:val="005D56FF"/>
    <w:rsid w:val="005D7671"/>
    <w:rsid w:val="005E0B7A"/>
    <w:rsid w:val="005E145A"/>
    <w:rsid w:val="005E18B1"/>
    <w:rsid w:val="005E1E1F"/>
    <w:rsid w:val="005E2FC4"/>
    <w:rsid w:val="005E3064"/>
    <w:rsid w:val="005E4438"/>
    <w:rsid w:val="005E44E5"/>
    <w:rsid w:val="005E4A86"/>
    <w:rsid w:val="005E5626"/>
    <w:rsid w:val="005E6073"/>
    <w:rsid w:val="005E61C2"/>
    <w:rsid w:val="005E774A"/>
    <w:rsid w:val="005E7E3F"/>
    <w:rsid w:val="005F05CA"/>
    <w:rsid w:val="005F11AB"/>
    <w:rsid w:val="005F1AA4"/>
    <w:rsid w:val="005F2DC7"/>
    <w:rsid w:val="005F379B"/>
    <w:rsid w:val="005F3983"/>
    <w:rsid w:val="005F3C10"/>
    <w:rsid w:val="005F3D07"/>
    <w:rsid w:val="005F3F80"/>
    <w:rsid w:val="005F4138"/>
    <w:rsid w:val="005F58CC"/>
    <w:rsid w:val="005F7134"/>
    <w:rsid w:val="005F737D"/>
    <w:rsid w:val="0060024F"/>
    <w:rsid w:val="00600389"/>
    <w:rsid w:val="00600C8B"/>
    <w:rsid w:val="00601467"/>
    <w:rsid w:val="0060205A"/>
    <w:rsid w:val="00603473"/>
    <w:rsid w:val="00604AC3"/>
    <w:rsid w:val="00605DFF"/>
    <w:rsid w:val="00605E62"/>
    <w:rsid w:val="0060785B"/>
    <w:rsid w:val="0061024B"/>
    <w:rsid w:val="00610A66"/>
    <w:rsid w:val="006113CE"/>
    <w:rsid w:val="006119F7"/>
    <w:rsid w:val="0061211E"/>
    <w:rsid w:val="00612741"/>
    <w:rsid w:val="00613619"/>
    <w:rsid w:val="00613994"/>
    <w:rsid w:val="00613DFB"/>
    <w:rsid w:val="00614141"/>
    <w:rsid w:val="0061417F"/>
    <w:rsid w:val="00615CCE"/>
    <w:rsid w:val="00616258"/>
    <w:rsid w:val="00616636"/>
    <w:rsid w:val="00616D17"/>
    <w:rsid w:val="0061719A"/>
    <w:rsid w:val="00617CAF"/>
    <w:rsid w:val="00617E3A"/>
    <w:rsid w:val="00620785"/>
    <w:rsid w:val="00621CB3"/>
    <w:rsid w:val="0062249E"/>
    <w:rsid w:val="00622AFB"/>
    <w:rsid w:val="006252EE"/>
    <w:rsid w:val="0062543B"/>
    <w:rsid w:val="0062562E"/>
    <w:rsid w:val="00625712"/>
    <w:rsid w:val="006262B4"/>
    <w:rsid w:val="0062764D"/>
    <w:rsid w:val="006306A2"/>
    <w:rsid w:val="00630A97"/>
    <w:rsid w:val="00631095"/>
    <w:rsid w:val="00631FB6"/>
    <w:rsid w:val="00632BCC"/>
    <w:rsid w:val="00634CFE"/>
    <w:rsid w:val="006351D2"/>
    <w:rsid w:val="0063541D"/>
    <w:rsid w:val="00635625"/>
    <w:rsid w:val="006359BC"/>
    <w:rsid w:val="00636AA3"/>
    <w:rsid w:val="006378F7"/>
    <w:rsid w:val="00640F1F"/>
    <w:rsid w:val="00640F2B"/>
    <w:rsid w:val="006420A9"/>
    <w:rsid w:val="00643741"/>
    <w:rsid w:val="0064549E"/>
    <w:rsid w:val="00645BD4"/>
    <w:rsid w:val="00646803"/>
    <w:rsid w:val="00647032"/>
    <w:rsid w:val="006472D9"/>
    <w:rsid w:val="00651657"/>
    <w:rsid w:val="00652E2D"/>
    <w:rsid w:val="0065307C"/>
    <w:rsid w:val="00653164"/>
    <w:rsid w:val="0065368D"/>
    <w:rsid w:val="00653FF6"/>
    <w:rsid w:val="00654A50"/>
    <w:rsid w:val="006557DB"/>
    <w:rsid w:val="006579E9"/>
    <w:rsid w:val="006623E0"/>
    <w:rsid w:val="00662F03"/>
    <w:rsid w:val="00663009"/>
    <w:rsid w:val="00664066"/>
    <w:rsid w:val="006652E7"/>
    <w:rsid w:val="00665609"/>
    <w:rsid w:val="0066733B"/>
    <w:rsid w:val="006674D1"/>
    <w:rsid w:val="0066775B"/>
    <w:rsid w:val="00667D2E"/>
    <w:rsid w:val="0067296D"/>
    <w:rsid w:val="006739A2"/>
    <w:rsid w:val="00673AAC"/>
    <w:rsid w:val="00673DBC"/>
    <w:rsid w:val="006758AD"/>
    <w:rsid w:val="0067685A"/>
    <w:rsid w:val="00677749"/>
    <w:rsid w:val="00677931"/>
    <w:rsid w:val="0067797A"/>
    <w:rsid w:val="0068092C"/>
    <w:rsid w:val="0068146B"/>
    <w:rsid w:val="00682C63"/>
    <w:rsid w:val="00683C45"/>
    <w:rsid w:val="0068414D"/>
    <w:rsid w:val="006847C1"/>
    <w:rsid w:val="0068587D"/>
    <w:rsid w:val="00685BC4"/>
    <w:rsid w:val="00685C5C"/>
    <w:rsid w:val="00686D54"/>
    <w:rsid w:val="00687846"/>
    <w:rsid w:val="0069002A"/>
    <w:rsid w:val="006912B1"/>
    <w:rsid w:val="00692CBC"/>
    <w:rsid w:val="00693FE8"/>
    <w:rsid w:val="00694385"/>
    <w:rsid w:val="00695A23"/>
    <w:rsid w:val="00696158"/>
    <w:rsid w:val="006979A7"/>
    <w:rsid w:val="006A23F1"/>
    <w:rsid w:val="006A3571"/>
    <w:rsid w:val="006A36E7"/>
    <w:rsid w:val="006A3D02"/>
    <w:rsid w:val="006A4688"/>
    <w:rsid w:val="006A56C6"/>
    <w:rsid w:val="006A7059"/>
    <w:rsid w:val="006B0243"/>
    <w:rsid w:val="006B2F92"/>
    <w:rsid w:val="006B38A0"/>
    <w:rsid w:val="006B413E"/>
    <w:rsid w:val="006B468F"/>
    <w:rsid w:val="006B4A24"/>
    <w:rsid w:val="006B70B2"/>
    <w:rsid w:val="006C03A3"/>
    <w:rsid w:val="006C3364"/>
    <w:rsid w:val="006C4AF6"/>
    <w:rsid w:val="006C54A9"/>
    <w:rsid w:val="006C6CFF"/>
    <w:rsid w:val="006C7673"/>
    <w:rsid w:val="006D0660"/>
    <w:rsid w:val="006D0668"/>
    <w:rsid w:val="006D0755"/>
    <w:rsid w:val="006D11C6"/>
    <w:rsid w:val="006D2127"/>
    <w:rsid w:val="006D3A88"/>
    <w:rsid w:val="006D3F36"/>
    <w:rsid w:val="006D4204"/>
    <w:rsid w:val="006D4E56"/>
    <w:rsid w:val="006D7452"/>
    <w:rsid w:val="006D7DBC"/>
    <w:rsid w:val="006E1302"/>
    <w:rsid w:val="006E1ABC"/>
    <w:rsid w:val="006E2F81"/>
    <w:rsid w:val="006E407F"/>
    <w:rsid w:val="006E45C4"/>
    <w:rsid w:val="006E4CAA"/>
    <w:rsid w:val="006E56C5"/>
    <w:rsid w:val="006E5732"/>
    <w:rsid w:val="006E61DD"/>
    <w:rsid w:val="006E671F"/>
    <w:rsid w:val="006E6B81"/>
    <w:rsid w:val="006E6BD3"/>
    <w:rsid w:val="006E7830"/>
    <w:rsid w:val="006F1E64"/>
    <w:rsid w:val="006F35BE"/>
    <w:rsid w:val="006F51FA"/>
    <w:rsid w:val="006F57B3"/>
    <w:rsid w:val="006F5BA7"/>
    <w:rsid w:val="006F667A"/>
    <w:rsid w:val="006F71FE"/>
    <w:rsid w:val="006F7D8A"/>
    <w:rsid w:val="00700521"/>
    <w:rsid w:val="0070556C"/>
    <w:rsid w:val="0070583B"/>
    <w:rsid w:val="00706209"/>
    <w:rsid w:val="00710B87"/>
    <w:rsid w:val="0071325D"/>
    <w:rsid w:val="007134E3"/>
    <w:rsid w:val="00713E78"/>
    <w:rsid w:val="0071552A"/>
    <w:rsid w:val="00716833"/>
    <w:rsid w:val="007176F7"/>
    <w:rsid w:val="00720E94"/>
    <w:rsid w:val="00721BA9"/>
    <w:rsid w:val="00721C8D"/>
    <w:rsid w:val="007226DB"/>
    <w:rsid w:val="007233B5"/>
    <w:rsid w:val="00723B4C"/>
    <w:rsid w:val="0072403A"/>
    <w:rsid w:val="00724559"/>
    <w:rsid w:val="0072578F"/>
    <w:rsid w:val="00725C6E"/>
    <w:rsid w:val="00726FBB"/>
    <w:rsid w:val="0073397D"/>
    <w:rsid w:val="00736EE8"/>
    <w:rsid w:val="00737969"/>
    <w:rsid w:val="00740CEF"/>
    <w:rsid w:val="007412F6"/>
    <w:rsid w:val="00741378"/>
    <w:rsid w:val="00741754"/>
    <w:rsid w:val="00742638"/>
    <w:rsid w:val="007426D4"/>
    <w:rsid w:val="00742F21"/>
    <w:rsid w:val="00745275"/>
    <w:rsid w:val="007470B1"/>
    <w:rsid w:val="007477A1"/>
    <w:rsid w:val="00747935"/>
    <w:rsid w:val="007509D9"/>
    <w:rsid w:val="00751B4F"/>
    <w:rsid w:val="007553A7"/>
    <w:rsid w:val="00760330"/>
    <w:rsid w:val="007607F5"/>
    <w:rsid w:val="00760AEB"/>
    <w:rsid w:val="00762345"/>
    <w:rsid w:val="00762E1C"/>
    <w:rsid w:val="007638BB"/>
    <w:rsid w:val="00765214"/>
    <w:rsid w:val="00765972"/>
    <w:rsid w:val="00771FFD"/>
    <w:rsid w:val="00772003"/>
    <w:rsid w:val="00772E68"/>
    <w:rsid w:val="00773E31"/>
    <w:rsid w:val="00774857"/>
    <w:rsid w:val="00774C60"/>
    <w:rsid w:val="00775B12"/>
    <w:rsid w:val="007805AD"/>
    <w:rsid w:val="00780871"/>
    <w:rsid w:val="007808A2"/>
    <w:rsid w:val="0078167C"/>
    <w:rsid w:val="00781CED"/>
    <w:rsid w:val="00782549"/>
    <w:rsid w:val="00783088"/>
    <w:rsid w:val="00783E70"/>
    <w:rsid w:val="007842BE"/>
    <w:rsid w:val="007860EC"/>
    <w:rsid w:val="007862C7"/>
    <w:rsid w:val="0078702E"/>
    <w:rsid w:val="007919E2"/>
    <w:rsid w:val="0079537C"/>
    <w:rsid w:val="00795805"/>
    <w:rsid w:val="00796AE5"/>
    <w:rsid w:val="00797314"/>
    <w:rsid w:val="007A05E0"/>
    <w:rsid w:val="007A0617"/>
    <w:rsid w:val="007A1421"/>
    <w:rsid w:val="007A2801"/>
    <w:rsid w:val="007A4E97"/>
    <w:rsid w:val="007A615C"/>
    <w:rsid w:val="007A710F"/>
    <w:rsid w:val="007A7380"/>
    <w:rsid w:val="007A7AB5"/>
    <w:rsid w:val="007B0A2A"/>
    <w:rsid w:val="007B0C48"/>
    <w:rsid w:val="007B5098"/>
    <w:rsid w:val="007B5F38"/>
    <w:rsid w:val="007B6F25"/>
    <w:rsid w:val="007B74ED"/>
    <w:rsid w:val="007C0370"/>
    <w:rsid w:val="007C0BBD"/>
    <w:rsid w:val="007C0F01"/>
    <w:rsid w:val="007C1215"/>
    <w:rsid w:val="007C256F"/>
    <w:rsid w:val="007C2B4B"/>
    <w:rsid w:val="007C2E32"/>
    <w:rsid w:val="007C4197"/>
    <w:rsid w:val="007C49BD"/>
    <w:rsid w:val="007C511A"/>
    <w:rsid w:val="007C7D3A"/>
    <w:rsid w:val="007D195E"/>
    <w:rsid w:val="007D240C"/>
    <w:rsid w:val="007D41DB"/>
    <w:rsid w:val="007D42E9"/>
    <w:rsid w:val="007D6198"/>
    <w:rsid w:val="007D6F43"/>
    <w:rsid w:val="007E0ADB"/>
    <w:rsid w:val="007E122D"/>
    <w:rsid w:val="007E199C"/>
    <w:rsid w:val="007E1AD9"/>
    <w:rsid w:val="007E2E73"/>
    <w:rsid w:val="007E318C"/>
    <w:rsid w:val="007E4C5F"/>
    <w:rsid w:val="007F0896"/>
    <w:rsid w:val="007F191F"/>
    <w:rsid w:val="007F21C0"/>
    <w:rsid w:val="007F27A7"/>
    <w:rsid w:val="007F30D1"/>
    <w:rsid w:val="007F3111"/>
    <w:rsid w:val="007F37F5"/>
    <w:rsid w:val="007F4E18"/>
    <w:rsid w:val="007F55A4"/>
    <w:rsid w:val="007F58EE"/>
    <w:rsid w:val="007F59FB"/>
    <w:rsid w:val="007F6331"/>
    <w:rsid w:val="007F69E5"/>
    <w:rsid w:val="007F6A57"/>
    <w:rsid w:val="008014F5"/>
    <w:rsid w:val="00801A00"/>
    <w:rsid w:val="00802AA0"/>
    <w:rsid w:val="0080351E"/>
    <w:rsid w:val="00803560"/>
    <w:rsid w:val="00805E65"/>
    <w:rsid w:val="00805E83"/>
    <w:rsid w:val="00807519"/>
    <w:rsid w:val="00810237"/>
    <w:rsid w:val="00810DE4"/>
    <w:rsid w:val="00811460"/>
    <w:rsid w:val="00811EBD"/>
    <w:rsid w:val="00812B87"/>
    <w:rsid w:val="008156B0"/>
    <w:rsid w:val="00815A8A"/>
    <w:rsid w:val="008168CD"/>
    <w:rsid w:val="00817D90"/>
    <w:rsid w:val="00821E96"/>
    <w:rsid w:val="00823204"/>
    <w:rsid w:val="008237F5"/>
    <w:rsid w:val="00824606"/>
    <w:rsid w:val="0082471D"/>
    <w:rsid w:val="00824C23"/>
    <w:rsid w:val="008268FA"/>
    <w:rsid w:val="0082700F"/>
    <w:rsid w:val="00827F29"/>
    <w:rsid w:val="00830A68"/>
    <w:rsid w:val="008311E1"/>
    <w:rsid w:val="00832D90"/>
    <w:rsid w:val="0083663D"/>
    <w:rsid w:val="0083667B"/>
    <w:rsid w:val="008372AC"/>
    <w:rsid w:val="008372BC"/>
    <w:rsid w:val="008406B8"/>
    <w:rsid w:val="00840A9A"/>
    <w:rsid w:val="008411DC"/>
    <w:rsid w:val="00843F1C"/>
    <w:rsid w:val="00844016"/>
    <w:rsid w:val="00845D3F"/>
    <w:rsid w:val="00845E71"/>
    <w:rsid w:val="00850E38"/>
    <w:rsid w:val="0085206B"/>
    <w:rsid w:val="00853824"/>
    <w:rsid w:val="00854821"/>
    <w:rsid w:val="008548F0"/>
    <w:rsid w:val="00854A7E"/>
    <w:rsid w:val="0085641E"/>
    <w:rsid w:val="00857EA6"/>
    <w:rsid w:val="008624F0"/>
    <w:rsid w:val="00863681"/>
    <w:rsid w:val="00865559"/>
    <w:rsid w:val="008661BD"/>
    <w:rsid w:val="00870D8D"/>
    <w:rsid w:val="00871304"/>
    <w:rsid w:val="00873E74"/>
    <w:rsid w:val="00874BD1"/>
    <w:rsid w:val="00881682"/>
    <w:rsid w:val="008817A2"/>
    <w:rsid w:val="00882BFA"/>
    <w:rsid w:val="008839FF"/>
    <w:rsid w:val="00883AF1"/>
    <w:rsid w:val="00883FFA"/>
    <w:rsid w:val="008842AC"/>
    <w:rsid w:val="0088437F"/>
    <w:rsid w:val="00886A0A"/>
    <w:rsid w:val="008871AB"/>
    <w:rsid w:val="00890590"/>
    <w:rsid w:val="00891270"/>
    <w:rsid w:val="0089158C"/>
    <w:rsid w:val="00891738"/>
    <w:rsid w:val="00893AF0"/>
    <w:rsid w:val="00893C9F"/>
    <w:rsid w:val="00895A16"/>
    <w:rsid w:val="00897181"/>
    <w:rsid w:val="00897C0B"/>
    <w:rsid w:val="008A0201"/>
    <w:rsid w:val="008A2D86"/>
    <w:rsid w:val="008A3565"/>
    <w:rsid w:val="008A5C08"/>
    <w:rsid w:val="008A79AF"/>
    <w:rsid w:val="008A7A5A"/>
    <w:rsid w:val="008B014A"/>
    <w:rsid w:val="008B0C8B"/>
    <w:rsid w:val="008B155D"/>
    <w:rsid w:val="008B1B40"/>
    <w:rsid w:val="008B32ED"/>
    <w:rsid w:val="008B435E"/>
    <w:rsid w:val="008C0BAE"/>
    <w:rsid w:val="008C2923"/>
    <w:rsid w:val="008C4B67"/>
    <w:rsid w:val="008C4D08"/>
    <w:rsid w:val="008C50D3"/>
    <w:rsid w:val="008C5BA9"/>
    <w:rsid w:val="008C5EF0"/>
    <w:rsid w:val="008C7728"/>
    <w:rsid w:val="008D03B5"/>
    <w:rsid w:val="008D154B"/>
    <w:rsid w:val="008D2B07"/>
    <w:rsid w:val="008D3B03"/>
    <w:rsid w:val="008D4966"/>
    <w:rsid w:val="008D5D62"/>
    <w:rsid w:val="008D5D7D"/>
    <w:rsid w:val="008D6B86"/>
    <w:rsid w:val="008D6FC7"/>
    <w:rsid w:val="008E0D93"/>
    <w:rsid w:val="008E2F38"/>
    <w:rsid w:val="008E31A6"/>
    <w:rsid w:val="008E4166"/>
    <w:rsid w:val="008E516D"/>
    <w:rsid w:val="008E5984"/>
    <w:rsid w:val="008E6A8B"/>
    <w:rsid w:val="008E78E3"/>
    <w:rsid w:val="008F081A"/>
    <w:rsid w:val="008F21E8"/>
    <w:rsid w:val="008F3405"/>
    <w:rsid w:val="008F3EC3"/>
    <w:rsid w:val="008F5F84"/>
    <w:rsid w:val="00900120"/>
    <w:rsid w:val="009005B8"/>
    <w:rsid w:val="00900B31"/>
    <w:rsid w:val="00901146"/>
    <w:rsid w:val="009028AE"/>
    <w:rsid w:val="00903B36"/>
    <w:rsid w:val="00903BB1"/>
    <w:rsid w:val="0090471F"/>
    <w:rsid w:val="00905F0A"/>
    <w:rsid w:val="00907907"/>
    <w:rsid w:val="0091248A"/>
    <w:rsid w:val="00912AD4"/>
    <w:rsid w:val="00913000"/>
    <w:rsid w:val="00913256"/>
    <w:rsid w:val="0091353B"/>
    <w:rsid w:val="009158D8"/>
    <w:rsid w:val="0091593A"/>
    <w:rsid w:val="00916ACB"/>
    <w:rsid w:val="00917B8E"/>
    <w:rsid w:val="00920D7F"/>
    <w:rsid w:val="009219DF"/>
    <w:rsid w:val="00922AB9"/>
    <w:rsid w:val="009239B7"/>
    <w:rsid w:val="009270D8"/>
    <w:rsid w:val="0092756C"/>
    <w:rsid w:val="0092764D"/>
    <w:rsid w:val="00931F03"/>
    <w:rsid w:val="00932A0F"/>
    <w:rsid w:val="00934220"/>
    <w:rsid w:val="00935D42"/>
    <w:rsid w:val="009369E8"/>
    <w:rsid w:val="00936D98"/>
    <w:rsid w:val="0093716D"/>
    <w:rsid w:val="00937650"/>
    <w:rsid w:val="00940795"/>
    <w:rsid w:val="00940E68"/>
    <w:rsid w:val="00942B34"/>
    <w:rsid w:val="00942CA0"/>
    <w:rsid w:val="009453F0"/>
    <w:rsid w:val="0094627A"/>
    <w:rsid w:val="00947C71"/>
    <w:rsid w:val="00953028"/>
    <w:rsid w:val="00953D82"/>
    <w:rsid w:val="009549BA"/>
    <w:rsid w:val="00954EC5"/>
    <w:rsid w:val="0095627A"/>
    <w:rsid w:val="0096232E"/>
    <w:rsid w:val="00963BC7"/>
    <w:rsid w:val="009648B5"/>
    <w:rsid w:val="00964BCC"/>
    <w:rsid w:val="0096689F"/>
    <w:rsid w:val="009703D6"/>
    <w:rsid w:val="0097099E"/>
    <w:rsid w:val="00971BBC"/>
    <w:rsid w:val="0097256D"/>
    <w:rsid w:val="00972FEF"/>
    <w:rsid w:val="0097359C"/>
    <w:rsid w:val="00973772"/>
    <w:rsid w:val="0097422F"/>
    <w:rsid w:val="009749DE"/>
    <w:rsid w:val="00975450"/>
    <w:rsid w:val="009754DA"/>
    <w:rsid w:val="009761A0"/>
    <w:rsid w:val="00976DF5"/>
    <w:rsid w:val="00980B3D"/>
    <w:rsid w:val="009811C7"/>
    <w:rsid w:val="00981461"/>
    <w:rsid w:val="00983640"/>
    <w:rsid w:val="0098447B"/>
    <w:rsid w:val="0098551A"/>
    <w:rsid w:val="00985B58"/>
    <w:rsid w:val="00985B7D"/>
    <w:rsid w:val="00986560"/>
    <w:rsid w:val="00987F52"/>
    <w:rsid w:val="00990677"/>
    <w:rsid w:val="009919F6"/>
    <w:rsid w:val="0099471B"/>
    <w:rsid w:val="0099483B"/>
    <w:rsid w:val="009950C1"/>
    <w:rsid w:val="009A0157"/>
    <w:rsid w:val="009A0441"/>
    <w:rsid w:val="009A082E"/>
    <w:rsid w:val="009A0E34"/>
    <w:rsid w:val="009A2637"/>
    <w:rsid w:val="009A27FE"/>
    <w:rsid w:val="009A3A1F"/>
    <w:rsid w:val="009A42F1"/>
    <w:rsid w:val="009A69AE"/>
    <w:rsid w:val="009A69DA"/>
    <w:rsid w:val="009A6DFA"/>
    <w:rsid w:val="009A7DBE"/>
    <w:rsid w:val="009B68BC"/>
    <w:rsid w:val="009B68C6"/>
    <w:rsid w:val="009B69BF"/>
    <w:rsid w:val="009C0531"/>
    <w:rsid w:val="009C443C"/>
    <w:rsid w:val="009C4A0E"/>
    <w:rsid w:val="009C4D4B"/>
    <w:rsid w:val="009C595A"/>
    <w:rsid w:val="009C59F9"/>
    <w:rsid w:val="009C5C4A"/>
    <w:rsid w:val="009C5E24"/>
    <w:rsid w:val="009C6C6D"/>
    <w:rsid w:val="009C76E1"/>
    <w:rsid w:val="009D0436"/>
    <w:rsid w:val="009D1189"/>
    <w:rsid w:val="009D2462"/>
    <w:rsid w:val="009D2831"/>
    <w:rsid w:val="009D365D"/>
    <w:rsid w:val="009D3837"/>
    <w:rsid w:val="009D3D73"/>
    <w:rsid w:val="009D4129"/>
    <w:rsid w:val="009D548F"/>
    <w:rsid w:val="009D738B"/>
    <w:rsid w:val="009E198B"/>
    <w:rsid w:val="009E1C61"/>
    <w:rsid w:val="009E20C1"/>
    <w:rsid w:val="009E3D95"/>
    <w:rsid w:val="009E5F20"/>
    <w:rsid w:val="009E6A46"/>
    <w:rsid w:val="009E7C77"/>
    <w:rsid w:val="009F1A51"/>
    <w:rsid w:val="009F2BDD"/>
    <w:rsid w:val="009F3046"/>
    <w:rsid w:val="009F4CDF"/>
    <w:rsid w:val="009F54A8"/>
    <w:rsid w:val="009F6273"/>
    <w:rsid w:val="009F7B5B"/>
    <w:rsid w:val="00A01605"/>
    <w:rsid w:val="00A01630"/>
    <w:rsid w:val="00A02804"/>
    <w:rsid w:val="00A02E48"/>
    <w:rsid w:val="00A03DB7"/>
    <w:rsid w:val="00A04D42"/>
    <w:rsid w:val="00A06740"/>
    <w:rsid w:val="00A06CAE"/>
    <w:rsid w:val="00A1056C"/>
    <w:rsid w:val="00A12920"/>
    <w:rsid w:val="00A14072"/>
    <w:rsid w:val="00A16C1F"/>
    <w:rsid w:val="00A20B33"/>
    <w:rsid w:val="00A20F10"/>
    <w:rsid w:val="00A2169A"/>
    <w:rsid w:val="00A21D29"/>
    <w:rsid w:val="00A2289E"/>
    <w:rsid w:val="00A23A6D"/>
    <w:rsid w:val="00A23DA9"/>
    <w:rsid w:val="00A25C46"/>
    <w:rsid w:val="00A25F7B"/>
    <w:rsid w:val="00A264F8"/>
    <w:rsid w:val="00A30177"/>
    <w:rsid w:val="00A30339"/>
    <w:rsid w:val="00A31FE6"/>
    <w:rsid w:val="00A33D2E"/>
    <w:rsid w:val="00A35A73"/>
    <w:rsid w:val="00A367C3"/>
    <w:rsid w:val="00A4034A"/>
    <w:rsid w:val="00A40D0D"/>
    <w:rsid w:val="00A459D9"/>
    <w:rsid w:val="00A46E53"/>
    <w:rsid w:val="00A505DD"/>
    <w:rsid w:val="00A50B2B"/>
    <w:rsid w:val="00A520D3"/>
    <w:rsid w:val="00A52C7F"/>
    <w:rsid w:val="00A53599"/>
    <w:rsid w:val="00A5402B"/>
    <w:rsid w:val="00A54585"/>
    <w:rsid w:val="00A545FD"/>
    <w:rsid w:val="00A55933"/>
    <w:rsid w:val="00A56DFC"/>
    <w:rsid w:val="00A612C3"/>
    <w:rsid w:val="00A619DA"/>
    <w:rsid w:val="00A6208B"/>
    <w:rsid w:val="00A6498E"/>
    <w:rsid w:val="00A64B05"/>
    <w:rsid w:val="00A64DD4"/>
    <w:rsid w:val="00A67381"/>
    <w:rsid w:val="00A704AC"/>
    <w:rsid w:val="00A70ACB"/>
    <w:rsid w:val="00A72077"/>
    <w:rsid w:val="00A74C26"/>
    <w:rsid w:val="00A75D14"/>
    <w:rsid w:val="00A81585"/>
    <w:rsid w:val="00A82377"/>
    <w:rsid w:val="00A83902"/>
    <w:rsid w:val="00A85391"/>
    <w:rsid w:val="00A85485"/>
    <w:rsid w:val="00A85533"/>
    <w:rsid w:val="00A87723"/>
    <w:rsid w:val="00A901CA"/>
    <w:rsid w:val="00A90698"/>
    <w:rsid w:val="00A916F2"/>
    <w:rsid w:val="00A91A23"/>
    <w:rsid w:val="00A91A3F"/>
    <w:rsid w:val="00A92004"/>
    <w:rsid w:val="00A92742"/>
    <w:rsid w:val="00A92894"/>
    <w:rsid w:val="00A941AA"/>
    <w:rsid w:val="00A94401"/>
    <w:rsid w:val="00A949E2"/>
    <w:rsid w:val="00A9567B"/>
    <w:rsid w:val="00A958DC"/>
    <w:rsid w:val="00A95DB1"/>
    <w:rsid w:val="00AA0036"/>
    <w:rsid w:val="00AA1178"/>
    <w:rsid w:val="00AA1F0B"/>
    <w:rsid w:val="00AA3A02"/>
    <w:rsid w:val="00AA5391"/>
    <w:rsid w:val="00AA5912"/>
    <w:rsid w:val="00AA59EE"/>
    <w:rsid w:val="00AA5C75"/>
    <w:rsid w:val="00AA727C"/>
    <w:rsid w:val="00AB09FC"/>
    <w:rsid w:val="00AB0A31"/>
    <w:rsid w:val="00AB0B9B"/>
    <w:rsid w:val="00AB3BA3"/>
    <w:rsid w:val="00AB3DBC"/>
    <w:rsid w:val="00AB5324"/>
    <w:rsid w:val="00AB682B"/>
    <w:rsid w:val="00AB683D"/>
    <w:rsid w:val="00AB6F29"/>
    <w:rsid w:val="00AC15DB"/>
    <w:rsid w:val="00AC1852"/>
    <w:rsid w:val="00AC1E7F"/>
    <w:rsid w:val="00AC2DDD"/>
    <w:rsid w:val="00AC3D5C"/>
    <w:rsid w:val="00AC52A3"/>
    <w:rsid w:val="00AC5368"/>
    <w:rsid w:val="00AC60B9"/>
    <w:rsid w:val="00AD05E4"/>
    <w:rsid w:val="00AD20A1"/>
    <w:rsid w:val="00AD2FD0"/>
    <w:rsid w:val="00AD46AA"/>
    <w:rsid w:val="00AD64D6"/>
    <w:rsid w:val="00AD671A"/>
    <w:rsid w:val="00AD6F25"/>
    <w:rsid w:val="00AE02C8"/>
    <w:rsid w:val="00AE09AF"/>
    <w:rsid w:val="00AE0E3B"/>
    <w:rsid w:val="00AE2CA7"/>
    <w:rsid w:val="00AE36CD"/>
    <w:rsid w:val="00AE4327"/>
    <w:rsid w:val="00AE4431"/>
    <w:rsid w:val="00AE6277"/>
    <w:rsid w:val="00AE73EF"/>
    <w:rsid w:val="00AE776F"/>
    <w:rsid w:val="00AF017D"/>
    <w:rsid w:val="00AF090E"/>
    <w:rsid w:val="00AF0A15"/>
    <w:rsid w:val="00AF0BD5"/>
    <w:rsid w:val="00AF160F"/>
    <w:rsid w:val="00AF1FB8"/>
    <w:rsid w:val="00AF281B"/>
    <w:rsid w:val="00AF2F96"/>
    <w:rsid w:val="00AF38FA"/>
    <w:rsid w:val="00AF3972"/>
    <w:rsid w:val="00AF42B9"/>
    <w:rsid w:val="00AF488C"/>
    <w:rsid w:val="00AF4F4B"/>
    <w:rsid w:val="00AF4FB5"/>
    <w:rsid w:val="00AF61AA"/>
    <w:rsid w:val="00B004C4"/>
    <w:rsid w:val="00B00DB6"/>
    <w:rsid w:val="00B01403"/>
    <w:rsid w:val="00B02BD8"/>
    <w:rsid w:val="00B02E2C"/>
    <w:rsid w:val="00B0320A"/>
    <w:rsid w:val="00B038A0"/>
    <w:rsid w:val="00B0397D"/>
    <w:rsid w:val="00B04510"/>
    <w:rsid w:val="00B05468"/>
    <w:rsid w:val="00B0582C"/>
    <w:rsid w:val="00B05A48"/>
    <w:rsid w:val="00B07322"/>
    <w:rsid w:val="00B117B2"/>
    <w:rsid w:val="00B11E82"/>
    <w:rsid w:val="00B12CFD"/>
    <w:rsid w:val="00B134F0"/>
    <w:rsid w:val="00B135AB"/>
    <w:rsid w:val="00B135C5"/>
    <w:rsid w:val="00B13B25"/>
    <w:rsid w:val="00B13D2A"/>
    <w:rsid w:val="00B151EE"/>
    <w:rsid w:val="00B15B9D"/>
    <w:rsid w:val="00B15D3B"/>
    <w:rsid w:val="00B15E2D"/>
    <w:rsid w:val="00B160BD"/>
    <w:rsid w:val="00B166B5"/>
    <w:rsid w:val="00B16D06"/>
    <w:rsid w:val="00B170D9"/>
    <w:rsid w:val="00B17156"/>
    <w:rsid w:val="00B17805"/>
    <w:rsid w:val="00B17928"/>
    <w:rsid w:val="00B21925"/>
    <w:rsid w:val="00B2230E"/>
    <w:rsid w:val="00B22D28"/>
    <w:rsid w:val="00B25CCC"/>
    <w:rsid w:val="00B26A0F"/>
    <w:rsid w:val="00B27CAC"/>
    <w:rsid w:val="00B314A5"/>
    <w:rsid w:val="00B34227"/>
    <w:rsid w:val="00B3491F"/>
    <w:rsid w:val="00B34E8F"/>
    <w:rsid w:val="00B35B96"/>
    <w:rsid w:val="00B35C3C"/>
    <w:rsid w:val="00B40EB7"/>
    <w:rsid w:val="00B41CDF"/>
    <w:rsid w:val="00B422E0"/>
    <w:rsid w:val="00B43834"/>
    <w:rsid w:val="00B43C0F"/>
    <w:rsid w:val="00B44C73"/>
    <w:rsid w:val="00B468D7"/>
    <w:rsid w:val="00B47238"/>
    <w:rsid w:val="00B47465"/>
    <w:rsid w:val="00B47633"/>
    <w:rsid w:val="00B47F06"/>
    <w:rsid w:val="00B50C74"/>
    <w:rsid w:val="00B5109C"/>
    <w:rsid w:val="00B510EE"/>
    <w:rsid w:val="00B53005"/>
    <w:rsid w:val="00B534FF"/>
    <w:rsid w:val="00B559BB"/>
    <w:rsid w:val="00B55F00"/>
    <w:rsid w:val="00B569C3"/>
    <w:rsid w:val="00B606B8"/>
    <w:rsid w:val="00B607B2"/>
    <w:rsid w:val="00B6110B"/>
    <w:rsid w:val="00B62BAF"/>
    <w:rsid w:val="00B6461C"/>
    <w:rsid w:val="00B648DE"/>
    <w:rsid w:val="00B64FCF"/>
    <w:rsid w:val="00B66342"/>
    <w:rsid w:val="00B66B7F"/>
    <w:rsid w:val="00B71C40"/>
    <w:rsid w:val="00B72628"/>
    <w:rsid w:val="00B72DB2"/>
    <w:rsid w:val="00B7359E"/>
    <w:rsid w:val="00B73630"/>
    <w:rsid w:val="00B73A58"/>
    <w:rsid w:val="00B742E4"/>
    <w:rsid w:val="00B7645A"/>
    <w:rsid w:val="00B7664D"/>
    <w:rsid w:val="00B7736B"/>
    <w:rsid w:val="00B77E7F"/>
    <w:rsid w:val="00B810A8"/>
    <w:rsid w:val="00B83EB7"/>
    <w:rsid w:val="00B8405F"/>
    <w:rsid w:val="00B84A0F"/>
    <w:rsid w:val="00B84A49"/>
    <w:rsid w:val="00B84DCB"/>
    <w:rsid w:val="00B87C2A"/>
    <w:rsid w:val="00B91514"/>
    <w:rsid w:val="00B9292B"/>
    <w:rsid w:val="00B933A4"/>
    <w:rsid w:val="00B93BDC"/>
    <w:rsid w:val="00B9433F"/>
    <w:rsid w:val="00B95153"/>
    <w:rsid w:val="00B95218"/>
    <w:rsid w:val="00B95997"/>
    <w:rsid w:val="00B95FB5"/>
    <w:rsid w:val="00B96992"/>
    <w:rsid w:val="00B9773A"/>
    <w:rsid w:val="00BA00B8"/>
    <w:rsid w:val="00BA0D43"/>
    <w:rsid w:val="00BA3957"/>
    <w:rsid w:val="00BA3960"/>
    <w:rsid w:val="00BA39F4"/>
    <w:rsid w:val="00BA711A"/>
    <w:rsid w:val="00BA74AD"/>
    <w:rsid w:val="00BA7A42"/>
    <w:rsid w:val="00BA7AD7"/>
    <w:rsid w:val="00BB0F62"/>
    <w:rsid w:val="00BB26BE"/>
    <w:rsid w:val="00BB272F"/>
    <w:rsid w:val="00BB327B"/>
    <w:rsid w:val="00BB6851"/>
    <w:rsid w:val="00BB6E05"/>
    <w:rsid w:val="00BB7793"/>
    <w:rsid w:val="00BB7A48"/>
    <w:rsid w:val="00BC1BBE"/>
    <w:rsid w:val="00BC1C2B"/>
    <w:rsid w:val="00BC1DDB"/>
    <w:rsid w:val="00BC201B"/>
    <w:rsid w:val="00BC21BC"/>
    <w:rsid w:val="00BC3DCF"/>
    <w:rsid w:val="00BC404D"/>
    <w:rsid w:val="00BC5420"/>
    <w:rsid w:val="00BC591F"/>
    <w:rsid w:val="00BC5C1F"/>
    <w:rsid w:val="00BC777E"/>
    <w:rsid w:val="00BC78BB"/>
    <w:rsid w:val="00BC7C91"/>
    <w:rsid w:val="00BD02CF"/>
    <w:rsid w:val="00BD0EAC"/>
    <w:rsid w:val="00BD33BB"/>
    <w:rsid w:val="00BD37F4"/>
    <w:rsid w:val="00BD5433"/>
    <w:rsid w:val="00BD604D"/>
    <w:rsid w:val="00BD67C1"/>
    <w:rsid w:val="00BD7788"/>
    <w:rsid w:val="00BE0BCB"/>
    <w:rsid w:val="00BE21EE"/>
    <w:rsid w:val="00BE2581"/>
    <w:rsid w:val="00BE2EAE"/>
    <w:rsid w:val="00BE2FB1"/>
    <w:rsid w:val="00BE41B4"/>
    <w:rsid w:val="00BE43DC"/>
    <w:rsid w:val="00BE4481"/>
    <w:rsid w:val="00BE4769"/>
    <w:rsid w:val="00BE7FD0"/>
    <w:rsid w:val="00BF0882"/>
    <w:rsid w:val="00BF19EB"/>
    <w:rsid w:val="00BF1C0F"/>
    <w:rsid w:val="00BF1C9F"/>
    <w:rsid w:val="00BF1D99"/>
    <w:rsid w:val="00BF2E17"/>
    <w:rsid w:val="00BF2FF7"/>
    <w:rsid w:val="00BF3819"/>
    <w:rsid w:val="00BF6D9F"/>
    <w:rsid w:val="00BF77E0"/>
    <w:rsid w:val="00BF7825"/>
    <w:rsid w:val="00C01BE0"/>
    <w:rsid w:val="00C028EB"/>
    <w:rsid w:val="00C02A98"/>
    <w:rsid w:val="00C02D91"/>
    <w:rsid w:val="00C0462C"/>
    <w:rsid w:val="00C04D3B"/>
    <w:rsid w:val="00C0570B"/>
    <w:rsid w:val="00C07440"/>
    <w:rsid w:val="00C074E7"/>
    <w:rsid w:val="00C07B55"/>
    <w:rsid w:val="00C07E6E"/>
    <w:rsid w:val="00C1186F"/>
    <w:rsid w:val="00C13289"/>
    <w:rsid w:val="00C135C4"/>
    <w:rsid w:val="00C13A03"/>
    <w:rsid w:val="00C146B9"/>
    <w:rsid w:val="00C153F7"/>
    <w:rsid w:val="00C15B83"/>
    <w:rsid w:val="00C15E09"/>
    <w:rsid w:val="00C21D24"/>
    <w:rsid w:val="00C23D5E"/>
    <w:rsid w:val="00C23F42"/>
    <w:rsid w:val="00C25672"/>
    <w:rsid w:val="00C2624A"/>
    <w:rsid w:val="00C303DB"/>
    <w:rsid w:val="00C3180E"/>
    <w:rsid w:val="00C31A3E"/>
    <w:rsid w:val="00C329B9"/>
    <w:rsid w:val="00C32C80"/>
    <w:rsid w:val="00C3401C"/>
    <w:rsid w:val="00C344A0"/>
    <w:rsid w:val="00C346B7"/>
    <w:rsid w:val="00C34C18"/>
    <w:rsid w:val="00C34E8A"/>
    <w:rsid w:val="00C36913"/>
    <w:rsid w:val="00C36961"/>
    <w:rsid w:val="00C36A14"/>
    <w:rsid w:val="00C36FF1"/>
    <w:rsid w:val="00C375FB"/>
    <w:rsid w:val="00C406B5"/>
    <w:rsid w:val="00C40CAA"/>
    <w:rsid w:val="00C42CC9"/>
    <w:rsid w:val="00C43124"/>
    <w:rsid w:val="00C44F07"/>
    <w:rsid w:val="00C45EF9"/>
    <w:rsid w:val="00C471DE"/>
    <w:rsid w:val="00C472CD"/>
    <w:rsid w:val="00C50E63"/>
    <w:rsid w:val="00C517C7"/>
    <w:rsid w:val="00C52FFE"/>
    <w:rsid w:val="00C56399"/>
    <w:rsid w:val="00C57285"/>
    <w:rsid w:val="00C575F9"/>
    <w:rsid w:val="00C57E83"/>
    <w:rsid w:val="00C60235"/>
    <w:rsid w:val="00C61968"/>
    <w:rsid w:val="00C61ABD"/>
    <w:rsid w:val="00C62CC4"/>
    <w:rsid w:val="00C63283"/>
    <w:rsid w:val="00C64091"/>
    <w:rsid w:val="00C64243"/>
    <w:rsid w:val="00C645E7"/>
    <w:rsid w:val="00C64A43"/>
    <w:rsid w:val="00C64AD0"/>
    <w:rsid w:val="00C67D6E"/>
    <w:rsid w:val="00C70026"/>
    <w:rsid w:val="00C71A49"/>
    <w:rsid w:val="00C723E8"/>
    <w:rsid w:val="00C727A0"/>
    <w:rsid w:val="00C73B56"/>
    <w:rsid w:val="00C745C8"/>
    <w:rsid w:val="00C7544F"/>
    <w:rsid w:val="00C75777"/>
    <w:rsid w:val="00C761FC"/>
    <w:rsid w:val="00C77839"/>
    <w:rsid w:val="00C77BC4"/>
    <w:rsid w:val="00C77EF4"/>
    <w:rsid w:val="00C8014D"/>
    <w:rsid w:val="00C82208"/>
    <w:rsid w:val="00C82C07"/>
    <w:rsid w:val="00C83748"/>
    <w:rsid w:val="00C839EA"/>
    <w:rsid w:val="00C83A1F"/>
    <w:rsid w:val="00C83BE7"/>
    <w:rsid w:val="00C84059"/>
    <w:rsid w:val="00C8426A"/>
    <w:rsid w:val="00C857F4"/>
    <w:rsid w:val="00C8656B"/>
    <w:rsid w:val="00C86A01"/>
    <w:rsid w:val="00C901FA"/>
    <w:rsid w:val="00C902FC"/>
    <w:rsid w:val="00C90E80"/>
    <w:rsid w:val="00C90FFD"/>
    <w:rsid w:val="00C910E0"/>
    <w:rsid w:val="00C9113C"/>
    <w:rsid w:val="00C93801"/>
    <w:rsid w:val="00C9381F"/>
    <w:rsid w:val="00CA1B98"/>
    <w:rsid w:val="00CA227C"/>
    <w:rsid w:val="00CA2885"/>
    <w:rsid w:val="00CA2FEF"/>
    <w:rsid w:val="00CA5FC9"/>
    <w:rsid w:val="00CA75A3"/>
    <w:rsid w:val="00CA7884"/>
    <w:rsid w:val="00CB098F"/>
    <w:rsid w:val="00CB0E80"/>
    <w:rsid w:val="00CB224C"/>
    <w:rsid w:val="00CB26E7"/>
    <w:rsid w:val="00CB2EF8"/>
    <w:rsid w:val="00CB48B6"/>
    <w:rsid w:val="00CB586C"/>
    <w:rsid w:val="00CB6306"/>
    <w:rsid w:val="00CC0772"/>
    <w:rsid w:val="00CC12D2"/>
    <w:rsid w:val="00CC17B9"/>
    <w:rsid w:val="00CC2465"/>
    <w:rsid w:val="00CC27C3"/>
    <w:rsid w:val="00CC2C43"/>
    <w:rsid w:val="00CC33E9"/>
    <w:rsid w:val="00CC3634"/>
    <w:rsid w:val="00CC3890"/>
    <w:rsid w:val="00CC4A66"/>
    <w:rsid w:val="00CC4C2E"/>
    <w:rsid w:val="00CC4FB1"/>
    <w:rsid w:val="00CC5D44"/>
    <w:rsid w:val="00CC668D"/>
    <w:rsid w:val="00CC6FA3"/>
    <w:rsid w:val="00CD0702"/>
    <w:rsid w:val="00CD11E1"/>
    <w:rsid w:val="00CD1DFA"/>
    <w:rsid w:val="00CD1FA9"/>
    <w:rsid w:val="00CD374A"/>
    <w:rsid w:val="00CD6534"/>
    <w:rsid w:val="00CD6FE7"/>
    <w:rsid w:val="00CD7025"/>
    <w:rsid w:val="00CD7A35"/>
    <w:rsid w:val="00CE0A45"/>
    <w:rsid w:val="00CE0D88"/>
    <w:rsid w:val="00CE1C05"/>
    <w:rsid w:val="00CE21D8"/>
    <w:rsid w:val="00CE69E4"/>
    <w:rsid w:val="00CE739A"/>
    <w:rsid w:val="00CE73A9"/>
    <w:rsid w:val="00CE76D4"/>
    <w:rsid w:val="00CF023F"/>
    <w:rsid w:val="00CF11F0"/>
    <w:rsid w:val="00CF14EA"/>
    <w:rsid w:val="00CF17BF"/>
    <w:rsid w:val="00CF2241"/>
    <w:rsid w:val="00CF2C8B"/>
    <w:rsid w:val="00CF32CA"/>
    <w:rsid w:val="00CF38EB"/>
    <w:rsid w:val="00CF4508"/>
    <w:rsid w:val="00CF571C"/>
    <w:rsid w:val="00CF58BC"/>
    <w:rsid w:val="00CF5EA4"/>
    <w:rsid w:val="00CF5F52"/>
    <w:rsid w:val="00CF6C04"/>
    <w:rsid w:val="00CF7982"/>
    <w:rsid w:val="00CF79A4"/>
    <w:rsid w:val="00D00A0C"/>
    <w:rsid w:val="00D01DBD"/>
    <w:rsid w:val="00D01E20"/>
    <w:rsid w:val="00D02765"/>
    <w:rsid w:val="00D02788"/>
    <w:rsid w:val="00D02844"/>
    <w:rsid w:val="00D02AE0"/>
    <w:rsid w:val="00D04B97"/>
    <w:rsid w:val="00D13990"/>
    <w:rsid w:val="00D139F8"/>
    <w:rsid w:val="00D13CCB"/>
    <w:rsid w:val="00D16CD1"/>
    <w:rsid w:val="00D16CE6"/>
    <w:rsid w:val="00D175A3"/>
    <w:rsid w:val="00D17B54"/>
    <w:rsid w:val="00D20139"/>
    <w:rsid w:val="00D214AF"/>
    <w:rsid w:val="00D23656"/>
    <w:rsid w:val="00D256C8"/>
    <w:rsid w:val="00D26172"/>
    <w:rsid w:val="00D26250"/>
    <w:rsid w:val="00D26A54"/>
    <w:rsid w:val="00D307FA"/>
    <w:rsid w:val="00D327D6"/>
    <w:rsid w:val="00D32E94"/>
    <w:rsid w:val="00D33601"/>
    <w:rsid w:val="00D33C44"/>
    <w:rsid w:val="00D33E23"/>
    <w:rsid w:val="00D351D6"/>
    <w:rsid w:val="00D364F9"/>
    <w:rsid w:val="00D3659D"/>
    <w:rsid w:val="00D37DC4"/>
    <w:rsid w:val="00D40898"/>
    <w:rsid w:val="00D40B71"/>
    <w:rsid w:val="00D40D3B"/>
    <w:rsid w:val="00D4177B"/>
    <w:rsid w:val="00D42325"/>
    <w:rsid w:val="00D434E3"/>
    <w:rsid w:val="00D43B7A"/>
    <w:rsid w:val="00D43C1E"/>
    <w:rsid w:val="00D4483D"/>
    <w:rsid w:val="00D46E74"/>
    <w:rsid w:val="00D50544"/>
    <w:rsid w:val="00D50FBC"/>
    <w:rsid w:val="00D5160C"/>
    <w:rsid w:val="00D5183C"/>
    <w:rsid w:val="00D56D94"/>
    <w:rsid w:val="00D57605"/>
    <w:rsid w:val="00D57CFC"/>
    <w:rsid w:val="00D60245"/>
    <w:rsid w:val="00D6060E"/>
    <w:rsid w:val="00D61385"/>
    <w:rsid w:val="00D61CDC"/>
    <w:rsid w:val="00D6240C"/>
    <w:rsid w:val="00D62476"/>
    <w:rsid w:val="00D629E2"/>
    <w:rsid w:val="00D635F7"/>
    <w:rsid w:val="00D63812"/>
    <w:rsid w:val="00D654A4"/>
    <w:rsid w:val="00D65E5F"/>
    <w:rsid w:val="00D66AE9"/>
    <w:rsid w:val="00D6744D"/>
    <w:rsid w:val="00D7054E"/>
    <w:rsid w:val="00D7251D"/>
    <w:rsid w:val="00D758DE"/>
    <w:rsid w:val="00D7674A"/>
    <w:rsid w:val="00D7686F"/>
    <w:rsid w:val="00D76ECC"/>
    <w:rsid w:val="00D76F16"/>
    <w:rsid w:val="00D807D4"/>
    <w:rsid w:val="00D80D0E"/>
    <w:rsid w:val="00D816ED"/>
    <w:rsid w:val="00D81CA0"/>
    <w:rsid w:val="00D8272B"/>
    <w:rsid w:val="00D838AD"/>
    <w:rsid w:val="00D84196"/>
    <w:rsid w:val="00D849A2"/>
    <w:rsid w:val="00D84D7F"/>
    <w:rsid w:val="00D855C8"/>
    <w:rsid w:val="00D86F41"/>
    <w:rsid w:val="00D9013A"/>
    <w:rsid w:val="00D910B0"/>
    <w:rsid w:val="00D911D9"/>
    <w:rsid w:val="00D924D5"/>
    <w:rsid w:val="00D93E79"/>
    <w:rsid w:val="00D9643D"/>
    <w:rsid w:val="00D970A1"/>
    <w:rsid w:val="00DA054A"/>
    <w:rsid w:val="00DA0B62"/>
    <w:rsid w:val="00DA0DC2"/>
    <w:rsid w:val="00DA0E43"/>
    <w:rsid w:val="00DA1ACD"/>
    <w:rsid w:val="00DA2E6F"/>
    <w:rsid w:val="00DA4F63"/>
    <w:rsid w:val="00DA5CCD"/>
    <w:rsid w:val="00DA61A6"/>
    <w:rsid w:val="00DA6615"/>
    <w:rsid w:val="00DA78AD"/>
    <w:rsid w:val="00DA7CBC"/>
    <w:rsid w:val="00DB088C"/>
    <w:rsid w:val="00DB37F8"/>
    <w:rsid w:val="00DB3D31"/>
    <w:rsid w:val="00DB501E"/>
    <w:rsid w:val="00DB51BF"/>
    <w:rsid w:val="00DB5E0A"/>
    <w:rsid w:val="00DB64DB"/>
    <w:rsid w:val="00DB6971"/>
    <w:rsid w:val="00DB7157"/>
    <w:rsid w:val="00DB7624"/>
    <w:rsid w:val="00DC0DD7"/>
    <w:rsid w:val="00DC1A8F"/>
    <w:rsid w:val="00DC21EF"/>
    <w:rsid w:val="00DC2FD3"/>
    <w:rsid w:val="00DC57DA"/>
    <w:rsid w:val="00DD010E"/>
    <w:rsid w:val="00DD17C1"/>
    <w:rsid w:val="00DD2978"/>
    <w:rsid w:val="00DD6E46"/>
    <w:rsid w:val="00DD72A4"/>
    <w:rsid w:val="00DE1D99"/>
    <w:rsid w:val="00DE2C43"/>
    <w:rsid w:val="00DE3B8C"/>
    <w:rsid w:val="00DE43E5"/>
    <w:rsid w:val="00DE5AAF"/>
    <w:rsid w:val="00DE6245"/>
    <w:rsid w:val="00DE7C29"/>
    <w:rsid w:val="00DE7CBB"/>
    <w:rsid w:val="00DE7DAC"/>
    <w:rsid w:val="00DF0459"/>
    <w:rsid w:val="00DF0684"/>
    <w:rsid w:val="00DF0BB2"/>
    <w:rsid w:val="00DF3392"/>
    <w:rsid w:val="00DF3D0E"/>
    <w:rsid w:val="00DF441D"/>
    <w:rsid w:val="00DF511D"/>
    <w:rsid w:val="00DF5179"/>
    <w:rsid w:val="00DF730F"/>
    <w:rsid w:val="00DF7445"/>
    <w:rsid w:val="00E009AA"/>
    <w:rsid w:val="00E01501"/>
    <w:rsid w:val="00E01B6B"/>
    <w:rsid w:val="00E02E55"/>
    <w:rsid w:val="00E04A8F"/>
    <w:rsid w:val="00E058B6"/>
    <w:rsid w:val="00E06F78"/>
    <w:rsid w:val="00E10CD7"/>
    <w:rsid w:val="00E12C15"/>
    <w:rsid w:val="00E132CD"/>
    <w:rsid w:val="00E1419A"/>
    <w:rsid w:val="00E145B1"/>
    <w:rsid w:val="00E153E4"/>
    <w:rsid w:val="00E16787"/>
    <w:rsid w:val="00E169F0"/>
    <w:rsid w:val="00E16E3D"/>
    <w:rsid w:val="00E1741F"/>
    <w:rsid w:val="00E1746B"/>
    <w:rsid w:val="00E206A0"/>
    <w:rsid w:val="00E23704"/>
    <w:rsid w:val="00E23F6C"/>
    <w:rsid w:val="00E252C8"/>
    <w:rsid w:val="00E25A7C"/>
    <w:rsid w:val="00E26844"/>
    <w:rsid w:val="00E277CF"/>
    <w:rsid w:val="00E27DD8"/>
    <w:rsid w:val="00E30E6F"/>
    <w:rsid w:val="00E31CB2"/>
    <w:rsid w:val="00E35C89"/>
    <w:rsid w:val="00E370DD"/>
    <w:rsid w:val="00E40834"/>
    <w:rsid w:val="00E41724"/>
    <w:rsid w:val="00E43C47"/>
    <w:rsid w:val="00E44A55"/>
    <w:rsid w:val="00E4554F"/>
    <w:rsid w:val="00E456A4"/>
    <w:rsid w:val="00E46F0F"/>
    <w:rsid w:val="00E47C06"/>
    <w:rsid w:val="00E50C3D"/>
    <w:rsid w:val="00E50E2C"/>
    <w:rsid w:val="00E53958"/>
    <w:rsid w:val="00E53A52"/>
    <w:rsid w:val="00E541A1"/>
    <w:rsid w:val="00E54D2E"/>
    <w:rsid w:val="00E550E3"/>
    <w:rsid w:val="00E56C28"/>
    <w:rsid w:val="00E604C9"/>
    <w:rsid w:val="00E60BF0"/>
    <w:rsid w:val="00E632C9"/>
    <w:rsid w:val="00E640DB"/>
    <w:rsid w:val="00E668D5"/>
    <w:rsid w:val="00E66EAA"/>
    <w:rsid w:val="00E700AC"/>
    <w:rsid w:val="00E703FD"/>
    <w:rsid w:val="00E7082C"/>
    <w:rsid w:val="00E729D2"/>
    <w:rsid w:val="00E77610"/>
    <w:rsid w:val="00E77864"/>
    <w:rsid w:val="00E77BB4"/>
    <w:rsid w:val="00E8006B"/>
    <w:rsid w:val="00E82573"/>
    <w:rsid w:val="00E84F28"/>
    <w:rsid w:val="00E86587"/>
    <w:rsid w:val="00E875DE"/>
    <w:rsid w:val="00E910F8"/>
    <w:rsid w:val="00E928B8"/>
    <w:rsid w:val="00E929C4"/>
    <w:rsid w:val="00E9589F"/>
    <w:rsid w:val="00E95994"/>
    <w:rsid w:val="00E96A82"/>
    <w:rsid w:val="00E96D28"/>
    <w:rsid w:val="00EA11BB"/>
    <w:rsid w:val="00EA4343"/>
    <w:rsid w:val="00EA48DD"/>
    <w:rsid w:val="00EA62CD"/>
    <w:rsid w:val="00EA696D"/>
    <w:rsid w:val="00EA6BE7"/>
    <w:rsid w:val="00EA75DE"/>
    <w:rsid w:val="00EA7A8A"/>
    <w:rsid w:val="00EB2AFE"/>
    <w:rsid w:val="00EB2C62"/>
    <w:rsid w:val="00EB5EFF"/>
    <w:rsid w:val="00EB5F90"/>
    <w:rsid w:val="00EB76A0"/>
    <w:rsid w:val="00EB77BD"/>
    <w:rsid w:val="00EB7DDD"/>
    <w:rsid w:val="00EC05DC"/>
    <w:rsid w:val="00EC1302"/>
    <w:rsid w:val="00EC169D"/>
    <w:rsid w:val="00EC1F01"/>
    <w:rsid w:val="00EC2775"/>
    <w:rsid w:val="00EC2E36"/>
    <w:rsid w:val="00EC3282"/>
    <w:rsid w:val="00EC4E53"/>
    <w:rsid w:val="00EC5E70"/>
    <w:rsid w:val="00EC7D46"/>
    <w:rsid w:val="00ED05FE"/>
    <w:rsid w:val="00ED146B"/>
    <w:rsid w:val="00ED20AC"/>
    <w:rsid w:val="00ED3117"/>
    <w:rsid w:val="00ED33A8"/>
    <w:rsid w:val="00ED343A"/>
    <w:rsid w:val="00ED35A2"/>
    <w:rsid w:val="00ED48D3"/>
    <w:rsid w:val="00ED4C0B"/>
    <w:rsid w:val="00EE0423"/>
    <w:rsid w:val="00EE0F81"/>
    <w:rsid w:val="00EE1431"/>
    <w:rsid w:val="00EE17A6"/>
    <w:rsid w:val="00EE20B6"/>
    <w:rsid w:val="00EE3171"/>
    <w:rsid w:val="00EE3DA2"/>
    <w:rsid w:val="00EE44A2"/>
    <w:rsid w:val="00EE490A"/>
    <w:rsid w:val="00EE4980"/>
    <w:rsid w:val="00EE6406"/>
    <w:rsid w:val="00EE7E86"/>
    <w:rsid w:val="00EF1583"/>
    <w:rsid w:val="00EF1A6D"/>
    <w:rsid w:val="00EF2694"/>
    <w:rsid w:val="00EF2E45"/>
    <w:rsid w:val="00EF3BD9"/>
    <w:rsid w:val="00EF566E"/>
    <w:rsid w:val="00EF6643"/>
    <w:rsid w:val="00EF713A"/>
    <w:rsid w:val="00EF78FC"/>
    <w:rsid w:val="00EF7F69"/>
    <w:rsid w:val="00F014BA"/>
    <w:rsid w:val="00F0155C"/>
    <w:rsid w:val="00F05ED7"/>
    <w:rsid w:val="00F06747"/>
    <w:rsid w:val="00F06832"/>
    <w:rsid w:val="00F100CC"/>
    <w:rsid w:val="00F10AA8"/>
    <w:rsid w:val="00F11965"/>
    <w:rsid w:val="00F1262A"/>
    <w:rsid w:val="00F1285C"/>
    <w:rsid w:val="00F12D36"/>
    <w:rsid w:val="00F1321D"/>
    <w:rsid w:val="00F15FDF"/>
    <w:rsid w:val="00F163E2"/>
    <w:rsid w:val="00F16845"/>
    <w:rsid w:val="00F17324"/>
    <w:rsid w:val="00F17744"/>
    <w:rsid w:val="00F17772"/>
    <w:rsid w:val="00F17B14"/>
    <w:rsid w:val="00F201C2"/>
    <w:rsid w:val="00F20626"/>
    <w:rsid w:val="00F20A59"/>
    <w:rsid w:val="00F22616"/>
    <w:rsid w:val="00F22F44"/>
    <w:rsid w:val="00F23C5B"/>
    <w:rsid w:val="00F243A3"/>
    <w:rsid w:val="00F254E2"/>
    <w:rsid w:val="00F2562A"/>
    <w:rsid w:val="00F263EE"/>
    <w:rsid w:val="00F26446"/>
    <w:rsid w:val="00F26989"/>
    <w:rsid w:val="00F31DD9"/>
    <w:rsid w:val="00F32E81"/>
    <w:rsid w:val="00F3435D"/>
    <w:rsid w:val="00F3489A"/>
    <w:rsid w:val="00F3584A"/>
    <w:rsid w:val="00F36182"/>
    <w:rsid w:val="00F37179"/>
    <w:rsid w:val="00F40A6C"/>
    <w:rsid w:val="00F420A1"/>
    <w:rsid w:val="00F431EA"/>
    <w:rsid w:val="00F436E6"/>
    <w:rsid w:val="00F44948"/>
    <w:rsid w:val="00F44B0B"/>
    <w:rsid w:val="00F44FCF"/>
    <w:rsid w:val="00F45722"/>
    <w:rsid w:val="00F52B3B"/>
    <w:rsid w:val="00F5408E"/>
    <w:rsid w:val="00F54CFC"/>
    <w:rsid w:val="00F54EE5"/>
    <w:rsid w:val="00F554DD"/>
    <w:rsid w:val="00F558C5"/>
    <w:rsid w:val="00F5658D"/>
    <w:rsid w:val="00F57829"/>
    <w:rsid w:val="00F61104"/>
    <w:rsid w:val="00F62B50"/>
    <w:rsid w:val="00F62F81"/>
    <w:rsid w:val="00F62FAD"/>
    <w:rsid w:val="00F647FD"/>
    <w:rsid w:val="00F67D48"/>
    <w:rsid w:val="00F71442"/>
    <w:rsid w:val="00F739C9"/>
    <w:rsid w:val="00F744C4"/>
    <w:rsid w:val="00F745FF"/>
    <w:rsid w:val="00F75561"/>
    <w:rsid w:val="00F75DE6"/>
    <w:rsid w:val="00F75EA5"/>
    <w:rsid w:val="00F77B5C"/>
    <w:rsid w:val="00F81AFA"/>
    <w:rsid w:val="00F81BAF"/>
    <w:rsid w:val="00F83420"/>
    <w:rsid w:val="00F846F3"/>
    <w:rsid w:val="00F850D1"/>
    <w:rsid w:val="00F86818"/>
    <w:rsid w:val="00F877C0"/>
    <w:rsid w:val="00F902E2"/>
    <w:rsid w:val="00F91386"/>
    <w:rsid w:val="00F92271"/>
    <w:rsid w:val="00F923FE"/>
    <w:rsid w:val="00F93037"/>
    <w:rsid w:val="00F94554"/>
    <w:rsid w:val="00F94D19"/>
    <w:rsid w:val="00F94F7C"/>
    <w:rsid w:val="00F95740"/>
    <w:rsid w:val="00F96B29"/>
    <w:rsid w:val="00F97061"/>
    <w:rsid w:val="00F974D2"/>
    <w:rsid w:val="00F97F60"/>
    <w:rsid w:val="00FA0050"/>
    <w:rsid w:val="00FA080E"/>
    <w:rsid w:val="00FA51BB"/>
    <w:rsid w:val="00FA5C2B"/>
    <w:rsid w:val="00FA6AA6"/>
    <w:rsid w:val="00FB0DF0"/>
    <w:rsid w:val="00FB24DA"/>
    <w:rsid w:val="00FB2746"/>
    <w:rsid w:val="00FB3044"/>
    <w:rsid w:val="00FB34AC"/>
    <w:rsid w:val="00FB40E1"/>
    <w:rsid w:val="00FB601F"/>
    <w:rsid w:val="00FB638D"/>
    <w:rsid w:val="00FB6C9B"/>
    <w:rsid w:val="00FB7DA2"/>
    <w:rsid w:val="00FC08F8"/>
    <w:rsid w:val="00FC211E"/>
    <w:rsid w:val="00FC31B8"/>
    <w:rsid w:val="00FC329B"/>
    <w:rsid w:val="00FC3F0F"/>
    <w:rsid w:val="00FC43A4"/>
    <w:rsid w:val="00FC4E3A"/>
    <w:rsid w:val="00FC55E9"/>
    <w:rsid w:val="00FC56BE"/>
    <w:rsid w:val="00FC5733"/>
    <w:rsid w:val="00FC633A"/>
    <w:rsid w:val="00FC6CEF"/>
    <w:rsid w:val="00FC7A1C"/>
    <w:rsid w:val="00FD0C72"/>
    <w:rsid w:val="00FD1982"/>
    <w:rsid w:val="00FD2221"/>
    <w:rsid w:val="00FD2A4A"/>
    <w:rsid w:val="00FD2D53"/>
    <w:rsid w:val="00FD487F"/>
    <w:rsid w:val="00FD5542"/>
    <w:rsid w:val="00FD5557"/>
    <w:rsid w:val="00FD7473"/>
    <w:rsid w:val="00FD7D1D"/>
    <w:rsid w:val="00FE075E"/>
    <w:rsid w:val="00FE18B2"/>
    <w:rsid w:val="00FE2FFE"/>
    <w:rsid w:val="00FE3586"/>
    <w:rsid w:val="00FE3E1A"/>
    <w:rsid w:val="00FE57B8"/>
    <w:rsid w:val="00FE760C"/>
    <w:rsid w:val="00FE7EBC"/>
    <w:rsid w:val="00FF00A0"/>
    <w:rsid w:val="00FF02D1"/>
    <w:rsid w:val="00FF09DA"/>
    <w:rsid w:val="00FF35E5"/>
    <w:rsid w:val="00FF3DD2"/>
    <w:rsid w:val="00FF4C4C"/>
    <w:rsid w:val="00FF5A1C"/>
    <w:rsid w:val="00FF703D"/>
    <w:rsid w:val="00FF748F"/>
  </w:rsids>
  <m:mathPr>
    <m:mathFont m:val="Cambria Math"/>
    <m:brkBin m:val="before"/>
    <m:brkBinSub m:val="--"/>
    <m:smallFrac/>
    <m:dispDef/>
    <m:lMargin m:val="0"/>
    <m:rMargin m:val="0"/>
    <m:defJc m:val="centerGroup"/>
    <m:wrapIndent m:val="1440"/>
    <m:intLim m:val="subSup"/>
    <m:naryLim m:val="undOvr"/>
  </m:mathPr>
  <w:themeFontLang w:val="pt-B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170CB"/>
  <w15:docId w15:val="{6A1CF6D8-E2A4-4AF9-B0B6-E0EA91F90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32ED"/>
    <w:pPr>
      <w:spacing w:after="200" w:line="276" w:lineRule="auto"/>
    </w:pPr>
  </w:style>
  <w:style w:type="paragraph" w:styleId="Heading1">
    <w:name w:val="heading 1"/>
    <w:basedOn w:val="Normal"/>
    <w:next w:val="Normal"/>
    <w:link w:val="Heading1Char"/>
    <w:qFormat/>
    <w:rsid w:val="001B021A"/>
    <w:pPr>
      <w:keepNext/>
      <w:tabs>
        <w:tab w:val="num" w:pos="360"/>
      </w:tabs>
      <w:spacing w:before="240" w:after="60" w:line="240" w:lineRule="auto"/>
      <w:outlineLvl w:val="0"/>
    </w:pPr>
    <w:rPr>
      <w:rFonts w:ascii="Arial" w:eastAsia="Times New Roman" w:hAnsi="Arial" w:cs="Times New Roman"/>
      <w:b/>
      <w:kern w:val="28"/>
      <w:sz w:val="28"/>
      <w:szCs w:val="20"/>
      <w:lang w:val="es-ES_tradnl"/>
    </w:rPr>
  </w:style>
  <w:style w:type="paragraph" w:styleId="Heading2">
    <w:name w:val="heading 2"/>
    <w:basedOn w:val="Normal"/>
    <w:next w:val="Normal"/>
    <w:link w:val="Heading2Char"/>
    <w:unhideWhenUsed/>
    <w:qFormat/>
    <w:rsid w:val="00AC2DD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1B021A"/>
    <w:pPr>
      <w:keepNext/>
      <w:tabs>
        <w:tab w:val="num" w:pos="1800"/>
      </w:tabs>
      <w:spacing w:before="240" w:after="60" w:line="240" w:lineRule="auto"/>
      <w:ind w:left="1440"/>
      <w:outlineLvl w:val="2"/>
    </w:pPr>
    <w:rPr>
      <w:rFonts w:ascii="Arial" w:eastAsia="Times New Roman" w:hAnsi="Arial" w:cs="Times New Roman"/>
      <w:sz w:val="24"/>
      <w:szCs w:val="20"/>
      <w:lang w:val="es-ES_tradnl"/>
    </w:rPr>
  </w:style>
  <w:style w:type="paragraph" w:styleId="Heading4">
    <w:name w:val="heading 4"/>
    <w:basedOn w:val="Normal"/>
    <w:next w:val="Normal"/>
    <w:link w:val="Heading4Char"/>
    <w:qFormat/>
    <w:rsid w:val="001B021A"/>
    <w:pPr>
      <w:keepNext/>
      <w:tabs>
        <w:tab w:val="num" w:pos="2520"/>
      </w:tabs>
      <w:spacing w:before="240" w:after="60" w:line="240" w:lineRule="auto"/>
      <w:ind w:left="2160"/>
      <w:outlineLvl w:val="3"/>
    </w:pPr>
    <w:rPr>
      <w:rFonts w:ascii="Arial" w:eastAsia="Times New Roman" w:hAnsi="Arial" w:cs="Times New Roman"/>
      <w:b/>
      <w:sz w:val="24"/>
      <w:szCs w:val="20"/>
      <w:lang w:val="es-ES_tradnl"/>
    </w:rPr>
  </w:style>
  <w:style w:type="paragraph" w:styleId="Heading5">
    <w:name w:val="heading 5"/>
    <w:basedOn w:val="Normal"/>
    <w:next w:val="Normal"/>
    <w:link w:val="Heading5Char"/>
    <w:qFormat/>
    <w:rsid w:val="001B021A"/>
    <w:pPr>
      <w:tabs>
        <w:tab w:val="num" w:pos="3240"/>
      </w:tabs>
      <w:spacing w:before="240" w:after="60" w:line="240" w:lineRule="auto"/>
      <w:ind w:left="2880"/>
      <w:outlineLvl w:val="4"/>
    </w:pPr>
    <w:rPr>
      <w:rFonts w:ascii="Times New Roman" w:eastAsia="Times New Roman" w:hAnsi="Times New Roman" w:cs="Times New Roman"/>
      <w:szCs w:val="20"/>
      <w:lang w:val="es-ES_tradnl"/>
    </w:rPr>
  </w:style>
  <w:style w:type="paragraph" w:styleId="Heading6">
    <w:name w:val="heading 6"/>
    <w:basedOn w:val="Normal"/>
    <w:next w:val="Normal"/>
    <w:link w:val="Heading6Char"/>
    <w:qFormat/>
    <w:rsid w:val="001B021A"/>
    <w:pPr>
      <w:tabs>
        <w:tab w:val="num" w:pos="3960"/>
      </w:tabs>
      <w:spacing w:before="240" w:after="60" w:line="240" w:lineRule="auto"/>
      <w:ind w:left="3600"/>
      <w:outlineLvl w:val="5"/>
    </w:pPr>
    <w:rPr>
      <w:rFonts w:ascii="Times New Roman" w:eastAsia="Times New Roman" w:hAnsi="Times New Roman" w:cs="Times New Roman"/>
      <w:i/>
      <w:szCs w:val="20"/>
      <w:lang w:val="es-ES_tradnl"/>
    </w:rPr>
  </w:style>
  <w:style w:type="paragraph" w:styleId="Heading7">
    <w:name w:val="heading 7"/>
    <w:basedOn w:val="Normal"/>
    <w:next w:val="Normal"/>
    <w:link w:val="Heading7Char"/>
    <w:qFormat/>
    <w:rsid w:val="001B021A"/>
    <w:pPr>
      <w:tabs>
        <w:tab w:val="num" w:pos="4680"/>
      </w:tabs>
      <w:spacing w:before="240" w:after="60" w:line="240" w:lineRule="auto"/>
      <w:ind w:left="4320"/>
      <w:outlineLvl w:val="6"/>
    </w:pPr>
    <w:rPr>
      <w:rFonts w:ascii="Arial" w:eastAsia="Times New Roman" w:hAnsi="Arial" w:cs="Times New Roman"/>
      <w:sz w:val="24"/>
      <w:szCs w:val="20"/>
      <w:lang w:val="es-ES_tradnl"/>
    </w:rPr>
  </w:style>
  <w:style w:type="paragraph" w:styleId="Heading8">
    <w:name w:val="heading 8"/>
    <w:basedOn w:val="Normal"/>
    <w:next w:val="Normal"/>
    <w:link w:val="Heading8Char"/>
    <w:qFormat/>
    <w:rsid w:val="001B021A"/>
    <w:pPr>
      <w:tabs>
        <w:tab w:val="num" w:pos="5400"/>
      </w:tabs>
      <w:spacing w:before="240" w:after="60" w:line="240" w:lineRule="auto"/>
      <w:ind w:left="5040"/>
      <w:outlineLvl w:val="7"/>
    </w:pPr>
    <w:rPr>
      <w:rFonts w:ascii="Arial" w:eastAsia="Times New Roman" w:hAnsi="Arial" w:cs="Times New Roman"/>
      <w:i/>
      <w:sz w:val="24"/>
      <w:szCs w:val="20"/>
      <w:lang w:val="es-ES_tradnl"/>
    </w:rPr>
  </w:style>
  <w:style w:type="paragraph" w:styleId="Heading9">
    <w:name w:val="heading 9"/>
    <w:basedOn w:val="Normal"/>
    <w:next w:val="Normal"/>
    <w:link w:val="Heading9Char"/>
    <w:qFormat/>
    <w:rsid w:val="001B021A"/>
    <w:pPr>
      <w:tabs>
        <w:tab w:val="num" w:pos="6120"/>
      </w:tabs>
      <w:spacing w:before="240" w:after="60" w:line="240" w:lineRule="auto"/>
      <w:ind w:left="5760"/>
      <w:outlineLvl w:val="8"/>
    </w:pPr>
    <w:rPr>
      <w:rFonts w:ascii="Arial" w:eastAsia="Times New Roman" w:hAnsi="Arial" w:cs="Times New Roman"/>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ADB,Char,F,FOOTNOTES,Footnote Text Char,Footnote Text Char Char Char,Footnote Text Char Char Char Char Char Char,Footnote Text Char1 Char,Nota de rodapé,Style 2,Texto nota pie Car Car,f,fn,footnote,footnote text,foottextfra,ft"/>
    <w:basedOn w:val="Normal"/>
    <w:link w:val="FootnoteTextChar1"/>
    <w:uiPriority w:val="99"/>
    <w:unhideWhenUsed/>
    <w:qFormat/>
    <w:rsid w:val="008B32ED"/>
    <w:pPr>
      <w:spacing w:after="0" w:line="240" w:lineRule="auto"/>
    </w:pPr>
    <w:rPr>
      <w:sz w:val="20"/>
      <w:szCs w:val="20"/>
    </w:rPr>
  </w:style>
  <w:style w:type="character" w:customStyle="1" w:styleId="FootnoteTextChar1">
    <w:name w:val="Footnote Text Char1"/>
    <w:aliases w:val="ADB Char,Char Char,F Char,FOOTNOTES Char,Footnote Text Char Char,Footnote Text Char Char Char Char,Footnote Text Char Char Char Char Char Char Char,Footnote Text Char1 Char Char,Nota de rodapé Char,Style 2 Char,f Char,fn Char,ft Char"/>
    <w:basedOn w:val="DefaultParagraphFont"/>
    <w:link w:val="FootnoteText"/>
    <w:uiPriority w:val="99"/>
    <w:rsid w:val="008B32ED"/>
    <w:rPr>
      <w:sz w:val="20"/>
      <w:szCs w:val="20"/>
    </w:rPr>
  </w:style>
  <w:style w:type="character" w:styleId="FootnoteReference">
    <w:name w:val="footnote reference"/>
    <w:aliases w:val="(Ref. de nota al pie),16 Point,FC,Footnote Reference1,Footnotes refss,Fußnotenzeichen DISS,Ref,Ref. de nota al pie.,Style 24,Superscript 6 Point,Texto de nota al pie,de nota al pie,fr,ftref,pie pddes,referencia nota al pie"/>
    <w:basedOn w:val="DefaultParagraphFont"/>
    <w:link w:val="Char2"/>
    <w:uiPriority w:val="99"/>
    <w:unhideWhenUsed/>
    <w:qFormat/>
    <w:rsid w:val="008B32ED"/>
    <w:rPr>
      <w:vertAlign w:val="superscript"/>
    </w:rPr>
  </w:style>
  <w:style w:type="paragraph" w:styleId="Header">
    <w:name w:val="header"/>
    <w:basedOn w:val="Normal"/>
    <w:link w:val="HeaderChar"/>
    <w:uiPriority w:val="99"/>
    <w:unhideWhenUsed/>
    <w:rsid w:val="003C4863"/>
    <w:pPr>
      <w:tabs>
        <w:tab w:val="center" w:pos="4252"/>
        <w:tab w:val="right" w:pos="8504"/>
      </w:tabs>
      <w:spacing w:after="0" w:line="240" w:lineRule="auto"/>
    </w:pPr>
  </w:style>
  <w:style w:type="character" w:customStyle="1" w:styleId="HeaderChar">
    <w:name w:val="Header Char"/>
    <w:basedOn w:val="DefaultParagraphFont"/>
    <w:link w:val="Header"/>
    <w:uiPriority w:val="99"/>
    <w:rsid w:val="003C4863"/>
  </w:style>
  <w:style w:type="paragraph" w:styleId="Footer">
    <w:name w:val="footer"/>
    <w:aliases w:val=" Char,Char Char Char"/>
    <w:basedOn w:val="Normal"/>
    <w:link w:val="FooterChar"/>
    <w:uiPriority w:val="99"/>
    <w:unhideWhenUsed/>
    <w:rsid w:val="003C4863"/>
    <w:pPr>
      <w:tabs>
        <w:tab w:val="center" w:pos="4252"/>
        <w:tab w:val="right" w:pos="8504"/>
      </w:tabs>
      <w:spacing w:after="0" w:line="240" w:lineRule="auto"/>
    </w:pPr>
  </w:style>
  <w:style w:type="character" w:customStyle="1" w:styleId="FooterChar">
    <w:name w:val="Footer Char"/>
    <w:aliases w:val=" Char Char,Char Char Char Char"/>
    <w:basedOn w:val="DefaultParagraphFont"/>
    <w:link w:val="Footer"/>
    <w:rsid w:val="003C4863"/>
  </w:style>
  <w:style w:type="paragraph" w:styleId="ListParagraph">
    <w:name w:val="List Paragraph"/>
    <w:basedOn w:val="Normal"/>
    <w:link w:val="ListParagraphChar"/>
    <w:uiPriority w:val="34"/>
    <w:qFormat/>
    <w:rsid w:val="00E06F78"/>
    <w:pPr>
      <w:ind w:left="720"/>
      <w:contextualSpacing/>
    </w:pPr>
  </w:style>
  <w:style w:type="paragraph" w:styleId="BalloonText">
    <w:name w:val="Balloon Text"/>
    <w:basedOn w:val="Normal"/>
    <w:link w:val="BalloonTextChar"/>
    <w:uiPriority w:val="99"/>
    <w:semiHidden/>
    <w:unhideWhenUsed/>
    <w:rsid w:val="00E800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06B"/>
    <w:rPr>
      <w:rFonts w:ascii="Segoe UI" w:hAnsi="Segoe UI" w:cs="Segoe UI"/>
      <w:sz w:val="18"/>
      <w:szCs w:val="18"/>
    </w:rPr>
  </w:style>
  <w:style w:type="character" w:styleId="Strong">
    <w:name w:val="Strong"/>
    <w:basedOn w:val="DefaultParagraphFont"/>
    <w:uiPriority w:val="22"/>
    <w:qFormat/>
    <w:rsid w:val="00EC1F01"/>
    <w:rPr>
      <w:b/>
      <w:bCs/>
    </w:rPr>
  </w:style>
  <w:style w:type="paragraph" w:styleId="Revision">
    <w:name w:val="Revision"/>
    <w:hidden/>
    <w:uiPriority w:val="99"/>
    <w:semiHidden/>
    <w:rsid w:val="004944B3"/>
    <w:pPr>
      <w:spacing w:after="0" w:line="240" w:lineRule="auto"/>
    </w:pPr>
  </w:style>
  <w:style w:type="character" w:styleId="Hyperlink">
    <w:name w:val="Hyperlink"/>
    <w:uiPriority w:val="99"/>
    <w:unhideWhenUsed/>
    <w:rsid w:val="000B3F2D"/>
    <w:rPr>
      <w:color w:val="0000FF"/>
      <w:u w:val="single"/>
    </w:rPr>
  </w:style>
  <w:style w:type="character" w:customStyle="1" w:styleId="Heading2Char">
    <w:name w:val="Heading 2 Char"/>
    <w:basedOn w:val="DefaultParagraphFont"/>
    <w:link w:val="Heading2"/>
    <w:uiPriority w:val="9"/>
    <w:rsid w:val="00AC2DDD"/>
    <w:rPr>
      <w:rFonts w:asciiTheme="majorHAnsi" w:eastAsiaTheme="majorEastAsia" w:hAnsiTheme="majorHAnsi" w:cstheme="majorBidi"/>
      <w:color w:val="2E74B5" w:themeColor="accent1" w:themeShade="BF"/>
      <w:sz w:val="26"/>
      <w:szCs w:val="26"/>
    </w:rPr>
  </w:style>
  <w:style w:type="character" w:customStyle="1" w:styleId="ListParagraphChar">
    <w:name w:val="List Paragraph Char"/>
    <w:link w:val="ListParagraph"/>
    <w:uiPriority w:val="34"/>
    <w:locked/>
    <w:rsid w:val="005C58BC"/>
  </w:style>
  <w:style w:type="paragraph" w:styleId="BodyText">
    <w:name w:val="Body Text"/>
    <w:basedOn w:val="Normal"/>
    <w:link w:val="BodyTextChar"/>
    <w:semiHidden/>
    <w:rsid w:val="003550F0"/>
    <w:pPr>
      <w:suppressAutoHyphens/>
      <w:spacing w:after="0" w:line="240" w:lineRule="auto"/>
      <w:jc w:val="both"/>
    </w:pPr>
    <w:rPr>
      <w:rFonts w:ascii="Calibri" w:eastAsia="Calibri" w:hAnsi="Calibri" w:cs="font306"/>
      <w:b/>
      <w:color w:val="0070C0"/>
      <w:kern w:val="1"/>
      <w:sz w:val="18"/>
      <w:szCs w:val="18"/>
      <w:lang w:val="es-ES_tradnl"/>
    </w:rPr>
  </w:style>
  <w:style w:type="character" w:customStyle="1" w:styleId="BodyTextChar">
    <w:name w:val="Body Text Char"/>
    <w:basedOn w:val="DefaultParagraphFont"/>
    <w:link w:val="BodyText"/>
    <w:semiHidden/>
    <w:rsid w:val="003550F0"/>
    <w:rPr>
      <w:rFonts w:ascii="Calibri" w:eastAsia="Calibri" w:hAnsi="Calibri" w:cs="font306"/>
      <w:b/>
      <w:color w:val="0070C0"/>
      <w:kern w:val="1"/>
      <w:sz w:val="18"/>
      <w:szCs w:val="18"/>
      <w:lang w:val="es-ES_tradnl"/>
    </w:rPr>
  </w:style>
  <w:style w:type="paragraph" w:styleId="List">
    <w:name w:val="List"/>
    <w:basedOn w:val="Normal"/>
    <w:autoRedefine/>
    <w:rsid w:val="006F7D8A"/>
    <w:pPr>
      <w:widowControl w:val="0"/>
      <w:tabs>
        <w:tab w:val="left" w:pos="-720"/>
      </w:tabs>
      <w:spacing w:after="120" w:line="240" w:lineRule="auto"/>
      <w:ind w:left="567"/>
      <w:jc w:val="both"/>
    </w:pPr>
    <w:rPr>
      <w:rFonts w:ascii="Times New Roman" w:eastAsia="Times New Roman" w:hAnsi="Times New Roman" w:cs="Times New Roman"/>
      <w:sz w:val="20"/>
      <w:szCs w:val="20"/>
    </w:rPr>
  </w:style>
  <w:style w:type="paragraph" w:customStyle="1" w:styleId="Chapter">
    <w:name w:val="Chapter"/>
    <w:basedOn w:val="Normal"/>
    <w:next w:val="Normal"/>
    <w:uiPriority w:val="99"/>
    <w:rsid w:val="00CC3890"/>
    <w:pPr>
      <w:keepNext/>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G,at,p,pa,paragraph"/>
    <w:basedOn w:val="BodyTextIndent"/>
    <w:link w:val="ParagraphChar"/>
    <w:qFormat/>
    <w:rsid w:val="00CC3890"/>
    <w:pPr>
      <w:numPr>
        <w:ilvl w:val="1"/>
        <w:numId w:val="1"/>
      </w:numPr>
      <w:tabs>
        <w:tab w:val="clear" w:pos="2736"/>
        <w:tab w:val="num" w:pos="360"/>
      </w:tabs>
      <w:spacing w:before="120" w:line="240" w:lineRule="auto"/>
      <w:ind w:left="283" w:firstLine="0"/>
      <w:jc w:val="both"/>
      <w:outlineLvl w:val="1"/>
    </w:pPr>
    <w:rPr>
      <w:rFonts w:ascii="Times New Roman" w:eastAsia="Times New Roman" w:hAnsi="Times New Roman" w:cs="Times New Roman"/>
      <w:sz w:val="24"/>
      <w:szCs w:val="20"/>
      <w:lang w:val="es-ES_tradnl" w:eastAsia="pt-BR"/>
    </w:rPr>
  </w:style>
  <w:style w:type="paragraph" w:customStyle="1" w:styleId="subpar">
    <w:name w:val="subpar"/>
    <w:basedOn w:val="BodyTextIndent3"/>
    <w:uiPriority w:val="99"/>
    <w:rsid w:val="00CC3890"/>
    <w:pPr>
      <w:numPr>
        <w:ilvl w:val="2"/>
        <w:numId w:val="1"/>
      </w:numPr>
      <w:tabs>
        <w:tab w:val="clear" w:pos="2592"/>
        <w:tab w:val="num" w:pos="360"/>
        <w:tab w:val="num" w:pos="1152"/>
        <w:tab w:val="num" w:pos="2160"/>
      </w:tabs>
      <w:spacing w:before="120" w:line="240" w:lineRule="auto"/>
      <w:ind w:left="1152" w:hanging="180"/>
      <w:jc w:val="both"/>
      <w:outlineLvl w:val="2"/>
    </w:pPr>
    <w:rPr>
      <w:rFonts w:ascii="Times New Roman" w:eastAsia="Times New Roman" w:hAnsi="Times New Roman" w:cs="Times New Roman"/>
      <w:sz w:val="24"/>
      <w:lang w:val="es-ES_tradnl"/>
    </w:rPr>
  </w:style>
  <w:style w:type="paragraph" w:customStyle="1" w:styleId="SubSubPar">
    <w:name w:val="SubSubPar"/>
    <w:basedOn w:val="subpar"/>
    <w:rsid w:val="00CC3890"/>
    <w:pPr>
      <w:numPr>
        <w:ilvl w:val="3"/>
      </w:numPr>
      <w:tabs>
        <w:tab w:val="left" w:pos="0"/>
        <w:tab w:val="num" w:pos="360"/>
        <w:tab w:val="num" w:pos="1152"/>
        <w:tab w:val="num" w:pos="1296"/>
        <w:tab w:val="num" w:pos="2880"/>
      </w:tabs>
      <w:ind w:left="1296" w:hanging="360"/>
    </w:pPr>
  </w:style>
  <w:style w:type="character" w:customStyle="1" w:styleId="ParagraphChar">
    <w:name w:val="Paragraph Char"/>
    <w:aliases w:val="PARAGRAPH Char,PG Char,at Char,p Char,pa Char,paragraph Char"/>
    <w:link w:val="Paragraph"/>
    <w:locked/>
    <w:rsid w:val="00CC3890"/>
    <w:rPr>
      <w:rFonts w:ascii="Times New Roman" w:eastAsia="Times New Roman" w:hAnsi="Times New Roman" w:cs="Times New Roman"/>
      <w:sz w:val="24"/>
      <w:szCs w:val="20"/>
      <w:lang w:val="es-ES_tradnl" w:eastAsia="pt-BR"/>
    </w:rPr>
  </w:style>
  <w:style w:type="paragraph" w:styleId="BodyTextIndent">
    <w:name w:val="Body Text Indent"/>
    <w:basedOn w:val="Normal"/>
    <w:link w:val="BodyTextIndentChar"/>
    <w:uiPriority w:val="99"/>
    <w:semiHidden/>
    <w:unhideWhenUsed/>
    <w:rsid w:val="00CC3890"/>
    <w:pPr>
      <w:spacing w:after="120"/>
      <w:ind w:left="283"/>
    </w:pPr>
  </w:style>
  <w:style w:type="character" w:customStyle="1" w:styleId="BodyTextIndentChar">
    <w:name w:val="Body Text Indent Char"/>
    <w:basedOn w:val="DefaultParagraphFont"/>
    <w:link w:val="BodyTextIndent"/>
    <w:uiPriority w:val="99"/>
    <w:semiHidden/>
    <w:rsid w:val="00CC3890"/>
  </w:style>
  <w:style w:type="paragraph" w:styleId="BodyTextIndent3">
    <w:name w:val="Body Text Indent 3"/>
    <w:basedOn w:val="Normal"/>
    <w:link w:val="BodyTextIndent3Char"/>
    <w:uiPriority w:val="99"/>
    <w:semiHidden/>
    <w:unhideWhenUsed/>
    <w:rsid w:val="00CC389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C3890"/>
    <w:rPr>
      <w:sz w:val="16"/>
      <w:szCs w:val="16"/>
    </w:rPr>
  </w:style>
  <w:style w:type="character" w:styleId="CommentReference">
    <w:name w:val="annotation reference"/>
    <w:basedOn w:val="DefaultParagraphFont"/>
    <w:uiPriority w:val="99"/>
    <w:unhideWhenUsed/>
    <w:rsid w:val="007553A7"/>
    <w:rPr>
      <w:sz w:val="16"/>
      <w:szCs w:val="16"/>
    </w:rPr>
  </w:style>
  <w:style w:type="paragraph" w:styleId="CommentText">
    <w:name w:val="annotation text"/>
    <w:basedOn w:val="Normal"/>
    <w:link w:val="CommentTextChar"/>
    <w:uiPriority w:val="99"/>
    <w:unhideWhenUsed/>
    <w:rsid w:val="007553A7"/>
    <w:pPr>
      <w:spacing w:line="240" w:lineRule="auto"/>
    </w:pPr>
    <w:rPr>
      <w:sz w:val="20"/>
      <w:szCs w:val="20"/>
    </w:rPr>
  </w:style>
  <w:style w:type="character" w:customStyle="1" w:styleId="CommentTextChar">
    <w:name w:val="Comment Text Char"/>
    <w:basedOn w:val="DefaultParagraphFont"/>
    <w:link w:val="CommentText"/>
    <w:uiPriority w:val="99"/>
    <w:rsid w:val="007553A7"/>
    <w:rPr>
      <w:sz w:val="20"/>
      <w:szCs w:val="20"/>
    </w:rPr>
  </w:style>
  <w:style w:type="paragraph" w:styleId="CommentSubject">
    <w:name w:val="annotation subject"/>
    <w:basedOn w:val="CommentText"/>
    <w:next w:val="CommentText"/>
    <w:link w:val="CommentSubjectChar"/>
    <w:uiPriority w:val="99"/>
    <w:semiHidden/>
    <w:unhideWhenUsed/>
    <w:rsid w:val="007553A7"/>
    <w:rPr>
      <w:b/>
      <w:bCs/>
    </w:rPr>
  </w:style>
  <w:style w:type="character" w:customStyle="1" w:styleId="CommentSubjectChar">
    <w:name w:val="Comment Subject Char"/>
    <w:basedOn w:val="CommentTextChar"/>
    <w:link w:val="CommentSubject"/>
    <w:uiPriority w:val="99"/>
    <w:semiHidden/>
    <w:rsid w:val="007553A7"/>
    <w:rPr>
      <w:b/>
      <w:bCs/>
      <w:sz w:val="20"/>
      <w:szCs w:val="20"/>
    </w:rPr>
  </w:style>
  <w:style w:type="paragraph" w:customStyle="1" w:styleId="Char2">
    <w:name w:val="Char2"/>
    <w:basedOn w:val="Normal"/>
    <w:link w:val="FootnoteReference"/>
    <w:uiPriority w:val="99"/>
    <w:rsid w:val="00713E78"/>
    <w:pPr>
      <w:spacing w:after="160" w:line="240" w:lineRule="exact"/>
    </w:pPr>
    <w:rPr>
      <w:vertAlign w:val="superscript"/>
    </w:rPr>
  </w:style>
  <w:style w:type="paragraph" w:customStyle="1" w:styleId="ParagraphNumbering">
    <w:name w:val="Paragraph Numbering"/>
    <w:basedOn w:val="Normal"/>
    <w:link w:val="ParagraphNumberingChar"/>
    <w:uiPriority w:val="99"/>
    <w:qFormat/>
    <w:rsid w:val="00053037"/>
    <w:pPr>
      <w:numPr>
        <w:numId w:val="4"/>
      </w:numPr>
      <w:spacing w:after="240" w:line="264" w:lineRule="auto"/>
    </w:pPr>
    <w:rPr>
      <w:rFonts w:ascii="Segoe UI" w:eastAsia="SimSun" w:hAnsi="Segoe UI" w:cs="Times New Roman"/>
      <w:sz w:val="21"/>
      <w:szCs w:val="24"/>
      <w:lang w:val="en-US"/>
    </w:rPr>
  </w:style>
  <w:style w:type="character" w:customStyle="1" w:styleId="ParagraphNumberingChar">
    <w:name w:val="Paragraph Numbering Char"/>
    <w:link w:val="ParagraphNumbering"/>
    <w:uiPriority w:val="99"/>
    <w:locked/>
    <w:rsid w:val="00053037"/>
    <w:rPr>
      <w:rFonts w:ascii="Segoe UI" w:eastAsia="SimSun" w:hAnsi="Segoe UI" w:cs="Times New Roman"/>
      <w:sz w:val="21"/>
      <w:szCs w:val="24"/>
      <w:lang w:val="en-US"/>
    </w:rPr>
  </w:style>
  <w:style w:type="character" w:customStyle="1" w:styleId="Heading1Char">
    <w:name w:val="Heading 1 Char"/>
    <w:basedOn w:val="DefaultParagraphFont"/>
    <w:link w:val="Heading1"/>
    <w:rsid w:val="001B021A"/>
    <w:rPr>
      <w:rFonts w:ascii="Arial" w:eastAsia="Times New Roman" w:hAnsi="Arial" w:cs="Times New Roman"/>
      <w:b/>
      <w:kern w:val="28"/>
      <w:sz w:val="28"/>
      <w:szCs w:val="20"/>
      <w:lang w:val="es-ES_tradnl"/>
    </w:rPr>
  </w:style>
  <w:style w:type="character" w:customStyle="1" w:styleId="Heading3Char">
    <w:name w:val="Heading 3 Char"/>
    <w:basedOn w:val="DefaultParagraphFont"/>
    <w:link w:val="Heading3"/>
    <w:rsid w:val="001B021A"/>
    <w:rPr>
      <w:rFonts w:ascii="Arial" w:eastAsia="Times New Roman" w:hAnsi="Arial" w:cs="Times New Roman"/>
      <w:sz w:val="24"/>
      <w:szCs w:val="20"/>
      <w:lang w:val="es-ES_tradnl"/>
    </w:rPr>
  </w:style>
  <w:style w:type="character" w:customStyle="1" w:styleId="Heading4Char">
    <w:name w:val="Heading 4 Char"/>
    <w:basedOn w:val="DefaultParagraphFont"/>
    <w:link w:val="Heading4"/>
    <w:rsid w:val="001B021A"/>
    <w:rPr>
      <w:rFonts w:ascii="Arial" w:eastAsia="Times New Roman" w:hAnsi="Arial" w:cs="Times New Roman"/>
      <w:b/>
      <w:sz w:val="24"/>
      <w:szCs w:val="20"/>
      <w:lang w:val="es-ES_tradnl"/>
    </w:rPr>
  </w:style>
  <w:style w:type="character" w:customStyle="1" w:styleId="Heading5Char">
    <w:name w:val="Heading 5 Char"/>
    <w:basedOn w:val="DefaultParagraphFont"/>
    <w:link w:val="Heading5"/>
    <w:rsid w:val="001B021A"/>
    <w:rPr>
      <w:rFonts w:ascii="Times New Roman" w:eastAsia="Times New Roman" w:hAnsi="Times New Roman" w:cs="Times New Roman"/>
      <w:szCs w:val="20"/>
      <w:lang w:val="es-ES_tradnl"/>
    </w:rPr>
  </w:style>
  <w:style w:type="character" w:customStyle="1" w:styleId="Heading6Char">
    <w:name w:val="Heading 6 Char"/>
    <w:basedOn w:val="DefaultParagraphFont"/>
    <w:link w:val="Heading6"/>
    <w:rsid w:val="001B021A"/>
    <w:rPr>
      <w:rFonts w:ascii="Times New Roman" w:eastAsia="Times New Roman" w:hAnsi="Times New Roman" w:cs="Times New Roman"/>
      <w:i/>
      <w:szCs w:val="20"/>
      <w:lang w:val="es-ES_tradnl"/>
    </w:rPr>
  </w:style>
  <w:style w:type="character" w:customStyle="1" w:styleId="Heading7Char">
    <w:name w:val="Heading 7 Char"/>
    <w:basedOn w:val="DefaultParagraphFont"/>
    <w:link w:val="Heading7"/>
    <w:rsid w:val="001B021A"/>
    <w:rPr>
      <w:rFonts w:ascii="Arial" w:eastAsia="Times New Roman" w:hAnsi="Arial" w:cs="Times New Roman"/>
      <w:sz w:val="24"/>
      <w:szCs w:val="20"/>
      <w:lang w:val="es-ES_tradnl"/>
    </w:rPr>
  </w:style>
  <w:style w:type="character" w:customStyle="1" w:styleId="Heading8Char">
    <w:name w:val="Heading 8 Char"/>
    <w:basedOn w:val="DefaultParagraphFont"/>
    <w:link w:val="Heading8"/>
    <w:rsid w:val="001B021A"/>
    <w:rPr>
      <w:rFonts w:ascii="Arial" w:eastAsia="Times New Roman" w:hAnsi="Arial" w:cs="Times New Roman"/>
      <w:i/>
      <w:sz w:val="24"/>
      <w:szCs w:val="20"/>
      <w:lang w:val="es-ES_tradnl"/>
    </w:rPr>
  </w:style>
  <w:style w:type="character" w:customStyle="1" w:styleId="Heading9Char">
    <w:name w:val="Heading 9 Char"/>
    <w:basedOn w:val="DefaultParagraphFont"/>
    <w:link w:val="Heading9"/>
    <w:rsid w:val="001B021A"/>
    <w:rPr>
      <w:rFonts w:ascii="Arial" w:eastAsia="Times New Roman" w:hAnsi="Arial" w:cs="Times New Roman"/>
      <w:b/>
      <w:i/>
      <w:sz w:val="18"/>
      <w:szCs w:val="20"/>
      <w:lang w:val="es-ES_tradnl"/>
    </w:rPr>
  </w:style>
  <w:style w:type="character" w:styleId="FollowedHyperlink">
    <w:name w:val="FollowedHyperlink"/>
    <w:basedOn w:val="DefaultParagraphFont"/>
    <w:uiPriority w:val="99"/>
    <w:semiHidden/>
    <w:unhideWhenUsed/>
    <w:rsid w:val="001969B0"/>
    <w:rPr>
      <w:color w:val="954F72" w:themeColor="followedHyperlink"/>
      <w:u w:val="single"/>
    </w:rPr>
  </w:style>
  <w:style w:type="character" w:customStyle="1" w:styleId="MenoPendente1">
    <w:name w:val="Menção Pendente1"/>
    <w:basedOn w:val="DefaultParagraphFont"/>
    <w:uiPriority w:val="99"/>
    <w:semiHidden/>
    <w:unhideWhenUsed/>
    <w:rsid w:val="001969B0"/>
    <w:rPr>
      <w:color w:val="605E5C"/>
      <w:shd w:val="clear" w:color="auto" w:fill="E1DFDD"/>
    </w:rPr>
  </w:style>
  <w:style w:type="paragraph" w:styleId="HTMLPreformatted">
    <w:name w:val="HTML Preformatted"/>
    <w:basedOn w:val="Normal"/>
    <w:link w:val="HTMLPreformattedChar"/>
    <w:uiPriority w:val="99"/>
    <w:semiHidden/>
    <w:unhideWhenUsed/>
    <w:rsid w:val="00483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HTMLPreformattedChar">
    <w:name w:val="HTML Preformatted Char"/>
    <w:basedOn w:val="DefaultParagraphFont"/>
    <w:link w:val="HTMLPreformatted"/>
    <w:uiPriority w:val="99"/>
    <w:semiHidden/>
    <w:rsid w:val="00483D15"/>
    <w:rPr>
      <w:rFonts w:ascii="Courier New" w:eastAsia="Times New Roman" w:hAnsi="Courier New" w:cs="Courier New"/>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212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18" Type="http://schemas.openxmlformats.org/officeDocument/2006/relationships/customXml" Target="../customXml/item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17" Type="http://schemas.openxmlformats.org/officeDocument/2006/relationships/customXml" Target="../customXml/item8.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EZSHARE-357996087-20" TargetMode="External"/><Relationship Id="rId2" Type="http://schemas.openxmlformats.org/officeDocument/2006/relationships/hyperlink" Target="http://www.imf.org/external/datamapper/G_XWDG_G01_GDP_PT@FM/ADVEC/FM_EMG/FM_LIDC/BRA" TargetMode="External"/><Relationship Id="rId1" Type="http://schemas.openxmlformats.org/officeDocument/2006/relationships/hyperlink" Target="https://agenciadenoticias.ibge.gov.br/agencia-noticias/2012-agencia-de-noticias/noticias/23885-pib-cresce-1-1-pelo-segundo-ano-seguido-e-fecha-2018-em-r-6-8-trilho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1088F576E12EDE42B7642FC48F0B6256" ma:contentTypeVersion="4672" ma:contentTypeDescription="The base project type from which other project content types inherit their information." ma:contentTypeScope="" ma:versionID="a34e0e1b8010af0c698e3c1c438b3199">
  <xsd:schema xmlns:xsd="http://www.w3.org/2001/XMLSchema" xmlns:xs="http://www.w3.org/2001/XMLSchema" xmlns:p="http://schemas.microsoft.com/office/2006/metadata/properties" xmlns:ns2="cdc7663a-08f0-4737-9e8c-148ce897a09c" targetNamespace="http://schemas.microsoft.com/office/2006/metadata/properties" ma:root="true" ma:fieldsID="7b2045acc6e5605f1b6af622883f8c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L1525"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FF1ADE9F898BC41981BB94CDDC5F0D4" ma:contentTypeVersion="5681" ma:contentTypeDescription="A content type to manage public (operations) IDB documents" ma:contentTypeScope="" ma:versionID="fd7da6b04b376d63efa6da2b7d1ba477">
  <xsd:schema xmlns:xsd="http://www.w3.org/2001/XMLSchema" xmlns:xs="http://www.w3.org/2001/XMLSchema" xmlns:p="http://schemas.microsoft.com/office/2006/metadata/properties" xmlns:ns2="cdc7663a-08f0-4737-9e8c-148ce897a09c" targetNamespace="http://schemas.microsoft.com/office/2006/metadata/properties" ma:root="true" ma:fieldsID="7a35caa2bd4d9643e1b7f49266c6af1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2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Lorena Kevish</Other_x0020_Author>
    <Migration_x0020_Info xmlns="cdc7663a-08f0-4737-9e8c-148ce897a09c" xsi:nil="true"/>
    <Approval_x0020_Number xmlns="cdc7663a-08f0-4737-9e8c-148ce897a09c" xsi:nil="true"/>
    <Phase xmlns="cdc7663a-08f0-4737-9e8c-148ce897a09c" xsi:nil="true"/>
    <Document_x0020_Author xmlns="cdc7663a-08f0-4737-9e8c-148ce897a09c">Bakaj, Patricia Goes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DECENTRALIZATION ＆ INTERGOVERNMENTAL RELATIONS</TermName>
          <TermId xmlns="http://schemas.microsoft.com/office/infopath/2007/PartnerControls">175f00f6-cbe9-4743-a188-bfed370207da</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242</Value>
      <Value>31</Value>
      <Value>30</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BR-L1525;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EZSHARE-357996087-66</_dlc_DocId>
    <_dlc_DocIdUrl xmlns="cdc7663a-08f0-4737-9e8c-148ce897a09c">
      <Url>https://idbg.sharepoint.com/teams/EZ-BR-LON/BR-L1525/_layouts/15/DocIdRedir.aspx?ID=EZSHARE-357996087-66</Url>
      <Description>EZSHARE-357996087-66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13B519A-6CDF-417F-BCF4-27029C1FA09D}">
  <ds:schemaRefs>
    <ds:schemaRef ds:uri="http://schemas.openxmlformats.org/officeDocument/2006/bibliography"/>
  </ds:schemaRefs>
</ds:datastoreItem>
</file>

<file path=customXml/itemProps2.xml><?xml version="1.0" encoding="utf-8"?>
<ds:datastoreItem xmlns:ds="http://schemas.openxmlformats.org/officeDocument/2006/customXml" ds:itemID="{4413FED0-44CC-4FF1-A225-E964D772423B}"/>
</file>

<file path=customXml/itemProps3.xml><?xml version="1.0" encoding="utf-8"?>
<ds:datastoreItem xmlns:ds="http://schemas.openxmlformats.org/officeDocument/2006/customXml" ds:itemID="{13F63A40-95F0-48F1-B802-90F2083A36C0}"/>
</file>

<file path=customXml/itemProps4.xml><?xml version="1.0" encoding="utf-8"?>
<ds:datastoreItem xmlns:ds="http://schemas.openxmlformats.org/officeDocument/2006/customXml" ds:itemID="{338F9B03-3C15-47D3-AB21-4B8817B93D34}"/>
</file>

<file path=customXml/itemProps5.xml><?xml version="1.0" encoding="utf-8"?>
<ds:datastoreItem xmlns:ds="http://schemas.openxmlformats.org/officeDocument/2006/customXml" ds:itemID="{25700C15-1D43-42F4-B138-A7B9B7B80C20}"/>
</file>

<file path=customXml/itemProps6.xml><?xml version="1.0" encoding="utf-8"?>
<ds:datastoreItem xmlns:ds="http://schemas.openxmlformats.org/officeDocument/2006/customXml" ds:itemID="{099F9B6B-9612-4ED4-9200-F01F3A81FA67}"/>
</file>

<file path=customXml/itemProps7.xml><?xml version="1.0" encoding="utf-8"?>
<ds:datastoreItem xmlns:ds="http://schemas.openxmlformats.org/officeDocument/2006/customXml" ds:itemID="{8382C491-DAD6-4458-9B3D-D89BCCA073C4}"/>
</file>

<file path=customXml/itemProps8.xml><?xml version="1.0" encoding="utf-8"?>
<ds:datastoreItem xmlns:ds="http://schemas.openxmlformats.org/officeDocument/2006/customXml" ds:itemID="{3E41346D-632B-4FCA-9D70-B627A8167563}"/>
</file>

<file path=customXml/itemProps9.xml><?xml version="1.0" encoding="utf-8"?>
<ds:datastoreItem xmlns:ds="http://schemas.openxmlformats.org/officeDocument/2006/customXml" ds:itemID="{96787C2E-8660-418B-9C7D-1E4B12A5FDC4}"/>
</file>

<file path=docProps/app.xml><?xml version="1.0" encoding="utf-8"?>
<Properties xmlns="http://schemas.openxmlformats.org/officeDocument/2006/extended-properties" xmlns:vt="http://schemas.openxmlformats.org/officeDocument/2006/docPropsVTypes">
  <Template>Normal.dotm</Template>
  <TotalTime>18</TotalTime>
  <Pages>1</Pages>
  <Words>4601</Words>
  <Characters>26232</Characters>
  <Application>Microsoft Office Word</Application>
  <DocSecurity>0</DocSecurity>
  <Lines>218</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keywords/>
  <cp:lastModifiedBy>Barroso Tostes Neto, Jose</cp:lastModifiedBy>
  <cp:revision>5</cp:revision>
  <cp:lastPrinted>2017-11-20T11:15:00Z</cp:lastPrinted>
  <dcterms:created xsi:type="dcterms:W3CDTF">2019-07-02T15:15:00Z</dcterms:created>
  <dcterms:modified xsi:type="dcterms:W3CDTF">2019-07-03T17:27:00Z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242;#DECENTRALIZATION ＆ INTERGOVERNMENTAL RELATIONS|175f00f6-cbe9-4743-a188-bfed370207da</vt:lpwstr>
  </property>
  <property fmtid="{D5CDD505-2E9C-101B-9397-08002B2CF9AE}" pid="7" name="Fund IDB">
    <vt:lpwstr/>
  </property>
  <property fmtid="{D5CDD505-2E9C-101B-9397-08002B2CF9AE}" pid="8" name="Country">
    <vt:lpwstr>30;#Brazil|7deb27ec-6837-4974-9aa8-6cfbac841ef8</vt:lpwstr>
  </property>
  <property fmtid="{D5CDD505-2E9C-101B-9397-08002B2CF9AE}" pid="9" name="Sector IDB">
    <vt:lpwstr>31;#REFORM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90e7f8f2-22a0-49d4-875a-5ed955b48df9</vt:lpwstr>
  </property>
  <property fmtid="{D5CDD505-2E9C-101B-9397-08002B2CF9AE}" pid="12" name="ContentTypeId">
    <vt:lpwstr>0x0101001A458A224826124E8B45B1D613300CFC000FF1ADE9F898BC41981BB94CDDC5F0D4</vt:lpwstr>
  </property>
</Properties>
</file>