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0D8A5" w14:textId="77777777" w:rsidR="002C1BB1" w:rsidRDefault="00DD011F" w:rsidP="00E941C8">
      <w:pPr>
        <w:spacing w:after="240"/>
        <w:jc w:val="center"/>
      </w:pPr>
      <w:r>
        <w:rPr>
          <w:rFonts w:ascii="Arial" w:hAnsi="Arial" w:cs="Arial"/>
          <w:b/>
        </w:rPr>
        <w:t>TC ABSTRACT</w:t>
      </w:r>
    </w:p>
    <w:p w14:paraId="4AD3F860" w14:textId="77777777" w:rsidR="002C1BB1" w:rsidRDefault="00DD011F" w:rsidP="00E941C8">
      <w:pPr>
        <w:spacing w:after="120"/>
        <w:ind w:left="576" w:hanging="576"/>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28"/>
        <w:gridCol w:w="5114"/>
      </w:tblGrid>
      <w:tr w:rsidR="002C1BB1" w14:paraId="352891FE" w14:textId="77777777" w:rsidTr="002F6D46">
        <w:trPr>
          <w:jc w:val="center"/>
        </w:trPr>
        <w:tc>
          <w:tcPr>
            <w:tcW w:w="4128" w:type="dxa"/>
          </w:tcPr>
          <w:p w14:paraId="40EC4AD3"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5114" w:type="dxa"/>
          </w:tcPr>
          <w:p w14:paraId="43FF5339" w14:textId="77777777" w:rsidR="002C1BB1" w:rsidRDefault="00DD011F">
            <w:pPr>
              <w:spacing w:before="40" w:after="40"/>
            </w:pPr>
            <w:r>
              <w:rPr>
                <w:rFonts w:ascii="Arial" w:hAnsi="Arial" w:cs="Arial"/>
                <w:sz w:val="18"/>
                <w:szCs w:val="18"/>
              </w:rPr>
              <w:t>CHILE/CSC - Southern Cone</w:t>
            </w:r>
          </w:p>
        </w:tc>
      </w:tr>
      <w:tr w:rsidR="002C1BB1" w14:paraId="3D0446D9" w14:textId="77777777" w:rsidTr="002F6D46">
        <w:trPr>
          <w:jc w:val="center"/>
        </w:trPr>
        <w:tc>
          <w:tcPr>
            <w:tcW w:w="4128" w:type="dxa"/>
          </w:tcPr>
          <w:p w14:paraId="70758068"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5114" w:type="dxa"/>
          </w:tcPr>
          <w:p w14:paraId="66CC0C64" w14:textId="77777777" w:rsidR="002C1BB1" w:rsidRDefault="00DD011F">
            <w:pPr>
              <w:spacing w:before="40" w:after="40"/>
            </w:pPr>
            <w:r>
              <w:rPr>
                <w:rFonts w:ascii="Arial" w:hAnsi="Arial" w:cs="Arial"/>
                <w:sz w:val="18"/>
                <w:szCs w:val="18"/>
              </w:rPr>
              <w:t>Support for the Modernization of the Energy Sector of Chile with a Citizen-Based Approach</w:t>
            </w:r>
          </w:p>
        </w:tc>
      </w:tr>
      <w:tr w:rsidR="002C1BB1" w14:paraId="3A2B4667" w14:textId="77777777" w:rsidTr="002F6D46">
        <w:trPr>
          <w:jc w:val="center"/>
        </w:trPr>
        <w:tc>
          <w:tcPr>
            <w:tcW w:w="4128" w:type="dxa"/>
          </w:tcPr>
          <w:p w14:paraId="681EC999"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5114" w:type="dxa"/>
          </w:tcPr>
          <w:p w14:paraId="0028D976" w14:textId="77777777" w:rsidR="002C1BB1" w:rsidRDefault="00DD011F">
            <w:pPr>
              <w:spacing w:before="40" w:after="40"/>
            </w:pPr>
            <w:r>
              <w:rPr>
                <w:rFonts w:ascii="Arial" w:hAnsi="Arial" w:cs="Arial"/>
                <w:sz w:val="18"/>
                <w:szCs w:val="18"/>
              </w:rPr>
              <w:t>CH-T1228</w:t>
            </w:r>
          </w:p>
        </w:tc>
      </w:tr>
      <w:tr w:rsidR="002C1BB1" w:rsidRPr="000E7CC5" w14:paraId="12DCF03F" w14:textId="77777777" w:rsidTr="002F6D46">
        <w:trPr>
          <w:jc w:val="center"/>
        </w:trPr>
        <w:tc>
          <w:tcPr>
            <w:tcW w:w="4128" w:type="dxa"/>
          </w:tcPr>
          <w:p w14:paraId="2938C2A6"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5114" w:type="dxa"/>
          </w:tcPr>
          <w:p w14:paraId="01902B62" w14:textId="0DA3571C" w:rsidR="002C1BB1" w:rsidRPr="000E7CC5" w:rsidRDefault="00DD011F">
            <w:pPr>
              <w:spacing w:before="40" w:after="40"/>
            </w:pPr>
            <w:r w:rsidRPr="000E7CC5">
              <w:rPr>
                <w:rFonts w:ascii="Arial" w:hAnsi="Arial" w:cs="Arial"/>
                <w:sz w:val="18"/>
                <w:szCs w:val="18"/>
              </w:rPr>
              <w:t>M</w:t>
            </w:r>
            <w:r w:rsidR="00E941C8" w:rsidRPr="000E7CC5">
              <w:rPr>
                <w:rFonts w:ascii="Arial" w:hAnsi="Arial" w:cs="Arial"/>
                <w:sz w:val="18"/>
                <w:szCs w:val="18"/>
              </w:rPr>
              <w:t>arzolf</w:t>
            </w:r>
            <w:r w:rsidRPr="000E7CC5">
              <w:rPr>
                <w:rFonts w:ascii="Arial" w:hAnsi="Arial" w:cs="Arial"/>
                <w:sz w:val="18"/>
                <w:szCs w:val="18"/>
              </w:rPr>
              <w:t>, N</w:t>
            </w:r>
            <w:r w:rsidR="00E941C8" w:rsidRPr="000E7CC5">
              <w:rPr>
                <w:rFonts w:ascii="Arial" w:hAnsi="Arial" w:cs="Arial"/>
                <w:sz w:val="18"/>
                <w:szCs w:val="18"/>
              </w:rPr>
              <w:t>atacha</w:t>
            </w:r>
            <w:r w:rsidRPr="000E7CC5">
              <w:rPr>
                <w:rFonts w:ascii="Arial" w:hAnsi="Arial" w:cs="Arial"/>
                <w:sz w:val="18"/>
                <w:szCs w:val="18"/>
              </w:rPr>
              <w:t xml:space="preserve"> </w:t>
            </w:r>
            <w:r w:rsidRPr="000E7CC5">
              <w:rPr>
                <w:rFonts w:ascii="Arial" w:hAnsi="Arial" w:cs="Arial"/>
                <w:sz w:val="18"/>
                <w:szCs w:val="18"/>
              </w:rPr>
              <w:t>(INE/ENE) Team Leader; A</w:t>
            </w:r>
            <w:r w:rsidR="00E941C8" w:rsidRPr="000E7CC5">
              <w:rPr>
                <w:rFonts w:ascii="Arial" w:hAnsi="Arial" w:cs="Arial"/>
                <w:sz w:val="18"/>
                <w:szCs w:val="18"/>
              </w:rPr>
              <w:t>iello</w:t>
            </w:r>
            <w:r w:rsidRPr="000E7CC5">
              <w:rPr>
                <w:rFonts w:ascii="Arial" w:hAnsi="Arial" w:cs="Arial"/>
                <w:sz w:val="18"/>
                <w:szCs w:val="18"/>
              </w:rPr>
              <w:t>, R</w:t>
            </w:r>
            <w:r w:rsidR="00E941C8" w:rsidRPr="000E7CC5">
              <w:rPr>
                <w:rFonts w:ascii="Arial" w:hAnsi="Arial" w:cs="Arial"/>
                <w:sz w:val="18"/>
                <w:szCs w:val="18"/>
              </w:rPr>
              <w:t xml:space="preserve">oberto </w:t>
            </w:r>
            <w:r w:rsidRPr="000E7CC5">
              <w:rPr>
                <w:rFonts w:ascii="Arial" w:hAnsi="Arial" w:cs="Arial"/>
                <w:sz w:val="18"/>
                <w:szCs w:val="18"/>
              </w:rPr>
              <w:t>(INE/ENE) Alternate Team Leader;</w:t>
            </w:r>
            <w:r w:rsidR="005753C5" w:rsidRPr="000E7CC5">
              <w:rPr>
                <w:rFonts w:ascii="Arial" w:hAnsi="Arial" w:cs="Arial"/>
                <w:sz w:val="18"/>
                <w:szCs w:val="18"/>
              </w:rPr>
              <w:t xml:space="preserve"> </w:t>
            </w:r>
            <w:r w:rsidR="000E7CC5" w:rsidRPr="000E7CC5">
              <w:rPr>
                <w:rFonts w:ascii="Arial" w:hAnsi="Arial" w:cs="Arial"/>
                <w:sz w:val="18"/>
                <w:szCs w:val="18"/>
              </w:rPr>
              <w:t>Madrigal, Marcelino</w:t>
            </w:r>
            <w:r w:rsidR="000E7CC5" w:rsidRPr="000E7CC5">
              <w:rPr>
                <w:rFonts w:ascii="Arial" w:hAnsi="Arial" w:cs="Arial"/>
                <w:sz w:val="18"/>
                <w:szCs w:val="18"/>
              </w:rPr>
              <w:t>;</w:t>
            </w:r>
            <w:r w:rsidRPr="000E7CC5">
              <w:rPr>
                <w:rFonts w:ascii="Arial" w:hAnsi="Arial" w:cs="Arial"/>
                <w:sz w:val="18"/>
                <w:szCs w:val="18"/>
              </w:rPr>
              <w:t xml:space="preserve"> </w:t>
            </w:r>
            <w:r w:rsidR="000E7CC5" w:rsidRPr="000E7CC5">
              <w:rPr>
                <w:rFonts w:ascii="Arial" w:hAnsi="Arial" w:cs="Arial"/>
                <w:sz w:val="18"/>
                <w:szCs w:val="18"/>
              </w:rPr>
              <w:t>Suber, Stephanie</w:t>
            </w:r>
            <w:r w:rsidR="000E7CC5" w:rsidRPr="000E7CC5">
              <w:rPr>
                <w:rFonts w:ascii="Arial" w:hAnsi="Arial" w:cs="Arial"/>
                <w:sz w:val="18"/>
                <w:szCs w:val="18"/>
              </w:rPr>
              <w:t xml:space="preserve">; </w:t>
            </w:r>
            <w:proofErr w:type="spellStart"/>
            <w:r w:rsidR="000E7CC5" w:rsidRPr="000E7CC5">
              <w:rPr>
                <w:rFonts w:ascii="Arial" w:hAnsi="Arial" w:cs="Arial"/>
                <w:sz w:val="18"/>
                <w:szCs w:val="18"/>
              </w:rPr>
              <w:t>Malagón</w:t>
            </w:r>
            <w:proofErr w:type="spellEnd"/>
            <w:r w:rsidR="000E7CC5" w:rsidRPr="000E7CC5">
              <w:rPr>
                <w:rFonts w:ascii="Arial" w:hAnsi="Arial" w:cs="Arial"/>
                <w:sz w:val="18"/>
                <w:szCs w:val="18"/>
              </w:rPr>
              <w:t>, Edwin</w:t>
            </w:r>
            <w:r w:rsidR="000E7CC5" w:rsidRPr="000E7CC5">
              <w:rPr>
                <w:rFonts w:ascii="Arial" w:hAnsi="Arial" w:cs="Arial"/>
                <w:sz w:val="18"/>
                <w:szCs w:val="18"/>
              </w:rPr>
              <w:t xml:space="preserve">; and </w:t>
            </w:r>
            <w:r w:rsidR="000E7CC5" w:rsidRPr="000E7CC5">
              <w:rPr>
                <w:rFonts w:ascii="Arial" w:hAnsi="Arial" w:cs="Arial"/>
                <w:sz w:val="18"/>
                <w:szCs w:val="18"/>
              </w:rPr>
              <w:t>Márquez, Fidel (INE/ENE)</w:t>
            </w:r>
            <w:r w:rsidR="000E7CC5" w:rsidRPr="000E7CC5">
              <w:rPr>
                <w:rFonts w:ascii="Arial" w:hAnsi="Arial" w:cs="Arial"/>
                <w:sz w:val="18"/>
                <w:szCs w:val="18"/>
              </w:rPr>
              <w:t xml:space="preserve">; </w:t>
            </w:r>
            <w:r w:rsidR="00117B9D" w:rsidRPr="000E7CC5">
              <w:rPr>
                <w:rFonts w:ascii="Arial" w:hAnsi="Arial" w:cs="Arial"/>
                <w:sz w:val="18"/>
                <w:szCs w:val="18"/>
              </w:rPr>
              <w:t>Robles</w:t>
            </w:r>
            <w:r w:rsidRPr="000E7CC5">
              <w:rPr>
                <w:rFonts w:ascii="Arial" w:hAnsi="Arial" w:cs="Arial"/>
                <w:sz w:val="18"/>
                <w:szCs w:val="18"/>
              </w:rPr>
              <w:t>, P</w:t>
            </w:r>
            <w:r w:rsidR="00117B9D" w:rsidRPr="000E7CC5">
              <w:rPr>
                <w:rFonts w:ascii="Arial" w:hAnsi="Arial" w:cs="Arial"/>
                <w:sz w:val="18"/>
                <w:szCs w:val="18"/>
              </w:rPr>
              <w:t>aola</w:t>
            </w:r>
            <w:r w:rsidR="000E7CC5" w:rsidRPr="000E7CC5">
              <w:rPr>
                <w:rFonts w:ascii="Arial" w:hAnsi="Arial" w:cs="Arial"/>
                <w:sz w:val="18"/>
                <w:szCs w:val="18"/>
              </w:rPr>
              <w:t>; and</w:t>
            </w:r>
            <w:r w:rsidRPr="000E7CC5">
              <w:rPr>
                <w:rFonts w:ascii="Arial" w:hAnsi="Arial" w:cs="Arial"/>
                <w:sz w:val="18"/>
                <w:szCs w:val="18"/>
              </w:rPr>
              <w:t xml:space="preserve"> W</w:t>
            </w:r>
            <w:r w:rsidR="00117B9D" w:rsidRPr="000E7CC5">
              <w:rPr>
                <w:rFonts w:ascii="Arial" w:hAnsi="Arial" w:cs="Arial"/>
                <w:sz w:val="18"/>
                <w:szCs w:val="18"/>
              </w:rPr>
              <w:t>alter</w:t>
            </w:r>
            <w:r w:rsidRPr="000E7CC5">
              <w:rPr>
                <w:rFonts w:ascii="Arial" w:hAnsi="Arial" w:cs="Arial"/>
                <w:sz w:val="18"/>
                <w:szCs w:val="18"/>
              </w:rPr>
              <w:t>, M</w:t>
            </w:r>
            <w:r w:rsidR="00117B9D" w:rsidRPr="000E7CC5">
              <w:rPr>
                <w:rFonts w:ascii="Arial" w:hAnsi="Arial" w:cs="Arial"/>
                <w:sz w:val="18"/>
                <w:szCs w:val="18"/>
              </w:rPr>
              <w:t>artín</w:t>
            </w:r>
            <w:r w:rsidRPr="000E7CC5">
              <w:rPr>
                <w:rFonts w:ascii="Arial" w:hAnsi="Arial" w:cs="Arial"/>
                <w:sz w:val="18"/>
                <w:szCs w:val="18"/>
              </w:rPr>
              <w:t xml:space="preserve"> (INE/CCH)</w:t>
            </w:r>
            <w:r w:rsidRPr="000E7CC5">
              <w:rPr>
                <w:rFonts w:ascii="Arial" w:hAnsi="Arial" w:cs="Arial"/>
                <w:sz w:val="18"/>
                <w:szCs w:val="18"/>
              </w:rPr>
              <w:t xml:space="preserve">; </w:t>
            </w:r>
            <w:proofErr w:type="spellStart"/>
            <w:r w:rsidRPr="000E7CC5">
              <w:rPr>
                <w:rFonts w:ascii="Arial" w:hAnsi="Arial" w:cs="Arial"/>
                <w:sz w:val="18"/>
                <w:szCs w:val="18"/>
              </w:rPr>
              <w:t>N</w:t>
            </w:r>
            <w:r w:rsidR="00117B9D" w:rsidRPr="000E7CC5">
              <w:rPr>
                <w:rFonts w:ascii="Arial" w:hAnsi="Arial" w:cs="Arial"/>
                <w:sz w:val="18"/>
                <w:szCs w:val="18"/>
              </w:rPr>
              <w:t>avas</w:t>
            </w:r>
            <w:proofErr w:type="spellEnd"/>
            <w:r w:rsidRPr="000E7CC5">
              <w:rPr>
                <w:rFonts w:ascii="Arial" w:hAnsi="Arial" w:cs="Arial"/>
                <w:sz w:val="18"/>
                <w:szCs w:val="18"/>
              </w:rPr>
              <w:t>, C</w:t>
            </w:r>
            <w:r w:rsidR="00117B9D" w:rsidRPr="000E7CC5">
              <w:rPr>
                <w:rFonts w:ascii="Arial" w:hAnsi="Arial" w:cs="Arial"/>
                <w:sz w:val="18"/>
                <w:szCs w:val="18"/>
              </w:rPr>
              <w:t>ristian</w:t>
            </w:r>
            <w:r w:rsidR="000E7CC5" w:rsidRPr="000E7CC5">
              <w:rPr>
                <w:rFonts w:ascii="Arial" w:hAnsi="Arial" w:cs="Arial"/>
                <w:sz w:val="18"/>
                <w:szCs w:val="18"/>
              </w:rPr>
              <w:t>;</w:t>
            </w:r>
            <w:r w:rsidRPr="000E7CC5">
              <w:rPr>
                <w:rFonts w:ascii="Arial" w:hAnsi="Arial" w:cs="Arial"/>
                <w:sz w:val="18"/>
                <w:szCs w:val="18"/>
              </w:rPr>
              <w:t xml:space="preserve"> </w:t>
            </w:r>
            <w:r w:rsidR="000E7CC5">
              <w:rPr>
                <w:rFonts w:ascii="Arial" w:hAnsi="Arial" w:cs="Arial"/>
                <w:sz w:val="18"/>
                <w:szCs w:val="18"/>
              </w:rPr>
              <w:t>and</w:t>
            </w:r>
            <w:r w:rsidRPr="000E7CC5">
              <w:rPr>
                <w:rFonts w:ascii="Arial" w:hAnsi="Arial" w:cs="Arial"/>
                <w:sz w:val="18"/>
                <w:szCs w:val="18"/>
              </w:rPr>
              <w:t xml:space="preserve"> R</w:t>
            </w:r>
            <w:r w:rsidR="00117B9D" w:rsidRPr="000E7CC5">
              <w:rPr>
                <w:rFonts w:ascii="Arial" w:hAnsi="Arial" w:cs="Arial"/>
                <w:sz w:val="18"/>
                <w:szCs w:val="18"/>
              </w:rPr>
              <w:t>odríguez</w:t>
            </w:r>
            <w:r w:rsidRPr="000E7CC5">
              <w:rPr>
                <w:rFonts w:ascii="Arial" w:hAnsi="Arial" w:cs="Arial"/>
                <w:sz w:val="18"/>
                <w:szCs w:val="18"/>
              </w:rPr>
              <w:t>, R</w:t>
            </w:r>
            <w:r w:rsidR="00117B9D" w:rsidRPr="000E7CC5">
              <w:rPr>
                <w:rFonts w:ascii="Arial" w:hAnsi="Arial" w:cs="Arial"/>
                <w:sz w:val="18"/>
                <w:szCs w:val="18"/>
              </w:rPr>
              <w:t>aúl</w:t>
            </w:r>
            <w:r w:rsidRPr="000E7CC5">
              <w:rPr>
                <w:rFonts w:ascii="Arial" w:hAnsi="Arial" w:cs="Arial"/>
                <w:sz w:val="18"/>
                <w:szCs w:val="18"/>
              </w:rPr>
              <w:t xml:space="preserve"> (INE/TSP)</w:t>
            </w:r>
            <w:r w:rsidR="00117B9D" w:rsidRPr="000E7CC5">
              <w:rPr>
                <w:rFonts w:ascii="Arial" w:hAnsi="Arial" w:cs="Arial"/>
                <w:sz w:val="18"/>
                <w:szCs w:val="18"/>
              </w:rPr>
              <w:t>.</w:t>
            </w:r>
          </w:p>
        </w:tc>
      </w:tr>
      <w:tr w:rsidR="002C1BB1" w14:paraId="756091EA" w14:textId="77777777" w:rsidTr="002F6D46">
        <w:trPr>
          <w:jc w:val="center"/>
        </w:trPr>
        <w:tc>
          <w:tcPr>
            <w:tcW w:w="4128" w:type="dxa"/>
          </w:tcPr>
          <w:p w14:paraId="40F969B8"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5114" w:type="dxa"/>
          </w:tcPr>
          <w:p w14:paraId="3B598C1A" w14:textId="77777777" w:rsidR="002C1BB1" w:rsidRDefault="00DD011F">
            <w:pPr>
              <w:spacing w:before="40" w:after="40"/>
            </w:pPr>
            <w:r>
              <w:rPr>
                <w:rFonts w:ascii="Arial" w:hAnsi="Arial" w:cs="Arial"/>
                <w:sz w:val="18"/>
                <w:szCs w:val="18"/>
              </w:rPr>
              <w:t>Client Support</w:t>
            </w:r>
          </w:p>
        </w:tc>
      </w:tr>
      <w:tr w:rsidR="002C1BB1" w14:paraId="674C028C" w14:textId="77777777" w:rsidTr="002F6D46">
        <w:trPr>
          <w:jc w:val="center"/>
        </w:trPr>
        <w:tc>
          <w:tcPr>
            <w:tcW w:w="4128" w:type="dxa"/>
          </w:tcPr>
          <w:p w14:paraId="14CAC15C"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5114" w:type="dxa"/>
          </w:tcPr>
          <w:p w14:paraId="4168A9EF" w14:textId="77777777" w:rsidR="002C1BB1" w:rsidRDefault="00DD011F">
            <w:pPr>
              <w:spacing w:before="40" w:after="40"/>
            </w:pPr>
            <w:r>
              <w:rPr>
                <w:rFonts w:ascii="Arial" w:hAnsi="Arial" w:cs="Arial"/>
                <w:sz w:val="18"/>
                <w:szCs w:val="18"/>
              </w:rPr>
              <w:t>N/A</w:t>
            </w:r>
          </w:p>
        </w:tc>
      </w:tr>
      <w:tr w:rsidR="002C1BB1" w14:paraId="66D9866F" w14:textId="77777777" w:rsidTr="002F6D46">
        <w:trPr>
          <w:jc w:val="center"/>
        </w:trPr>
        <w:tc>
          <w:tcPr>
            <w:tcW w:w="4128" w:type="dxa"/>
          </w:tcPr>
          <w:p w14:paraId="6A0AB50F"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5114" w:type="dxa"/>
          </w:tcPr>
          <w:p w14:paraId="37D0F87C" w14:textId="057C4E94" w:rsidR="002C1BB1" w:rsidRDefault="00DD011F">
            <w:pPr>
              <w:spacing w:before="40" w:after="40"/>
            </w:pPr>
            <w:r>
              <w:rPr>
                <w:rFonts w:ascii="Arial" w:hAnsi="Arial" w:cs="Arial"/>
                <w:sz w:val="18"/>
                <w:szCs w:val="18"/>
              </w:rPr>
              <w:t>Feb</w:t>
            </w:r>
            <w:r w:rsidR="00117B9D">
              <w:rPr>
                <w:rFonts w:ascii="Arial" w:hAnsi="Arial" w:cs="Arial"/>
                <w:sz w:val="18"/>
                <w:szCs w:val="18"/>
              </w:rPr>
              <w:t>ruary 13,</w:t>
            </w:r>
            <w:r>
              <w:rPr>
                <w:rFonts w:ascii="Arial" w:hAnsi="Arial" w:cs="Arial"/>
                <w:sz w:val="18"/>
                <w:szCs w:val="18"/>
              </w:rPr>
              <w:t xml:space="preserve"> 2020</w:t>
            </w:r>
          </w:p>
        </w:tc>
      </w:tr>
      <w:tr w:rsidR="002C1BB1" w14:paraId="071D54D2" w14:textId="77777777" w:rsidTr="002F6D46">
        <w:trPr>
          <w:jc w:val="center"/>
        </w:trPr>
        <w:tc>
          <w:tcPr>
            <w:tcW w:w="4128" w:type="dxa"/>
          </w:tcPr>
          <w:p w14:paraId="420744EA"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5114" w:type="dxa"/>
          </w:tcPr>
          <w:p w14:paraId="2BEB90C3" w14:textId="5DE0A257" w:rsidR="002C1BB1" w:rsidRDefault="00DD011F">
            <w:pPr>
              <w:spacing w:before="40" w:after="40"/>
            </w:pPr>
            <w:r>
              <w:rPr>
                <w:rFonts w:ascii="Arial" w:hAnsi="Arial" w:cs="Arial"/>
                <w:sz w:val="18"/>
                <w:szCs w:val="18"/>
              </w:rPr>
              <w:t>Minist</w:t>
            </w:r>
            <w:r w:rsidR="000E7CC5">
              <w:rPr>
                <w:rFonts w:ascii="Arial" w:hAnsi="Arial" w:cs="Arial"/>
                <w:sz w:val="18"/>
                <w:szCs w:val="18"/>
              </w:rPr>
              <w:t>ry of</w:t>
            </w:r>
            <w:r>
              <w:rPr>
                <w:rFonts w:ascii="Arial" w:hAnsi="Arial" w:cs="Arial"/>
                <w:sz w:val="18"/>
                <w:szCs w:val="18"/>
              </w:rPr>
              <w:t xml:space="preserve"> Ener</w:t>
            </w:r>
            <w:r w:rsidR="000E7CC5">
              <w:rPr>
                <w:rFonts w:ascii="Arial" w:hAnsi="Arial" w:cs="Arial"/>
                <w:sz w:val="18"/>
                <w:szCs w:val="18"/>
              </w:rPr>
              <w:t>gy</w:t>
            </w:r>
          </w:p>
        </w:tc>
      </w:tr>
      <w:tr w:rsidR="002C1BB1" w14:paraId="0A1C237E" w14:textId="77777777" w:rsidTr="002F6D46">
        <w:trPr>
          <w:jc w:val="center"/>
        </w:trPr>
        <w:tc>
          <w:tcPr>
            <w:tcW w:w="4128" w:type="dxa"/>
          </w:tcPr>
          <w:p w14:paraId="0B4BB6D0"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5114" w:type="dxa"/>
          </w:tcPr>
          <w:p w14:paraId="72B0F7B7" w14:textId="6733D6FA" w:rsidR="002C1BB1" w:rsidRDefault="00DD011F">
            <w:pPr>
              <w:spacing w:before="40" w:after="40"/>
            </w:pPr>
            <w:r>
              <w:rPr>
                <w:rFonts w:ascii="Arial" w:hAnsi="Arial" w:cs="Arial"/>
                <w:sz w:val="18"/>
                <w:szCs w:val="18"/>
              </w:rPr>
              <w:t>I</w:t>
            </w:r>
            <w:r w:rsidR="002F6D46">
              <w:rPr>
                <w:rFonts w:ascii="Arial" w:hAnsi="Arial" w:cs="Arial"/>
                <w:sz w:val="18"/>
                <w:szCs w:val="18"/>
              </w:rPr>
              <w:t>nter</w:t>
            </w:r>
            <w:r>
              <w:rPr>
                <w:rFonts w:ascii="Arial" w:hAnsi="Arial" w:cs="Arial"/>
                <w:sz w:val="18"/>
                <w:szCs w:val="18"/>
              </w:rPr>
              <w:t>-A</w:t>
            </w:r>
            <w:r w:rsidR="002F6D46">
              <w:rPr>
                <w:rFonts w:ascii="Arial" w:hAnsi="Arial" w:cs="Arial"/>
                <w:sz w:val="18"/>
                <w:szCs w:val="18"/>
              </w:rPr>
              <w:t>merican</w:t>
            </w:r>
            <w:r>
              <w:rPr>
                <w:rFonts w:ascii="Arial" w:hAnsi="Arial" w:cs="Arial"/>
                <w:sz w:val="18"/>
                <w:szCs w:val="18"/>
              </w:rPr>
              <w:t xml:space="preserve"> D</w:t>
            </w:r>
            <w:r w:rsidR="002F6D46">
              <w:rPr>
                <w:rFonts w:ascii="Arial" w:hAnsi="Arial" w:cs="Arial"/>
                <w:sz w:val="18"/>
                <w:szCs w:val="18"/>
              </w:rPr>
              <w:t>evelopment</w:t>
            </w:r>
            <w:r>
              <w:rPr>
                <w:rFonts w:ascii="Arial" w:hAnsi="Arial" w:cs="Arial"/>
                <w:sz w:val="18"/>
                <w:szCs w:val="18"/>
              </w:rPr>
              <w:t xml:space="preserve"> </w:t>
            </w:r>
            <w:r>
              <w:rPr>
                <w:rFonts w:ascii="Arial" w:hAnsi="Arial" w:cs="Arial"/>
                <w:sz w:val="18"/>
                <w:szCs w:val="18"/>
              </w:rPr>
              <w:t>B</w:t>
            </w:r>
            <w:r w:rsidR="002F6D46">
              <w:rPr>
                <w:rFonts w:ascii="Arial" w:hAnsi="Arial" w:cs="Arial"/>
                <w:sz w:val="18"/>
                <w:szCs w:val="18"/>
              </w:rPr>
              <w:t>ank</w:t>
            </w:r>
          </w:p>
        </w:tc>
      </w:tr>
      <w:tr w:rsidR="002C1BB1" w14:paraId="268C98B5" w14:textId="77777777" w:rsidTr="002F6D46">
        <w:trPr>
          <w:jc w:val="center"/>
        </w:trPr>
        <w:tc>
          <w:tcPr>
            <w:tcW w:w="4128" w:type="dxa"/>
          </w:tcPr>
          <w:p w14:paraId="748A3D8F"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5114" w:type="dxa"/>
          </w:tcPr>
          <w:p w14:paraId="76689E44" w14:textId="77777777" w:rsidR="002C1BB1" w:rsidRDefault="00DD011F" w:rsidP="002F6D46">
            <w:pPr>
              <w:bidi/>
              <w:spacing w:before="40" w:after="40"/>
              <w:jc w:val="right"/>
            </w:pPr>
            <w:r>
              <w:rPr>
                <w:rFonts w:ascii="Arial" w:hAnsi="Arial" w:cs="Arial"/>
                <w:sz w:val="18"/>
                <w:szCs w:val="18"/>
              </w:rPr>
              <w:t>US$250,000.00</w:t>
            </w:r>
          </w:p>
        </w:tc>
      </w:tr>
      <w:tr w:rsidR="002C1BB1" w14:paraId="6B775D09" w14:textId="77777777" w:rsidTr="002F6D46">
        <w:trPr>
          <w:jc w:val="center"/>
        </w:trPr>
        <w:tc>
          <w:tcPr>
            <w:tcW w:w="4128" w:type="dxa"/>
          </w:tcPr>
          <w:p w14:paraId="7ACB10EC"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5114" w:type="dxa"/>
          </w:tcPr>
          <w:p w14:paraId="5B551E46" w14:textId="77777777" w:rsidR="002C1BB1" w:rsidRDefault="00DD011F" w:rsidP="002F6D46">
            <w:pPr>
              <w:bidi/>
              <w:spacing w:before="40" w:after="40"/>
              <w:jc w:val="right"/>
            </w:pPr>
            <w:r>
              <w:rPr>
                <w:rFonts w:ascii="Arial" w:hAnsi="Arial" w:cs="Arial"/>
                <w:sz w:val="18"/>
                <w:szCs w:val="18"/>
              </w:rPr>
              <w:t>US$0.00</w:t>
            </w:r>
          </w:p>
        </w:tc>
      </w:tr>
      <w:tr w:rsidR="002C1BB1" w14:paraId="49A8EBA9" w14:textId="77777777" w:rsidTr="002F6D46">
        <w:trPr>
          <w:jc w:val="center"/>
        </w:trPr>
        <w:tc>
          <w:tcPr>
            <w:tcW w:w="4128" w:type="dxa"/>
          </w:tcPr>
          <w:p w14:paraId="5D391AE7"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5114" w:type="dxa"/>
          </w:tcPr>
          <w:p w14:paraId="72C9FAD6" w14:textId="77777777" w:rsidR="002C1BB1" w:rsidRDefault="00DD011F" w:rsidP="002F6D46">
            <w:pPr>
              <w:bidi/>
              <w:spacing w:before="40" w:after="40"/>
              <w:jc w:val="right"/>
            </w:pPr>
            <w:r>
              <w:rPr>
                <w:rFonts w:ascii="Arial" w:hAnsi="Arial" w:cs="Arial"/>
                <w:sz w:val="18"/>
                <w:szCs w:val="18"/>
              </w:rPr>
              <w:t>24 months</w:t>
            </w:r>
          </w:p>
        </w:tc>
      </w:tr>
      <w:tr w:rsidR="002C1BB1" w14:paraId="2145D825" w14:textId="77777777" w:rsidTr="002F6D46">
        <w:trPr>
          <w:jc w:val="center"/>
        </w:trPr>
        <w:tc>
          <w:tcPr>
            <w:tcW w:w="4128" w:type="dxa"/>
          </w:tcPr>
          <w:p w14:paraId="70659F6A"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5114" w:type="dxa"/>
          </w:tcPr>
          <w:p w14:paraId="05A18A5D" w14:textId="77777777" w:rsidR="002C1BB1" w:rsidRDefault="00DD011F">
            <w:pPr>
              <w:spacing w:before="40" w:after="40"/>
            </w:pPr>
            <w:r>
              <w:rPr>
                <w:rFonts w:ascii="Arial" w:hAnsi="Arial" w:cs="Arial"/>
                <w:sz w:val="18"/>
                <w:szCs w:val="18"/>
              </w:rPr>
              <w:t>Individuals; Firms</w:t>
            </w:r>
          </w:p>
        </w:tc>
      </w:tr>
      <w:tr w:rsidR="002C1BB1" w14:paraId="77FE6101" w14:textId="77777777" w:rsidTr="002F6D46">
        <w:trPr>
          <w:jc w:val="center"/>
        </w:trPr>
        <w:tc>
          <w:tcPr>
            <w:tcW w:w="4128" w:type="dxa"/>
          </w:tcPr>
          <w:p w14:paraId="0F81CC6D"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Prepared by </w:t>
            </w:r>
            <w:r>
              <w:rPr>
                <w:rFonts w:ascii="Arial" w:hAnsi="Arial" w:cs="Arial"/>
                <w:sz w:val="18"/>
                <w:szCs w:val="18"/>
              </w:rPr>
              <w:t>Unit:</w:t>
            </w:r>
          </w:p>
        </w:tc>
        <w:tc>
          <w:tcPr>
            <w:tcW w:w="5114" w:type="dxa"/>
          </w:tcPr>
          <w:p w14:paraId="018C21EE" w14:textId="7A763875" w:rsidR="002C1BB1" w:rsidRDefault="00F46D0B">
            <w:pPr>
              <w:spacing w:before="40" w:after="40"/>
            </w:pPr>
            <w:r>
              <w:rPr>
                <w:rFonts w:ascii="Arial" w:hAnsi="Arial" w:cs="Arial"/>
                <w:sz w:val="18"/>
                <w:szCs w:val="18"/>
              </w:rPr>
              <w:t>E</w:t>
            </w:r>
            <w:r w:rsidR="00DD011F">
              <w:rPr>
                <w:rFonts w:ascii="Arial" w:hAnsi="Arial" w:cs="Arial"/>
                <w:sz w:val="18"/>
                <w:szCs w:val="18"/>
              </w:rPr>
              <w:t>nergy</w:t>
            </w:r>
            <w:r>
              <w:rPr>
                <w:rFonts w:ascii="Arial" w:hAnsi="Arial" w:cs="Arial"/>
                <w:sz w:val="18"/>
                <w:szCs w:val="18"/>
              </w:rPr>
              <w:t xml:space="preserve"> Division – </w:t>
            </w:r>
            <w:r>
              <w:rPr>
                <w:rFonts w:ascii="Arial" w:hAnsi="Arial" w:cs="Arial"/>
                <w:sz w:val="18"/>
                <w:szCs w:val="18"/>
              </w:rPr>
              <w:t>INE/ENE</w:t>
            </w:r>
          </w:p>
        </w:tc>
      </w:tr>
      <w:tr w:rsidR="002C1BB1" w14:paraId="25E36EBE" w14:textId="77777777" w:rsidTr="002F6D46">
        <w:trPr>
          <w:jc w:val="center"/>
        </w:trPr>
        <w:tc>
          <w:tcPr>
            <w:tcW w:w="4128" w:type="dxa"/>
          </w:tcPr>
          <w:p w14:paraId="74DC5062"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5114" w:type="dxa"/>
          </w:tcPr>
          <w:p w14:paraId="4304B012" w14:textId="1F8078DD" w:rsidR="002C1BB1" w:rsidRDefault="00DD011F">
            <w:pPr>
              <w:spacing w:before="40" w:after="40"/>
            </w:pPr>
            <w:r>
              <w:rPr>
                <w:rFonts w:ascii="Arial" w:hAnsi="Arial" w:cs="Arial"/>
                <w:sz w:val="18"/>
                <w:szCs w:val="18"/>
              </w:rPr>
              <w:t>Infrastructure and Energy Sector</w:t>
            </w:r>
            <w:r w:rsidR="00F46D0B">
              <w:rPr>
                <w:rFonts w:ascii="Arial" w:hAnsi="Arial" w:cs="Arial"/>
                <w:sz w:val="18"/>
                <w:szCs w:val="18"/>
              </w:rPr>
              <w:t xml:space="preserve"> – INE/INE</w:t>
            </w:r>
          </w:p>
        </w:tc>
      </w:tr>
      <w:tr w:rsidR="002C1BB1" w14:paraId="047C6C98" w14:textId="77777777" w:rsidTr="002F6D46">
        <w:trPr>
          <w:jc w:val="center"/>
        </w:trPr>
        <w:tc>
          <w:tcPr>
            <w:tcW w:w="4128" w:type="dxa"/>
          </w:tcPr>
          <w:p w14:paraId="211C3E73" w14:textId="4ACB3360" w:rsidR="002C1BB1" w:rsidRDefault="00DD011F">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t>▪</w:t>
            </w:r>
            <w:r>
              <w:rPr>
                <w:rFonts w:ascii="Arial" w:hAnsi="Arial" w:cs="Arial"/>
                <w:sz w:val="18"/>
                <w:szCs w:val="18"/>
              </w:rPr>
              <w:t xml:space="preserve"> TC included in CPD (y/n):</w:t>
            </w:r>
          </w:p>
        </w:tc>
        <w:tc>
          <w:tcPr>
            <w:tcW w:w="5114" w:type="dxa"/>
          </w:tcPr>
          <w:p w14:paraId="539489EF" w14:textId="707EBBB2" w:rsidR="002C1BB1" w:rsidRDefault="00DD011F">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t>Yes</w:t>
            </w:r>
          </w:p>
        </w:tc>
      </w:tr>
      <w:tr w:rsidR="002C1BB1" w14:paraId="1DBD619C" w14:textId="77777777" w:rsidTr="002F6D46">
        <w:trPr>
          <w:jc w:val="center"/>
        </w:trPr>
        <w:tc>
          <w:tcPr>
            <w:tcW w:w="4128" w:type="dxa"/>
          </w:tcPr>
          <w:p w14:paraId="345EC3BC" w14:textId="77777777" w:rsidR="002C1BB1" w:rsidRDefault="00DD011F">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w:t>
            </w:r>
            <w:r>
              <w:rPr>
                <w:rFonts w:ascii="Arial" w:hAnsi="Arial" w:cs="Arial"/>
                <w:sz w:val="18"/>
                <w:szCs w:val="18"/>
              </w:rPr>
              <w:t>2010-2020:</w:t>
            </w:r>
          </w:p>
        </w:tc>
        <w:tc>
          <w:tcPr>
            <w:tcW w:w="5114" w:type="dxa"/>
          </w:tcPr>
          <w:p w14:paraId="3287C5D6" w14:textId="1F86C316" w:rsidR="002C1BB1" w:rsidRDefault="00DD011F">
            <w:pPr>
              <w:spacing w:before="40" w:after="40"/>
            </w:pPr>
            <w:r>
              <w:rPr>
                <w:rFonts w:ascii="Arial" w:hAnsi="Arial" w:cs="Arial"/>
                <w:sz w:val="18"/>
                <w:szCs w:val="18"/>
              </w:rPr>
              <w:t>Productivity and innovation</w:t>
            </w:r>
            <w:r>
              <w:rPr>
                <w:rFonts w:ascii="Arial" w:hAnsi="Arial" w:cs="Arial"/>
                <w:sz w:val="18"/>
                <w:szCs w:val="18"/>
              </w:rPr>
              <w:t xml:space="preserve">; Institutional capacity and </w:t>
            </w:r>
            <w:r w:rsidR="002F6D46">
              <w:rPr>
                <w:rFonts w:ascii="Arial" w:hAnsi="Arial" w:cs="Arial"/>
                <w:sz w:val="18"/>
                <w:szCs w:val="18"/>
              </w:rPr>
              <w:t>R</w:t>
            </w:r>
            <w:r>
              <w:rPr>
                <w:rFonts w:ascii="Arial" w:hAnsi="Arial" w:cs="Arial"/>
                <w:sz w:val="18"/>
                <w:szCs w:val="18"/>
              </w:rPr>
              <w:t xml:space="preserve">ule of </w:t>
            </w:r>
            <w:r w:rsidR="002F6D46">
              <w:rPr>
                <w:rFonts w:ascii="Arial" w:hAnsi="Arial" w:cs="Arial"/>
                <w:sz w:val="18"/>
                <w:szCs w:val="18"/>
              </w:rPr>
              <w:t>L</w:t>
            </w:r>
            <w:r>
              <w:rPr>
                <w:rFonts w:ascii="Arial" w:hAnsi="Arial" w:cs="Arial"/>
                <w:sz w:val="18"/>
                <w:szCs w:val="18"/>
              </w:rPr>
              <w:t>aw; Environmental sustainability</w:t>
            </w:r>
          </w:p>
        </w:tc>
      </w:tr>
    </w:tbl>
    <w:p w14:paraId="28181A81" w14:textId="77777777" w:rsidR="002C1BB1" w:rsidRDefault="00DD011F" w:rsidP="002F6D46">
      <w:pPr>
        <w:spacing w:before="240" w:after="120"/>
        <w:ind w:left="576" w:hanging="576"/>
      </w:pPr>
      <w:r>
        <w:rPr>
          <w:rFonts w:ascii="Arial" w:hAnsi="Arial" w:cs="Arial"/>
          <w:b/>
        </w:rPr>
        <w:t>II.</w:t>
      </w:r>
      <w:r>
        <w:rPr>
          <w:rFonts w:ascii="Arial" w:hAnsi="Arial" w:cs="Arial"/>
          <w:b/>
        </w:rPr>
        <w:tab/>
        <w:t>Objective and Justification</w:t>
      </w:r>
    </w:p>
    <w:p w14:paraId="3FBDA0B4" w14:textId="77777777" w:rsidR="002C1BB1" w:rsidRDefault="00DD011F">
      <w:pPr>
        <w:spacing w:before="120" w:after="120"/>
        <w:ind w:left="579" w:hanging="579"/>
        <w:jc w:val="both"/>
      </w:pPr>
      <w:r>
        <w:rPr>
          <w:rFonts w:ascii="Arial" w:hAnsi="Arial" w:cs="Arial"/>
        </w:rPr>
        <w:t>2.1</w:t>
      </w:r>
      <w:r>
        <w:rPr>
          <w:rFonts w:ascii="Arial" w:hAnsi="Arial" w:cs="Arial"/>
        </w:rPr>
        <w:tab/>
        <w:t xml:space="preserve">The objective of this Technical Cooperation (TC) is to give support to the Government of Chile </w:t>
      </w:r>
      <w:r>
        <w:rPr>
          <w:rFonts w:ascii="Arial" w:hAnsi="Arial" w:cs="Arial"/>
        </w:rPr>
        <w:t>(</w:t>
      </w:r>
      <w:proofErr w:type="spellStart"/>
      <w:r>
        <w:rPr>
          <w:rFonts w:ascii="Arial" w:hAnsi="Arial" w:cs="Arial"/>
        </w:rPr>
        <w:t>GoCh</w:t>
      </w:r>
      <w:proofErr w:type="spellEnd"/>
      <w:r>
        <w:rPr>
          <w:rFonts w:ascii="Arial" w:hAnsi="Arial" w:cs="Arial"/>
        </w:rPr>
        <w:t>) through the Ministry of Energy (MINENERGIA) for the modernization of the energy sector with a citizen-based approach following the commitments and priorities set forth in Chile's Energy Roadmap 2018-2022.</w:t>
      </w:r>
    </w:p>
    <w:p w14:paraId="68CAEB0F" w14:textId="3755B66B" w:rsidR="002C1BB1" w:rsidRDefault="00DD011F">
      <w:pPr>
        <w:spacing w:before="120" w:after="120"/>
        <w:ind w:left="579" w:hanging="579"/>
        <w:jc w:val="both"/>
      </w:pPr>
      <w:r>
        <w:rPr>
          <w:rFonts w:ascii="Arial" w:hAnsi="Arial" w:cs="Arial"/>
        </w:rPr>
        <w:t>2.2</w:t>
      </w:r>
      <w:r>
        <w:rPr>
          <w:rFonts w:ascii="Arial" w:hAnsi="Arial" w:cs="Arial"/>
        </w:rPr>
        <w:tab/>
        <w:t>The Energy Roadmap 2018-2022 calls for t</w:t>
      </w:r>
      <w:r>
        <w:rPr>
          <w:rFonts w:ascii="Arial" w:hAnsi="Arial" w:cs="Arial"/>
        </w:rPr>
        <w:t>he modernization of the energy sector by bringing the reforms closer to its citizens and with the following institutional priorities</w:t>
      </w:r>
      <w:r w:rsidR="002F6D46">
        <w:rPr>
          <w:rFonts w:ascii="Arial" w:hAnsi="Arial" w:cs="Arial"/>
        </w:rPr>
        <w:t xml:space="preserve"> to</w:t>
      </w:r>
      <w:r>
        <w:rPr>
          <w:rFonts w:ascii="Arial" w:hAnsi="Arial" w:cs="Arial"/>
        </w:rPr>
        <w:t>: (i) generate a macroeconomic framework consistent with the Energy Roadmap</w:t>
      </w:r>
      <w:r w:rsidR="002F6D46">
        <w:rPr>
          <w:rFonts w:ascii="Arial" w:hAnsi="Arial" w:cs="Arial"/>
        </w:rPr>
        <w:t xml:space="preserve"> </w:t>
      </w:r>
      <w:r w:rsidR="002F6D46">
        <w:rPr>
          <w:rFonts w:ascii="Arial" w:hAnsi="Arial" w:cs="Arial"/>
        </w:rPr>
        <w:t>2018-2022</w:t>
      </w:r>
      <w:r>
        <w:rPr>
          <w:rFonts w:ascii="Arial" w:hAnsi="Arial" w:cs="Arial"/>
        </w:rPr>
        <w:t xml:space="preserve"> objectives; (ii) ensure a long-term electricity </w:t>
      </w:r>
      <w:r>
        <w:rPr>
          <w:rFonts w:ascii="Arial" w:hAnsi="Arial" w:cs="Arial"/>
        </w:rPr>
        <w:t>policy that takes into account changes in the sector; (iii) provide incentives for efficient energy use through the promulgation of energy efficiency</w:t>
      </w:r>
      <w:r w:rsidR="002F6D46">
        <w:rPr>
          <w:rFonts w:ascii="Arial" w:hAnsi="Arial" w:cs="Arial"/>
        </w:rPr>
        <w:t xml:space="preserve"> (EE)</w:t>
      </w:r>
      <w:r>
        <w:rPr>
          <w:rFonts w:ascii="Arial" w:hAnsi="Arial" w:cs="Arial"/>
        </w:rPr>
        <w:t>; (iv) regulate the use of non-conventional renewable energy such as biomass and geothermal energy; and (v)</w:t>
      </w:r>
      <w:r>
        <w:rPr>
          <w:rFonts w:ascii="Arial" w:hAnsi="Arial" w:cs="Arial"/>
        </w:rPr>
        <w:t xml:space="preserve"> ensure a long term fuel policy. </w:t>
      </w:r>
    </w:p>
    <w:p w14:paraId="4BA89E34" w14:textId="15BADEE3" w:rsidR="002C1BB1" w:rsidRDefault="00DD011F">
      <w:pPr>
        <w:spacing w:before="120" w:after="120"/>
        <w:ind w:left="579" w:hanging="579"/>
        <w:jc w:val="both"/>
      </w:pPr>
      <w:r>
        <w:rPr>
          <w:rFonts w:ascii="Arial" w:hAnsi="Arial" w:cs="Arial"/>
        </w:rPr>
        <w:t>2.3</w:t>
      </w:r>
      <w:r>
        <w:rPr>
          <w:rFonts w:ascii="Arial" w:hAnsi="Arial" w:cs="Arial"/>
        </w:rPr>
        <w:tab/>
        <w:t>Within this context, a series of ten</w:t>
      </w:r>
      <w:r>
        <w:rPr>
          <w:rFonts w:ascii="Arial" w:hAnsi="Arial" w:cs="Arial"/>
        </w:rPr>
        <w:t xml:space="preserve"> key commitments has been made: (i) draw up a map of the country's energy vulnerability; (ii) modernize energy institutions; (iii) reduce by 25% the environmental processing tim</w:t>
      </w:r>
      <w:r>
        <w:rPr>
          <w:rFonts w:ascii="Arial" w:hAnsi="Arial" w:cs="Arial"/>
        </w:rPr>
        <w:t>e for infrastructure projects; (vi) reach four times the current capacity of small-scale renewable distributed generation (less than 300 KW) by 2022; (v) increase the number of electric vehicles circulating in Chile; (vi)</w:t>
      </w:r>
      <w:r w:rsidR="00291FF1">
        <w:rPr>
          <w:rFonts w:ascii="Arial" w:hAnsi="Arial" w:cs="Arial"/>
        </w:rPr>
        <w:t> </w:t>
      </w:r>
      <w:r>
        <w:rPr>
          <w:rFonts w:ascii="Arial" w:hAnsi="Arial" w:cs="Arial"/>
        </w:rPr>
        <w:t>modernize the regulation of electr</w:t>
      </w:r>
      <w:r>
        <w:rPr>
          <w:rFonts w:ascii="Arial" w:hAnsi="Arial" w:cs="Arial"/>
        </w:rPr>
        <w:t xml:space="preserve">icity distribution; (vii) regulate solid biofuels such as firewood and its derivatives; (viii) establish a regulatory framework for </w:t>
      </w:r>
      <w:r w:rsidR="00291FF1">
        <w:rPr>
          <w:rFonts w:ascii="Arial" w:hAnsi="Arial" w:cs="Arial"/>
        </w:rPr>
        <w:t>EE</w:t>
      </w:r>
      <w:r>
        <w:rPr>
          <w:rFonts w:ascii="Arial" w:hAnsi="Arial" w:cs="Arial"/>
        </w:rPr>
        <w:t xml:space="preserve"> that encourages efficient energy use in the sectors with the highest consumption; (ix) begin the process o</w:t>
      </w:r>
      <w:r>
        <w:rPr>
          <w:rFonts w:ascii="Arial" w:hAnsi="Arial" w:cs="Arial"/>
        </w:rPr>
        <w:t xml:space="preserve">f decarbonizing the energy matrix by drawing up a timetable for withdrawing or converting plants to coal, and introducing specific measures for </w:t>
      </w:r>
      <w:r>
        <w:rPr>
          <w:rFonts w:ascii="Arial" w:hAnsi="Arial" w:cs="Arial"/>
        </w:rPr>
        <w:lastRenderedPageBreak/>
        <w:t xml:space="preserve">electromobility; and (x) train at least 6,000 operators, technicians and professionals, developing competencies </w:t>
      </w:r>
      <w:r>
        <w:rPr>
          <w:rFonts w:ascii="Arial" w:hAnsi="Arial" w:cs="Arial"/>
        </w:rPr>
        <w:t>and skills in the management and sustainable use of energy in the electricity, fuel and renewable energy sectors, certifying at least 3,000 people.</w:t>
      </w:r>
    </w:p>
    <w:p w14:paraId="1EC9FF1E" w14:textId="76334FF1" w:rsidR="002C1BB1" w:rsidRDefault="00DD011F">
      <w:pPr>
        <w:spacing w:before="120" w:after="120"/>
        <w:ind w:left="579" w:hanging="579"/>
        <w:jc w:val="both"/>
      </w:pPr>
      <w:r>
        <w:rPr>
          <w:rFonts w:ascii="Arial" w:hAnsi="Arial" w:cs="Arial"/>
        </w:rPr>
        <w:t>2.4</w:t>
      </w:r>
      <w:r>
        <w:rPr>
          <w:rFonts w:ascii="Arial" w:hAnsi="Arial" w:cs="Arial"/>
        </w:rPr>
        <w:tab/>
        <w:t>In addition, Chile has made substantial efforts to achieve a more sustainable and clean energy matrix, w</w:t>
      </w:r>
      <w:r>
        <w:rPr>
          <w:rFonts w:ascii="Arial" w:hAnsi="Arial" w:cs="Arial"/>
        </w:rPr>
        <w:t xml:space="preserve">hich are identified in its Energy Agenda </w:t>
      </w:r>
      <w:r>
        <w:rPr>
          <w:rFonts w:ascii="Arial" w:hAnsi="Arial" w:cs="Arial"/>
        </w:rPr>
        <w:t xml:space="preserve">and the National Energy Policy 2050 (NEP) </w:t>
      </w:r>
      <w:r>
        <w:rPr>
          <w:rFonts w:ascii="Arial" w:hAnsi="Arial" w:cs="Arial"/>
        </w:rPr>
        <w:t>calling for a gradual transition to a lower carbon economy where innovative technology will play a key role to achieve medium and long-term climate change goals such as hy</w:t>
      </w:r>
      <w:r>
        <w:rPr>
          <w:rFonts w:ascii="Arial" w:hAnsi="Arial" w:cs="Arial"/>
        </w:rPr>
        <w:t>drogen use, sustainable fuels for residential consumption (heating and cooling in particular) and cleaner fuels for transportation. These efforts are further reflected in Chile’s Intended Nationally Determined Contributions (INDC) on mitigation and reducti</w:t>
      </w:r>
      <w:r>
        <w:rPr>
          <w:rFonts w:ascii="Arial" w:hAnsi="Arial" w:cs="Arial"/>
        </w:rPr>
        <w:t>on of its greenhouse gas emissions by 2030.</w:t>
      </w:r>
    </w:p>
    <w:p w14:paraId="464CEDA7" w14:textId="77777777" w:rsidR="002C1BB1" w:rsidRDefault="00DD011F" w:rsidP="00542236">
      <w:pPr>
        <w:spacing w:before="240" w:after="120"/>
        <w:ind w:left="576" w:hanging="576"/>
      </w:pPr>
      <w:r>
        <w:rPr>
          <w:rFonts w:ascii="Arial" w:hAnsi="Arial" w:cs="Arial"/>
          <w:b/>
        </w:rPr>
        <w:t>III.</w:t>
      </w:r>
      <w:r>
        <w:rPr>
          <w:rFonts w:ascii="Arial" w:hAnsi="Arial" w:cs="Arial"/>
          <w:b/>
        </w:rPr>
        <w:tab/>
        <w:t>Description of Activities and Outputs</w:t>
      </w:r>
    </w:p>
    <w:p w14:paraId="1045EBA6" w14:textId="72B62838" w:rsidR="002C1BB1" w:rsidRDefault="00DD011F">
      <w:pPr>
        <w:spacing w:before="120" w:after="120"/>
        <w:ind w:left="579" w:hanging="579"/>
        <w:jc w:val="both"/>
      </w:pPr>
      <w:r>
        <w:rPr>
          <w:rFonts w:ascii="Arial" w:hAnsi="Arial" w:cs="Arial"/>
        </w:rPr>
        <w:t>3.1</w:t>
      </w:r>
      <w:r>
        <w:rPr>
          <w:rFonts w:ascii="Arial" w:hAnsi="Arial" w:cs="Arial"/>
        </w:rPr>
        <w:tab/>
      </w:r>
      <w:r>
        <w:rPr>
          <w:rFonts w:ascii="Arial" w:hAnsi="Arial" w:cs="Arial"/>
          <w:b/>
        </w:rPr>
        <w:t>Component I</w:t>
      </w:r>
      <w:r w:rsidR="00542236">
        <w:rPr>
          <w:rFonts w:ascii="Arial" w:hAnsi="Arial" w:cs="Arial"/>
          <w:b/>
        </w:rPr>
        <w:t>.</w:t>
      </w:r>
      <w:r>
        <w:rPr>
          <w:rFonts w:ascii="Arial" w:hAnsi="Arial" w:cs="Arial"/>
          <w:b/>
        </w:rPr>
        <w:t xml:space="preserve"> Energy </w:t>
      </w:r>
      <w:r>
        <w:rPr>
          <w:rFonts w:ascii="Arial" w:hAnsi="Arial" w:cs="Arial"/>
          <w:b/>
        </w:rPr>
        <w:t xml:space="preserve">Sector Digitalization Plan. </w:t>
      </w:r>
      <w:r>
        <w:rPr>
          <w:rFonts w:ascii="Arial" w:hAnsi="Arial" w:cs="Arial"/>
        </w:rPr>
        <w:t xml:space="preserve">This component will develop the digital strategy that will shape Chile’s future energy sector (including cyber </w:t>
      </w:r>
      <w:r>
        <w:rPr>
          <w:rFonts w:ascii="Arial" w:hAnsi="Arial" w:cs="Arial"/>
        </w:rPr>
        <w:t>security, smart cities, demand management and big data) and thus significantly reduce costs, increase resiliency and optimize energy use.</w:t>
      </w:r>
      <w:r w:rsidR="00542236">
        <w:rPr>
          <w:rFonts w:ascii="Arial" w:hAnsi="Arial" w:cs="Arial"/>
        </w:rPr>
        <w:t xml:space="preserve"> </w:t>
      </w:r>
      <w:r>
        <w:rPr>
          <w:rFonts w:ascii="Arial" w:hAnsi="Arial" w:cs="Arial"/>
        </w:rPr>
        <w:t>It will support the digital and digitized transformation of the energy industry taking advantage of the technology disr</w:t>
      </w:r>
      <w:r>
        <w:rPr>
          <w:rFonts w:ascii="Arial" w:hAnsi="Arial" w:cs="Arial"/>
        </w:rPr>
        <w:t>uptions (AI, data mining</w:t>
      </w:r>
      <w:r w:rsidR="00542236">
        <w:rPr>
          <w:rFonts w:ascii="Arial" w:hAnsi="Arial" w:cs="Arial"/>
        </w:rPr>
        <w:t>,</w:t>
      </w:r>
      <w:r>
        <w:rPr>
          <w:rFonts w:ascii="Arial" w:hAnsi="Arial" w:cs="Arial"/>
        </w:rPr>
        <w:t xml:space="preserve"> etc</w:t>
      </w:r>
      <w:r w:rsidR="00542236">
        <w:rPr>
          <w:rFonts w:ascii="Arial" w:hAnsi="Arial" w:cs="Arial"/>
        </w:rPr>
        <w:t>.</w:t>
      </w:r>
      <w:r>
        <w:rPr>
          <w:rFonts w:ascii="Arial" w:hAnsi="Arial" w:cs="Arial"/>
        </w:rPr>
        <w:t>). This component will consist of a combination of consultancies (studies) and training workshops.</w:t>
      </w:r>
    </w:p>
    <w:p w14:paraId="656DF9D2" w14:textId="59254085" w:rsidR="002C1BB1" w:rsidRDefault="00DD011F">
      <w:pPr>
        <w:spacing w:before="120" w:after="120"/>
        <w:ind w:left="579" w:hanging="579"/>
        <w:jc w:val="both"/>
      </w:pPr>
      <w:r>
        <w:rPr>
          <w:rFonts w:ascii="Arial" w:hAnsi="Arial" w:cs="Arial"/>
        </w:rPr>
        <w:t>3.2</w:t>
      </w:r>
      <w:r>
        <w:rPr>
          <w:rFonts w:ascii="Arial" w:hAnsi="Arial" w:cs="Arial"/>
        </w:rPr>
        <w:tab/>
      </w:r>
      <w:r>
        <w:rPr>
          <w:rFonts w:ascii="Arial" w:hAnsi="Arial" w:cs="Arial"/>
          <w:b/>
        </w:rPr>
        <w:t>Component II</w:t>
      </w:r>
      <w:r w:rsidR="00542236">
        <w:rPr>
          <w:rFonts w:ascii="Arial" w:hAnsi="Arial" w:cs="Arial"/>
          <w:b/>
        </w:rPr>
        <w:t>.</w:t>
      </w:r>
      <w:r>
        <w:rPr>
          <w:rFonts w:ascii="Arial" w:hAnsi="Arial" w:cs="Arial"/>
          <w:b/>
        </w:rPr>
        <w:t xml:space="preserve"> Support for the Implementation of Energy Reforms to Modernize the Electricity Sector. </w:t>
      </w:r>
      <w:r>
        <w:rPr>
          <w:rFonts w:ascii="Arial" w:hAnsi="Arial" w:cs="Arial"/>
        </w:rPr>
        <w:t>This component will finan</w:t>
      </w:r>
      <w:r>
        <w:rPr>
          <w:rFonts w:ascii="Arial" w:hAnsi="Arial" w:cs="Arial"/>
        </w:rPr>
        <w:t xml:space="preserve">ce consultancies that will pave the way for implementing Chile’s sustainable energy commitments as follows: </w:t>
      </w:r>
      <w:r w:rsidR="00542236">
        <w:rPr>
          <w:rFonts w:ascii="Arial" w:hAnsi="Arial" w:cs="Arial"/>
        </w:rPr>
        <w:t>(</w:t>
      </w:r>
      <w:r>
        <w:rPr>
          <w:rFonts w:ascii="Arial" w:hAnsi="Arial" w:cs="Arial"/>
        </w:rPr>
        <w:t>i) bill</w:t>
      </w:r>
      <w:r>
        <w:rPr>
          <w:rFonts w:ascii="Arial" w:hAnsi="Arial" w:cs="Arial"/>
        </w:rPr>
        <w:t xml:space="preserve"> </w:t>
      </w:r>
      <w:r>
        <w:rPr>
          <w:rFonts w:ascii="Arial" w:hAnsi="Arial" w:cs="Arial"/>
        </w:rPr>
        <w:t>o</w:t>
      </w:r>
      <w:r>
        <w:rPr>
          <w:rFonts w:ascii="Arial" w:hAnsi="Arial" w:cs="Arial"/>
        </w:rPr>
        <w:t>f</w:t>
      </w:r>
      <w:r>
        <w:rPr>
          <w:rFonts w:ascii="Arial" w:hAnsi="Arial" w:cs="Arial"/>
        </w:rPr>
        <w:t xml:space="preserve"> </w:t>
      </w:r>
      <w:r>
        <w:rPr>
          <w:rFonts w:ascii="Arial" w:hAnsi="Arial" w:cs="Arial"/>
        </w:rPr>
        <w:t>l</w:t>
      </w:r>
      <w:r>
        <w:rPr>
          <w:rFonts w:ascii="Arial" w:hAnsi="Arial" w:cs="Arial"/>
        </w:rPr>
        <w:t>a</w:t>
      </w:r>
      <w:r>
        <w:rPr>
          <w:rFonts w:ascii="Arial" w:hAnsi="Arial" w:cs="Arial"/>
        </w:rPr>
        <w:t>w</w:t>
      </w:r>
      <w:r>
        <w:rPr>
          <w:rFonts w:ascii="Arial" w:hAnsi="Arial" w:cs="Arial"/>
        </w:rPr>
        <w:t xml:space="preserve"> </w:t>
      </w:r>
      <w:r>
        <w:rPr>
          <w:rFonts w:ascii="Arial" w:hAnsi="Arial" w:cs="Arial"/>
        </w:rPr>
        <w:t xml:space="preserve">for </w:t>
      </w:r>
      <w:r w:rsidR="00542236">
        <w:rPr>
          <w:rFonts w:ascii="Arial" w:hAnsi="Arial" w:cs="Arial"/>
        </w:rPr>
        <w:t xml:space="preserve">an </w:t>
      </w:r>
      <w:r>
        <w:rPr>
          <w:rFonts w:ascii="Arial" w:hAnsi="Arial" w:cs="Arial"/>
        </w:rPr>
        <w:t xml:space="preserve">electric distribution law; </w:t>
      </w:r>
      <w:r w:rsidR="00542236">
        <w:rPr>
          <w:rFonts w:ascii="Arial" w:hAnsi="Arial" w:cs="Arial"/>
        </w:rPr>
        <w:t>(</w:t>
      </w:r>
      <w:r>
        <w:rPr>
          <w:rFonts w:ascii="Arial" w:hAnsi="Arial" w:cs="Arial"/>
        </w:rPr>
        <w:t xml:space="preserve">ii) thermal technologies for cooling and heating; </w:t>
      </w:r>
      <w:r w:rsidR="00542236">
        <w:rPr>
          <w:rFonts w:ascii="Arial" w:hAnsi="Arial" w:cs="Arial"/>
        </w:rPr>
        <w:t>(</w:t>
      </w:r>
      <w:r>
        <w:rPr>
          <w:rFonts w:ascii="Arial" w:hAnsi="Arial" w:cs="Arial"/>
        </w:rPr>
        <w:t>iii)</w:t>
      </w:r>
      <w:r w:rsidR="00542236">
        <w:rPr>
          <w:rFonts w:ascii="Arial" w:hAnsi="Arial" w:cs="Arial"/>
        </w:rPr>
        <w:t> </w:t>
      </w:r>
      <w:r>
        <w:rPr>
          <w:rFonts w:ascii="Arial" w:hAnsi="Arial" w:cs="Arial"/>
        </w:rPr>
        <w:t xml:space="preserve">drafting of </w:t>
      </w:r>
      <w:r w:rsidR="00542236">
        <w:rPr>
          <w:rFonts w:ascii="Arial" w:hAnsi="Arial" w:cs="Arial"/>
        </w:rPr>
        <w:t xml:space="preserve">an </w:t>
      </w:r>
      <w:r>
        <w:rPr>
          <w:rFonts w:ascii="Arial" w:hAnsi="Arial" w:cs="Arial"/>
        </w:rPr>
        <w:t xml:space="preserve">energy efficiency bill of law; </w:t>
      </w:r>
      <w:r w:rsidR="00542236">
        <w:rPr>
          <w:rFonts w:ascii="Arial" w:hAnsi="Arial" w:cs="Arial"/>
        </w:rPr>
        <w:t>(</w:t>
      </w:r>
      <w:r>
        <w:rPr>
          <w:rFonts w:ascii="Arial" w:hAnsi="Arial" w:cs="Arial"/>
        </w:rPr>
        <w:t xml:space="preserve">iv) </w:t>
      </w:r>
      <w:r>
        <w:rPr>
          <w:rFonts w:ascii="Arial" w:hAnsi="Arial" w:cs="Arial"/>
        </w:rPr>
        <w:t>new ancillary services market for flexibility of the electric system</w:t>
      </w:r>
      <w:r w:rsidR="00542236">
        <w:rPr>
          <w:rFonts w:ascii="Arial" w:hAnsi="Arial" w:cs="Arial"/>
        </w:rPr>
        <w:t>;</w:t>
      </w:r>
      <w:r>
        <w:rPr>
          <w:rFonts w:ascii="Arial" w:hAnsi="Arial" w:cs="Arial"/>
        </w:rPr>
        <w:t xml:space="preserve"> and </w:t>
      </w:r>
      <w:r w:rsidR="00542236">
        <w:rPr>
          <w:rFonts w:ascii="Arial" w:hAnsi="Arial" w:cs="Arial"/>
        </w:rPr>
        <w:t>(</w:t>
      </w:r>
      <w:r>
        <w:rPr>
          <w:rFonts w:ascii="Arial" w:hAnsi="Arial" w:cs="Arial"/>
        </w:rPr>
        <w:t>v) support for</w:t>
      </w:r>
      <w:r w:rsidR="00AC49E6">
        <w:rPr>
          <w:rFonts w:ascii="Arial" w:hAnsi="Arial" w:cs="Arial"/>
        </w:rPr>
        <w:t xml:space="preserve"> an</w:t>
      </w:r>
      <w:r>
        <w:rPr>
          <w:rFonts w:ascii="Arial" w:hAnsi="Arial" w:cs="Arial"/>
        </w:rPr>
        <w:t xml:space="preserve"> electro</w:t>
      </w:r>
      <w:r>
        <w:rPr>
          <w:rFonts w:ascii="Arial" w:hAnsi="Arial" w:cs="Arial"/>
        </w:rPr>
        <w:t>mobility</w:t>
      </w:r>
      <w:r>
        <w:rPr>
          <w:rFonts w:ascii="Arial" w:hAnsi="Arial" w:cs="Arial"/>
        </w:rPr>
        <w:t xml:space="preserve"> regulatory framework and EE standards for E</w:t>
      </w:r>
      <w:r w:rsidR="00AC49E6">
        <w:rPr>
          <w:rFonts w:ascii="Arial" w:hAnsi="Arial" w:cs="Arial"/>
        </w:rPr>
        <w:t>V</w:t>
      </w:r>
      <w:r>
        <w:rPr>
          <w:rFonts w:ascii="Arial" w:hAnsi="Arial" w:cs="Arial"/>
        </w:rPr>
        <w:t xml:space="preserve"> </w:t>
      </w:r>
      <w:r w:rsidR="00AC49E6">
        <w:rPr>
          <w:rFonts w:ascii="Arial" w:hAnsi="Arial" w:cs="Arial"/>
        </w:rPr>
        <w:t xml:space="preserve">(specifically, </w:t>
      </w:r>
      <w:r>
        <w:rPr>
          <w:rFonts w:ascii="Arial" w:hAnsi="Arial" w:cs="Arial"/>
        </w:rPr>
        <w:t>cars and buses</w:t>
      </w:r>
      <w:r w:rsidR="00AC49E6">
        <w:rPr>
          <w:rFonts w:ascii="Arial" w:hAnsi="Arial" w:cs="Arial"/>
        </w:rPr>
        <w:t>)</w:t>
      </w:r>
      <w:r>
        <w:rPr>
          <w:rFonts w:ascii="Arial" w:hAnsi="Arial" w:cs="Arial"/>
        </w:rPr>
        <w:t>.</w:t>
      </w:r>
    </w:p>
    <w:p w14:paraId="4715E82C" w14:textId="15B9E208" w:rsidR="002C1BB1" w:rsidRDefault="00DD011F">
      <w:pPr>
        <w:spacing w:before="120" w:after="120"/>
        <w:ind w:left="579" w:hanging="579"/>
        <w:jc w:val="both"/>
      </w:pPr>
      <w:r>
        <w:rPr>
          <w:rFonts w:ascii="Arial" w:hAnsi="Arial" w:cs="Arial"/>
        </w:rPr>
        <w:t>3.3</w:t>
      </w:r>
      <w:r>
        <w:rPr>
          <w:rFonts w:ascii="Arial" w:hAnsi="Arial" w:cs="Arial"/>
        </w:rPr>
        <w:tab/>
      </w:r>
      <w:r>
        <w:rPr>
          <w:rFonts w:ascii="Arial" w:hAnsi="Arial" w:cs="Arial"/>
          <w:b/>
        </w:rPr>
        <w:t>Component III</w:t>
      </w:r>
      <w:r w:rsidR="00AC49E6">
        <w:rPr>
          <w:rFonts w:ascii="Arial" w:hAnsi="Arial" w:cs="Arial"/>
          <w:b/>
        </w:rPr>
        <w:t>.</w:t>
      </w:r>
      <w:r>
        <w:rPr>
          <w:rFonts w:ascii="Arial" w:hAnsi="Arial" w:cs="Arial"/>
          <w:b/>
        </w:rPr>
        <w:t xml:space="preserve"> Energy Transition Plan for Residential Heating Matrix. </w:t>
      </w:r>
      <w:r>
        <w:rPr>
          <w:rFonts w:ascii="Arial" w:hAnsi="Arial" w:cs="Arial"/>
        </w:rPr>
        <w:t>This compo</w:t>
      </w:r>
      <w:r>
        <w:rPr>
          <w:rFonts w:ascii="Arial" w:hAnsi="Arial" w:cs="Arial"/>
        </w:rPr>
        <w:t>nent</w:t>
      </w:r>
      <w:r>
        <w:rPr>
          <w:rFonts w:ascii="Arial" w:hAnsi="Arial" w:cs="Arial"/>
        </w:rPr>
        <w:t xml:space="preserve"> will fund</w:t>
      </w:r>
      <w:r w:rsidR="00AC49E6">
        <w:rPr>
          <w:rFonts w:ascii="Arial" w:hAnsi="Arial" w:cs="Arial"/>
        </w:rPr>
        <w:t xml:space="preserve"> – through </w:t>
      </w:r>
      <w:r w:rsidR="00AC49E6">
        <w:rPr>
          <w:rFonts w:ascii="Arial" w:hAnsi="Arial" w:cs="Arial"/>
        </w:rPr>
        <w:t>studies and consultancies</w:t>
      </w:r>
      <w:r w:rsidR="00AC49E6">
        <w:rPr>
          <w:rFonts w:ascii="Arial" w:hAnsi="Arial" w:cs="Arial"/>
        </w:rPr>
        <w:t xml:space="preserve"> – th</w:t>
      </w:r>
      <w:r>
        <w:rPr>
          <w:rFonts w:ascii="Arial" w:hAnsi="Arial" w:cs="Arial"/>
        </w:rPr>
        <w:t>e development of an energy transition plan to move away from</w:t>
      </w:r>
      <w:r w:rsidR="00AC49E6">
        <w:rPr>
          <w:rFonts w:ascii="Arial" w:hAnsi="Arial" w:cs="Arial"/>
        </w:rPr>
        <w:t xml:space="preserve"> the</w:t>
      </w:r>
      <w:r>
        <w:rPr>
          <w:rFonts w:ascii="Arial" w:hAnsi="Arial" w:cs="Arial"/>
        </w:rPr>
        <w:t xml:space="preserve"> </w:t>
      </w:r>
      <w:r w:rsidR="00AC49E6">
        <w:rPr>
          <w:rFonts w:ascii="Arial" w:hAnsi="Arial" w:cs="Arial"/>
        </w:rPr>
        <w:t>residential use</w:t>
      </w:r>
      <w:r w:rsidR="00AC49E6">
        <w:rPr>
          <w:rFonts w:ascii="Arial" w:hAnsi="Arial" w:cs="Arial"/>
        </w:rPr>
        <w:t xml:space="preserve"> of </w:t>
      </w:r>
      <w:r>
        <w:rPr>
          <w:rFonts w:ascii="Arial" w:hAnsi="Arial" w:cs="Arial"/>
        </w:rPr>
        <w:t>firewood</w:t>
      </w:r>
      <w:r w:rsidR="00AC49E6">
        <w:rPr>
          <w:rFonts w:ascii="Arial" w:hAnsi="Arial" w:cs="Arial"/>
        </w:rPr>
        <w:t xml:space="preserve"> and </w:t>
      </w:r>
      <w:r>
        <w:rPr>
          <w:rFonts w:ascii="Arial" w:hAnsi="Arial" w:cs="Arial"/>
        </w:rPr>
        <w:t>charcoal</w:t>
      </w:r>
      <w:r>
        <w:rPr>
          <w:rFonts w:ascii="Arial" w:hAnsi="Arial" w:cs="Arial"/>
        </w:rPr>
        <w:t xml:space="preserve"> </w:t>
      </w:r>
      <w:r>
        <w:rPr>
          <w:rFonts w:ascii="Arial" w:hAnsi="Arial" w:cs="Arial"/>
        </w:rPr>
        <w:t xml:space="preserve">and include: </w:t>
      </w:r>
      <w:r w:rsidR="00AC49E6">
        <w:rPr>
          <w:rFonts w:ascii="Arial" w:hAnsi="Arial" w:cs="Arial"/>
        </w:rPr>
        <w:t>(</w:t>
      </w:r>
      <w:r>
        <w:rPr>
          <w:rFonts w:ascii="Arial" w:hAnsi="Arial" w:cs="Arial"/>
        </w:rPr>
        <w:t xml:space="preserve">i) regulation of firewood and biofuels; </w:t>
      </w:r>
      <w:r w:rsidR="00AC49E6">
        <w:rPr>
          <w:rFonts w:ascii="Arial" w:hAnsi="Arial" w:cs="Arial"/>
        </w:rPr>
        <w:t>(</w:t>
      </w:r>
      <w:r>
        <w:rPr>
          <w:rFonts w:ascii="Arial" w:hAnsi="Arial" w:cs="Arial"/>
        </w:rPr>
        <w:t xml:space="preserve">ii) identification of </w:t>
      </w:r>
      <w:r>
        <w:rPr>
          <w:rFonts w:ascii="Arial" w:hAnsi="Arial" w:cs="Arial"/>
        </w:rPr>
        <w:t xml:space="preserve">zero </w:t>
      </w:r>
      <w:r w:rsidR="00AC49E6">
        <w:rPr>
          <w:rFonts w:ascii="Arial" w:hAnsi="Arial" w:cs="Arial"/>
        </w:rPr>
        <w:t>carbon</w:t>
      </w:r>
      <w:r w:rsidR="00AC49E6">
        <w:rPr>
          <w:rFonts w:ascii="Arial" w:hAnsi="Arial" w:cs="Arial"/>
        </w:rPr>
        <w:t xml:space="preserve"> </w:t>
      </w:r>
      <w:r>
        <w:rPr>
          <w:rFonts w:ascii="Arial" w:hAnsi="Arial" w:cs="Arial"/>
        </w:rPr>
        <w:t>technologies to diversify</w:t>
      </w:r>
      <w:r>
        <w:rPr>
          <w:rFonts w:ascii="Arial" w:hAnsi="Arial" w:cs="Arial"/>
        </w:rPr>
        <w:t xml:space="preserve"> </w:t>
      </w:r>
      <w:r w:rsidR="002B1C0F">
        <w:rPr>
          <w:rFonts w:ascii="Arial" w:hAnsi="Arial" w:cs="Arial"/>
        </w:rPr>
        <w:t xml:space="preserve">the </w:t>
      </w:r>
      <w:r>
        <w:rPr>
          <w:rFonts w:ascii="Arial" w:hAnsi="Arial" w:cs="Arial"/>
        </w:rPr>
        <w:t xml:space="preserve">residential heating matrix; </w:t>
      </w:r>
      <w:r w:rsidR="00A441E0">
        <w:rPr>
          <w:rFonts w:ascii="Arial" w:hAnsi="Arial" w:cs="Arial"/>
        </w:rPr>
        <w:t>(</w:t>
      </w:r>
      <w:r>
        <w:rPr>
          <w:rFonts w:ascii="Arial" w:hAnsi="Arial" w:cs="Arial"/>
        </w:rPr>
        <w:t>iii) viability studies for firewood substitutes</w:t>
      </w:r>
      <w:r w:rsidR="002B1C0F">
        <w:rPr>
          <w:rFonts w:ascii="Arial" w:hAnsi="Arial" w:cs="Arial"/>
        </w:rPr>
        <w:t>;</w:t>
      </w:r>
      <w:r>
        <w:rPr>
          <w:rFonts w:ascii="Arial" w:hAnsi="Arial" w:cs="Arial"/>
        </w:rPr>
        <w:t xml:space="preserve"> and </w:t>
      </w:r>
      <w:r w:rsidR="002B1C0F">
        <w:rPr>
          <w:rFonts w:ascii="Arial" w:hAnsi="Arial" w:cs="Arial"/>
        </w:rPr>
        <w:t>(</w:t>
      </w:r>
      <w:r>
        <w:rPr>
          <w:rFonts w:ascii="Arial" w:hAnsi="Arial" w:cs="Arial"/>
        </w:rPr>
        <w:t>iv) regulatory measures successfully implemented in other countries and which could be replicated and scaled up in Chile.</w:t>
      </w:r>
    </w:p>
    <w:p w14:paraId="2E78B5A1" w14:textId="77777777" w:rsidR="002C1BB1" w:rsidRDefault="00DD011F" w:rsidP="002B1C0F">
      <w:pPr>
        <w:spacing w:before="240" w:after="120"/>
        <w:ind w:left="576" w:hanging="576"/>
      </w:pPr>
      <w:r>
        <w:rPr>
          <w:rFonts w:ascii="Arial" w:hAnsi="Arial" w:cs="Arial"/>
          <w:b/>
        </w:rPr>
        <w:t>IV.</w:t>
      </w:r>
      <w:r>
        <w:rPr>
          <w:rFonts w:ascii="Arial" w:hAnsi="Arial" w:cs="Arial"/>
          <w:b/>
        </w:rPr>
        <w:tab/>
        <w:t>Budget</w:t>
      </w:r>
    </w:p>
    <w:p w14:paraId="67DCAC90" w14:textId="77777777" w:rsidR="002C1BB1" w:rsidRDefault="00DD011F" w:rsidP="00F46D0B">
      <w:pPr>
        <w:spacing w:before="240" w:after="120"/>
        <w:jc w:val="center"/>
      </w:pPr>
      <w:r>
        <w:rPr>
          <w:rFonts w:ascii="Arial" w:hAnsi="Arial" w:cs="Arial"/>
          <w:b/>
          <w:sz w:val="18"/>
          <w:szCs w:val="18"/>
        </w:rPr>
        <w:t>Indicative Budget</w:t>
      </w:r>
    </w:p>
    <w:tbl>
      <w:tblPr>
        <w:tblStyle w:val="TableGrid"/>
        <w:tblW w:w="0" w:type="auto"/>
        <w:tblInd w:w="738" w:type="dxa"/>
        <w:tblLook w:val="04A0" w:firstRow="1" w:lastRow="0" w:firstColumn="1" w:lastColumn="0" w:noHBand="0" w:noVBand="1"/>
      </w:tblPr>
      <w:tblGrid>
        <w:gridCol w:w="2340"/>
        <w:gridCol w:w="1782"/>
        <w:gridCol w:w="2177"/>
        <w:gridCol w:w="2071"/>
      </w:tblGrid>
      <w:tr w:rsidR="002C1BB1" w14:paraId="0EAD9534" w14:textId="77777777" w:rsidTr="00126A6D">
        <w:tc>
          <w:tcPr>
            <w:tcW w:w="2340" w:type="dxa"/>
            <w:vAlign w:val="center"/>
          </w:tcPr>
          <w:p w14:paraId="17D510AB" w14:textId="77777777" w:rsidR="002C1BB1" w:rsidRDefault="00DD011F" w:rsidP="002B1C0F">
            <w:pPr>
              <w:jc w:val="center"/>
            </w:pPr>
            <w:r>
              <w:rPr>
                <w:rFonts w:ascii="Arial" w:hAnsi="Arial" w:cs="Arial"/>
                <w:b/>
                <w:sz w:val="18"/>
                <w:szCs w:val="18"/>
              </w:rPr>
              <w:t>Activity/Component</w:t>
            </w:r>
          </w:p>
        </w:tc>
        <w:tc>
          <w:tcPr>
            <w:tcW w:w="1782" w:type="dxa"/>
          </w:tcPr>
          <w:p w14:paraId="63ED295D" w14:textId="77777777" w:rsidR="002C1BB1" w:rsidRDefault="00DD011F" w:rsidP="002B1C0F">
            <w:pPr>
              <w:jc w:val="center"/>
            </w:pPr>
            <w:r>
              <w:rPr>
                <w:rFonts w:ascii="Arial" w:hAnsi="Arial" w:cs="Arial"/>
                <w:b/>
                <w:sz w:val="18"/>
                <w:szCs w:val="18"/>
              </w:rPr>
              <w:t>IDB/F</w:t>
            </w:r>
            <w:r>
              <w:rPr>
                <w:rFonts w:ascii="Arial" w:hAnsi="Arial" w:cs="Arial"/>
                <w:b/>
                <w:sz w:val="18"/>
                <w:szCs w:val="18"/>
              </w:rPr>
              <w:t>und Funding</w:t>
            </w:r>
          </w:p>
        </w:tc>
        <w:tc>
          <w:tcPr>
            <w:tcW w:w="2177" w:type="dxa"/>
          </w:tcPr>
          <w:p w14:paraId="1C58CC4C" w14:textId="77777777" w:rsidR="002C1BB1" w:rsidRDefault="00DD011F" w:rsidP="002B1C0F">
            <w:pPr>
              <w:jc w:val="center"/>
            </w:pPr>
            <w:r>
              <w:rPr>
                <w:rFonts w:ascii="Arial" w:hAnsi="Arial" w:cs="Arial"/>
                <w:b/>
                <w:sz w:val="18"/>
                <w:szCs w:val="18"/>
              </w:rPr>
              <w:t>Counterpart Funding</w:t>
            </w:r>
          </w:p>
        </w:tc>
        <w:tc>
          <w:tcPr>
            <w:tcW w:w="2071" w:type="dxa"/>
          </w:tcPr>
          <w:p w14:paraId="15A24E96" w14:textId="77777777" w:rsidR="002C1BB1" w:rsidRDefault="00DD011F" w:rsidP="002B1C0F">
            <w:pPr>
              <w:jc w:val="center"/>
            </w:pPr>
            <w:r>
              <w:rPr>
                <w:rFonts w:ascii="Arial" w:hAnsi="Arial" w:cs="Arial"/>
                <w:b/>
                <w:sz w:val="18"/>
                <w:szCs w:val="18"/>
              </w:rPr>
              <w:t>Total Funding</w:t>
            </w:r>
          </w:p>
        </w:tc>
      </w:tr>
      <w:tr w:rsidR="002C1BB1" w14:paraId="17595E15" w14:textId="77777777" w:rsidTr="00126A6D">
        <w:tc>
          <w:tcPr>
            <w:tcW w:w="2340" w:type="dxa"/>
            <w:vAlign w:val="center"/>
          </w:tcPr>
          <w:p w14:paraId="3441B506" w14:textId="49CE0767" w:rsidR="002C1BB1" w:rsidRDefault="00126A6D" w:rsidP="002B1C0F">
            <w:r w:rsidRPr="00126A6D">
              <w:rPr>
                <w:rFonts w:ascii="Arial" w:hAnsi="Arial" w:cs="Arial"/>
                <w:b/>
                <w:bCs/>
                <w:sz w:val="18"/>
                <w:szCs w:val="18"/>
              </w:rPr>
              <w:t>Component I.</w:t>
            </w:r>
            <w:r>
              <w:rPr>
                <w:rFonts w:ascii="Arial" w:hAnsi="Arial" w:cs="Arial"/>
                <w:sz w:val="18"/>
                <w:szCs w:val="18"/>
              </w:rPr>
              <w:t xml:space="preserve"> </w:t>
            </w:r>
            <w:r w:rsidR="00DD011F">
              <w:rPr>
                <w:rFonts w:ascii="Arial" w:hAnsi="Arial" w:cs="Arial"/>
                <w:sz w:val="18"/>
                <w:szCs w:val="18"/>
              </w:rPr>
              <w:t xml:space="preserve">Energy </w:t>
            </w:r>
            <w:r w:rsidR="00DD011F">
              <w:rPr>
                <w:rFonts w:ascii="Arial" w:hAnsi="Arial" w:cs="Arial"/>
                <w:sz w:val="18"/>
                <w:szCs w:val="18"/>
              </w:rPr>
              <w:t>Sector Digitalization Plan</w:t>
            </w:r>
          </w:p>
        </w:tc>
        <w:tc>
          <w:tcPr>
            <w:tcW w:w="1782" w:type="dxa"/>
            <w:vAlign w:val="center"/>
          </w:tcPr>
          <w:p w14:paraId="57CA6572" w14:textId="77777777" w:rsidR="002C1BB1" w:rsidRDefault="00DD011F" w:rsidP="002B1C0F">
            <w:pPr>
              <w:jc w:val="right"/>
            </w:pPr>
            <w:r>
              <w:rPr>
                <w:rFonts w:ascii="Arial" w:hAnsi="Arial" w:cs="Arial"/>
                <w:sz w:val="18"/>
                <w:szCs w:val="18"/>
              </w:rPr>
              <w:t>US$70,000.00</w:t>
            </w:r>
          </w:p>
        </w:tc>
        <w:tc>
          <w:tcPr>
            <w:tcW w:w="2177" w:type="dxa"/>
            <w:vAlign w:val="center"/>
          </w:tcPr>
          <w:p w14:paraId="0AA29E15" w14:textId="77777777" w:rsidR="002C1BB1" w:rsidRDefault="00DD011F" w:rsidP="002B1C0F">
            <w:pPr>
              <w:jc w:val="right"/>
            </w:pPr>
            <w:r>
              <w:rPr>
                <w:rFonts w:ascii="Arial" w:hAnsi="Arial" w:cs="Arial"/>
                <w:sz w:val="18"/>
                <w:szCs w:val="18"/>
              </w:rPr>
              <w:t>US$0.00</w:t>
            </w:r>
          </w:p>
        </w:tc>
        <w:tc>
          <w:tcPr>
            <w:tcW w:w="2071" w:type="dxa"/>
            <w:vAlign w:val="center"/>
          </w:tcPr>
          <w:p w14:paraId="1B97530A" w14:textId="77777777" w:rsidR="002C1BB1" w:rsidRDefault="00DD011F" w:rsidP="002B1C0F">
            <w:pPr>
              <w:jc w:val="right"/>
            </w:pPr>
            <w:r>
              <w:rPr>
                <w:rFonts w:ascii="Arial" w:hAnsi="Arial" w:cs="Arial"/>
                <w:sz w:val="18"/>
                <w:szCs w:val="18"/>
              </w:rPr>
              <w:t>US$70,000.00</w:t>
            </w:r>
          </w:p>
        </w:tc>
      </w:tr>
      <w:tr w:rsidR="002C1BB1" w14:paraId="7174CAF7" w14:textId="77777777" w:rsidTr="00126A6D">
        <w:tc>
          <w:tcPr>
            <w:tcW w:w="2340" w:type="dxa"/>
            <w:vAlign w:val="center"/>
          </w:tcPr>
          <w:p w14:paraId="5A7B0EFD" w14:textId="64BFD8F1" w:rsidR="002C1BB1" w:rsidRDefault="00126A6D" w:rsidP="002B1C0F">
            <w:r w:rsidRPr="00126A6D">
              <w:rPr>
                <w:rFonts w:ascii="Arial" w:hAnsi="Arial" w:cs="Arial"/>
                <w:b/>
                <w:bCs/>
                <w:sz w:val="18"/>
                <w:szCs w:val="18"/>
              </w:rPr>
              <w:t>Component II.</w:t>
            </w:r>
            <w:r>
              <w:rPr>
                <w:rFonts w:ascii="Arial" w:hAnsi="Arial" w:cs="Arial"/>
                <w:sz w:val="18"/>
                <w:szCs w:val="18"/>
              </w:rPr>
              <w:t xml:space="preserve"> </w:t>
            </w:r>
            <w:r w:rsidR="00DD011F">
              <w:rPr>
                <w:rFonts w:ascii="Arial" w:hAnsi="Arial" w:cs="Arial"/>
                <w:sz w:val="18"/>
                <w:szCs w:val="18"/>
              </w:rPr>
              <w:t>Support for the Implementation of Energy Reforms to Modernize the Electricity Sector</w:t>
            </w:r>
          </w:p>
        </w:tc>
        <w:tc>
          <w:tcPr>
            <w:tcW w:w="1782" w:type="dxa"/>
            <w:vAlign w:val="center"/>
          </w:tcPr>
          <w:p w14:paraId="3DFAE510" w14:textId="77777777" w:rsidR="002C1BB1" w:rsidRDefault="00DD011F" w:rsidP="002B1C0F">
            <w:pPr>
              <w:jc w:val="right"/>
            </w:pPr>
            <w:r>
              <w:rPr>
                <w:rFonts w:ascii="Arial" w:hAnsi="Arial" w:cs="Arial"/>
                <w:sz w:val="18"/>
                <w:szCs w:val="18"/>
              </w:rPr>
              <w:t>US$100,000.00</w:t>
            </w:r>
          </w:p>
        </w:tc>
        <w:tc>
          <w:tcPr>
            <w:tcW w:w="2177" w:type="dxa"/>
            <w:vAlign w:val="center"/>
          </w:tcPr>
          <w:p w14:paraId="5D3278E4" w14:textId="77777777" w:rsidR="002C1BB1" w:rsidRDefault="00DD011F" w:rsidP="002B1C0F">
            <w:pPr>
              <w:jc w:val="right"/>
            </w:pPr>
            <w:r>
              <w:rPr>
                <w:rFonts w:ascii="Arial" w:hAnsi="Arial" w:cs="Arial"/>
                <w:sz w:val="18"/>
                <w:szCs w:val="18"/>
              </w:rPr>
              <w:t>US$0.00</w:t>
            </w:r>
          </w:p>
        </w:tc>
        <w:tc>
          <w:tcPr>
            <w:tcW w:w="2071" w:type="dxa"/>
            <w:vAlign w:val="center"/>
          </w:tcPr>
          <w:p w14:paraId="7454BA1C" w14:textId="77777777" w:rsidR="002C1BB1" w:rsidRDefault="00DD011F" w:rsidP="002B1C0F">
            <w:pPr>
              <w:jc w:val="right"/>
            </w:pPr>
            <w:r>
              <w:rPr>
                <w:rFonts w:ascii="Arial" w:hAnsi="Arial" w:cs="Arial"/>
                <w:sz w:val="18"/>
                <w:szCs w:val="18"/>
              </w:rPr>
              <w:t>US$100,000.00</w:t>
            </w:r>
          </w:p>
        </w:tc>
      </w:tr>
      <w:tr w:rsidR="002C1BB1" w14:paraId="6D0628F5" w14:textId="77777777" w:rsidTr="00126A6D">
        <w:tc>
          <w:tcPr>
            <w:tcW w:w="2340" w:type="dxa"/>
            <w:vAlign w:val="center"/>
          </w:tcPr>
          <w:p w14:paraId="289B5D3E" w14:textId="285A6998" w:rsidR="002C1BB1" w:rsidRDefault="00126A6D" w:rsidP="002B1C0F">
            <w:r w:rsidRPr="00126A6D">
              <w:rPr>
                <w:rFonts w:ascii="Arial" w:hAnsi="Arial" w:cs="Arial"/>
                <w:b/>
                <w:bCs/>
                <w:sz w:val="18"/>
                <w:szCs w:val="18"/>
              </w:rPr>
              <w:t>Component III.</w:t>
            </w:r>
            <w:r>
              <w:rPr>
                <w:rFonts w:ascii="Arial" w:hAnsi="Arial" w:cs="Arial"/>
                <w:sz w:val="18"/>
                <w:szCs w:val="18"/>
              </w:rPr>
              <w:t xml:space="preserve"> </w:t>
            </w:r>
            <w:r w:rsidR="00DD011F">
              <w:rPr>
                <w:rFonts w:ascii="Arial" w:hAnsi="Arial" w:cs="Arial"/>
                <w:sz w:val="18"/>
                <w:szCs w:val="18"/>
              </w:rPr>
              <w:t xml:space="preserve">Energy </w:t>
            </w:r>
            <w:r w:rsidR="00DD011F">
              <w:rPr>
                <w:rFonts w:ascii="Arial" w:hAnsi="Arial" w:cs="Arial"/>
                <w:sz w:val="18"/>
                <w:szCs w:val="18"/>
              </w:rPr>
              <w:t>Transition Plan for Residential Heating Matrix</w:t>
            </w:r>
          </w:p>
        </w:tc>
        <w:tc>
          <w:tcPr>
            <w:tcW w:w="1782" w:type="dxa"/>
            <w:vAlign w:val="center"/>
          </w:tcPr>
          <w:p w14:paraId="6B54E292" w14:textId="77777777" w:rsidR="002C1BB1" w:rsidRDefault="00DD011F" w:rsidP="002B1C0F">
            <w:pPr>
              <w:jc w:val="right"/>
            </w:pPr>
            <w:r>
              <w:rPr>
                <w:rFonts w:ascii="Arial" w:hAnsi="Arial" w:cs="Arial"/>
                <w:sz w:val="18"/>
                <w:szCs w:val="18"/>
              </w:rPr>
              <w:t>US$80,000.00</w:t>
            </w:r>
          </w:p>
        </w:tc>
        <w:tc>
          <w:tcPr>
            <w:tcW w:w="2177" w:type="dxa"/>
            <w:vAlign w:val="center"/>
          </w:tcPr>
          <w:p w14:paraId="3284ED15" w14:textId="77777777" w:rsidR="002C1BB1" w:rsidRDefault="00DD011F" w:rsidP="002B1C0F">
            <w:pPr>
              <w:jc w:val="right"/>
            </w:pPr>
            <w:r>
              <w:rPr>
                <w:rFonts w:ascii="Arial" w:hAnsi="Arial" w:cs="Arial"/>
                <w:sz w:val="18"/>
                <w:szCs w:val="18"/>
              </w:rPr>
              <w:t>US$0.00</w:t>
            </w:r>
          </w:p>
        </w:tc>
        <w:tc>
          <w:tcPr>
            <w:tcW w:w="2071" w:type="dxa"/>
            <w:vAlign w:val="center"/>
          </w:tcPr>
          <w:p w14:paraId="308803CA" w14:textId="77777777" w:rsidR="002C1BB1" w:rsidRDefault="00DD011F" w:rsidP="002B1C0F">
            <w:pPr>
              <w:jc w:val="right"/>
            </w:pPr>
            <w:r>
              <w:rPr>
                <w:rFonts w:ascii="Arial" w:hAnsi="Arial" w:cs="Arial"/>
                <w:sz w:val="18"/>
                <w:szCs w:val="18"/>
              </w:rPr>
              <w:t>US$80,000.00</w:t>
            </w:r>
          </w:p>
        </w:tc>
      </w:tr>
      <w:tr w:rsidR="002C1BB1" w14:paraId="2444118A" w14:textId="77777777" w:rsidTr="00126A6D">
        <w:tc>
          <w:tcPr>
            <w:tcW w:w="2340" w:type="dxa"/>
            <w:vAlign w:val="center"/>
          </w:tcPr>
          <w:p w14:paraId="205E3146" w14:textId="77777777" w:rsidR="002C1BB1" w:rsidRDefault="00DD011F" w:rsidP="002B1C0F">
            <w:r>
              <w:rPr>
                <w:rFonts w:ascii="Arial" w:hAnsi="Arial" w:cs="Arial"/>
                <w:b/>
                <w:sz w:val="18"/>
                <w:szCs w:val="18"/>
              </w:rPr>
              <w:t>Total</w:t>
            </w:r>
          </w:p>
        </w:tc>
        <w:tc>
          <w:tcPr>
            <w:tcW w:w="1782" w:type="dxa"/>
            <w:vAlign w:val="center"/>
          </w:tcPr>
          <w:p w14:paraId="5894FE0E" w14:textId="77777777" w:rsidR="002C1BB1" w:rsidRDefault="00DD011F" w:rsidP="002B1C0F">
            <w:pPr>
              <w:jc w:val="right"/>
            </w:pPr>
            <w:r>
              <w:rPr>
                <w:rFonts w:ascii="Arial" w:hAnsi="Arial" w:cs="Arial"/>
                <w:b/>
                <w:sz w:val="18"/>
                <w:szCs w:val="18"/>
              </w:rPr>
              <w:t>US$250,000.00</w:t>
            </w:r>
          </w:p>
        </w:tc>
        <w:tc>
          <w:tcPr>
            <w:tcW w:w="2177" w:type="dxa"/>
            <w:vAlign w:val="center"/>
          </w:tcPr>
          <w:p w14:paraId="66E33EB1" w14:textId="77777777" w:rsidR="002C1BB1" w:rsidRDefault="00DD011F" w:rsidP="002B1C0F">
            <w:pPr>
              <w:jc w:val="right"/>
            </w:pPr>
            <w:r>
              <w:rPr>
                <w:rFonts w:ascii="Arial" w:hAnsi="Arial" w:cs="Arial"/>
                <w:b/>
                <w:sz w:val="18"/>
                <w:szCs w:val="18"/>
              </w:rPr>
              <w:t>US$0.00</w:t>
            </w:r>
          </w:p>
        </w:tc>
        <w:tc>
          <w:tcPr>
            <w:tcW w:w="2071" w:type="dxa"/>
            <w:vAlign w:val="center"/>
          </w:tcPr>
          <w:p w14:paraId="36E903D0" w14:textId="77777777" w:rsidR="002C1BB1" w:rsidRDefault="00DD011F" w:rsidP="002B1C0F">
            <w:pPr>
              <w:jc w:val="right"/>
            </w:pPr>
            <w:r>
              <w:rPr>
                <w:rFonts w:ascii="Arial" w:hAnsi="Arial" w:cs="Arial"/>
                <w:b/>
                <w:sz w:val="18"/>
                <w:szCs w:val="18"/>
              </w:rPr>
              <w:t>US$250,000.00</w:t>
            </w:r>
          </w:p>
        </w:tc>
      </w:tr>
    </w:tbl>
    <w:p w14:paraId="62619FD7" w14:textId="77777777" w:rsidR="002C1BB1" w:rsidRDefault="00DD011F" w:rsidP="00F46D0B">
      <w:pPr>
        <w:spacing w:before="1200" w:after="120"/>
        <w:ind w:left="576" w:hanging="576"/>
      </w:pPr>
      <w:r>
        <w:rPr>
          <w:rFonts w:ascii="Arial" w:hAnsi="Arial" w:cs="Arial"/>
          <w:b/>
        </w:rPr>
        <w:lastRenderedPageBreak/>
        <w:t>V.</w:t>
      </w:r>
      <w:r>
        <w:rPr>
          <w:rFonts w:ascii="Arial" w:hAnsi="Arial" w:cs="Arial"/>
          <w:b/>
        </w:rPr>
        <w:tab/>
        <w:t>Executing Agency and Execution Structure</w:t>
      </w:r>
    </w:p>
    <w:p w14:paraId="563DEA99" w14:textId="413FEBCE" w:rsidR="002C1BB1" w:rsidRDefault="00DD011F">
      <w:pPr>
        <w:spacing w:before="200" w:after="200"/>
        <w:ind w:left="579" w:hanging="579"/>
        <w:jc w:val="both"/>
      </w:pPr>
      <w:r>
        <w:rPr>
          <w:rFonts w:ascii="Arial" w:hAnsi="Arial" w:cs="Arial"/>
        </w:rPr>
        <w:t>5.1</w:t>
      </w:r>
      <w:r>
        <w:rPr>
          <w:rFonts w:ascii="Arial" w:hAnsi="Arial" w:cs="Arial"/>
        </w:rPr>
        <w:tab/>
        <w:t xml:space="preserve">As per request of the beneficiary, and in order to expedite the execution of the </w:t>
      </w:r>
      <w:r>
        <w:rPr>
          <w:rFonts w:ascii="Arial" w:hAnsi="Arial" w:cs="Arial"/>
        </w:rPr>
        <w:t>TC, the</w:t>
      </w:r>
      <w:r w:rsidR="00F46D0B">
        <w:rPr>
          <w:rFonts w:ascii="Arial" w:hAnsi="Arial" w:cs="Arial"/>
        </w:rPr>
        <w:t xml:space="preserve"> </w:t>
      </w:r>
      <w:r>
        <w:rPr>
          <w:rFonts w:ascii="Arial" w:hAnsi="Arial" w:cs="Arial"/>
        </w:rPr>
        <w:t>B</w:t>
      </w:r>
      <w:r w:rsidR="00F46D0B">
        <w:rPr>
          <w:rFonts w:ascii="Arial" w:hAnsi="Arial" w:cs="Arial"/>
        </w:rPr>
        <w:t>ank will be the Executing Agency (EA)</w:t>
      </w:r>
      <w:r>
        <w:rPr>
          <w:rFonts w:ascii="Arial" w:hAnsi="Arial" w:cs="Arial"/>
        </w:rPr>
        <w:t xml:space="preserve"> through the Energy Division (INE/ENE). </w:t>
      </w:r>
      <w:r>
        <w:rPr>
          <w:rFonts w:ascii="Arial" w:hAnsi="Arial" w:cs="Arial"/>
        </w:rPr>
        <w:t>Selection and contracting of the consulting firms and individual consultants will be done in accordance with IDB procurement policies and procedures (GN-2350-9). In accordance</w:t>
      </w:r>
      <w:r>
        <w:rPr>
          <w:rFonts w:ascii="Arial" w:hAnsi="Arial" w:cs="Arial"/>
        </w:rPr>
        <w:t xml:space="preserve"> with the document Operational Guidelines for Technical Cooperation Products, Revised Version (GN-2629-1), this TC is classified as a Client Support product.</w:t>
      </w:r>
    </w:p>
    <w:p w14:paraId="205DD437" w14:textId="336E6D59" w:rsidR="002C1BB1" w:rsidRDefault="00DD011F">
      <w:pPr>
        <w:spacing w:before="200" w:after="200"/>
        <w:ind w:left="579" w:hanging="579"/>
        <w:jc w:val="both"/>
      </w:pPr>
      <w:r>
        <w:rPr>
          <w:rFonts w:ascii="Arial" w:hAnsi="Arial" w:cs="Arial"/>
        </w:rPr>
        <w:t>5.2</w:t>
      </w:r>
      <w:r>
        <w:rPr>
          <w:rFonts w:ascii="Arial" w:hAnsi="Arial" w:cs="Arial"/>
        </w:rPr>
        <w:tab/>
        <w:t>MINENERGIA has ample experience in executing policy loans with the Bank, such as  the executio</w:t>
      </w:r>
      <w:r>
        <w:rPr>
          <w:rFonts w:ascii="Arial" w:hAnsi="Arial" w:cs="Arial"/>
        </w:rPr>
        <w:t xml:space="preserve">n of loan </w:t>
      </w:r>
      <w:r>
        <w:rPr>
          <w:rFonts w:ascii="Arial" w:hAnsi="Arial" w:cs="Arial"/>
        </w:rPr>
        <w:t xml:space="preserve">"Sustainable Energy Program" </w:t>
      </w:r>
      <w:r w:rsidR="00F46D0B">
        <w:rPr>
          <w:rFonts w:ascii="Arial" w:hAnsi="Arial" w:cs="Arial"/>
        </w:rPr>
        <w:t>(</w:t>
      </w:r>
      <w:r w:rsidR="00F46D0B" w:rsidRPr="00F46D0B">
        <w:rPr>
          <w:rFonts w:ascii="Arial" w:hAnsi="Arial" w:cs="Arial"/>
        </w:rPr>
        <w:t>3821/OC-CH</w:t>
      </w:r>
      <w:r w:rsidR="00F46D0B">
        <w:rPr>
          <w:rFonts w:ascii="Arial" w:hAnsi="Arial" w:cs="Arial"/>
        </w:rPr>
        <w:t xml:space="preserve">) </w:t>
      </w:r>
      <w:r>
        <w:rPr>
          <w:rFonts w:ascii="Arial" w:hAnsi="Arial" w:cs="Arial"/>
        </w:rPr>
        <w:t>approved by the Bank's Board of Directors on November 30</w:t>
      </w:r>
      <w:r w:rsidR="00F46D0B" w:rsidRPr="00F46D0B">
        <w:rPr>
          <w:rFonts w:ascii="Arial" w:hAnsi="Arial" w:cs="Arial"/>
          <w:vertAlign w:val="superscript"/>
        </w:rPr>
        <w:t>TH</w:t>
      </w:r>
      <w:r w:rsidR="00F46D0B">
        <w:rPr>
          <w:rFonts w:ascii="Arial" w:hAnsi="Arial" w:cs="Arial"/>
        </w:rPr>
        <w:t xml:space="preserve"> </w:t>
      </w:r>
      <w:r>
        <w:rPr>
          <w:rFonts w:ascii="Arial" w:hAnsi="Arial" w:cs="Arial"/>
        </w:rPr>
        <w:t>2016</w:t>
      </w:r>
      <w:r w:rsidR="00F46D0B">
        <w:rPr>
          <w:rFonts w:ascii="Arial" w:hAnsi="Arial" w:cs="Arial"/>
        </w:rPr>
        <w:t>,</w:t>
      </w:r>
      <w:r>
        <w:rPr>
          <w:rFonts w:ascii="Arial" w:hAnsi="Arial" w:cs="Arial"/>
        </w:rPr>
        <w:t xml:space="preserve"> disbursed that same year and where MINENERGIA and the National Energy Commission demonstrated high technical and management capacities in imp</w:t>
      </w:r>
      <w:r>
        <w:rPr>
          <w:rFonts w:ascii="Arial" w:hAnsi="Arial" w:cs="Arial"/>
        </w:rPr>
        <w:t>lementing and achieving the Program's commitments and meeting all the policy conditionalities agreed upon in the Policy Matrix. The professionals who acted as counterparts of the Program have a high level of specialized training in the energy sector and co</w:t>
      </w:r>
      <w:r>
        <w:rPr>
          <w:rFonts w:ascii="Arial" w:hAnsi="Arial" w:cs="Arial"/>
        </w:rPr>
        <w:t>ordination skills to work as a team.</w:t>
      </w:r>
      <w:r w:rsidR="00F46D0B">
        <w:rPr>
          <w:rFonts w:ascii="Arial" w:hAnsi="Arial" w:cs="Arial"/>
        </w:rPr>
        <w:t xml:space="preserve"> A</w:t>
      </w:r>
      <w:r>
        <w:rPr>
          <w:rFonts w:ascii="Arial" w:hAnsi="Arial" w:cs="Arial"/>
        </w:rPr>
        <w:t>ddition</w:t>
      </w:r>
      <w:r w:rsidR="00F46D0B">
        <w:rPr>
          <w:rFonts w:ascii="Arial" w:hAnsi="Arial" w:cs="Arial"/>
        </w:rPr>
        <w:t>ally</w:t>
      </w:r>
      <w:r>
        <w:rPr>
          <w:rFonts w:ascii="Arial" w:hAnsi="Arial" w:cs="Arial"/>
        </w:rPr>
        <w:t>, there is a coordination office (</w:t>
      </w:r>
      <w:r w:rsidR="00F46D0B">
        <w:rPr>
          <w:rFonts w:ascii="Arial" w:hAnsi="Arial" w:cs="Arial"/>
        </w:rPr>
        <w:t>O</w:t>
      </w:r>
      <w:r>
        <w:rPr>
          <w:rFonts w:ascii="Arial" w:hAnsi="Arial" w:cs="Arial"/>
        </w:rPr>
        <w:t xml:space="preserve">ffice of </w:t>
      </w:r>
      <w:r w:rsidR="00F46D0B">
        <w:rPr>
          <w:rFonts w:ascii="Arial" w:hAnsi="Arial" w:cs="Arial"/>
        </w:rPr>
        <w:t>I</w:t>
      </w:r>
      <w:r>
        <w:rPr>
          <w:rFonts w:ascii="Arial" w:hAnsi="Arial" w:cs="Arial"/>
        </w:rPr>
        <w:t xml:space="preserve">nternational </w:t>
      </w:r>
      <w:r w:rsidR="00F46D0B">
        <w:rPr>
          <w:rFonts w:ascii="Arial" w:hAnsi="Arial" w:cs="Arial"/>
        </w:rPr>
        <w:t>A</w:t>
      </w:r>
      <w:r>
        <w:rPr>
          <w:rFonts w:ascii="Arial" w:hAnsi="Arial" w:cs="Arial"/>
        </w:rPr>
        <w:t>ffairs) that the Project Team will work closely with and which will help to coordinate the TC activities within MINENERGIA.</w:t>
      </w:r>
    </w:p>
    <w:p w14:paraId="4AA2F348" w14:textId="77777777" w:rsidR="002C1BB1" w:rsidRDefault="00DD011F" w:rsidP="00F46D0B">
      <w:pPr>
        <w:spacing w:before="240" w:after="120"/>
        <w:ind w:left="576" w:hanging="576"/>
      </w:pPr>
      <w:r>
        <w:rPr>
          <w:rFonts w:ascii="Arial" w:hAnsi="Arial" w:cs="Arial"/>
          <w:b/>
        </w:rPr>
        <w:t>VI.</w:t>
      </w:r>
      <w:r>
        <w:rPr>
          <w:rFonts w:ascii="Arial" w:hAnsi="Arial" w:cs="Arial"/>
          <w:b/>
        </w:rPr>
        <w:tab/>
        <w:t>Project Risks and Iss</w:t>
      </w:r>
      <w:r>
        <w:rPr>
          <w:rFonts w:ascii="Arial" w:hAnsi="Arial" w:cs="Arial"/>
          <w:b/>
        </w:rPr>
        <w:t>ues</w:t>
      </w:r>
    </w:p>
    <w:p w14:paraId="685BFEED" w14:textId="7D632193" w:rsidR="002C1BB1" w:rsidRDefault="00DD011F">
      <w:pPr>
        <w:spacing w:before="200" w:after="200"/>
        <w:ind w:left="579" w:hanging="579"/>
        <w:jc w:val="both"/>
      </w:pPr>
      <w:r>
        <w:rPr>
          <w:rFonts w:ascii="Arial" w:hAnsi="Arial" w:cs="Arial"/>
        </w:rPr>
        <w:t>6.1</w:t>
      </w:r>
      <w:r>
        <w:rPr>
          <w:rFonts w:ascii="Arial" w:hAnsi="Arial" w:cs="Arial"/>
        </w:rPr>
        <w:tab/>
        <w:t>The main risk for the execution of this TC is linked to the complexity of the technical aspects</w:t>
      </w:r>
      <w:r>
        <w:rPr>
          <w:rFonts w:ascii="Arial" w:hAnsi="Arial" w:cs="Arial"/>
        </w:rPr>
        <w:t xml:space="preserve"> associated with each component and the fact that, given the current</w:t>
      </w:r>
      <w:r w:rsidR="00CA5444">
        <w:rPr>
          <w:rFonts w:ascii="Arial" w:hAnsi="Arial" w:cs="Arial"/>
        </w:rPr>
        <w:t xml:space="preserve"> crisis resulting from the COVID-19 pandemic</w:t>
      </w:r>
      <w:r>
        <w:rPr>
          <w:rFonts w:ascii="Arial" w:hAnsi="Arial" w:cs="Arial"/>
        </w:rPr>
        <w:t xml:space="preserve">, other priorities may take precedence. Notwithstanding the latter, </w:t>
      </w:r>
      <w:r>
        <w:rPr>
          <w:rFonts w:ascii="Arial" w:hAnsi="Arial" w:cs="Arial"/>
        </w:rPr>
        <w:t xml:space="preserve">this risk is mitigated by MINENERGIA having established a strong technical team, obtained the endorsement and participation of their international affairs office which reports to the </w:t>
      </w:r>
      <w:r w:rsidR="00CA5444">
        <w:rPr>
          <w:rFonts w:ascii="Arial" w:hAnsi="Arial" w:cs="Arial"/>
        </w:rPr>
        <w:t>MINENERGIA</w:t>
      </w:r>
      <w:r>
        <w:rPr>
          <w:rFonts w:ascii="Arial" w:hAnsi="Arial" w:cs="Arial"/>
        </w:rPr>
        <w:t xml:space="preserve"> cabinet and the support of a solid multi-disciplinar</w:t>
      </w:r>
      <w:r>
        <w:rPr>
          <w:rFonts w:ascii="Arial" w:hAnsi="Arial" w:cs="Arial"/>
        </w:rPr>
        <w:t>y team at the Bank.</w:t>
      </w:r>
    </w:p>
    <w:p w14:paraId="2C4FA7E9" w14:textId="77777777" w:rsidR="002C1BB1" w:rsidRDefault="00DD011F" w:rsidP="00CA5444">
      <w:pPr>
        <w:spacing w:before="240" w:after="120"/>
        <w:ind w:left="576" w:hanging="576"/>
      </w:pPr>
      <w:r>
        <w:rPr>
          <w:rFonts w:ascii="Arial" w:hAnsi="Arial" w:cs="Arial"/>
          <w:b/>
        </w:rPr>
        <w:t>VII.</w:t>
      </w:r>
      <w:r>
        <w:rPr>
          <w:rFonts w:ascii="Arial" w:hAnsi="Arial" w:cs="Arial"/>
          <w:b/>
        </w:rPr>
        <w:tab/>
        <w:t>Environmental and Social Classification</w:t>
      </w:r>
    </w:p>
    <w:p w14:paraId="06E95902" w14:textId="77777777" w:rsidR="002C1BB1" w:rsidRDefault="00DD011F">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2C1BB1"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6EE7D" w14:textId="77777777" w:rsidR="00DD011F" w:rsidRDefault="00DD011F">
      <w:r>
        <w:separator/>
      </w:r>
    </w:p>
  </w:endnote>
  <w:endnote w:type="continuationSeparator" w:id="0">
    <w:p w14:paraId="5D69D28B" w14:textId="77777777" w:rsidR="00DD011F" w:rsidRDefault="00DD0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0BDC9B" w14:textId="77777777" w:rsidR="002C1BB1" w:rsidRDefault="00DD011F">
    <w:pPr>
      <w:pStyle w:val="FooterStyle"/>
      <w:jc w:val="center"/>
    </w:pPr>
    <w:r>
      <w:t xml:space="preserve"> - </w:t>
    </w:r>
    <w:r>
      <w:fldChar w:fldCharType="begin"/>
    </w:r>
    <w:r>
      <w:instrText xml:space="preserve"> PAGE </w:instrText>
    </w:r>
    <w:r w:rsidR="00E941C8">
      <w:fldChar w:fldCharType="separate"/>
    </w:r>
    <w:r w:rsidR="00E941C8">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F377A" w14:textId="77777777" w:rsidR="00DD011F" w:rsidRDefault="00DD011F">
      <w:r>
        <w:separator/>
      </w:r>
    </w:p>
  </w:footnote>
  <w:footnote w:type="continuationSeparator" w:id="0">
    <w:p w14:paraId="70B3AE4C" w14:textId="77777777" w:rsidR="00DD011F" w:rsidRDefault="00DD0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E7CC5"/>
    <w:rsid w:val="00117B9D"/>
    <w:rsid w:val="00126A6D"/>
    <w:rsid w:val="001915A3"/>
    <w:rsid w:val="00217F62"/>
    <w:rsid w:val="00291FF1"/>
    <w:rsid w:val="002B1C0F"/>
    <w:rsid w:val="002C1BB1"/>
    <w:rsid w:val="002F6D46"/>
    <w:rsid w:val="00542236"/>
    <w:rsid w:val="005753C5"/>
    <w:rsid w:val="00A441E0"/>
    <w:rsid w:val="00A906D8"/>
    <w:rsid w:val="00AB5A74"/>
    <w:rsid w:val="00AC49E6"/>
    <w:rsid w:val="00CA5444"/>
    <w:rsid w:val="00DD011F"/>
    <w:rsid w:val="00E941C8"/>
    <w:rsid w:val="00F071AE"/>
    <w:rsid w:val="00F46D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2FE13"/>
  <w15:docId w15:val="{863BEDF0-84B8-4743-AEBA-6C455170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117B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B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98DE4E8C76FCD468F68F20350529FF6" ma:contentTypeVersion="0" ma:contentTypeDescription="The base project type from which other project content types inherit their information." ma:contentTypeScope="" ma:versionID="cab2632f09bf2a582b152e8206e71ddf">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4C262D4FAF5EE479C1BDF1508CC2590" ma:contentTypeVersion="0" ma:contentTypeDescription="A content type to manage public (operations) IDB documents" ma:contentTypeScope="" ma:versionID="526e590be5e5aea98f9fe924d803445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Marzolf Natacha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EN-INS</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139</Value>
      <Value>26</Value>
      <Value>32</Value>
      <Value>31</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CH-T1228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EZSHARE-359044108-7</_dlc_DocId>
    <_dlc_DocIdUrl xmlns="cdc7663a-08f0-4737-9e8c-148ce897a09c">
      <Url>https://idbg.sharepoint.com/teams/EZ-CH-TCP/CH-T1228/_layouts/15/DocIdRedir.aspx?ID=EZSHARE-359044108-7</Url>
      <Description>EZSHARE-359044108-7</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Studies;Private Participation;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1FA8307-388E-4EF4-985E-D480351BF3AB}"/>
</file>

<file path=customXml/itemProps2.xml><?xml version="1.0" encoding="utf-8"?>
<ds:datastoreItem xmlns:ds="http://schemas.openxmlformats.org/officeDocument/2006/customXml" ds:itemID="{79334FD5-E940-4D86-8A63-171622CAE307}"/>
</file>

<file path=customXml/itemProps3.xml><?xml version="1.0" encoding="utf-8"?>
<ds:datastoreItem xmlns:ds="http://schemas.openxmlformats.org/officeDocument/2006/customXml" ds:itemID="{1E9AB4EB-2927-461D-8045-D41B88ABADCA}"/>
</file>

<file path=customXml/itemProps4.xml><?xml version="1.0" encoding="utf-8"?>
<ds:datastoreItem xmlns:ds="http://schemas.openxmlformats.org/officeDocument/2006/customXml" ds:itemID="{EC490EFA-9CCD-4D5C-90F0-E7B6859EE663}"/>
</file>

<file path=customXml/itemProps5.xml><?xml version="1.0" encoding="utf-8"?>
<ds:datastoreItem xmlns:ds="http://schemas.openxmlformats.org/officeDocument/2006/customXml" ds:itemID="{BBAE505E-505B-4C3F-AD7C-95266324E895}"/>
</file>

<file path=customXml/itemProps6.xml><?xml version="1.0" encoding="utf-8"?>
<ds:datastoreItem xmlns:ds="http://schemas.openxmlformats.org/officeDocument/2006/customXml" ds:itemID="{2119A4FA-83FF-4E2C-8578-2A95810E83D4}"/>
</file>

<file path=docProps/app.xml><?xml version="1.0" encoding="utf-8"?>
<Properties xmlns="http://schemas.openxmlformats.org/officeDocument/2006/extended-properties" xmlns:vt="http://schemas.openxmlformats.org/officeDocument/2006/docPropsVTypes">
  <Template>Normal</Template>
  <TotalTime>205</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Marquez Barroeta, Fidel</cp:lastModifiedBy>
  <cp:revision>3</cp:revision>
  <dcterms:created xsi:type="dcterms:W3CDTF">2020-05-15T13:33:00Z</dcterms:created>
  <dcterms:modified xsi:type="dcterms:W3CDTF">2020-05-15T16:58:00Z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32;#EN-INS|83f37b93-89a4-4e9a-88eb-1c116bee7b97</vt:lpwstr>
  </property>
  <property fmtid="{D5CDD505-2E9C-101B-9397-08002B2CF9AE}" pid="7" name="Fund IDB">
    <vt:lpwstr>139;#INF|474aab72-0205-4196-bca7-4b288939fcb3</vt:lpwstr>
  </property>
  <property fmtid="{D5CDD505-2E9C-101B-9397-08002B2CF9AE}" pid="8" name="Country">
    <vt:lpwstr>26;#CH|0646c65c-e431-42e3-a932-0671c6b608b9</vt:lpwstr>
  </property>
  <property fmtid="{D5CDD505-2E9C-101B-9397-08002B2CF9AE}" pid="9" name="Sector IDB">
    <vt:lpwstr>31;#EN|4fed196a-cd0b-4970-87de-42da17f9b203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52b67541-6930-4369-aa61-17810619df78</vt:lpwstr>
  </property>
  <property fmtid="{D5CDD505-2E9C-101B-9397-08002B2CF9AE}" pid="12" name="Disclosure Activity">
    <vt:lpwstr>TC Abstract</vt:lpwstr>
  </property>
  <property fmtid="{D5CDD505-2E9C-101B-9397-08002B2CF9AE}" pid="13" name="ContentTypeId">
    <vt:lpwstr>0x0101001A458A224826124E8B45B1D613300CFC00C4C262D4FAF5EE479C1BDF1508CC2590</vt:lpwstr>
  </property>
</Properties>
</file>