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EEBDC" w14:textId="77777777" w:rsidR="00596BB9" w:rsidRPr="0043141C" w:rsidRDefault="00596BB9" w:rsidP="00596BB9">
      <w:pPr>
        <w:spacing w:after="200" w:line="276" w:lineRule="auto"/>
        <w:jc w:val="both"/>
        <w:rPr>
          <w:rFonts w:ascii="Arial" w:hAnsi="Arial" w:cs="Arial"/>
          <w:b/>
          <w:lang w:val="es-419"/>
        </w:rPr>
      </w:pPr>
      <w:r w:rsidRPr="0043141C">
        <w:rPr>
          <w:rFonts w:ascii="Arial" w:hAnsi="Arial" w:cs="Arial"/>
          <w:noProof/>
          <w:lang w:val="es-419"/>
        </w:rPr>
        <mc:AlternateContent>
          <mc:Choice Requires="wps">
            <w:drawing>
              <wp:anchor distT="0" distB="0" distL="114300" distR="114300" simplePos="0" relativeHeight="251663360" behindDoc="0" locked="0" layoutInCell="1" allowOverlap="1" wp14:anchorId="01A99A11" wp14:editId="628821FD">
                <wp:simplePos x="0" y="0"/>
                <wp:positionH relativeFrom="page">
                  <wp:align>right</wp:align>
                </wp:positionH>
                <wp:positionV relativeFrom="paragraph">
                  <wp:posOffset>-885825</wp:posOffset>
                </wp:positionV>
                <wp:extent cx="3451860" cy="11054715"/>
                <wp:effectExtent l="0" t="0" r="0" b="0"/>
                <wp:wrapNone/>
                <wp:docPr id="5460" name="Rectangle 5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1860" cy="1105471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CEFB86D" id="Rectangle 5460" o:spid="_x0000_s1026" style="position:absolute;margin-left:220.6pt;margin-top:-69.75pt;width:271.8pt;height:870.4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7W4CAIAAPwDAAAOAAAAZHJzL2Uyb0RvYy54bWysU1Fv0zAQfkfiP1h+p2nWppuiptPoGEIa&#10;MDH4Aa7jJBaOz5zdpuXX7+y0pcAb4sXyne++++678/J23xu2U+g12IrnkylnykqotW0r/u3rw5sb&#10;znwQthYGrKr4QXl+u3r9ajm4Ul1BB6ZWyAjE+nJwFe9CcGWWedmpXvgJOGXpsQHsRSAT26xGMRB6&#10;b7Kr6XSRDYC1Q5DKe/Lej498lfCbRsnwuWm8CsxUnLiFdGI6N/HMVktRtihcp+WRhvgHFr3Qloqe&#10;oe5FEGyL+i+oXksED02YSOgzaBotVeqBusmnf3Tz3AmnUi8kjndnmfz/g5Wfdk/IdF3xYr4ggazo&#10;aUpfSDdhW6NY8pJIg/MlxT67J4xtevcI8rtnFtYdBao7RBg6JWqilkdRs98SouEplW2Gj1BTAbEN&#10;kPTaN9hHQFKC7dNYDuexqH1gkpyzeZHfRHKS3vJ8Wsyv8yIVEeUp36EP7xX0LF4qjtRAwhe7Rx8i&#10;H1GeQhJ/MLp+0MYkA9vN2iDbCVqSvJi9Ld4d0f1lmLEx2EJMGxFHj0prNpYRJZE+Vjw1PYq3gfpA&#10;AiCMK0hfhi4d4E/OBlq/ivsfW4GKM/PBkoizRXG9oH29NPDS2FwawkqCqnjgbLyuw7jjW4e67ahS&#10;ntSwcEfCNzopEvmNrI7johVLQh2/Q9zhSztF/fq0qxcAAAD//wMAUEsDBBQABgAIAAAAIQCbPHQr&#10;4AAAAAoBAAAPAAAAZHJzL2Rvd25yZXYueG1sTI9BT4NAFITvJv6HzTPx1i7YQhRZGmNS04OJKdqe&#10;H+wWUPYtYbcU/73Pkx4nM5n5Jt/MtheTGX3nSEG8jEAYqp3uqFHw8b5d3IPwAUlj78go+DYeNsX1&#10;VY6Zdhfam6kMjeAS8hkqaEMYMil93RqLfukGQ+yd3GgxsBwbqUe8cLnt5V0UpdJiR7zQ4mCeW1N/&#10;lWerYHhNq5cSj2+T/KwPu3grd0l/Uur2Zn56BBHMHP7C8IvP6FAwU+XOpL3oFfCRoGARrx4SEOwn&#10;61UKouJgGsVrkEUu/18ofgAAAP//AwBQSwECLQAUAAYACAAAACEAtoM4kv4AAADhAQAAEwAAAAAA&#10;AAAAAAAAAAAAAAAAW0NvbnRlbnRfVHlwZXNdLnhtbFBLAQItABQABgAIAAAAIQA4/SH/1gAAAJQB&#10;AAALAAAAAAAAAAAAAAAAAC8BAABfcmVscy8ucmVsc1BLAQItABQABgAIAAAAIQD4R7W4CAIAAPwD&#10;AAAOAAAAAAAAAAAAAAAAAC4CAABkcnMvZTJvRG9jLnhtbFBLAQItABQABgAIAAAAIQCbPHQr4AAA&#10;AAoBAAAPAAAAAAAAAAAAAAAAAGIEAABkcnMvZG93bnJldi54bWxQSwUGAAAAAAQABADzAAAAbwUA&#10;AAAA&#10;" fillcolor="#153b5e" stroked="f">
                <v:textbox inset="2.88pt,2.88pt,2.88pt,2.88pt"/>
                <w10:wrap anchorx="page"/>
              </v:rect>
            </w:pict>
          </mc:Fallback>
        </mc:AlternateContent>
      </w:r>
    </w:p>
    <w:p w14:paraId="638B50D4" w14:textId="77777777" w:rsidR="00596BB9" w:rsidRPr="0043141C" w:rsidRDefault="00596BB9" w:rsidP="00596BB9">
      <w:pPr>
        <w:jc w:val="both"/>
        <w:rPr>
          <w:rFonts w:ascii="Arial" w:hAnsi="Arial" w:cs="Arial"/>
          <w:lang w:val="es-419"/>
        </w:rPr>
      </w:pPr>
    </w:p>
    <w:p w14:paraId="72A8C328" w14:textId="0116AC1A" w:rsidR="00596BB9" w:rsidRPr="0043141C" w:rsidRDefault="00596BB9" w:rsidP="00596BB9">
      <w:pPr>
        <w:rPr>
          <w:rFonts w:ascii="Arial" w:hAnsi="Arial" w:cs="Arial"/>
          <w:lang w:val="es-419"/>
        </w:rPr>
      </w:pPr>
      <w:r w:rsidRPr="0043141C">
        <w:rPr>
          <w:rFonts w:ascii="Arial" w:hAnsi="Arial" w:cs="Arial"/>
          <w:noProof/>
          <w:lang w:val="es-419"/>
        </w:rPr>
        <mc:AlternateContent>
          <mc:Choice Requires="wps">
            <w:drawing>
              <wp:anchor distT="0" distB="0" distL="114300" distR="114300" simplePos="0" relativeHeight="251665408" behindDoc="0" locked="0" layoutInCell="1" allowOverlap="1" wp14:anchorId="3AAFFDB3" wp14:editId="08127EFA">
                <wp:simplePos x="0" y="0"/>
                <wp:positionH relativeFrom="column">
                  <wp:posOffset>-318135</wp:posOffset>
                </wp:positionH>
                <wp:positionV relativeFrom="paragraph">
                  <wp:posOffset>6435090</wp:posOffset>
                </wp:positionV>
                <wp:extent cx="3238500" cy="1615440"/>
                <wp:effectExtent l="0" t="0" r="0" b="3810"/>
                <wp:wrapNone/>
                <wp:docPr id="8" name="Text Box 8"/>
                <wp:cNvGraphicFramePr/>
                <a:graphic xmlns:a="http://schemas.openxmlformats.org/drawingml/2006/main">
                  <a:graphicData uri="http://schemas.microsoft.com/office/word/2010/wordprocessingShape">
                    <wps:wsp>
                      <wps:cNvSpPr txBox="1"/>
                      <wps:spPr>
                        <a:xfrm>
                          <a:off x="0" y="0"/>
                          <a:ext cx="3238500" cy="1615440"/>
                        </a:xfrm>
                        <a:prstGeom prst="rect">
                          <a:avLst/>
                        </a:prstGeom>
                        <a:solidFill>
                          <a:schemeClr val="lt1"/>
                        </a:solidFill>
                        <a:ln w="6350">
                          <a:noFill/>
                        </a:ln>
                      </wps:spPr>
                      <wps:txbx>
                        <w:txbxContent>
                          <w:p w14:paraId="61F04D72" w14:textId="1B3EE463" w:rsidR="00B577E0" w:rsidRPr="0019240A" w:rsidRDefault="00B577E0" w:rsidP="00596BB9">
                            <w:pPr>
                              <w:rPr>
                                <w:rFonts w:ascii="Arial" w:hAnsi="Arial" w:cs="Arial"/>
                                <w:b/>
                                <w:lang w:val="es-ES"/>
                              </w:rPr>
                            </w:pPr>
                            <w:r>
                              <w:rPr>
                                <w:rFonts w:ascii="Arial" w:hAnsi="Arial" w:cs="Arial"/>
                                <w:b/>
                                <w:lang w:val="es-ES"/>
                              </w:rPr>
                              <w:t xml:space="preserve">Abril </w:t>
                            </w:r>
                            <w:r w:rsidRPr="0019240A">
                              <w:rPr>
                                <w:rFonts w:ascii="Arial" w:hAnsi="Arial" w:cs="Arial"/>
                                <w:b/>
                                <w:lang w:val="es-ES"/>
                              </w:rPr>
                              <w:t>201</w:t>
                            </w:r>
                            <w:r>
                              <w:rPr>
                                <w:rFonts w:ascii="Arial" w:hAnsi="Arial" w:cs="Arial"/>
                                <w:b/>
                                <w:lang w:val="es-ES"/>
                              </w:rPr>
                              <w:t>9</w:t>
                            </w:r>
                          </w:p>
                          <w:p w14:paraId="5AD8095F" w14:textId="77777777" w:rsidR="00B577E0" w:rsidRPr="0019240A" w:rsidRDefault="00B577E0" w:rsidP="00596BB9">
                            <w:pPr>
                              <w:rPr>
                                <w:rFonts w:ascii="Arial" w:hAnsi="Arial" w:cs="Arial"/>
                                <w:lang w:val="es-ES"/>
                              </w:rPr>
                            </w:pPr>
                          </w:p>
                          <w:p w14:paraId="2CEC5E20" w14:textId="1AA53DFC" w:rsidR="00B577E0" w:rsidRPr="0019240A" w:rsidRDefault="00B577E0" w:rsidP="00596BB9">
                            <w:pPr>
                              <w:rPr>
                                <w:rFonts w:ascii="Arial" w:hAnsi="Arial" w:cs="Arial"/>
                                <w:lang w:val="es-ES"/>
                              </w:rPr>
                            </w:pPr>
                            <w:r w:rsidRPr="0019240A">
                              <w:rPr>
                                <w:rFonts w:ascii="Arial" w:hAnsi="Arial" w:cs="Arial"/>
                                <w:lang w:val="es-ES"/>
                              </w:rPr>
                              <w:t xml:space="preserve">Documento preparado por </w:t>
                            </w:r>
                            <w:r>
                              <w:rPr>
                                <w:rFonts w:ascii="Arial" w:hAnsi="Arial" w:cs="Arial"/>
                                <w:lang w:val="es-ES"/>
                              </w:rPr>
                              <w:t xml:space="preserve">Gabriel Filc </w:t>
                            </w:r>
                          </w:p>
                          <w:p w14:paraId="02E3B896" w14:textId="77777777" w:rsidR="00B577E0" w:rsidRPr="0019240A" w:rsidRDefault="00B577E0" w:rsidP="00596BB9">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AAFFDB3" id="_x0000_t202" coordsize="21600,21600" o:spt="202" path="m,l,21600r21600,l21600,xe">
                <v:stroke joinstyle="miter"/>
                <v:path gradientshapeok="t" o:connecttype="rect"/>
              </v:shapetype>
              <v:shape id="Text Box 8" o:spid="_x0000_s1026" type="#_x0000_t202" style="position:absolute;margin-left:-25.05pt;margin-top:506.7pt;width:255pt;height:127.2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dlQQIAAHoEAAAOAAAAZHJzL2Uyb0RvYy54bWysVE1v2zAMvQ/YfxB0X5zvtUGcImuRYUDR&#10;FmiGnhVZTgzIoiYpsbNfvyc5abNup2EXmSIpfrxHen7T1podlPMVmZwPen3OlJFUVGab8+/r1acr&#10;znwQphCajMr5UXl+s/j4Yd7YmRrSjnShHEMQ42eNzfkuBDvLMi93qha+R1YZGEtytQi4um1WONEg&#10;eq2zYb8/zRpyhXUklffQ3nVGvkjxy1LJ8FiWXgWmc47aQjpdOjfxzBZzMds6YXeVPJUh/qGKWlQG&#10;SV9D3Ykg2N5Vf4SqK+nIUxl6kuqMyrKSKvWAbgb9d90874RVqReA4+0rTP7/hZUPhyfHqiLnIMqI&#10;GhStVRvYF2rZVUSnsX4Gp2cLt9BCDZbPeg9lbLotXR2/aIfBDpyPr9jGYBLK0XB0NenDJGEbTAeT&#10;8Tihn709t86Hr4pqFoWcO5CXMBWHex9QClzPLjGbJ10Vq0rrdIkDo261YwcBqnVIReLFb17asCbn&#10;09GknwIbis+7yNogQWy2aypKod20JwQ2VBwBgKNugLyVqwpF3gsfnoTDxKAxbEF4xFFqQhI6SZzt&#10;yP38mz76g0hYOWswgTn3P/bCKc70NwOKrwcRIhbSZTz5PMTFXVo2lxazr28JnQ+wb1YmMfoHfRZL&#10;R/ULlmUZs8IkjETunIezeBu6vcCySbVcJicMqRXh3jxbGUNHpCMF6/ZFOHviKYDiBzrPqpi9o6vz&#10;jS8NLfeByipxGQHuUD3hjgFPFJ+WMW7Q5T15vf0yFr8AAAD//wMAUEsDBBQABgAIAAAAIQBM+ud5&#10;5AAAAA0BAAAPAAAAZHJzL2Rvd25yZXYueG1sTI/LTsMwEEX3SPyDNUhsUGunafoIcSqEeEjsaFoQ&#10;OzcekojYjmI3CX/PsILlzD26cybbTaZlA/a+cVZCNBfA0JZON7aScCgeZxtgPiirVessSvhGD7v8&#10;8iJTqXajfcVhHypGJdanSkIdQpdy7ssajfJz16Gl7NP1RgUa+4rrXo1Ublq+EGLFjWosXahVh/c1&#10;ll/7s5HwcVO9v/jp6TjGSdw9PA/F+k0XUl5fTXe3wAJO4Q+GX31Sh5ycTu5stWethFkiIkIpEFG8&#10;BEbIMtlugZ1otVitN8DzjP//Iv8BAAD//wMAUEsBAi0AFAAGAAgAAAAhALaDOJL+AAAA4QEAABMA&#10;AAAAAAAAAAAAAAAAAAAAAFtDb250ZW50X1R5cGVzXS54bWxQSwECLQAUAAYACAAAACEAOP0h/9YA&#10;AACUAQAACwAAAAAAAAAAAAAAAAAvAQAAX3JlbHMvLnJlbHNQSwECLQAUAAYACAAAACEAv+LXZUEC&#10;AAB6BAAADgAAAAAAAAAAAAAAAAAuAgAAZHJzL2Uyb0RvYy54bWxQSwECLQAUAAYACAAAACEATPrn&#10;eeQAAAANAQAADwAAAAAAAAAAAAAAAACbBAAAZHJzL2Rvd25yZXYueG1sUEsFBgAAAAAEAAQA8wAA&#10;AKwFAAAAAA==&#10;" fillcolor="white [3201]" stroked="f" strokeweight=".5pt">
                <v:textbox>
                  <w:txbxContent>
                    <w:p w14:paraId="61F04D72" w14:textId="1B3EE463" w:rsidR="00B577E0" w:rsidRPr="0019240A" w:rsidRDefault="00B577E0" w:rsidP="00596BB9">
                      <w:pPr>
                        <w:rPr>
                          <w:rFonts w:ascii="Arial" w:hAnsi="Arial" w:cs="Arial"/>
                          <w:b/>
                          <w:lang w:val="es-ES"/>
                        </w:rPr>
                      </w:pPr>
                      <w:r>
                        <w:rPr>
                          <w:rFonts w:ascii="Arial" w:hAnsi="Arial" w:cs="Arial"/>
                          <w:b/>
                          <w:lang w:val="es-ES"/>
                        </w:rPr>
                        <w:t xml:space="preserve">Abril </w:t>
                      </w:r>
                      <w:r w:rsidRPr="0019240A">
                        <w:rPr>
                          <w:rFonts w:ascii="Arial" w:hAnsi="Arial" w:cs="Arial"/>
                          <w:b/>
                          <w:lang w:val="es-ES"/>
                        </w:rPr>
                        <w:t>201</w:t>
                      </w:r>
                      <w:r>
                        <w:rPr>
                          <w:rFonts w:ascii="Arial" w:hAnsi="Arial" w:cs="Arial"/>
                          <w:b/>
                          <w:lang w:val="es-ES"/>
                        </w:rPr>
                        <w:t>9</w:t>
                      </w:r>
                    </w:p>
                    <w:p w14:paraId="5AD8095F" w14:textId="77777777" w:rsidR="00B577E0" w:rsidRPr="0019240A" w:rsidRDefault="00B577E0" w:rsidP="00596BB9">
                      <w:pPr>
                        <w:rPr>
                          <w:rFonts w:ascii="Arial" w:hAnsi="Arial" w:cs="Arial"/>
                          <w:lang w:val="es-ES"/>
                        </w:rPr>
                      </w:pPr>
                    </w:p>
                    <w:p w14:paraId="2CEC5E20" w14:textId="1AA53DFC" w:rsidR="00B577E0" w:rsidRPr="0019240A" w:rsidRDefault="00B577E0" w:rsidP="00596BB9">
                      <w:pPr>
                        <w:rPr>
                          <w:rFonts w:ascii="Arial" w:hAnsi="Arial" w:cs="Arial"/>
                          <w:lang w:val="es-ES"/>
                        </w:rPr>
                      </w:pPr>
                      <w:r w:rsidRPr="0019240A">
                        <w:rPr>
                          <w:rFonts w:ascii="Arial" w:hAnsi="Arial" w:cs="Arial"/>
                          <w:lang w:val="es-ES"/>
                        </w:rPr>
                        <w:t xml:space="preserve">Documento preparado por </w:t>
                      </w:r>
                      <w:r>
                        <w:rPr>
                          <w:rFonts w:ascii="Arial" w:hAnsi="Arial" w:cs="Arial"/>
                          <w:lang w:val="es-ES"/>
                        </w:rPr>
                        <w:t xml:space="preserve">Gabriel Filc </w:t>
                      </w:r>
                    </w:p>
                    <w:p w14:paraId="02E3B896" w14:textId="77777777" w:rsidR="00B577E0" w:rsidRPr="0019240A" w:rsidRDefault="00B577E0" w:rsidP="00596BB9">
                      <w:pPr>
                        <w:rPr>
                          <w:lang w:val="es-ES"/>
                        </w:rPr>
                      </w:pPr>
                    </w:p>
                  </w:txbxContent>
                </v:textbox>
              </v:shape>
            </w:pict>
          </mc:Fallback>
        </mc:AlternateContent>
      </w:r>
      <w:r w:rsidRPr="0043141C">
        <w:rPr>
          <w:rFonts w:ascii="Arial" w:eastAsia="Calibri" w:hAnsi="Arial" w:cs="Arial"/>
          <w:noProof/>
          <w:lang w:val="es-419"/>
        </w:rPr>
        <mc:AlternateContent>
          <mc:Choice Requires="wps">
            <w:drawing>
              <wp:anchor distT="0" distB="0" distL="114300" distR="114300" simplePos="0" relativeHeight="251662336" behindDoc="0" locked="0" layoutInCell="1" allowOverlap="1" wp14:anchorId="1B8CE05F" wp14:editId="3D846DF2">
                <wp:simplePos x="0" y="0"/>
                <wp:positionH relativeFrom="column">
                  <wp:posOffset>-320675</wp:posOffset>
                </wp:positionH>
                <wp:positionV relativeFrom="paragraph">
                  <wp:posOffset>2612390</wp:posOffset>
                </wp:positionV>
                <wp:extent cx="3459480" cy="3562350"/>
                <wp:effectExtent l="0" t="0" r="0" b="0"/>
                <wp:wrapSquare wrapText="bothSides"/>
                <wp:docPr id="5461" name="Text Box 5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356235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9E3B1" w14:textId="0100D79D" w:rsidR="00B577E0" w:rsidRPr="00596BB9" w:rsidRDefault="00B577E0" w:rsidP="00596BB9">
                            <w:pPr>
                              <w:tabs>
                                <w:tab w:val="left" w:pos="1440"/>
                                <w:tab w:val="left" w:pos="3060"/>
                              </w:tabs>
                              <w:outlineLvl w:val="0"/>
                              <w:rPr>
                                <w:b/>
                                <w:smallCaps/>
                                <w:lang w:val="es-ES_tradnl"/>
                              </w:rPr>
                            </w:pPr>
                            <w:r>
                              <w:rPr>
                                <w:rFonts w:ascii="Arial" w:hAnsi="Arial" w:cs="Arial"/>
                                <w:b/>
                                <w:bCs/>
                                <w:sz w:val="44"/>
                                <w:lang w:val="es-ES"/>
                              </w:rPr>
                              <w:t>Análisis</w:t>
                            </w:r>
                            <w:r>
                              <w:rPr>
                                <w:rFonts w:ascii="Arial" w:hAnsi="Arial" w:cs="Arial"/>
                                <w:b/>
                                <w:bCs/>
                                <w:sz w:val="44"/>
                                <w:lang w:val="es-ES_tradnl"/>
                              </w:rPr>
                              <w:t xml:space="preserve"> Económico</w:t>
                            </w:r>
                          </w:p>
                          <w:p w14:paraId="6470C17C" w14:textId="55B2D636" w:rsidR="00B577E0" w:rsidRPr="00D64967" w:rsidRDefault="00B577E0" w:rsidP="00596BB9">
                            <w:pPr>
                              <w:rPr>
                                <w:rFonts w:ascii="Arial" w:hAnsi="Arial" w:cs="Arial"/>
                                <w:sz w:val="28"/>
                                <w:szCs w:val="28"/>
                                <w:lang w:val="es-ES_tradnl"/>
                              </w:rPr>
                            </w:pPr>
                            <w:r>
                              <w:rPr>
                                <w:rFonts w:ascii="Arial" w:hAnsi="Arial" w:cs="Arial"/>
                                <w:sz w:val="28"/>
                                <w:szCs w:val="28"/>
                                <w:lang w:val="es-ES_tradnl"/>
                              </w:rPr>
                              <w:t>AR-L1309</w:t>
                            </w:r>
                          </w:p>
                          <w:p w14:paraId="54BB9720" w14:textId="77777777" w:rsidR="00B577E0" w:rsidRPr="00D64967" w:rsidRDefault="00B577E0" w:rsidP="00596BB9">
                            <w:pPr>
                              <w:rPr>
                                <w:rFonts w:ascii="Arial" w:hAnsi="Arial" w:cs="Arial"/>
                                <w:sz w:val="28"/>
                                <w:szCs w:val="28"/>
                                <w:lang w:val="es-ES_tradnl"/>
                              </w:rPr>
                            </w:pPr>
                          </w:p>
                          <w:p w14:paraId="3BA181BD" w14:textId="15CAF17A" w:rsidR="00B577E0" w:rsidRPr="00AE0778" w:rsidRDefault="00B577E0" w:rsidP="00596BB9">
                            <w:pPr>
                              <w:spacing w:before="120" w:after="120"/>
                              <w:rPr>
                                <w:rFonts w:cs="Arial"/>
                                <w:bCs/>
                                <w:sz w:val="72"/>
                                <w:szCs w:val="20"/>
                                <w:lang w:val="es-ES_tradnl"/>
                              </w:rPr>
                            </w:pPr>
                            <w:r>
                              <w:rPr>
                                <w:rFonts w:ascii="Arial" w:hAnsi="Arial" w:cs="Arial"/>
                                <w:sz w:val="36"/>
                                <w:lang w:val="es-ES_tradnl"/>
                              </w:rPr>
                              <w:t>Programa de Apoyo a la Equidad y Efectividad del Sistema de Protección Social en Argentina, Fase 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CE05F" id="Text Box 5461" o:spid="_x0000_s1027" type="#_x0000_t202" style="position:absolute;margin-left:-25.25pt;margin-top:205.7pt;width:272.4pt;height:2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GDvAIAAMcFAAAOAAAAZHJzL2Uyb0RvYy54bWysVNtu2zAMfR+wfxD07voSOYmNOkUbx8OA&#10;7gK0+wDFlmNhtuRJSpxu2L+PknNrNwzDNj8Ykigd8pCHvL7Zdy3aMaW5FBkOrwKMmChlxcUmw58e&#10;C2+OkTZUVLSVgmX4iWl8s3j96nroUxbJRrYVUwhAhE6HPsONMX3q+7psWEf1leyZAGMtVUcNbNXG&#10;rxQdAL1r/SgIpv4gVdUrWTKt4TQfjXjh8OualeZDXWtmUJthiM24v3L/tf37i2uabhTtG14ewqB/&#10;EUVHuQCnJ6icGoq2iv8E1fFSSS1rc1XKzpd1zUvmOACbMHjB5qGhPXNcIDm6P6VJ/z/Y8v3uo0K8&#10;ynBMpiFGgnZQpUe2N+hO7pE7hBwNvU7h6kMPl80eLFBrx1f397L8rJGQy4aKDbtVSg4NoxXEGNrs&#10;+hdPRxxtQdbDO1mBJ7o10gHta9XZBEJKEKBDrZ5O9bHRlHA4IXFC5mAqwTaJp9EkdhX0aXp83itt&#10;3jDZIbvIsAIBOHi6u9fGhkPT4xXrTciCt60TQSueHcDF8QScw1Nrs2G4mn5LgmQ1X82JR6LpyiNB&#10;nnu3xZJ40yKcxfkkXy7z8Lv1G5K04VXFhHVz1FdI/qx+B6WPyjgpTMuWVxbOhqTVZr1sFdpRq2/4&#10;IDsjy4tr/vMwXBKAywtKYUSCuyjxiul85pGCxF4yC+ZeECZ3yTQgCcmL55TuuWD/TgkNGU7iKB7V&#10;9FtuwS+40bTjBiZIy7sMz20GDj1tNbgSlSutobwd1xepsOGfUwHlPhbaKdaKdJSr2a/3rkGcnK2a&#10;17J6AgkrCQIDMcL0g0Uj1VeMBpgkGdZftlQxjNq3AtogCQmxo8dtSDyLYKMuLetLCxUlQGXYYDQu&#10;l2YcV9te8U0DnsbGE/IWWqfmTtTnqA4NB9PCcTtMNjuOLvfu1nn+Ln4AAAD//wMAUEsDBBQABgAI&#10;AAAAIQBKEsy74QAAAAsBAAAPAAAAZHJzL2Rvd25yZXYueG1sTI/BTsMwEETvSPyDtUjcWietC22I&#10;U1EqbkWIgsTViZckYK9T223D32NOcFzN08zbcj1aw07oQ+9IQj7NgCE1TvfUSnh7fZwsgYWoSCvj&#10;CCV8Y4B1dXlRqkK7M73gaR9blkooFEpCF+NQcB6aDq0KUzcgpezDeatiOn3LtVfnVG4Nn2XZDbeq&#10;p7TQqQEfOmy+9kcrYf6+3dTP/Gkjdv7wieNhabZ6J+X11Xh/ByziGP9g+NVP6lAlp9odSQdmJEwW&#10;2SKhEkSeC2CJECsxB1ZLWN3OBPCq5P9/qH4AAAD//wMAUEsBAi0AFAAGAAgAAAAhALaDOJL+AAAA&#10;4QEAABMAAAAAAAAAAAAAAAAAAAAAAFtDb250ZW50X1R5cGVzXS54bWxQSwECLQAUAAYACAAAACEA&#10;OP0h/9YAAACUAQAACwAAAAAAAAAAAAAAAAAvAQAAX3JlbHMvLnJlbHNQSwECLQAUAAYACAAAACEA&#10;cfyxg7wCAADHBQAADgAAAAAAAAAAAAAAAAAuAgAAZHJzL2Uyb0RvYy54bWxQSwECLQAUAAYACAAA&#10;ACEAShLMu+EAAAALAQAADwAAAAAAAAAAAAAAAAAWBQAAZHJzL2Rvd25yZXYueG1sUEsFBgAAAAAE&#10;AAQA8wAAACQGAAAAAA==&#10;" filled="f" fillcolor="navy" stroked="f">
                <v:textbox>
                  <w:txbxContent>
                    <w:p w14:paraId="2609E3B1" w14:textId="0100D79D" w:rsidR="00B577E0" w:rsidRPr="00596BB9" w:rsidRDefault="00B577E0" w:rsidP="00596BB9">
                      <w:pPr>
                        <w:tabs>
                          <w:tab w:val="left" w:pos="1440"/>
                          <w:tab w:val="left" w:pos="3060"/>
                        </w:tabs>
                        <w:outlineLvl w:val="0"/>
                        <w:rPr>
                          <w:b/>
                          <w:smallCaps/>
                          <w:lang w:val="es-ES_tradnl"/>
                        </w:rPr>
                      </w:pPr>
                      <w:r>
                        <w:rPr>
                          <w:rFonts w:ascii="Arial" w:hAnsi="Arial" w:cs="Arial"/>
                          <w:b/>
                          <w:bCs/>
                          <w:sz w:val="44"/>
                          <w:lang w:val="es-ES"/>
                        </w:rPr>
                        <w:t>Análisis</w:t>
                      </w:r>
                      <w:r>
                        <w:rPr>
                          <w:rFonts w:ascii="Arial" w:hAnsi="Arial" w:cs="Arial"/>
                          <w:b/>
                          <w:bCs/>
                          <w:sz w:val="44"/>
                          <w:lang w:val="es-ES_tradnl"/>
                        </w:rPr>
                        <w:t xml:space="preserve"> Económico</w:t>
                      </w:r>
                    </w:p>
                    <w:p w14:paraId="6470C17C" w14:textId="55B2D636" w:rsidR="00B577E0" w:rsidRPr="00D64967" w:rsidRDefault="00B577E0" w:rsidP="00596BB9">
                      <w:pPr>
                        <w:rPr>
                          <w:rFonts w:ascii="Arial" w:hAnsi="Arial" w:cs="Arial"/>
                          <w:sz w:val="28"/>
                          <w:szCs w:val="28"/>
                          <w:lang w:val="es-ES_tradnl"/>
                        </w:rPr>
                      </w:pPr>
                      <w:r>
                        <w:rPr>
                          <w:rFonts w:ascii="Arial" w:hAnsi="Arial" w:cs="Arial"/>
                          <w:sz w:val="28"/>
                          <w:szCs w:val="28"/>
                          <w:lang w:val="es-ES_tradnl"/>
                        </w:rPr>
                        <w:t>AR-L1309</w:t>
                      </w:r>
                    </w:p>
                    <w:p w14:paraId="54BB9720" w14:textId="77777777" w:rsidR="00B577E0" w:rsidRPr="00D64967" w:rsidRDefault="00B577E0" w:rsidP="00596BB9">
                      <w:pPr>
                        <w:rPr>
                          <w:rFonts w:ascii="Arial" w:hAnsi="Arial" w:cs="Arial"/>
                          <w:sz w:val="28"/>
                          <w:szCs w:val="28"/>
                          <w:lang w:val="es-ES_tradnl"/>
                        </w:rPr>
                      </w:pPr>
                    </w:p>
                    <w:p w14:paraId="3BA181BD" w14:textId="15CAF17A" w:rsidR="00B577E0" w:rsidRPr="00AE0778" w:rsidRDefault="00B577E0" w:rsidP="00596BB9">
                      <w:pPr>
                        <w:spacing w:before="120" w:after="120"/>
                        <w:rPr>
                          <w:rFonts w:cs="Arial"/>
                          <w:bCs/>
                          <w:sz w:val="72"/>
                          <w:szCs w:val="20"/>
                          <w:lang w:val="es-ES_tradnl"/>
                        </w:rPr>
                      </w:pPr>
                      <w:r>
                        <w:rPr>
                          <w:rFonts w:ascii="Arial" w:hAnsi="Arial" w:cs="Arial"/>
                          <w:sz w:val="36"/>
                          <w:lang w:val="es-ES_tradnl"/>
                        </w:rPr>
                        <w:t>Programa de Apoyo a la Equidad y Efectividad del Sistema de Protección Social en Argentina, Fase II</w:t>
                      </w:r>
                    </w:p>
                  </w:txbxContent>
                </v:textbox>
                <w10:wrap type="square"/>
              </v:shape>
            </w:pict>
          </mc:Fallback>
        </mc:AlternateContent>
      </w:r>
      <w:r w:rsidRPr="0043141C">
        <w:rPr>
          <w:rFonts w:ascii="Arial" w:hAnsi="Arial" w:cs="Arial"/>
          <w:noProof/>
          <w:lang w:val="es-419"/>
        </w:rPr>
        <w:drawing>
          <wp:anchor distT="0" distB="0" distL="114300" distR="114300" simplePos="0" relativeHeight="251664384" behindDoc="0" locked="0" layoutInCell="1" allowOverlap="1" wp14:anchorId="1D89E031" wp14:editId="4D6A68BA">
            <wp:simplePos x="0" y="0"/>
            <wp:positionH relativeFrom="column">
              <wp:posOffset>-106680</wp:posOffset>
            </wp:positionH>
            <wp:positionV relativeFrom="paragraph">
              <wp:posOffset>-160020</wp:posOffset>
            </wp:positionV>
            <wp:extent cx="2430389" cy="1392555"/>
            <wp:effectExtent l="0" t="0" r="0" b="0"/>
            <wp:wrapNone/>
            <wp:docPr id="5462" name="Picture 5462" descr="../../../Desktop/bid_espan_ol_01.png"/>
            <wp:cNvGraphicFramePr/>
            <a:graphic xmlns:a="http://schemas.openxmlformats.org/drawingml/2006/main">
              <a:graphicData uri="http://schemas.openxmlformats.org/drawingml/2006/picture">
                <pic:pic xmlns:pic="http://schemas.openxmlformats.org/drawingml/2006/picture">
                  <pic:nvPicPr>
                    <pic:cNvPr id="5462" name="Picture 5462" descr="../../../Desktop/bid_espan_ol_01.png"/>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30389" cy="1392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141C">
        <w:rPr>
          <w:rFonts w:ascii="Arial" w:hAnsi="Arial" w:cs="Arial"/>
          <w:lang w:val="es-419"/>
        </w:rPr>
        <w:br w:type="page"/>
      </w:r>
    </w:p>
    <w:p w14:paraId="78242236" w14:textId="569F1936" w:rsidR="001A1310" w:rsidRDefault="001A1310" w:rsidP="00EF0044">
      <w:pPr>
        <w:pStyle w:val="Heading1"/>
      </w:pPr>
      <w:r>
        <w:lastRenderedPageBreak/>
        <w:t>INTRODUCCIÓN</w:t>
      </w:r>
    </w:p>
    <w:p w14:paraId="1F0E412F" w14:textId="16A8CB0E" w:rsidR="008C1F20" w:rsidRPr="00DF0629" w:rsidRDefault="008C1F20" w:rsidP="00C8766F">
      <w:pPr>
        <w:spacing w:before="120"/>
        <w:jc w:val="both"/>
        <w:rPr>
          <w:sz w:val="24"/>
        </w:rPr>
      </w:pPr>
      <w:r w:rsidRPr="00DF0629">
        <w:rPr>
          <w:sz w:val="24"/>
        </w:rPr>
        <w:t xml:space="preserve">Este documento presenta </w:t>
      </w:r>
      <w:r w:rsidR="00C401C8">
        <w:rPr>
          <w:sz w:val="24"/>
        </w:rPr>
        <w:t xml:space="preserve">el análisis económico </w:t>
      </w:r>
      <w:r w:rsidR="00B700E4">
        <w:rPr>
          <w:sz w:val="24"/>
        </w:rPr>
        <w:t>de</w:t>
      </w:r>
      <w:r w:rsidR="00427B69">
        <w:rPr>
          <w:sz w:val="24"/>
        </w:rPr>
        <w:t xml:space="preserve"> </w:t>
      </w:r>
      <w:r w:rsidR="00B700E4">
        <w:rPr>
          <w:sz w:val="24"/>
        </w:rPr>
        <w:t>l</w:t>
      </w:r>
      <w:r w:rsidR="00427B69">
        <w:rPr>
          <w:sz w:val="24"/>
        </w:rPr>
        <w:t>a segunda fase del</w:t>
      </w:r>
      <w:r w:rsidR="00C54C6C">
        <w:rPr>
          <w:sz w:val="24"/>
        </w:rPr>
        <w:t xml:space="preserve"> Programa de Apoyo a la Equidad y Efectividad del Sistema de Protección Social (AR-L130</w:t>
      </w:r>
      <w:r w:rsidR="00427B69">
        <w:rPr>
          <w:sz w:val="24"/>
        </w:rPr>
        <w:t>9</w:t>
      </w:r>
      <w:r w:rsidR="00C54C6C">
        <w:rPr>
          <w:sz w:val="24"/>
        </w:rPr>
        <w:t xml:space="preserve">). En este Programa se apoya mediante tres componentes a tres proyectos de protección social del gobierno federal argentino: </w:t>
      </w:r>
      <w:r w:rsidRPr="00DF0629">
        <w:rPr>
          <w:sz w:val="24"/>
        </w:rPr>
        <w:t>Hacemos Futuro, P</w:t>
      </w:r>
      <w:r w:rsidR="00427B69">
        <w:rPr>
          <w:sz w:val="24"/>
        </w:rPr>
        <w:t>rogresar Virtual</w:t>
      </w:r>
      <w:r w:rsidRPr="00DF0629">
        <w:rPr>
          <w:sz w:val="24"/>
        </w:rPr>
        <w:t xml:space="preserve"> y </w:t>
      </w:r>
      <w:r w:rsidR="000C50EF">
        <w:rPr>
          <w:sz w:val="24"/>
        </w:rPr>
        <w:t xml:space="preserve">la </w:t>
      </w:r>
      <w:r w:rsidRPr="00DF0629">
        <w:rPr>
          <w:sz w:val="24"/>
        </w:rPr>
        <w:t xml:space="preserve">Tarifa Social </w:t>
      </w:r>
      <w:r w:rsidR="000C50EF">
        <w:rPr>
          <w:sz w:val="24"/>
        </w:rPr>
        <w:t xml:space="preserve">del Transporte Público mediante </w:t>
      </w:r>
      <w:r w:rsidR="00312808">
        <w:rPr>
          <w:sz w:val="24"/>
        </w:rPr>
        <w:t xml:space="preserve">la tarjeta </w:t>
      </w:r>
      <w:r w:rsidRPr="00DF0629">
        <w:rPr>
          <w:sz w:val="24"/>
        </w:rPr>
        <w:t>SUBE.</w:t>
      </w:r>
      <w:r w:rsidR="00312808">
        <w:rPr>
          <w:rStyle w:val="FootnoteReference"/>
          <w:sz w:val="24"/>
        </w:rPr>
        <w:footnoteReference w:id="1"/>
      </w:r>
      <w:r w:rsidRPr="00DF0629">
        <w:rPr>
          <w:sz w:val="24"/>
        </w:rPr>
        <w:t xml:space="preserve"> </w:t>
      </w:r>
      <w:r w:rsidR="00553E22">
        <w:rPr>
          <w:sz w:val="24"/>
        </w:rPr>
        <w:t>L</w:t>
      </w:r>
      <w:r w:rsidRPr="00DF0629">
        <w:rPr>
          <w:sz w:val="24"/>
        </w:rPr>
        <w:t xml:space="preserve">os dos primeros buscan incrementar el capital humano de </w:t>
      </w:r>
      <w:r w:rsidR="0043268E">
        <w:rPr>
          <w:sz w:val="24"/>
        </w:rPr>
        <w:t xml:space="preserve">los hogares de menores ingresos </w:t>
      </w:r>
      <w:r w:rsidRPr="00DF0629">
        <w:rPr>
          <w:sz w:val="24"/>
        </w:rPr>
        <w:t>mediante el fomento de la educación para adultos tanto en niveles obligatorios como superiores. Intervenciones de este tipo con un impacto directo en el capital humano,</w:t>
      </w:r>
      <w:r w:rsidR="001A1310" w:rsidRPr="00DF0629">
        <w:rPr>
          <w:sz w:val="24"/>
        </w:rPr>
        <w:t xml:space="preserve"> son más efectivas que otras para aumentar la movilidad intergeneracional (</w:t>
      </w:r>
      <w:hyperlink r:id="rId15" w:history="1">
        <w:r w:rsidR="001A1310" w:rsidRPr="00DF0629">
          <w:rPr>
            <w:rStyle w:val="Hyperlink"/>
            <w:sz w:val="24"/>
          </w:rPr>
          <w:t>Jiménez 2017</w:t>
        </w:r>
      </w:hyperlink>
      <w:r w:rsidR="001A1310" w:rsidRPr="00DF0629">
        <w:rPr>
          <w:sz w:val="24"/>
        </w:rPr>
        <w:t>)</w:t>
      </w:r>
      <w:r w:rsidRPr="00DF0629">
        <w:rPr>
          <w:sz w:val="24"/>
        </w:rPr>
        <w:t>.</w:t>
      </w:r>
      <w:r w:rsidR="00DF0629" w:rsidRPr="00DF0629">
        <w:rPr>
          <w:sz w:val="24"/>
        </w:rPr>
        <w:t xml:space="preserve"> </w:t>
      </w:r>
    </w:p>
    <w:p w14:paraId="346178D0" w14:textId="1D7FCF28" w:rsidR="00DF0629" w:rsidRDefault="00DF0629" w:rsidP="00DF0629">
      <w:pPr>
        <w:jc w:val="both"/>
        <w:rPr>
          <w:sz w:val="24"/>
        </w:rPr>
      </w:pPr>
      <w:r w:rsidRPr="00DF0629">
        <w:rPr>
          <w:sz w:val="24"/>
        </w:rPr>
        <w:t xml:space="preserve">Tanto para el caso del Hacemos Futuro como de PROGRESAR </w:t>
      </w:r>
      <w:r w:rsidR="0043268E">
        <w:rPr>
          <w:sz w:val="24"/>
        </w:rPr>
        <w:t xml:space="preserve">Virtual </w:t>
      </w:r>
      <w:r w:rsidRPr="00DF0629">
        <w:rPr>
          <w:sz w:val="24"/>
        </w:rPr>
        <w:t xml:space="preserve">se llevan a cabo análisis de costo beneficio. Cabe destacar sin embargo </w:t>
      </w:r>
      <w:r w:rsidR="007C3E58" w:rsidRPr="00DF0629">
        <w:rPr>
          <w:sz w:val="24"/>
        </w:rPr>
        <w:t>que,</w:t>
      </w:r>
      <w:r w:rsidRPr="00DF0629">
        <w:rPr>
          <w:sz w:val="24"/>
        </w:rPr>
        <w:t xml:space="preserve"> si bien se ilustran algunos de los efectos que podrían tener en términos intergeneracionales, éste es un aspecto que no se desarrolla por lo que se podría estar subestimando el beneficio de estos programas. Con respecto al programa Tarifa Social SUBE, se realiza un análisis de incidencia del gasto debido a que la información necesaria para calcular los beneficios y costos en términos monetarios no está disponible.</w:t>
      </w:r>
    </w:p>
    <w:p w14:paraId="181C980F" w14:textId="484BB919" w:rsidR="00621723" w:rsidRPr="00A25F1C" w:rsidRDefault="00721152" w:rsidP="00DF0629">
      <w:pPr>
        <w:jc w:val="both"/>
        <w:rPr>
          <w:sz w:val="24"/>
        </w:rPr>
      </w:pPr>
      <w:r w:rsidRPr="00A52545">
        <w:rPr>
          <w:b/>
          <w:sz w:val="24"/>
        </w:rPr>
        <w:t>Resultados</w:t>
      </w:r>
      <w:r w:rsidR="00621723" w:rsidRPr="00A52545">
        <w:rPr>
          <w:b/>
          <w:sz w:val="24"/>
        </w:rPr>
        <w:t>.</w:t>
      </w:r>
      <w:r w:rsidR="00621723" w:rsidRPr="00A25F1C">
        <w:rPr>
          <w:sz w:val="24"/>
        </w:rPr>
        <w:t xml:space="preserve"> En el caso de Hacemos Futuro los beneficios se derivan de aumentos en la productividad y empleabilidad resultado de la formación técnica y de educación formal, y el análisis costo beneficio muestra que con una tasa de descuento del 3% y parámetros conservadores sobre la dinámica del mercado laboral, el VAN es de US$ 116 millones, la TIR es del 7,5% y el ratio </w:t>
      </w:r>
      <w:r w:rsidR="007C3E58" w:rsidRPr="00A25F1C">
        <w:rPr>
          <w:sz w:val="24"/>
        </w:rPr>
        <w:t>Beneficio: Costo</w:t>
      </w:r>
      <w:r w:rsidR="00621723" w:rsidRPr="00A25F1C">
        <w:rPr>
          <w:sz w:val="24"/>
        </w:rPr>
        <w:t xml:space="preserve"> es de 1,19. En el caso de Progresar</w:t>
      </w:r>
      <w:r w:rsidR="0043268E">
        <w:rPr>
          <w:sz w:val="24"/>
        </w:rPr>
        <w:t xml:space="preserve"> virtual</w:t>
      </w:r>
      <w:r w:rsidR="00621723" w:rsidRPr="00A25F1C">
        <w:rPr>
          <w:sz w:val="24"/>
        </w:rPr>
        <w:t xml:space="preserve"> los beneficios derivan de aumentos en los ingresos laborales asociados a mayores niveles de </w:t>
      </w:r>
      <w:r w:rsidR="0043268E">
        <w:rPr>
          <w:sz w:val="24"/>
        </w:rPr>
        <w:t>terminalidad de la educación superior</w:t>
      </w:r>
      <w:r w:rsidR="00621723" w:rsidRPr="00A25F1C">
        <w:rPr>
          <w:sz w:val="24"/>
        </w:rPr>
        <w:t xml:space="preserve">; en este caso el </w:t>
      </w:r>
      <w:r w:rsidR="00DB489A" w:rsidRPr="00F23D11">
        <w:rPr>
          <w:sz w:val="24"/>
        </w:rPr>
        <w:t xml:space="preserve">VAN es de </w:t>
      </w:r>
      <w:r w:rsidR="00DB489A" w:rsidRPr="00DB489A">
        <w:rPr>
          <w:sz w:val="24"/>
        </w:rPr>
        <w:t>US$ 3 millones, la TIR es del 16% y la ratio Beneficio: Costo es de 2,8.</w:t>
      </w:r>
      <w:r w:rsidR="00621723" w:rsidRPr="00A25F1C">
        <w:rPr>
          <w:sz w:val="24"/>
        </w:rPr>
        <w:t>. El análisis de sensibilidad sugiere que los resultados son robustos a cambios razonables en la eficiencia y efectividad del programa. En el caso de la Tarifa Social al Transporte Público, se realizó un análisis de incidencia que muestra que el subsidio es progresivo y pro pobre: más del 50% de los recursos del programa se canalizaría a los tres deciles más pobres de la población.</w:t>
      </w:r>
    </w:p>
    <w:p w14:paraId="00507E9F" w14:textId="77777777" w:rsidR="00156558" w:rsidRPr="00CC24FD" w:rsidRDefault="00156558" w:rsidP="00EF0044">
      <w:pPr>
        <w:pStyle w:val="Heading1"/>
        <w:rPr>
          <w:sz w:val="28"/>
        </w:rPr>
      </w:pPr>
    </w:p>
    <w:p w14:paraId="764DCB6F" w14:textId="77777777" w:rsidR="007C4DD8" w:rsidRPr="00CC24FD" w:rsidRDefault="007C4DD8">
      <w:pPr>
        <w:rPr>
          <w:rFonts w:asciiTheme="majorHAnsi" w:eastAsiaTheme="majorEastAsia" w:hAnsiTheme="majorHAnsi" w:cstheme="majorBidi"/>
          <w:color w:val="2F5496" w:themeColor="accent1" w:themeShade="BF"/>
          <w:sz w:val="28"/>
          <w:szCs w:val="32"/>
        </w:rPr>
      </w:pPr>
      <w:r w:rsidRPr="00CC24FD">
        <w:rPr>
          <w:sz w:val="20"/>
        </w:rPr>
        <w:br w:type="page"/>
      </w:r>
    </w:p>
    <w:p w14:paraId="61D3E290" w14:textId="4EB15DCB" w:rsidR="00243985" w:rsidRPr="00EF0044" w:rsidRDefault="00A810BE" w:rsidP="00EF0044">
      <w:pPr>
        <w:pStyle w:val="Heading1"/>
      </w:pPr>
      <w:r>
        <w:lastRenderedPageBreak/>
        <w:t xml:space="preserve">SUBSIDIO </w:t>
      </w:r>
      <w:r w:rsidR="008C1F20">
        <w:t>“TARIFA</w:t>
      </w:r>
      <w:r w:rsidR="00EF0044" w:rsidRPr="00EF0044">
        <w:t xml:space="preserve"> SOCIAL </w:t>
      </w:r>
      <w:r w:rsidR="008C1F20">
        <w:t xml:space="preserve">FEDERAL </w:t>
      </w:r>
      <w:r w:rsidR="00EF0044" w:rsidRPr="00EF0044">
        <w:t>SUBE</w:t>
      </w:r>
      <w:r w:rsidR="008C1F20">
        <w:t>”</w:t>
      </w:r>
      <w:r>
        <w:t xml:space="preserve"> AL TRANSPORTE PÚBLICO URBANO</w:t>
      </w:r>
      <w:r w:rsidR="00EF0044" w:rsidRPr="00EF0044">
        <w:t xml:space="preserve"> </w:t>
      </w:r>
    </w:p>
    <w:p w14:paraId="134C19A8" w14:textId="619B6FA2" w:rsidR="001354FD" w:rsidRDefault="00A1191E" w:rsidP="00087789">
      <w:pPr>
        <w:jc w:val="both"/>
        <w:rPr>
          <w:sz w:val="24"/>
        </w:rPr>
      </w:pPr>
      <w:r>
        <w:rPr>
          <w:sz w:val="24"/>
        </w:rPr>
        <w:t xml:space="preserve">El programa de subsidios al transporte público urbano Atributo Social SUBE </w:t>
      </w:r>
      <w:r>
        <w:rPr>
          <w:sz w:val="24"/>
          <w:szCs w:val="24"/>
        </w:rPr>
        <w:t>implica el reintegro d</w:t>
      </w:r>
      <w:r w:rsidRPr="00B9302B">
        <w:rPr>
          <w:sz w:val="24"/>
          <w:szCs w:val="24"/>
        </w:rPr>
        <w:t>el 5</w:t>
      </w:r>
      <w:r>
        <w:rPr>
          <w:sz w:val="24"/>
          <w:szCs w:val="24"/>
        </w:rPr>
        <w:t>5</w:t>
      </w:r>
      <w:r w:rsidRPr="00B9302B">
        <w:rPr>
          <w:sz w:val="24"/>
          <w:szCs w:val="24"/>
        </w:rPr>
        <w:t>% del monto de cada viaje pagado</w:t>
      </w:r>
      <w:r>
        <w:rPr>
          <w:sz w:val="24"/>
          <w:szCs w:val="24"/>
        </w:rPr>
        <w:t xml:space="preserve"> en colectivo o tren en diversas ciudades de la Argentina</w:t>
      </w:r>
      <w:r w:rsidRPr="00B9302B">
        <w:rPr>
          <w:sz w:val="24"/>
          <w:szCs w:val="24"/>
        </w:rPr>
        <w:t>.</w:t>
      </w:r>
      <w:r>
        <w:rPr>
          <w:sz w:val="24"/>
          <w:szCs w:val="24"/>
        </w:rPr>
        <w:t xml:space="preserve"> La cuantificación de costos y beneficios de los programas de transporte público en general y de subsidios al transporte público en particular implican explorar una multiplicidad de dimensiones como se observa en el </w:t>
      </w:r>
      <w:r>
        <w:rPr>
          <w:sz w:val="24"/>
          <w:szCs w:val="24"/>
        </w:rPr>
        <w:fldChar w:fldCharType="begin"/>
      </w:r>
      <w:r>
        <w:rPr>
          <w:sz w:val="24"/>
          <w:szCs w:val="24"/>
        </w:rPr>
        <w:instrText xml:space="preserve"> REF _Ref522917503 \h </w:instrText>
      </w:r>
      <w:r w:rsidR="00087789">
        <w:rPr>
          <w:sz w:val="24"/>
          <w:szCs w:val="24"/>
        </w:rPr>
        <w:instrText xml:space="preserve"> \* MERGEFORMAT </w:instrText>
      </w:r>
      <w:r>
        <w:rPr>
          <w:sz w:val="24"/>
          <w:szCs w:val="24"/>
        </w:rPr>
      </w:r>
      <w:r>
        <w:rPr>
          <w:sz w:val="24"/>
          <w:szCs w:val="24"/>
        </w:rPr>
        <w:fldChar w:fldCharType="separate"/>
      </w:r>
      <w:r w:rsidRPr="001354FD">
        <w:rPr>
          <w:sz w:val="24"/>
        </w:rPr>
        <w:t xml:space="preserve">Cuadro </w:t>
      </w:r>
      <w:r w:rsidRPr="001354FD">
        <w:rPr>
          <w:noProof/>
          <w:sz w:val="24"/>
        </w:rPr>
        <w:t>1</w:t>
      </w:r>
      <w:r>
        <w:rPr>
          <w:sz w:val="24"/>
          <w:szCs w:val="24"/>
        </w:rPr>
        <w:fldChar w:fldCharType="end"/>
      </w:r>
      <w:r>
        <w:rPr>
          <w:sz w:val="24"/>
          <w:szCs w:val="24"/>
        </w:rPr>
        <w:t>, construido a partir de</w:t>
      </w:r>
      <w:r w:rsidR="00FF63E7">
        <w:rPr>
          <w:sz w:val="24"/>
          <w:szCs w:val="24"/>
        </w:rPr>
        <w:t xml:space="preserve"> </w:t>
      </w:r>
      <w:hyperlink r:id="rId16" w:history="1">
        <w:r w:rsidR="00FF63E7" w:rsidRPr="00FF63E7">
          <w:rPr>
            <w:rStyle w:val="Hyperlink"/>
            <w:sz w:val="24"/>
          </w:rPr>
          <w:t xml:space="preserve">Litman </w:t>
        </w:r>
        <w:r w:rsidR="00D810D8">
          <w:rPr>
            <w:rStyle w:val="Hyperlink"/>
            <w:sz w:val="24"/>
          </w:rPr>
          <w:t>(</w:t>
        </w:r>
        <w:r w:rsidR="00FF63E7" w:rsidRPr="00FF63E7">
          <w:rPr>
            <w:rStyle w:val="Hyperlink"/>
            <w:sz w:val="24"/>
          </w:rPr>
          <w:t>2009</w:t>
        </w:r>
      </w:hyperlink>
      <w:r w:rsidR="00FF63E7" w:rsidRPr="00FF63E7">
        <w:rPr>
          <w:sz w:val="24"/>
        </w:rPr>
        <w:t>)</w:t>
      </w:r>
      <w:r w:rsidR="00FF63E7">
        <w:t xml:space="preserve"> y</w:t>
      </w:r>
      <w:r>
        <w:rPr>
          <w:sz w:val="24"/>
          <w:szCs w:val="24"/>
        </w:rPr>
        <w:t xml:space="preserve"> </w:t>
      </w:r>
      <w:hyperlink r:id="rId17" w:history="1">
        <w:r w:rsidR="001354FD" w:rsidRPr="00D810D8">
          <w:rPr>
            <w:rStyle w:val="Hyperlink"/>
            <w:sz w:val="24"/>
          </w:rPr>
          <w:t>Litman (2018)</w:t>
        </w:r>
      </w:hyperlink>
      <w:r>
        <w:rPr>
          <w:sz w:val="24"/>
        </w:rPr>
        <w:t>. Considerar todas estas dimensiones requiere de una gran cantidad de información de distintos sectores y áreas geográficas. Dado que esta información no está disponible</w:t>
      </w:r>
      <w:r w:rsidR="00087789">
        <w:rPr>
          <w:sz w:val="24"/>
        </w:rPr>
        <w:t>, el análisis propuesto comprende dos ejercicios. En primer término,</w:t>
      </w:r>
      <w:r w:rsidR="002E2760">
        <w:rPr>
          <w:sz w:val="24"/>
        </w:rPr>
        <w:t xml:space="preserve"> un análisis de incidencia del gasto del subsidio.</w:t>
      </w:r>
      <w:r w:rsidR="00087789">
        <w:rPr>
          <w:sz w:val="24"/>
        </w:rPr>
        <w:t xml:space="preserve"> En segundo término,</w:t>
      </w:r>
      <w:r w:rsidR="002E2760" w:rsidRPr="002E2760">
        <w:rPr>
          <w:sz w:val="24"/>
        </w:rPr>
        <w:t xml:space="preserve"> </w:t>
      </w:r>
      <w:r w:rsidR="002E2760">
        <w:rPr>
          <w:sz w:val="24"/>
        </w:rPr>
        <w:t>estudiar uno de los beneficios señalados en el cuadro: las mejoras en la accesibilidad para los no conductores, particularmente las vinculadas con el acceso al trabajo.</w:t>
      </w:r>
    </w:p>
    <w:p w14:paraId="6D3436FF" w14:textId="679A65C9" w:rsidR="001354FD" w:rsidRPr="001354FD" w:rsidRDefault="001354FD" w:rsidP="001354FD">
      <w:pPr>
        <w:pStyle w:val="Caption"/>
        <w:keepNext/>
        <w:rPr>
          <w:sz w:val="24"/>
        </w:rPr>
      </w:pPr>
      <w:bookmarkStart w:id="0" w:name="_Ref522917503"/>
      <w:r w:rsidRPr="001354FD">
        <w:rPr>
          <w:sz w:val="24"/>
        </w:rPr>
        <w:t xml:space="preserve">Cuadro </w:t>
      </w:r>
      <w:r w:rsidRPr="001354FD">
        <w:rPr>
          <w:sz w:val="24"/>
        </w:rPr>
        <w:fldChar w:fldCharType="begin"/>
      </w:r>
      <w:r w:rsidRPr="001354FD">
        <w:rPr>
          <w:sz w:val="24"/>
        </w:rPr>
        <w:instrText xml:space="preserve"> SEQ Cuadro \* ARABIC </w:instrText>
      </w:r>
      <w:r w:rsidRPr="001354FD">
        <w:rPr>
          <w:sz w:val="24"/>
        </w:rPr>
        <w:fldChar w:fldCharType="separate"/>
      </w:r>
      <w:r w:rsidR="00D90DF1">
        <w:rPr>
          <w:noProof/>
          <w:sz w:val="24"/>
        </w:rPr>
        <w:t>1</w:t>
      </w:r>
      <w:r w:rsidRPr="001354FD">
        <w:rPr>
          <w:sz w:val="24"/>
        </w:rPr>
        <w:fldChar w:fldCharType="end"/>
      </w:r>
      <w:bookmarkEnd w:id="0"/>
      <w:r w:rsidRPr="001354FD">
        <w:rPr>
          <w:sz w:val="24"/>
        </w:rPr>
        <w:t>: Beneficios y costos del transporte público</w:t>
      </w:r>
    </w:p>
    <w:p w14:paraId="70EA7F55" w14:textId="3D535B76" w:rsidR="00FE43C1" w:rsidRPr="00EF0044" w:rsidRDefault="00FE43C1" w:rsidP="00EF0044">
      <w:r w:rsidRPr="00FE43C1">
        <w:rPr>
          <w:noProof/>
        </w:rPr>
        <w:drawing>
          <wp:inline distT="0" distB="0" distL="0" distR="0" wp14:anchorId="0F1D51E2" wp14:editId="30C116EE">
            <wp:extent cx="5400040" cy="3404756"/>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40" cy="3404756"/>
                    </a:xfrm>
                    <a:prstGeom prst="rect">
                      <a:avLst/>
                    </a:prstGeom>
                    <a:noFill/>
                    <a:ln>
                      <a:noFill/>
                    </a:ln>
                  </pic:spPr>
                </pic:pic>
              </a:graphicData>
            </a:graphic>
          </wp:inline>
        </w:drawing>
      </w:r>
    </w:p>
    <w:p w14:paraId="6FFFDE3E" w14:textId="376171D3" w:rsidR="001354FD" w:rsidRPr="001354FD" w:rsidRDefault="001354FD" w:rsidP="00B9302B">
      <w:pPr>
        <w:jc w:val="both"/>
        <w:rPr>
          <w:sz w:val="20"/>
          <w:szCs w:val="24"/>
        </w:rPr>
      </w:pPr>
      <w:r w:rsidRPr="001354FD">
        <w:rPr>
          <w:sz w:val="20"/>
          <w:szCs w:val="24"/>
        </w:rPr>
        <w:t>Basado en Litman (2018)</w:t>
      </w:r>
    </w:p>
    <w:p w14:paraId="133DF9C5" w14:textId="457346C7" w:rsidR="000103A6" w:rsidRDefault="000103A6" w:rsidP="000103A6">
      <w:pPr>
        <w:pStyle w:val="Heading2"/>
      </w:pPr>
      <w:r>
        <w:t>ANÁLISIS DE INCIDENCIA</w:t>
      </w:r>
    </w:p>
    <w:p w14:paraId="26832654" w14:textId="07D30544" w:rsidR="004F76F6" w:rsidRPr="005A1FCB" w:rsidRDefault="004F76F6" w:rsidP="005A1FCB">
      <w:pPr>
        <w:jc w:val="both"/>
        <w:rPr>
          <w:sz w:val="24"/>
        </w:rPr>
      </w:pPr>
      <w:r w:rsidRPr="005A1FCB">
        <w:rPr>
          <w:sz w:val="24"/>
        </w:rPr>
        <w:t xml:space="preserve">El programa de subsidios al transporte urbano Atributo Social SUBE tiene, como toda intervención de política pública, efectos distributivos. En este caso en particular, el análisis de incidencia distributiva es de interés ya que la implementación de este programa forma parte de un proceso gradual de reconversión de una batería de subsidios a la oferta a un esquema más orientado a los subsidios a la demanda con mejor focalización. </w:t>
      </w:r>
      <w:r w:rsidR="00911641" w:rsidRPr="005A1FCB">
        <w:rPr>
          <w:sz w:val="24"/>
        </w:rPr>
        <w:t xml:space="preserve">A continuación, se presentan una serie de ejercicios que buscan ilustrar el efecto distributivo y el impacto en la composición del gasto de los hogares. Los ejercicios se realizaron a partir de información de la Encuesta </w:t>
      </w:r>
      <w:r w:rsidR="008A06F5">
        <w:rPr>
          <w:sz w:val="24"/>
        </w:rPr>
        <w:t xml:space="preserve">Nacional </w:t>
      </w:r>
      <w:r w:rsidR="00911641" w:rsidRPr="005A1FCB">
        <w:rPr>
          <w:sz w:val="24"/>
        </w:rPr>
        <w:t xml:space="preserve">de Gasto de los Hogares </w:t>
      </w:r>
      <w:r w:rsidR="008A06F5">
        <w:rPr>
          <w:sz w:val="24"/>
        </w:rPr>
        <w:lastRenderedPageBreak/>
        <w:t xml:space="preserve">(ENGHO) </w:t>
      </w:r>
      <w:r w:rsidR="00911641" w:rsidRPr="005A1FCB">
        <w:rPr>
          <w:sz w:val="24"/>
        </w:rPr>
        <w:t xml:space="preserve">2012-2013 </w:t>
      </w:r>
      <w:r w:rsidR="00FC094A" w:rsidRPr="005A1FCB">
        <w:rPr>
          <w:sz w:val="24"/>
        </w:rPr>
        <w:t>bajo los siguientes supuestos: los niveles de ingreso total per cápita de los hogares y los niveles de gasto total per cápita de los hogares permanecen constantes en términos reales ajustándose por el Índice de Precios al Consumidor</w:t>
      </w:r>
      <w:r w:rsidR="002432E0">
        <w:rPr>
          <w:sz w:val="24"/>
        </w:rPr>
        <w:t>.</w:t>
      </w:r>
      <w:r w:rsidR="002432E0" w:rsidRPr="002432E0">
        <w:rPr>
          <w:sz w:val="24"/>
        </w:rPr>
        <w:t xml:space="preserve"> </w:t>
      </w:r>
      <w:r w:rsidR="002432E0" w:rsidRPr="005A1FCB">
        <w:rPr>
          <w:sz w:val="24"/>
        </w:rPr>
        <w:t>Los niveles de gasto en transporte público, en transporte público urbano y en transporte público colectivos y trenes se ajustan por el cambio de precio en los boletos</w:t>
      </w:r>
      <w:r w:rsidR="002432E0">
        <w:rPr>
          <w:sz w:val="24"/>
        </w:rPr>
        <w:t xml:space="preserve"> en AMBA entre los años 2012 y 2018</w:t>
      </w:r>
      <w:r w:rsidR="002432E0" w:rsidRPr="005A1FCB">
        <w:rPr>
          <w:sz w:val="24"/>
        </w:rPr>
        <w:t>.</w:t>
      </w:r>
      <w:r w:rsidR="00FC094A" w:rsidRPr="005A1FCB">
        <w:rPr>
          <w:sz w:val="24"/>
        </w:rPr>
        <w:t xml:space="preserve"> </w:t>
      </w:r>
    </w:p>
    <w:p w14:paraId="28A2F265" w14:textId="083D4D98" w:rsidR="00426D0C" w:rsidRDefault="00960D65" w:rsidP="00426D0C">
      <w:pPr>
        <w:jc w:val="both"/>
        <w:rPr>
          <w:sz w:val="24"/>
          <w:szCs w:val="24"/>
        </w:rPr>
      </w:pPr>
      <w:r w:rsidRPr="00426D0C">
        <w:rPr>
          <w:sz w:val="24"/>
          <w:szCs w:val="24"/>
        </w:rPr>
        <w:t xml:space="preserve">El </w:t>
      </w:r>
      <w:r w:rsidR="00DC41F1" w:rsidRPr="00426D0C">
        <w:rPr>
          <w:sz w:val="24"/>
          <w:szCs w:val="24"/>
        </w:rPr>
        <w:fldChar w:fldCharType="begin"/>
      </w:r>
      <w:r w:rsidR="00DC41F1" w:rsidRPr="00426D0C">
        <w:rPr>
          <w:sz w:val="24"/>
          <w:szCs w:val="24"/>
        </w:rPr>
        <w:instrText xml:space="preserve"> REF _Ref522950093 \h </w:instrText>
      </w:r>
      <w:r w:rsidR="00426D0C" w:rsidRPr="00426D0C">
        <w:rPr>
          <w:sz w:val="24"/>
          <w:szCs w:val="24"/>
        </w:rPr>
        <w:instrText xml:space="preserve"> \* MERGEFORMAT </w:instrText>
      </w:r>
      <w:r w:rsidR="00DC41F1" w:rsidRPr="00426D0C">
        <w:rPr>
          <w:sz w:val="24"/>
          <w:szCs w:val="24"/>
        </w:rPr>
      </w:r>
      <w:r w:rsidR="00DC41F1" w:rsidRPr="00426D0C">
        <w:rPr>
          <w:sz w:val="24"/>
          <w:szCs w:val="24"/>
        </w:rPr>
        <w:fldChar w:fldCharType="separate"/>
      </w:r>
      <w:r w:rsidR="00DC41F1" w:rsidRPr="00426D0C">
        <w:rPr>
          <w:sz w:val="24"/>
          <w:szCs w:val="24"/>
        </w:rPr>
        <w:t xml:space="preserve">Gráfico </w:t>
      </w:r>
      <w:r w:rsidR="00DC41F1" w:rsidRPr="00426D0C">
        <w:rPr>
          <w:noProof/>
          <w:sz w:val="24"/>
          <w:szCs w:val="24"/>
        </w:rPr>
        <w:t>1</w:t>
      </w:r>
      <w:r w:rsidR="00DC41F1" w:rsidRPr="00426D0C">
        <w:rPr>
          <w:sz w:val="24"/>
          <w:szCs w:val="24"/>
        </w:rPr>
        <w:fldChar w:fldCharType="end"/>
      </w:r>
      <w:r w:rsidR="00DC41F1" w:rsidRPr="00426D0C">
        <w:rPr>
          <w:sz w:val="24"/>
          <w:szCs w:val="24"/>
        </w:rPr>
        <w:t xml:space="preserve"> muestra las curvas de incidencia del esquema de subsidios de 2012 y el de 2018</w:t>
      </w:r>
      <w:r w:rsidR="00532376">
        <w:rPr>
          <w:rStyle w:val="FootnoteReference"/>
          <w:sz w:val="24"/>
          <w:szCs w:val="24"/>
        </w:rPr>
        <w:footnoteReference w:id="2"/>
      </w:r>
      <w:r w:rsidR="00DC41F1" w:rsidRPr="00426D0C">
        <w:rPr>
          <w:sz w:val="24"/>
          <w:szCs w:val="24"/>
        </w:rPr>
        <w:t>. Cabe destacar que mientras que el subsidio 2012 afecta a la totalidad de la población, el de 2018 solo a una porción de ella. También debe aclararse que</w:t>
      </w:r>
      <w:r w:rsidR="00B97EE9" w:rsidRPr="00426D0C">
        <w:rPr>
          <w:sz w:val="24"/>
          <w:szCs w:val="24"/>
        </w:rPr>
        <w:t xml:space="preserve"> el efecto distributivo del Subsidio 2018 se limita al efecto del Atributo Social y no incluye </w:t>
      </w:r>
      <w:r w:rsidR="00DC41F1" w:rsidRPr="00426D0C">
        <w:rPr>
          <w:sz w:val="24"/>
          <w:szCs w:val="24"/>
        </w:rPr>
        <w:t xml:space="preserve">el esquema de subsidios </w:t>
      </w:r>
      <w:r w:rsidR="00B97EE9" w:rsidRPr="00426D0C">
        <w:rPr>
          <w:sz w:val="24"/>
          <w:szCs w:val="24"/>
        </w:rPr>
        <w:t xml:space="preserve">a la oferta que aún no ha sido desarmado. El resultado de esta primera aproximación al análisis de los efectos distributivos del subsidio puede parecer contraintuitiva. </w:t>
      </w:r>
      <w:r w:rsidR="00D520C7">
        <w:rPr>
          <w:sz w:val="24"/>
          <w:szCs w:val="24"/>
        </w:rPr>
        <w:t>E</w:t>
      </w:r>
      <w:r w:rsidR="00B97EE9" w:rsidRPr="00426D0C">
        <w:rPr>
          <w:sz w:val="24"/>
          <w:szCs w:val="24"/>
        </w:rPr>
        <w:t xml:space="preserve">l gasto en el subsidio </w:t>
      </w:r>
      <w:r w:rsidR="00D520C7">
        <w:rPr>
          <w:sz w:val="24"/>
          <w:szCs w:val="24"/>
        </w:rPr>
        <w:t xml:space="preserve">no solo </w:t>
      </w:r>
      <w:r w:rsidR="00B97EE9" w:rsidRPr="00426D0C">
        <w:rPr>
          <w:sz w:val="24"/>
          <w:szCs w:val="24"/>
        </w:rPr>
        <w:t>es claramente progresivo</w:t>
      </w:r>
      <w:r w:rsidR="00D520C7">
        <w:rPr>
          <w:sz w:val="24"/>
          <w:szCs w:val="24"/>
        </w:rPr>
        <w:t>,</w:t>
      </w:r>
      <w:r w:rsidR="00B97EE9" w:rsidRPr="00426D0C">
        <w:rPr>
          <w:sz w:val="24"/>
          <w:szCs w:val="24"/>
        </w:rPr>
        <w:t xml:space="preserve"> ya</w:t>
      </w:r>
      <w:r w:rsidR="00D520C7">
        <w:rPr>
          <w:sz w:val="24"/>
          <w:szCs w:val="24"/>
        </w:rPr>
        <w:t xml:space="preserve"> que</w:t>
      </w:r>
      <w:r w:rsidR="00B97EE9" w:rsidRPr="00426D0C">
        <w:rPr>
          <w:sz w:val="24"/>
          <w:szCs w:val="24"/>
        </w:rPr>
        <w:t xml:space="preserve"> se encuentra por encima de la curva de distribución del ingreso</w:t>
      </w:r>
      <w:r w:rsidR="00D520C7">
        <w:rPr>
          <w:sz w:val="24"/>
          <w:szCs w:val="24"/>
        </w:rPr>
        <w:t>, sino que, a diferencia de los subsidios a la oferta, también e</w:t>
      </w:r>
      <w:r w:rsidR="00B97EE9" w:rsidRPr="00426D0C">
        <w:rPr>
          <w:sz w:val="24"/>
          <w:szCs w:val="24"/>
        </w:rPr>
        <w:t xml:space="preserve">s pro pobre ya que se ubica por </w:t>
      </w:r>
      <w:r w:rsidR="001D3D0E">
        <w:rPr>
          <w:sz w:val="24"/>
          <w:szCs w:val="24"/>
        </w:rPr>
        <w:t>encima</w:t>
      </w:r>
      <w:r w:rsidR="001D3D0E" w:rsidRPr="00426D0C">
        <w:rPr>
          <w:sz w:val="24"/>
          <w:szCs w:val="24"/>
        </w:rPr>
        <w:t xml:space="preserve"> </w:t>
      </w:r>
      <w:r w:rsidR="00B97EE9" w:rsidRPr="00426D0C">
        <w:rPr>
          <w:sz w:val="24"/>
          <w:szCs w:val="24"/>
        </w:rPr>
        <w:t>de la línea de perfecta igualdad.</w:t>
      </w:r>
    </w:p>
    <w:p w14:paraId="7F03D299" w14:textId="26355044" w:rsidR="005A1FCB" w:rsidRPr="005A1FCB" w:rsidRDefault="005A1FCB" w:rsidP="005A1FCB">
      <w:pPr>
        <w:pStyle w:val="Caption"/>
        <w:keepNext/>
        <w:jc w:val="both"/>
        <w:rPr>
          <w:sz w:val="24"/>
        </w:rPr>
      </w:pPr>
      <w:bookmarkStart w:id="1" w:name="_Ref522950093"/>
      <w:r w:rsidRPr="005A1FCB">
        <w:rPr>
          <w:sz w:val="24"/>
        </w:rPr>
        <w:t xml:space="preserve">Gráfico </w:t>
      </w:r>
      <w:r w:rsidRPr="005A1FCB">
        <w:rPr>
          <w:sz w:val="24"/>
        </w:rPr>
        <w:fldChar w:fldCharType="begin"/>
      </w:r>
      <w:r w:rsidRPr="005A1FCB">
        <w:rPr>
          <w:sz w:val="24"/>
        </w:rPr>
        <w:instrText xml:space="preserve"> SEQ Gráfico \* ARABIC </w:instrText>
      </w:r>
      <w:r w:rsidRPr="005A1FCB">
        <w:rPr>
          <w:sz w:val="24"/>
        </w:rPr>
        <w:fldChar w:fldCharType="separate"/>
      </w:r>
      <w:r w:rsidR="00A642A2">
        <w:rPr>
          <w:noProof/>
          <w:sz w:val="24"/>
        </w:rPr>
        <w:t>1</w:t>
      </w:r>
      <w:r w:rsidRPr="005A1FCB">
        <w:rPr>
          <w:sz w:val="24"/>
        </w:rPr>
        <w:fldChar w:fldCharType="end"/>
      </w:r>
      <w:bookmarkEnd w:id="1"/>
      <w:r w:rsidR="00D11063">
        <w:rPr>
          <w:sz w:val="24"/>
        </w:rPr>
        <w:t>: Curvas de incidencia</w:t>
      </w:r>
    </w:p>
    <w:p w14:paraId="77EF34F9" w14:textId="4F2CBFA7" w:rsidR="00422F19" w:rsidRDefault="004A23DB" w:rsidP="00B9302B">
      <w:pPr>
        <w:jc w:val="both"/>
        <w:rPr>
          <w:sz w:val="24"/>
          <w:szCs w:val="24"/>
        </w:rPr>
      </w:pPr>
      <w:r>
        <w:rPr>
          <w:noProof/>
          <w:sz w:val="24"/>
          <w:szCs w:val="24"/>
        </w:rPr>
        <w:drawing>
          <wp:inline distT="0" distB="0" distL="0" distR="0" wp14:anchorId="47C528C3" wp14:editId="77BAAA86">
            <wp:extent cx="4810125" cy="2932430"/>
            <wp:effectExtent l="0" t="0" r="952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10125" cy="2932430"/>
                    </a:xfrm>
                    <a:prstGeom prst="rect">
                      <a:avLst/>
                    </a:prstGeom>
                    <a:noFill/>
                  </pic:spPr>
                </pic:pic>
              </a:graphicData>
            </a:graphic>
          </wp:inline>
        </w:drawing>
      </w:r>
    </w:p>
    <w:p w14:paraId="6F8835DB" w14:textId="50B7E056" w:rsidR="00426D0C" w:rsidRPr="00426D0C" w:rsidRDefault="00426D0C" w:rsidP="00426D0C">
      <w:pPr>
        <w:jc w:val="both"/>
        <w:rPr>
          <w:sz w:val="24"/>
          <w:szCs w:val="24"/>
        </w:rPr>
      </w:pPr>
      <w:bookmarkStart w:id="2" w:name="_Ref522951585"/>
      <w:r>
        <w:rPr>
          <w:sz w:val="24"/>
          <w:szCs w:val="24"/>
        </w:rPr>
        <w:t xml:space="preserve">Este resultado se verifica también en el </w:t>
      </w:r>
      <w:r>
        <w:rPr>
          <w:sz w:val="24"/>
          <w:szCs w:val="24"/>
        </w:rPr>
        <w:fldChar w:fldCharType="begin"/>
      </w:r>
      <w:r>
        <w:rPr>
          <w:sz w:val="24"/>
          <w:szCs w:val="24"/>
        </w:rPr>
        <w:instrText xml:space="preserve"> REF _Ref522951585 \h </w:instrText>
      </w:r>
      <w:r>
        <w:rPr>
          <w:sz w:val="24"/>
          <w:szCs w:val="24"/>
        </w:rPr>
      </w:r>
      <w:r>
        <w:rPr>
          <w:sz w:val="24"/>
          <w:szCs w:val="24"/>
        </w:rPr>
        <w:fldChar w:fldCharType="separate"/>
      </w:r>
      <w:r w:rsidRPr="005A1FCB">
        <w:rPr>
          <w:sz w:val="24"/>
        </w:rPr>
        <w:t xml:space="preserve">Gráfico </w:t>
      </w:r>
      <w:r w:rsidRPr="005A1FCB">
        <w:rPr>
          <w:noProof/>
          <w:sz w:val="24"/>
        </w:rPr>
        <w:t>2</w:t>
      </w:r>
      <w:r>
        <w:rPr>
          <w:sz w:val="24"/>
          <w:szCs w:val="24"/>
        </w:rPr>
        <w:fldChar w:fldCharType="end"/>
      </w:r>
      <w:r>
        <w:rPr>
          <w:sz w:val="24"/>
          <w:szCs w:val="24"/>
        </w:rPr>
        <w:t xml:space="preserve"> donde se ilustra la concentración del gasto en cada uno de los esquemas para los distintos deciles de ingreso.</w:t>
      </w:r>
      <w:r w:rsidRPr="00426D0C">
        <w:rPr>
          <w:sz w:val="24"/>
          <w:szCs w:val="24"/>
        </w:rPr>
        <w:t xml:space="preserve"> </w:t>
      </w:r>
      <w:r>
        <w:rPr>
          <w:sz w:val="24"/>
          <w:szCs w:val="24"/>
        </w:rPr>
        <w:t xml:space="preserve">Para los deciles más pobres (1 al </w:t>
      </w:r>
      <w:r w:rsidR="006F46BB">
        <w:rPr>
          <w:sz w:val="24"/>
          <w:szCs w:val="24"/>
        </w:rPr>
        <w:t>3</w:t>
      </w:r>
      <w:r>
        <w:rPr>
          <w:sz w:val="24"/>
          <w:szCs w:val="24"/>
        </w:rPr>
        <w:t xml:space="preserve">) el esquema del Atributo Social presenta una </w:t>
      </w:r>
      <w:r w:rsidR="006F46BB">
        <w:rPr>
          <w:sz w:val="24"/>
          <w:szCs w:val="24"/>
        </w:rPr>
        <w:t>mayor</w:t>
      </w:r>
      <w:r>
        <w:rPr>
          <w:sz w:val="24"/>
          <w:szCs w:val="24"/>
        </w:rPr>
        <w:t xml:space="preserve"> concentración que el de los subsidios a la oferta.</w:t>
      </w:r>
      <w:r w:rsidR="006F46BB">
        <w:rPr>
          <w:sz w:val="24"/>
          <w:szCs w:val="24"/>
        </w:rPr>
        <w:t xml:space="preserve"> Los cuatro primeros deciles concentran más del 50% del gasto.</w:t>
      </w:r>
    </w:p>
    <w:p w14:paraId="7BF5A233" w14:textId="714BFFF3" w:rsidR="005A1FCB" w:rsidRPr="005A1FCB" w:rsidRDefault="005A1FCB" w:rsidP="005A1FCB">
      <w:pPr>
        <w:pStyle w:val="Caption"/>
        <w:keepNext/>
        <w:jc w:val="both"/>
        <w:rPr>
          <w:sz w:val="24"/>
        </w:rPr>
      </w:pPr>
      <w:r w:rsidRPr="005A1FCB">
        <w:rPr>
          <w:sz w:val="24"/>
        </w:rPr>
        <w:lastRenderedPageBreak/>
        <w:t xml:space="preserve">Gráfico </w:t>
      </w:r>
      <w:r w:rsidRPr="005A1FCB">
        <w:rPr>
          <w:sz w:val="24"/>
        </w:rPr>
        <w:fldChar w:fldCharType="begin"/>
      </w:r>
      <w:r w:rsidRPr="005A1FCB">
        <w:rPr>
          <w:sz w:val="24"/>
        </w:rPr>
        <w:instrText xml:space="preserve"> SEQ Gráfico \* ARABIC </w:instrText>
      </w:r>
      <w:r w:rsidRPr="005A1FCB">
        <w:rPr>
          <w:sz w:val="24"/>
        </w:rPr>
        <w:fldChar w:fldCharType="separate"/>
      </w:r>
      <w:r w:rsidR="00A642A2">
        <w:rPr>
          <w:noProof/>
          <w:sz w:val="24"/>
        </w:rPr>
        <w:t>2</w:t>
      </w:r>
      <w:r w:rsidRPr="005A1FCB">
        <w:rPr>
          <w:sz w:val="24"/>
        </w:rPr>
        <w:fldChar w:fldCharType="end"/>
      </w:r>
      <w:bookmarkEnd w:id="2"/>
      <w:r w:rsidR="00D11063">
        <w:rPr>
          <w:sz w:val="24"/>
        </w:rPr>
        <w:t>: Concentración del subsidio</w:t>
      </w:r>
    </w:p>
    <w:p w14:paraId="6D13311B" w14:textId="6CA62160" w:rsidR="00745480" w:rsidRDefault="00BB41D2" w:rsidP="00B9302B">
      <w:pPr>
        <w:jc w:val="both"/>
        <w:rPr>
          <w:sz w:val="24"/>
          <w:szCs w:val="24"/>
        </w:rPr>
      </w:pPr>
      <w:r>
        <w:rPr>
          <w:noProof/>
          <w:sz w:val="24"/>
          <w:szCs w:val="24"/>
        </w:rPr>
        <w:drawing>
          <wp:inline distT="0" distB="0" distL="0" distR="0" wp14:anchorId="7C4A5255" wp14:editId="2ABB407F">
            <wp:extent cx="4584700" cy="2755900"/>
            <wp:effectExtent l="0" t="0" r="6350" b="635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41314110" w14:textId="41CB64B5" w:rsidR="005A1FCB" w:rsidRDefault="00776F85" w:rsidP="00C8766F">
      <w:pPr>
        <w:pStyle w:val="Caption"/>
        <w:keepNext/>
        <w:spacing w:before="200"/>
        <w:jc w:val="both"/>
        <w:rPr>
          <w:i w:val="0"/>
          <w:color w:val="auto"/>
          <w:sz w:val="24"/>
        </w:rPr>
      </w:pPr>
      <w:r>
        <w:rPr>
          <w:i w:val="0"/>
          <w:color w:val="auto"/>
          <w:sz w:val="24"/>
        </w:rPr>
        <w:t>El efecto redistributivo del subsidio es aún más notorio si no se contabiliza a los jubilados y pensionados entre</w:t>
      </w:r>
      <w:r w:rsidR="000A3838" w:rsidRPr="00DE391F">
        <w:rPr>
          <w:i w:val="0"/>
          <w:color w:val="auto"/>
          <w:sz w:val="24"/>
        </w:rPr>
        <w:t xml:space="preserve"> los beneficiarios del Atributo Social. Estos grupos tienen ingresos promedio superiores al promedio de la población, hecho que tiene un correlato en los mayores niveles de pobreza registrados entre los niños. </w:t>
      </w:r>
      <w:r w:rsidR="004B4165" w:rsidRPr="00DE391F">
        <w:rPr>
          <w:i w:val="0"/>
          <w:color w:val="auto"/>
          <w:sz w:val="24"/>
        </w:rPr>
        <w:t xml:space="preserve">Cuando se saca </w:t>
      </w:r>
      <w:r w:rsidR="00E13014" w:rsidRPr="00DE391F">
        <w:rPr>
          <w:i w:val="0"/>
          <w:color w:val="auto"/>
          <w:sz w:val="24"/>
        </w:rPr>
        <w:t xml:space="preserve">a jubilados y pensionados de entre los perceptores del subsidio, los resultados cambian, como se observa en el </w:t>
      </w:r>
      <w:r w:rsidR="00E13014" w:rsidRPr="00DE391F">
        <w:rPr>
          <w:i w:val="0"/>
          <w:color w:val="auto"/>
          <w:sz w:val="24"/>
        </w:rPr>
        <w:fldChar w:fldCharType="begin"/>
      </w:r>
      <w:r w:rsidR="00E13014" w:rsidRPr="00DE391F">
        <w:rPr>
          <w:i w:val="0"/>
          <w:color w:val="auto"/>
          <w:sz w:val="24"/>
        </w:rPr>
        <w:instrText xml:space="preserve"> REF _Ref522961010 \h </w:instrText>
      </w:r>
      <w:r w:rsidR="00E13014" w:rsidRPr="00DE391F">
        <w:rPr>
          <w:i w:val="0"/>
          <w:color w:val="auto"/>
          <w:sz w:val="24"/>
        </w:rPr>
      </w:r>
      <w:r w:rsidR="00E13014" w:rsidRPr="00DE391F">
        <w:rPr>
          <w:i w:val="0"/>
          <w:color w:val="auto"/>
          <w:sz w:val="24"/>
        </w:rPr>
        <w:fldChar w:fldCharType="separate"/>
      </w:r>
      <w:r w:rsidR="00E13014" w:rsidRPr="00DE391F">
        <w:rPr>
          <w:color w:val="auto"/>
          <w:sz w:val="24"/>
        </w:rPr>
        <w:t xml:space="preserve">Gráfico </w:t>
      </w:r>
      <w:r w:rsidR="00E13014" w:rsidRPr="00DE391F">
        <w:rPr>
          <w:noProof/>
          <w:color w:val="auto"/>
          <w:sz w:val="24"/>
        </w:rPr>
        <w:t>3</w:t>
      </w:r>
      <w:r w:rsidR="00E13014" w:rsidRPr="00DE391F">
        <w:rPr>
          <w:i w:val="0"/>
          <w:color w:val="auto"/>
          <w:sz w:val="24"/>
        </w:rPr>
        <w:fldChar w:fldCharType="end"/>
      </w:r>
      <w:r w:rsidR="00E13014" w:rsidRPr="00DE391F">
        <w:rPr>
          <w:i w:val="0"/>
          <w:color w:val="auto"/>
          <w:sz w:val="24"/>
        </w:rPr>
        <w:t>.</w:t>
      </w:r>
    </w:p>
    <w:p w14:paraId="05BFB723" w14:textId="29738052" w:rsidR="00745480" w:rsidRPr="005A1FCB" w:rsidRDefault="00745480" w:rsidP="00745480">
      <w:pPr>
        <w:pStyle w:val="Caption"/>
        <w:keepNext/>
        <w:jc w:val="both"/>
        <w:rPr>
          <w:sz w:val="24"/>
        </w:rPr>
      </w:pPr>
      <w:bookmarkStart w:id="3" w:name="_Ref522961010"/>
      <w:r w:rsidRPr="005A1FCB">
        <w:rPr>
          <w:sz w:val="24"/>
        </w:rPr>
        <w:t xml:space="preserve">Gráfico </w:t>
      </w:r>
      <w:r w:rsidRPr="005A1FCB">
        <w:rPr>
          <w:sz w:val="24"/>
        </w:rPr>
        <w:fldChar w:fldCharType="begin"/>
      </w:r>
      <w:r w:rsidRPr="005A1FCB">
        <w:rPr>
          <w:sz w:val="24"/>
        </w:rPr>
        <w:instrText xml:space="preserve"> SEQ Gráfico \* ARABIC </w:instrText>
      </w:r>
      <w:r w:rsidRPr="005A1FCB">
        <w:rPr>
          <w:sz w:val="24"/>
        </w:rPr>
        <w:fldChar w:fldCharType="separate"/>
      </w:r>
      <w:r w:rsidR="00A642A2">
        <w:rPr>
          <w:noProof/>
          <w:sz w:val="24"/>
        </w:rPr>
        <w:t>3</w:t>
      </w:r>
      <w:r w:rsidRPr="005A1FCB">
        <w:rPr>
          <w:sz w:val="24"/>
        </w:rPr>
        <w:fldChar w:fldCharType="end"/>
      </w:r>
      <w:bookmarkEnd w:id="3"/>
      <w:r w:rsidRPr="005A1FCB">
        <w:rPr>
          <w:sz w:val="24"/>
        </w:rPr>
        <w:t>:</w:t>
      </w:r>
      <w:r w:rsidR="00D11063">
        <w:rPr>
          <w:sz w:val="24"/>
        </w:rPr>
        <w:t xml:space="preserve"> Curvas de incidencia</w:t>
      </w:r>
      <w:r w:rsidRPr="005A1FCB">
        <w:rPr>
          <w:sz w:val="24"/>
        </w:rPr>
        <w:t xml:space="preserve"> sin </w:t>
      </w:r>
      <w:r w:rsidR="00D11063">
        <w:rPr>
          <w:sz w:val="24"/>
        </w:rPr>
        <w:t xml:space="preserve">contabilizar </w:t>
      </w:r>
      <w:r w:rsidRPr="005A1FCB">
        <w:rPr>
          <w:sz w:val="24"/>
        </w:rPr>
        <w:t>jubilados</w:t>
      </w:r>
      <w:r w:rsidR="00D11063">
        <w:rPr>
          <w:sz w:val="24"/>
        </w:rPr>
        <w:t xml:space="preserve"> y pensionados</w:t>
      </w:r>
    </w:p>
    <w:p w14:paraId="4391C252" w14:textId="085A44D5" w:rsidR="00745480" w:rsidRDefault="009D4962" w:rsidP="00B9302B">
      <w:pPr>
        <w:jc w:val="both"/>
        <w:rPr>
          <w:sz w:val="24"/>
          <w:szCs w:val="24"/>
        </w:rPr>
      </w:pPr>
      <w:r>
        <w:rPr>
          <w:noProof/>
          <w:sz w:val="24"/>
          <w:szCs w:val="24"/>
        </w:rPr>
        <w:drawing>
          <wp:inline distT="0" distB="0" distL="0" distR="0" wp14:anchorId="29CD3F08" wp14:editId="37C47F74">
            <wp:extent cx="4798060" cy="2926080"/>
            <wp:effectExtent l="0" t="0" r="254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98060" cy="2926080"/>
                    </a:xfrm>
                    <a:prstGeom prst="rect">
                      <a:avLst/>
                    </a:prstGeom>
                    <a:noFill/>
                  </pic:spPr>
                </pic:pic>
              </a:graphicData>
            </a:graphic>
          </wp:inline>
        </w:drawing>
      </w:r>
    </w:p>
    <w:p w14:paraId="46682098" w14:textId="5D8A76F4" w:rsidR="00E13014" w:rsidRDefault="00E13014" w:rsidP="00C8766F">
      <w:pPr>
        <w:spacing w:before="120"/>
        <w:jc w:val="both"/>
        <w:rPr>
          <w:sz w:val="24"/>
          <w:szCs w:val="24"/>
        </w:rPr>
      </w:pPr>
      <w:bookmarkStart w:id="4" w:name="_GoBack"/>
      <w:bookmarkEnd w:id="4"/>
      <w:r>
        <w:rPr>
          <w:sz w:val="24"/>
          <w:szCs w:val="24"/>
        </w:rPr>
        <w:t>Esta diferencia entre los resultados distributivos cuando se consideran los distintos grupos beneficiarios sugiere la necesidad de analizar con mayor detalle posibles heterogeneidades en el uso del subsidio. Quitando el gasto promedio</w:t>
      </w:r>
      <w:r w:rsidR="00F6690B">
        <w:rPr>
          <w:sz w:val="24"/>
          <w:szCs w:val="24"/>
        </w:rPr>
        <w:t xml:space="preserve"> que ya es capturado en los datos de la ENGHO (el gasto promedio en transporte urbano de los jubilados es menor al del resto de la población) la otra variable de interés es la cantidad </w:t>
      </w:r>
      <w:r w:rsidR="00F6690B">
        <w:rPr>
          <w:sz w:val="24"/>
          <w:szCs w:val="24"/>
        </w:rPr>
        <w:lastRenderedPageBreak/>
        <w:t xml:space="preserve">de beneficiarios secundarios que puede hacer uso del subsidio además del beneficiario que tiene oficialmente asignado el subsidio. Como puede observarse en el </w:t>
      </w:r>
      <w:r w:rsidR="00F6690B">
        <w:rPr>
          <w:sz w:val="24"/>
          <w:szCs w:val="24"/>
        </w:rPr>
        <w:fldChar w:fldCharType="begin"/>
      </w:r>
      <w:r w:rsidR="00F6690B">
        <w:rPr>
          <w:sz w:val="24"/>
          <w:szCs w:val="24"/>
        </w:rPr>
        <w:instrText xml:space="preserve"> REF _Ref522962152 \h </w:instrText>
      </w:r>
      <w:r w:rsidR="00F6690B">
        <w:rPr>
          <w:sz w:val="24"/>
          <w:szCs w:val="24"/>
        </w:rPr>
      </w:r>
      <w:r w:rsidR="00F6690B">
        <w:rPr>
          <w:sz w:val="24"/>
          <w:szCs w:val="24"/>
        </w:rPr>
        <w:fldChar w:fldCharType="separate"/>
      </w:r>
      <w:r w:rsidR="00F6690B" w:rsidRPr="005A1FCB">
        <w:rPr>
          <w:sz w:val="24"/>
        </w:rPr>
        <w:t xml:space="preserve">Gráfico </w:t>
      </w:r>
      <w:r w:rsidR="00F6690B" w:rsidRPr="005A1FCB">
        <w:rPr>
          <w:noProof/>
          <w:sz w:val="24"/>
        </w:rPr>
        <w:t>4</w:t>
      </w:r>
      <w:r w:rsidR="00F6690B">
        <w:rPr>
          <w:sz w:val="24"/>
          <w:szCs w:val="24"/>
        </w:rPr>
        <w:fldChar w:fldCharType="end"/>
      </w:r>
      <w:r w:rsidR="00F6690B">
        <w:rPr>
          <w:sz w:val="24"/>
          <w:szCs w:val="24"/>
        </w:rPr>
        <w:t xml:space="preserve">, </w:t>
      </w:r>
      <w:r w:rsidR="00637E23">
        <w:rPr>
          <w:sz w:val="24"/>
          <w:szCs w:val="24"/>
        </w:rPr>
        <w:t>construido a partir de datos de la tarjeta SUBE que registra los registros de pagos de boletos en estaciones de tren y en paradas de colectivo</w:t>
      </w:r>
      <w:r w:rsidR="00421B64">
        <w:rPr>
          <w:sz w:val="24"/>
          <w:szCs w:val="24"/>
        </w:rPr>
        <w:t>, la probabilidad de que los beneficiarios AUH paguen un precio subsidiado para un acompañante es más del doble de que lo haga un jubilado o pensionado. Esta práctica no es la única que permite que el beneficiario permita que otras personas accedan al servicio</w:t>
      </w:r>
      <w:r w:rsidR="00DE391F">
        <w:rPr>
          <w:sz w:val="24"/>
          <w:szCs w:val="24"/>
        </w:rPr>
        <w:t xml:space="preserve"> ya que</w:t>
      </w:r>
      <w:r w:rsidR="001B7F3E">
        <w:rPr>
          <w:sz w:val="24"/>
          <w:szCs w:val="24"/>
        </w:rPr>
        <w:t xml:space="preserve"> también es posible que ceda su tarjeta a otros miembros del hogar.</w:t>
      </w:r>
    </w:p>
    <w:p w14:paraId="04F41271" w14:textId="26736074" w:rsidR="005B536A" w:rsidRPr="005A1FCB" w:rsidRDefault="005B536A" w:rsidP="005B536A">
      <w:pPr>
        <w:pStyle w:val="Caption"/>
        <w:keepNext/>
        <w:jc w:val="both"/>
        <w:rPr>
          <w:sz w:val="24"/>
        </w:rPr>
      </w:pPr>
      <w:bookmarkStart w:id="5" w:name="_Ref522962152"/>
      <w:r w:rsidRPr="005A1FCB">
        <w:rPr>
          <w:sz w:val="24"/>
        </w:rPr>
        <w:t xml:space="preserve">Gráfico </w:t>
      </w:r>
      <w:r w:rsidRPr="005A1FCB">
        <w:rPr>
          <w:sz w:val="24"/>
        </w:rPr>
        <w:fldChar w:fldCharType="begin"/>
      </w:r>
      <w:r w:rsidRPr="005A1FCB">
        <w:rPr>
          <w:sz w:val="24"/>
        </w:rPr>
        <w:instrText xml:space="preserve"> SEQ Gráfico \* ARABIC </w:instrText>
      </w:r>
      <w:r w:rsidRPr="005A1FCB">
        <w:rPr>
          <w:sz w:val="24"/>
        </w:rPr>
        <w:fldChar w:fldCharType="separate"/>
      </w:r>
      <w:r w:rsidR="00A642A2">
        <w:rPr>
          <w:noProof/>
          <w:sz w:val="24"/>
        </w:rPr>
        <w:t>4</w:t>
      </w:r>
      <w:r w:rsidRPr="005A1FCB">
        <w:rPr>
          <w:sz w:val="24"/>
        </w:rPr>
        <w:fldChar w:fldCharType="end"/>
      </w:r>
      <w:bookmarkEnd w:id="5"/>
      <w:r w:rsidRPr="005A1FCB">
        <w:rPr>
          <w:sz w:val="24"/>
        </w:rPr>
        <w:t>: Probabilidad de acompañante</w:t>
      </w:r>
      <w:r w:rsidR="00D11063">
        <w:rPr>
          <w:sz w:val="24"/>
        </w:rPr>
        <w:t xml:space="preserve"> por tipo de beneficiario</w:t>
      </w:r>
    </w:p>
    <w:p w14:paraId="2F7F7778" w14:textId="201081C1" w:rsidR="00912789" w:rsidRDefault="005B536A" w:rsidP="00B9302B">
      <w:pPr>
        <w:jc w:val="both"/>
        <w:rPr>
          <w:sz w:val="24"/>
          <w:szCs w:val="24"/>
        </w:rPr>
      </w:pPr>
      <w:r>
        <w:rPr>
          <w:noProof/>
          <w:sz w:val="24"/>
          <w:szCs w:val="24"/>
        </w:rPr>
        <w:drawing>
          <wp:inline distT="0" distB="0" distL="0" distR="0" wp14:anchorId="293B9390" wp14:editId="2AA53C8C">
            <wp:extent cx="5017135" cy="31273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17135" cy="3127375"/>
                    </a:xfrm>
                    <a:prstGeom prst="rect">
                      <a:avLst/>
                    </a:prstGeom>
                    <a:noFill/>
                  </pic:spPr>
                </pic:pic>
              </a:graphicData>
            </a:graphic>
          </wp:inline>
        </w:drawing>
      </w:r>
    </w:p>
    <w:p w14:paraId="586FAA9D" w14:textId="4CFB0AE4" w:rsidR="00912789" w:rsidRDefault="00912789" w:rsidP="00B9302B">
      <w:pPr>
        <w:jc w:val="both"/>
        <w:rPr>
          <w:sz w:val="24"/>
          <w:szCs w:val="24"/>
        </w:rPr>
      </w:pPr>
    </w:p>
    <w:p w14:paraId="55DD9C1A" w14:textId="0AA56BC3" w:rsidR="001B7F3E" w:rsidRDefault="001B7F3E" w:rsidP="00B9302B">
      <w:pPr>
        <w:jc w:val="both"/>
        <w:rPr>
          <w:sz w:val="24"/>
          <w:szCs w:val="24"/>
        </w:rPr>
      </w:pPr>
      <w:r>
        <w:rPr>
          <w:sz w:val="24"/>
          <w:szCs w:val="24"/>
        </w:rPr>
        <w:t xml:space="preserve">En el </w:t>
      </w:r>
      <w:r w:rsidR="00DE391F">
        <w:rPr>
          <w:sz w:val="24"/>
          <w:szCs w:val="24"/>
        </w:rPr>
        <w:fldChar w:fldCharType="begin"/>
      </w:r>
      <w:r w:rsidR="00DE391F">
        <w:rPr>
          <w:sz w:val="24"/>
          <w:szCs w:val="24"/>
        </w:rPr>
        <w:instrText xml:space="preserve"> REF _Ref523063643 \h </w:instrText>
      </w:r>
      <w:r w:rsidR="00DE391F">
        <w:rPr>
          <w:sz w:val="24"/>
          <w:szCs w:val="24"/>
        </w:rPr>
      </w:r>
      <w:r w:rsidR="00DE391F">
        <w:rPr>
          <w:sz w:val="24"/>
          <w:szCs w:val="24"/>
        </w:rPr>
        <w:fldChar w:fldCharType="separate"/>
      </w:r>
      <w:r w:rsidR="00DE391F" w:rsidRPr="005A1FCB">
        <w:rPr>
          <w:sz w:val="24"/>
        </w:rPr>
        <w:t xml:space="preserve">Gráfico </w:t>
      </w:r>
      <w:r w:rsidR="00DE391F" w:rsidRPr="005A1FCB">
        <w:rPr>
          <w:noProof/>
          <w:sz w:val="24"/>
        </w:rPr>
        <w:t>5</w:t>
      </w:r>
      <w:r w:rsidR="00DE391F">
        <w:rPr>
          <w:sz w:val="24"/>
          <w:szCs w:val="24"/>
        </w:rPr>
        <w:fldChar w:fldCharType="end"/>
      </w:r>
      <w:r w:rsidR="00DE391F">
        <w:rPr>
          <w:sz w:val="24"/>
          <w:szCs w:val="24"/>
        </w:rPr>
        <w:t xml:space="preserve"> se pueden observar las curvas de incidencia cuando los beneficiarios no son solo los beneficiarios directos, sino que también incluyen a los hijos menores de 6 años y aquellos hijos de entre 12 y 18 años que no estudian. La decisión de incluir a este grupo como potenciales beneficiarios indirectos se explica por el hecho de que los niños de entre 6 y 18 años que están escolarizados ya cuentan con boleto estudiantil, por lo </w:t>
      </w:r>
      <w:r w:rsidR="00AE1391">
        <w:rPr>
          <w:sz w:val="24"/>
          <w:szCs w:val="24"/>
        </w:rPr>
        <w:t>tanto,</w:t>
      </w:r>
      <w:r w:rsidR="00DE391F">
        <w:rPr>
          <w:sz w:val="24"/>
          <w:szCs w:val="24"/>
        </w:rPr>
        <w:t xml:space="preserve"> no dependen del Atributo Social de otro miembro del hogar para acceder a un subsidio a la demanda. </w:t>
      </w:r>
    </w:p>
    <w:p w14:paraId="1E7A92BC" w14:textId="77777777" w:rsidR="00DE391F" w:rsidRDefault="00DE391F" w:rsidP="00B9302B">
      <w:pPr>
        <w:jc w:val="both"/>
        <w:rPr>
          <w:sz w:val="24"/>
          <w:szCs w:val="24"/>
        </w:rPr>
      </w:pPr>
    </w:p>
    <w:p w14:paraId="2DE39BA0" w14:textId="1C17C931" w:rsidR="00277008" w:rsidRPr="005A1FCB" w:rsidRDefault="00277008" w:rsidP="00277008">
      <w:pPr>
        <w:pStyle w:val="Caption"/>
        <w:keepNext/>
        <w:jc w:val="both"/>
        <w:rPr>
          <w:sz w:val="24"/>
        </w:rPr>
      </w:pPr>
      <w:bookmarkStart w:id="6" w:name="_Ref523063643"/>
      <w:r w:rsidRPr="005A1FCB">
        <w:rPr>
          <w:sz w:val="24"/>
        </w:rPr>
        <w:lastRenderedPageBreak/>
        <w:t xml:space="preserve">Gráfico </w:t>
      </w:r>
      <w:r w:rsidRPr="005A1FCB">
        <w:rPr>
          <w:sz w:val="24"/>
        </w:rPr>
        <w:fldChar w:fldCharType="begin"/>
      </w:r>
      <w:r w:rsidRPr="005A1FCB">
        <w:rPr>
          <w:sz w:val="24"/>
        </w:rPr>
        <w:instrText xml:space="preserve"> SEQ Gráfico \* ARABIC </w:instrText>
      </w:r>
      <w:r w:rsidRPr="005A1FCB">
        <w:rPr>
          <w:sz w:val="24"/>
        </w:rPr>
        <w:fldChar w:fldCharType="separate"/>
      </w:r>
      <w:r w:rsidR="00A642A2">
        <w:rPr>
          <w:noProof/>
          <w:sz w:val="24"/>
        </w:rPr>
        <w:t>5</w:t>
      </w:r>
      <w:r w:rsidRPr="005A1FCB">
        <w:rPr>
          <w:sz w:val="24"/>
        </w:rPr>
        <w:fldChar w:fldCharType="end"/>
      </w:r>
      <w:bookmarkEnd w:id="6"/>
      <w:r w:rsidRPr="005A1FCB">
        <w:rPr>
          <w:sz w:val="24"/>
        </w:rPr>
        <w:t xml:space="preserve">: </w:t>
      </w:r>
      <w:r w:rsidR="00D11063">
        <w:rPr>
          <w:sz w:val="24"/>
        </w:rPr>
        <w:t>Curvas de incidencia con potenciales beneficiarios indirectos</w:t>
      </w:r>
    </w:p>
    <w:p w14:paraId="1796B1BA" w14:textId="3565A8CB" w:rsidR="00912789" w:rsidRDefault="00AE1391" w:rsidP="00B9302B">
      <w:pPr>
        <w:jc w:val="both"/>
        <w:rPr>
          <w:sz w:val="24"/>
          <w:szCs w:val="24"/>
        </w:rPr>
      </w:pPr>
      <w:r>
        <w:rPr>
          <w:noProof/>
          <w:sz w:val="24"/>
          <w:szCs w:val="24"/>
        </w:rPr>
        <w:drawing>
          <wp:inline distT="0" distB="0" distL="0" distR="0" wp14:anchorId="2C457CEE" wp14:editId="5161F0F4">
            <wp:extent cx="4742815" cy="2981325"/>
            <wp:effectExtent l="0" t="0" r="63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42815" cy="2981325"/>
                    </a:xfrm>
                    <a:prstGeom prst="rect">
                      <a:avLst/>
                    </a:prstGeom>
                    <a:noFill/>
                  </pic:spPr>
                </pic:pic>
              </a:graphicData>
            </a:graphic>
          </wp:inline>
        </w:drawing>
      </w:r>
    </w:p>
    <w:p w14:paraId="2EE4FE77" w14:textId="77068D5D" w:rsidR="000126C3" w:rsidRDefault="000126C3" w:rsidP="00B9302B">
      <w:pPr>
        <w:jc w:val="both"/>
        <w:rPr>
          <w:sz w:val="24"/>
          <w:szCs w:val="24"/>
        </w:rPr>
      </w:pPr>
    </w:p>
    <w:p w14:paraId="516EFF75" w14:textId="18D69592" w:rsidR="00A642A2" w:rsidRDefault="00A642A2" w:rsidP="00B9302B">
      <w:pPr>
        <w:jc w:val="both"/>
        <w:rPr>
          <w:sz w:val="24"/>
          <w:szCs w:val="24"/>
        </w:rPr>
      </w:pPr>
      <w:r w:rsidRPr="003B5524">
        <w:rPr>
          <w:sz w:val="24"/>
          <w:szCs w:val="24"/>
        </w:rPr>
        <w:t xml:space="preserve">Por último, en el </w:t>
      </w:r>
      <w:r w:rsidR="002A3B46" w:rsidRPr="003B5524">
        <w:rPr>
          <w:sz w:val="24"/>
          <w:szCs w:val="24"/>
        </w:rPr>
        <w:fldChar w:fldCharType="begin"/>
      </w:r>
      <w:r w:rsidR="002A3B46" w:rsidRPr="003B5524">
        <w:rPr>
          <w:sz w:val="24"/>
          <w:szCs w:val="24"/>
        </w:rPr>
        <w:instrText xml:space="preserve"> REF _Ref523066315 \h </w:instrText>
      </w:r>
      <w:r w:rsidR="00851783" w:rsidRPr="003B5524">
        <w:rPr>
          <w:sz w:val="24"/>
          <w:szCs w:val="24"/>
        </w:rPr>
        <w:instrText xml:space="preserve"> \* MERGEFORMAT </w:instrText>
      </w:r>
      <w:r w:rsidR="002A3B46" w:rsidRPr="003B5524">
        <w:rPr>
          <w:sz w:val="24"/>
          <w:szCs w:val="24"/>
        </w:rPr>
      </w:r>
      <w:r w:rsidR="002A3B46" w:rsidRPr="003B5524">
        <w:rPr>
          <w:sz w:val="24"/>
          <w:szCs w:val="24"/>
        </w:rPr>
        <w:fldChar w:fldCharType="separate"/>
      </w:r>
      <w:r w:rsidR="002A3B46" w:rsidRPr="003B5524">
        <w:rPr>
          <w:sz w:val="24"/>
        </w:rPr>
        <w:t xml:space="preserve">Gráfico </w:t>
      </w:r>
      <w:r w:rsidR="002A3B46" w:rsidRPr="003B5524">
        <w:rPr>
          <w:noProof/>
          <w:sz w:val="24"/>
        </w:rPr>
        <w:t>7</w:t>
      </w:r>
      <w:r w:rsidR="002A3B46" w:rsidRPr="003B5524">
        <w:rPr>
          <w:sz w:val="24"/>
          <w:szCs w:val="24"/>
        </w:rPr>
        <w:fldChar w:fldCharType="end"/>
      </w:r>
      <w:r w:rsidR="002A3B46" w:rsidRPr="003B5524">
        <w:rPr>
          <w:sz w:val="24"/>
          <w:szCs w:val="24"/>
        </w:rPr>
        <w:t xml:space="preserve"> se muestra cuál es el efecto del subsidio del transporte por Atributo Social </w:t>
      </w:r>
      <w:r w:rsidR="00B70FFC" w:rsidRPr="003B5524">
        <w:rPr>
          <w:sz w:val="24"/>
          <w:szCs w:val="24"/>
        </w:rPr>
        <w:t xml:space="preserve">en los hogares donde hay un miembro </w:t>
      </w:r>
      <w:r w:rsidR="002A3B46" w:rsidRPr="003B5524">
        <w:rPr>
          <w:sz w:val="24"/>
          <w:szCs w:val="24"/>
        </w:rPr>
        <w:t xml:space="preserve">beneficiario, sobre </w:t>
      </w:r>
      <w:r w:rsidR="00070622" w:rsidRPr="003B5524">
        <w:rPr>
          <w:sz w:val="24"/>
          <w:szCs w:val="24"/>
        </w:rPr>
        <w:t>el</w:t>
      </w:r>
      <w:r w:rsidR="002A3B46" w:rsidRPr="003B5524">
        <w:rPr>
          <w:sz w:val="24"/>
          <w:szCs w:val="24"/>
        </w:rPr>
        <w:t xml:space="preserve"> gasto</w:t>
      </w:r>
      <w:r w:rsidR="00070622" w:rsidRPr="003B5524">
        <w:rPr>
          <w:sz w:val="24"/>
          <w:szCs w:val="24"/>
        </w:rPr>
        <w:t xml:space="preserve"> promedio</w:t>
      </w:r>
      <w:r w:rsidR="002A3B46" w:rsidRPr="003B5524">
        <w:rPr>
          <w:sz w:val="24"/>
          <w:szCs w:val="24"/>
        </w:rPr>
        <w:t xml:space="preserve"> en transporte público (colectivo y tren)</w:t>
      </w:r>
      <w:r w:rsidR="00070622" w:rsidRPr="003B5524">
        <w:rPr>
          <w:sz w:val="24"/>
          <w:szCs w:val="24"/>
        </w:rPr>
        <w:t xml:space="preserve"> de su hogar</w:t>
      </w:r>
      <w:r w:rsidR="002A3B46" w:rsidRPr="003B5524">
        <w:rPr>
          <w:sz w:val="24"/>
          <w:szCs w:val="24"/>
        </w:rPr>
        <w:t xml:space="preserve"> como proporción de</w:t>
      </w:r>
      <w:r w:rsidR="00070622" w:rsidRPr="003B5524">
        <w:rPr>
          <w:sz w:val="24"/>
          <w:szCs w:val="24"/>
        </w:rPr>
        <w:t>l</w:t>
      </w:r>
      <w:r w:rsidR="002A3B46" w:rsidRPr="003B5524">
        <w:rPr>
          <w:sz w:val="24"/>
          <w:szCs w:val="24"/>
        </w:rPr>
        <w:t xml:space="preserve"> gasto total </w:t>
      </w:r>
      <w:r w:rsidR="00B70FFC" w:rsidRPr="003B5524">
        <w:rPr>
          <w:sz w:val="24"/>
          <w:szCs w:val="24"/>
        </w:rPr>
        <w:t>y del gasto neto de alimentos</w:t>
      </w:r>
      <w:r w:rsidR="002A3B46" w:rsidRPr="003B5524">
        <w:rPr>
          <w:sz w:val="24"/>
          <w:szCs w:val="24"/>
        </w:rPr>
        <w:t>.</w:t>
      </w:r>
      <w:r w:rsidR="00816679" w:rsidRPr="003B5524">
        <w:rPr>
          <w:sz w:val="24"/>
          <w:szCs w:val="24"/>
        </w:rPr>
        <w:t xml:space="preserve"> Como puede observarse, el subsidio implica para los beneficiarios de</w:t>
      </w:r>
      <w:r w:rsidR="00B70FFC" w:rsidRPr="003B5524">
        <w:rPr>
          <w:sz w:val="24"/>
          <w:szCs w:val="24"/>
        </w:rPr>
        <w:t xml:space="preserve">l decil más pobre </w:t>
      </w:r>
      <w:r w:rsidR="00816679" w:rsidRPr="003B5524">
        <w:rPr>
          <w:sz w:val="24"/>
          <w:szCs w:val="24"/>
        </w:rPr>
        <w:t>ahorros cercanos al 1</w:t>
      </w:r>
      <w:r w:rsidR="00B70FFC" w:rsidRPr="003B5524">
        <w:rPr>
          <w:sz w:val="24"/>
          <w:szCs w:val="24"/>
        </w:rPr>
        <w:t>,5</w:t>
      </w:r>
      <w:r w:rsidR="00816679" w:rsidRPr="003B5524">
        <w:rPr>
          <w:sz w:val="24"/>
          <w:szCs w:val="24"/>
        </w:rPr>
        <w:t>% de su gasto per cápita</w:t>
      </w:r>
      <w:r w:rsidR="00B70FFC" w:rsidRPr="003B5524">
        <w:rPr>
          <w:sz w:val="24"/>
          <w:szCs w:val="24"/>
        </w:rPr>
        <w:t xml:space="preserve"> y de más del 4,5% respecto del gasto no alimentario</w:t>
      </w:r>
      <w:r w:rsidR="00816679" w:rsidRPr="003B5524">
        <w:rPr>
          <w:sz w:val="24"/>
          <w:szCs w:val="24"/>
        </w:rPr>
        <w:t>.</w:t>
      </w:r>
      <w:r w:rsidR="00F55C0D" w:rsidRPr="003B5524">
        <w:rPr>
          <w:sz w:val="24"/>
          <w:szCs w:val="24"/>
        </w:rPr>
        <w:t xml:space="preserve"> </w:t>
      </w:r>
      <w:r w:rsidR="00D34679" w:rsidRPr="003B5524">
        <w:rPr>
          <w:sz w:val="24"/>
          <w:szCs w:val="24"/>
        </w:rPr>
        <w:t xml:space="preserve">Los ahorros se ubican cerca del 1% y 3% respectivamente para los beneficiarios pertenecientes a hogares dentro del 50% más pobre de la población. En todos los casos se consideran hogares donde hay usuarios activos del Atributo Social. </w:t>
      </w:r>
      <w:r w:rsidR="00F55C0D" w:rsidRPr="003B5524">
        <w:rPr>
          <w:sz w:val="24"/>
          <w:szCs w:val="24"/>
        </w:rPr>
        <w:t xml:space="preserve">Debe tenerse en cuenta que </w:t>
      </w:r>
      <w:r w:rsidR="007F09D0" w:rsidRPr="003B5524">
        <w:rPr>
          <w:sz w:val="24"/>
          <w:szCs w:val="24"/>
        </w:rPr>
        <w:t>a partir de 2017 prácticamente todas las jurisdicciones incorporaron boleto estudiantil gratuito para alumnos de entidades públicas, por lo que el efecto del gasto en transporte urbano automotor y ferroviario cayó como proporción del gasto total en los deciles más bajos.</w:t>
      </w:r>
    </w:p>
    <w:p w14:paraId="23984463" w14:textId="238444A3" w:rsidR="00A642A2" w:rsidRDefault="00A642A2" w:rsidP="00B9302B">
      <w:pPr>
        <w:jc w:val="both"/>
        <w:rPr>
          <w:sz w:val="24"/>
          <w:szCs w:val="24"/>
        </w:rPr>
      </w:pPr>
    </w:p>
    <w:p w14:paraId="0F07E30B" w14:textId="1A8A0257" w:rsidR="00AB4959" w:rsidRDefault="00A642A2" w:rsidP="00A642A2">
      <w:pPr>
        <w:pStyle w:val="Caption"/>
        <w:keepNext/>
        <w:jc w:val="both"/>
        <w:rPr>
          <w:sz w:val="24"/>
        </w:rPr>
      </w:pPr>
      <w:bookmarkStart w:id="7" w:name="_Ref523066315"/>
      <w:r w:rsidRPr="002A3B46">
        <w:rPr>
          <w:sz w:val="24"/>
        </w:rPr>
        <w:lastRenderedPageBreak/>
        <w:t xml:space="preserve">Gráfico </w:t>
      </w:r>
      <w:r w:rsidRPr="002A3B46">
        <w:rPr>
          <w:sz w:val="24"/>
        </w:rPr>
        <w:fldChar w:fldCharType="begin"/>
      </w:r>
      <w:r w:rsidRPr="002A3B46">
        <w:rPr>
          <w:sz w:val="24"/>
        </w:rPr>
        <w:instrText xml:space="preserve"> SEQ Gráfico \* ARABIC </w:instrText>
      </w:r>
      <w:r w:rsidRPr="002A3B46">
        <w:rPr>
          <w:sz w:val="24"/>
        </w:rPr>
        <w:fldChar w:fldCharType="separate"/>
      </w:r>
      <w:r w:rsidRPr="002A3B46">
        <w:rPr>
          <w:noProof/>
          <w:sz w:val="24"/>
        </w:rPr>
        <w:t>7</w:t>
      </w:r>
      <w:r w:rsidRPr="002A3B46">
        <w:rPr>
          <w:sz w:val="24"/>
        </w:rPr>
        <w:fldChar w:fldCharType="end"/>
      </w:r>
      <w:bookmarkEnd w:id="7"/>
      <w:r w:rsidR="00DA71AA">
        <w:rPr>
          <w:sz w:val="24"/>
        </w:rPr>
        <w:t>: Impacto del subsidio en el gasto en transporte urbano (colectivo y tren) como porcentaje del gasto tota</w:t>
      </w:r>
      <w:r w:rsidR="00AB4959">
        <w:rPr>
          <w:sz w:val="24"/>
        </w:rPr>
        <w:t>l y no alimentario</w:t>
      </w:r>
      <w:r w:rsidR="00851783">
        <w:rPr>
          <w:sz w:val="24"/>
        </w:rPr>
        <w:t xml:space="preserve"> para los potenciales beneficiarios que usan transporte público</w:t>
      </w:r>
    </w:p>
    <w:p w14:paraId="2449DD4F" w14:textId="23B15CAA" w:rsidR="00A642A2" w:rsidRDefault="00851783" w:rsidP="00B9302B">
      <w:pPr>
        <w:jc w:val="both"/>
        <w:rPr>
          <w:sz w:val="24"/>
          <w:szCs w:val="24"/>
        </w:rPr>
      </w:pPr>
      <w:r>
        <w:rPr>
          <w:noProof/>
          <w:sz w:val="24"/>
          <w:szCs w:val="24"/>
        </w:rPr>
        <w:drawing>
          <wp:inline distT="0" distB="0" distL="0" distR="0" wp14:anchorId="0760A923" wp14:editId="3D4BE588">
            <wp:extent cx="4584700" cy="2755900"/>
            <wp:effectExtent l="0" t="0" r="635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3A9D52BF" w14:textId="77777777" w:rsidR="00303257" w:rsidRDefault="00303257" w:rsidP="00FF63E7">
      <w:pPr>
        <w:pStyle w:val="Heading2"/>
      </w:pPr>
    </w:p>
    <w:p w14:paraId="67086B32" w14:textId="4244EB3E" w:rsidR="00B96D9F" w:rsidRDefault="004F6331" w:rsidP="004F6331">
      <w:pPr>
        <w:pStyle w:val="Heading2"/>
        <w:pBdr>
          <w:top w:val="single" w:sz="12" w:space="1" w:color="auto"/>
          <w:left w:val="single" w:sz="12" w:space="4" w:color="auto"/>
          <w:bottom w:val="single" w:sz="12" w:space="1" w:color="auto"/>
          <w:right w:val="single" w:sz="12" w:space="4" w:color="auto"/>
        </w:pBdr>
      </w:pPr>
      <w:r>
        <w:t xml:space="preserve">BOX 1: </w:t>
      </w:r>
      <w:r w:rsidR="00FF63E7">
        <w:t>ESTIMACIÓN DE BENEFICIO</w:t>
      </w:r>
    </w:p>
    <w:p w14:paraId="3D173CEE" w14:textId="77777777" w:rsidR="00FF63E7" w:rsidRDefault="00FF63E7" w:rsidP="004F6331">
      <w:pPr>
        <w:pBdr>
          <w:top w:val="single" w:sz="12" w:space="1" w:color="auto"/>
          <w:left w:val="single" w:sz="12" w:space="4" w:color="auto"/>
          <w:bottom w:val="single" w:sz="12" w:space="1" w:color="auto"/>
          <w:right w:val="single" w:sz="12" w:space="4" w:color="auto"/>
        </w:pBdr>
        <w:jc w:val="both"/>
        <w:rPr>
          <w:sz w:val="24"/>
          <w:szCs w:val="24"/>
        </w:rPr>
      </w:pPr>
    </w:p>
    <w:p w14:paraId="214E33D6" w14:textId="555CCDE4" w:rsidR="00EF0044" w:rsidRPr="00B9302B" w:rsidRDefault="004F6331" w:rsidP="004F6331">
      <w:pPr>
        <w:pBdr>
          <w:top w:val="single" w:sz="12" w:space="1" w:color="auto"/>
          <w:left w:val="single" w:sz="12" w:space="4" w:color="auto"/>
          <w:bottom w:val="single" w:sz="12" w:space="1" w:color="auto"/>
          <w:right w:val="single" w:sz="12" w:space="4" w:color="auto"/>
        </w:pBdr>
        <w:jc w:val="both"/>
        <w:rPr>
          <w:sz w:val="24"/>
          <w:szCs w:val="24"/>
        </w:rPr>
      </w:pPr>
      <w:r>
        <w:rPr>
          <w:sz w:val="24"/>
          <w:szCs w:val="24"/>
        </w:rPr>
        <w:t xml:space="preserve">En este apartado se presenta la estimación del beneficio </w:t>
      </w:r>
      <w:r w:rsidR="00827236">
        <w:rPr>
          <w:sz w:val="24"/>
          <w:szCs w:val="24"/>
        </w:rPr>
        <w:t>asociados a reducción de los tiempos de búsqueda de empleo como consecuencia de mejoras en la movilidad para beneficiarios del</w:t>
      </w:r>
      <w:r>
        <w:rPr>
          <w:sz w:val="24"/>
          <w:szCs w:val="24"/>
        </w:rPr>
        <w:t xml:space="preserve"> programa de subsidios al transporte</w:t>
      </w:r>
      <w:r w:rsidR="005A4167">
        <w:rPr>
          <w:sz w:val="24"/>
          <w:szCs w:val="24"/>
        </w:rPr>
        <w:t>.</w:t>
      </w:r>
      <w:r>
        <w:rPr>
          <w:sz w:val="24"/>
          <w:szCs w:val="24"/>
        </w:rPr>
        <w:t xml:space="preserve"> </w:t>
      </w:r>
      <w:r w:rsidR="00EF0044" w:rsidRPr="00B9302B">
        <w:rPr>
          <w:sz w:val="24"/>
          <w:szCs w:val="24"/>
        </w:rPr>
        <w:t xml:space="preserve">La estimación del beneficio se basa en una evaluación de impacto para un programa de subsidio al transporte en EEUU. Phillips (2014) encuentra un efecto sobre el tiempo que pasan desempleados los beneficiarios del subsidio. Si bien en el largo plazo no hay diferencias en la tasa de empleo con el grupo control, </w:t>
      </w:r>
      <w:r w:rsidR="006C634F" w:rsidRPr="00B9302B">
        <w:rPr>
          <w:sz w:val="24"/>
          <w:szCs w:val="24"/>
        </w:rPr>
        <w:t>puede considerarse que los beneficiarios permanecen desempleados 50 días menos.</w:t>
      </w:r>
    </w:p>
    <w:p w14:paraId="4E3A26A7" w14:textId="36B8644E" w:rsidR="00EF0044" w:rsidRPr="00B9302B" w:rsidRDefault="006C634F" w:rsidP="004F6331">
      <w:pPr>
        <w:pBdr>
          <w:top w:val="single" w:sz="12" w:space="1" w:color="auto"/>
          <w:left w:val="single" w:sz="12" w:space="4" w:color="auto"/>
          <w:bottom w:val="single" w:sz="12" w:space="1" w:color="auto"/>
          <w:right w:val="single" w:sz="12" w:space="4" w:color="auto"/>
        </w:pBdr>
        <w:jc w:val="both"/>
        <w:rPr>
          <w:sz w:val="24"/>
          <w:szCs w:val="24"/>
        </w:rPr>
      </w:pPr>
      <w:r w:rsidRPr="00B9302B">
        <w:rPr>
          <w:sz w:val="24"/>
          <w:szCs w:val="24"/>
        </w:rPr>
        <w:t>Cabe destacar una diferencia en el diseño de la intervención respecto del atributo social SUBE.</w:t>
      </w:r>
      <w:r w:rsidR="00EF0044" w:rsidRPr="00B9302B">
        <w:rPr>
          <w:sz w:val="24"/>
          <w:szCs w:val="24"/>
        </w:rPr>
        <w:t xml:space="preserve"> En el caso de EEUU se otorgaba un subsidio que consistía en una carga de </w:t>
      </w:r>
      <w:r w:rsidR="007C3E58">
        <w:rPr>
          <w:sz w:val="24"/>
          <w:szCs w:val="24"/>
        </w:rPr>
        <w:t>US$</w:t>
      </w:r>
      <w:r w:rsidR="00EF0044" w:rsidRPr="00B9302B">
        <w:rPr>
          <w:sz w:val="24"/>
          <w:szCs w:val="24"/>
        </w:rPr>
        <w:t>50 por única vez. En el caso del SUBE se reintegra el 5</w:t>
      </w:r>
      <w:r w:rsidR="00BA5A92">
        <w:rPr>
          <w:sz w:val="24"/>
          <w:szCs w:val="24"/>
        </w:rPr>
        <w:t>5</w:t>
      </w:r>
      <w:r w:rsidR="00EF0044" w:rsidRPr="00B9302B">
        <w:rPr>
          <w:sz w:val="24"/>
          <w:szCs w:val="24"/>
        </w:rPr>
        <w:t>% del monto de cada viaje pagado. Es posible que el diseño de EEUU favorezca el uso intensivo en el corto plazo. Dado que se va a suponer que el efecto es el mismo, es posible que se esté sobreestimando el beneficio.</w:t>
      </w:r>
    </w:p>
    <w:p w14:paraId="7062A607" w14:textId="643E07F6" w:rsidR="006C634F" w:rsidRPr="00B9302B" w:rsidRDefault="00EF0044" w:rsidP="004F6331">
      <w:pPr>
        <w:pBdr>
          <w:top w:val="single" w:sz="12" w:space="1" w:color="auto"/>
          <w:left w:val="single" w:sz="12" w:space="4" w:color="auto"/>
          <w:bottom w:val="single" w:sz="12" w:space="1" w:color="auto"/>
          <w:right w:val="single" w:sz="12" w:space="4" w:color="auto"/>
        </w:pBdr>
        <w:jc w:val="both"/>
        <w:rPr>
          <w:sz w:val="24"/>
          <w:szCs w:val="24"/>
        </w:rPr>
      </w:pPr>
      <w:r w:rsidRPr="00B9302B">
        <w:rPr>
          <w:sz w:val="24"/>
          <w:szCs w:val="24"/>
        </w:rPr>
        <w:t xml:space="preserve">Existen otras evaluaciones de impacto que presentan resultados </w:t>
      </w:r>
      <w:r w:rsidR="006C634F" w:rsidRPr="00B9302B">
        <w:rPr>
          <w:sz w:val="24"/>
          <w:szCs w:val="24"/>
        </w:rPr>
        <w:t>que respaldan la existencia de un vínculo entre los subsidios y el empleo a partir de la reducción de lo</w:t>
      </w:r>
      <w:r w:rsidR="006B050E">
        <w:rPr>
          <w:sz w:val="24"/>
          <w:szCs w:val="24"/>
        </w:rPr>
        <w:t>s</w:t>
      </w:r>
      <w:r w:rsidR="006C634F" w:rsidRPr="00B9302B">
        <w:rPr>
          <w:sz w:val="24"/>
          <w:szCs w:val="24"/>
        </w:rPr>
        <w:t xml:space="preserve"> efectos de restricciones a la asignación del trabajo dadas por la localización espacial de la demanda y oferta de trabajo. Los subsidios focalizados permiten que los oferentes de trabajo busquen con mayor intensidad y en área geográfica más extensa. Un estudio para Colombia (Rodr</w:t>
      </w:r>
      <w:r w:rsidR="008C15DB" w:rsidRPr="00B9302B">
        <w:rPr>
          <w:sz w:val="24"/>
          <w:szCs w:val="24"/>
        </w:rPr>
        <w:t>í</w:t>
      </w:r>
      <w:r w:rsidR="006C634F" w:rsidRPr="00B9302B">
        <w:rPr>
          <w:sz w:val="24"/>
          <w:szCs w:val="24"/>
        </w:rPr>
        <w:t xml:space="preserve">guez et al. 2016) encuentra efectos en los ingresos del empleo </w:t>
      </w:r>
      <w:r w:rsidR="006C634F" w:rsidRPr="00B9302B">
        <w:rPr>
          <w:sz w:val="24"/>
          <w:szCs w:val="24"/>
        </w:rPr>
        <w:lastRenderedPageBreak/>
        <w:t>informal y un estudio para Etiopía (Abebe et al. 2016) encuentra efectos menores en los niveles de empleo formal.</w:t>
      </w:r>
    </w:p>
    <w:p w14:paraId="6973A37D" w14:textId="77777777" w:rsidR="00D57CEC" w:rsidRDefault="000B3B5C" w:rsidP="004F6331">
      <w:pPr>
        <w:pBdr>
          <w:top w:val="single" w:sz="12" w:space="1" w:color="auto"/>
          <w:left w:val="single" w:sz="12" w:space="4" w:color="auto"/>
          <w:bottom w:val="single" w:sz="12" w:space="1" w:color="auto"/>
          <w:right w:val="single" w:sz="12" w:space="4" w:color="auto"/>
        </w:pBdr>
        <w:jc w:val="both"/>
        <w:rPr>
          <w:sz w:val="24"/>
          <w:szCs w:val="24"/>
        </w:rPr>
      </w:pPr>
      <w:r w:rsidRPr="00B9302B">
        <w:rPr>
          <w:sz w:val="24"/>
          <w:szCs w:val="24"/>
        </w:rPr>
        <w:t xml:space="preserve">En el </w:t>
      </w:r>
      <w:r w:rsidR="009C2158" w:rsidRPr="00B9302B">
        <w:rPr>
          <w:sz w:val="24"/>
          <w:szCs w:val="24"/>
        </w:rPr>
        <w:fldChar w:fldCharType="begin"/>
      </w:r>
      <w:r w:rsidR="009C2158" w:rsidRPr="00B9302B">
        <w:rPr>
          <w:sz w:val="24"/>
          <w:szCs w:val="24"/>
        </w:rPr>
        <w:instrText xml:space="preserve"> REF _Ref522017351 \h </w:instrText>
      </w:r>
      <w:r w:rsidR="00B9302B" w:rsidRPr="00B9302B">
        <w:rPr>
          <w:sz w:val="24"/>
          <w:szCs w:val="24"/>
        </w:rPr>
        <w:instrText xml:space="preserve"> \* MERGEFORMAT </w:instrText>
      </w:r>
      <w:r w:rsidR="009C2158" w:rsidRPr="00B9302B">
        <w:rPr>
          <w:sz w:val="24"/>
          <w:szCs w:val="24"/>
        </w:rPr>
      </w:r>
      <w:r w:rsidR="009C2158" w:rsidRPr="00B9302B">
        <w:rPr>
          <w:sz w:val="24"/>
          <w:szCs w:val="24"/>
        </w:rPr>
        <w:fldChar w:fldCharType="separate"/>
      </w:r>
      <w:r w:rsidR="00FF63E7" w:rsidRPr="00FF63E7">
        <w:rPr>
          <w:sz w:val="24"/>
          <w:szCs w:val="24"/>
        </w:rPr>
        <w:t xml:space="preserve">Cuadro </w:t>
      </w:r>
      <w:r w:rsidR="00FF63E7" w:rsidRPr="00FF63E7">
        <w:rPr>
          <w:noProof/>
          <w:sz w:val="24"/>
          <w:szCs w:val="24"/>
        </w:rPr>
        <w:t>2</w:t>
      </w:r>
      <w:r w:rsidR="009C2158" w:rsidRPr="00B9302B">
        <w:rPr>
          <w:sz w:val="24"/>
          <w:szCs w:val="24"/>
        </w:rPr>
        <w:fldChar w:fldCharType="end"/>
      </w:r>
      <w:r w:rsidR="009C2158" w:rsidRPr="00B9302B">
        <w:rPr>
          <w:sz w:val="24"/>
          <w:szCs w:val="24"/>
        </w:rPr>
        <w:t xml:space="preserve"> </w:t>
      </w:r>
      <w:r w:rsidRPr="00B9302B">
        <w:rPr>
          <w:sz w:val="24"/>
          <w:szCs w:val="24"/>
        </w:rPr>
        <w:t xml:space="preserve">se presentan las </w:t>
      </w:r>
      <w:r w:rsidR="0069753E" w:rsidRPr="00B9302B">
        <w:rPr>
          <w:sz w:val="24"/>
          <w:szCs w:val="24"/>
        </w:rPr>
        <w:t xml:space="preserve">estimaciones de </w:t>
      </w:r>
      <w:r w:rsidR="004F6331">
        <w:rPr>
          <w:sz w:val="24"/>
          <w:szCs w:val="24"/>
        </w:rPr>
        <w:t>los</w:t>
      </w:r>
      <w:r w:rsidR="0069753E" w:rsidRPr="00B9302B">
        <w:rPr>
          <w:sz w:val="24"/>
          <w:szCs w:val="24"/>
        </w:rPr>
        <w:t xml:space="preserve"> beneficios. Los beneficiarios del Atributo Social SUBE se dividen en </w:t>
      </w:r>
      <w:r w:rsidR="008E6F47" w:rsidRPr="00B9302B">
        <w:rPr>
          <w:sz w:val="24"/>
          <w:szCs w:val="24"/>
        </w:rPr>
        <w:t>seis</w:t>
      </w:r>
      <w:r w:rsidR="008C15DB" w:rsidRPr="00B9302B">
        <w:rPr>
          <w:sz w:val="24"/>
          <w:szCs w:val="24"/>
        </w:rPr>
        <w:t xml:space="preserve"> categorías:</w:t>
      </w:r>
      <w:r w:rsidR="008E6F47" w:rsidRPr="00B9302B">
        <w:rPr>
          <w:sz w:val="24"/>
          <w:szCs w:val="24"/>
        </w:rPr>
        <w:t xml:space="preserve"> Jubilados y Pensionados; AUH; Servicio Doméstico; PROGRESAR; Monotributo Social; Otros motivos.</w:t>
      </w:r>
      <w:r w:rsidR="008C15DB" w:rsidRPr="00B9302B">
        <w:rPr>
          <w:sz w:val="24"/>
          <w:szCs w:val="24"/>
        </w:rPr>
        <w:t xml:space="preserve"> El efecto sobre niveles de empleo solo es posible entre aquellos beneficiarios de la categoría AUH que no tienen empleo. La estimación de beneficiarios de AUH desempleados se realizó a partir de información de las ondas EPH 2017.</w:t>
      </w:r>
      <w:r w:rsidR="008E6F47" w:rsidRPr="00B9302B">
        <w:rPr>
          <w:sz w:val="24"/>
          <w:szCs w:val="24"/>
        </w:rPr>
        <w:t xml:space="preserve"> La proporción de individuos que buscan empleo en el primer trimestre y se encuentran empleados – ya sea </w:t>
      </w:r>
      <w:r w:rsidR="00543C7A" w:rsidRPr="00B9302B">
        <w:rPr>
          <w:sz w:val="24"/>
          <w:szCs w:val="24"/>
        </w:rPr>
        <w:t>en el sector formal o informal – se estimó a partir de la posibilidad de realizar un seguimiento de los individuos en distintos trimestres. Debe aclararse sin embargo que la encuesta no está diseñada para ser representativa a este nivel.</w:t>
      </w:r>
    </w:p>
    <w:p w14:paraId="0279B30A" w14:textId="307090E6" w:rsidR="004F6331" w:rsidRPr="00B9302B" w:rsidRDefault="00543C7A" w:rsidP="004F6331">
      <w:pPr>
        <w:pBdr>
          <w:top w:val="single" w:sz="12" w:space="1" w:color="auto"/>
          <w:left w:val="single" w:sz="12" w:space="4" w:color="auto"/>
          <w:bottom w:val="single" w:sz="12" w:space="1" w:color="auto"/>
          <w:right w:val="single" w:sz="12" w:space="4" w:color="auto"/>
        </w:pBdr>
        <w:jc w:val="both"/>
        <w:rPr>
          <w:sz w:val="24"/>
          <w:szCs w:val="24"/>
        </w:rPr>
      </w:pPr>
      <w:r w:rsidRPr="00B9302B">
        <w:rPr>
          <w:sz w:val="24"/>
          <w:szCs w:val="24"/>
        </w:rPr>
        <w:t xml:space="preserve"> Se considera que el beneficio está dado por el hecho de que esa proporción de desempleados beneficiarios de atributo social SUBE que consiguen empleo trabajan 50 días más de lo que lo hubieran hecho de no tener el beneficio. Dado que el efecto tiene lugar </w:t>
      </w:r>
      <w:r w:rsidR="00B9302B" w:rsidRPr="00B9302B">
        <w:rPr>
          <w:sz w:val="24"/>
          <w:szCs w:val="24"/>
        </w:rPr>
        <w:t>el mismo año de la asignación del subsidio, no hay un efecto por tasa de descuento.</w:t>
      </w:r>
      <w:r w:rsidR="004F6331">
        <w:rPr>
          <w:sz w:val="24"/>
          <w:szCs w:val="24"/>
        </w:rPr>
        <w:t xml:space="preserve"> Como puede observarse en el </w:t>
      </w:r>
      <w:r w:rsidR="004F6331">
        <w:rPr>
          <w:sz w:val="24"/>
          <w:szCs w:val="24"/>
        </w:rPr>
        <w:fldChar w:fldCharType="begin"/>
      </w:r>
      <w:r w:rsidR="004F6331">
        <w:rPr>
          <w:sz w:val="24"/>
          <w:szCs w:val="24"/>
        </w:rPr>
        <w:instrText xml:space="preserve"> REF _Ref522017351 \h </w:instrText>
      </w:r>
      <w:r w:rsidR="004F6331">
        <w:rPr>
          <w:sz w:val="24"/>
          <w:szCs w:val="24"/>
        </w:rPr>
      </w:r>
      <w:r w:rsidR="004F6331">
        <w:rPr>
          <w:sz w:val="24"/>
          <w:szCs w:val="24"/>
        </w:rPr>
        <w:fldChar w:fldCharType="separate"/>
      </w:r>
      <w:r w:rsidR="004F6331" w:rsidRPr="009C2158">
        <w:rPr>
          <w:sz w:val="24"/>
        </w:rPr>
        <w:t xml:space="preserve">Cuadro </w:t>
      </w:r>
      <w:r w:rsidR="004F6331">
        <w:rPr>
          <w:noProof/>
          <w:sz w:val="24"/>
        </w:rPr>
        <w:t>2</w:t>
      </w:r>
      <w:r w:rsidR="004F6331">
        <w:rPr>
          <w:sz w:val="24"/>
          <w:szCs w:val="24"/>
        </w:rPr>
        <w:fldChar w:fldCharType="end"/>
      </w:r>
      <w:r w:rsidR="004F6331">
        <w:rPr>
          <w:sz w:val="24"/>
          <w:szCs w:val="24"/>
        </w:rPr>
        <w:t xml:space="preserve"> el beneficio generado a partir de reducción de los tiempos de búsqueda de empleo alcanzaría los US$ 30 millones en un año.</w:t>
      </w:r>
    </w:p>
    <w:p w14:paraId="5186DDE3" w14:textId="296142E0" w:rsidR="009C2158" w:rsidRPr="009C2158" w:rsidRDefault="009C2158" w:rsidP="004F6331">
      <w:pPr>
        <w:pStyle w:val="Caption"/>
        <w:keepNext/>
        <w:pBdr>
          <w:top w:val="single" w:sz="12" w:space="1" w:color="auto"/>
          <w:left w:val="single" w:sz="12" w:space="4" w:color="auto"/>
          <w:bottom w:val="single" w:sz="12" w:space="1" w:color="auto"/>
          <w:right w:val="single" w:sz="12" w:space="4" w:color="auto"/>
        </w:pBdr>
        <w:rPr>
          <w:sz w:val="24"/>
        </w:rPr>
      </w:pPr>
      <w:bookmarkStart w:id="8" w:name="_Ref522017351"/>
      <w:r w:rsidRPr="009C2158">
        <w:rPr>
          <w:sz w:val="24"/>
        </w:rPr>
        <w:t xml:space="preserve">Cuadro </w:t>
      </w:r>
      <w:r w:rsidRPr="009C2158">
        <w:rPr>
          <w:sz w:val="24"/>
        </w:rPr>
        <w:fldChar w:fldCharType="begin"/>
      </w:r>
      <w:r w:rsidRPr="009C2158">
        <w:rPr>
          <w:sz w:val="24"/>
        </w:rPr>
        <w:instrText xml:space="preserve"> SEQ Cuadro \* ARABIC </w:instrText>
      </w:r>
      <w:r w:rsidRPr="009C2158">
        <w:rPr>
          <w:sz w:val="24"/>
        </w:rPr>
        <w:fldChar w:fldCharType="separate"/>
      </w:r>
      <w:r w:rsidR="00D90DF1">
        <w:rPr>
          <w:noProof/>
          <w:sz w:val="24"/>
        </w:rPr>
        <w:t>2</w:t>
      </w:r>
      <w:r w:rsidRPr="009C2158">
        <w:rPr>
          <w:sz w:val="24"/>
        </w:rPr>
        <w:fldChar w:fldCharType="end"/>
      </w:r>
      <w:bookmarkEnd w:id="8"/>
      <w:r w:rsidRPr="009C2158">
        <w:rPr>
          <w:sz w:val="24"/>
        </w:rPr>
        <w:t xml:space="preserve">: Estimación de beneficios Atributo Social SUBE </w:t>
      </w:r>
    </w:p>
    <w:p w14:paraId="7DA96A6A" w14:textId="3643191A" w:rsidR="004F6331" w:rsidRDefault="004F6331" w:rsidP="004F6331">
      <w:pPr>
        <w:pBdr>
          <w:top w:val="single" w:sz="12" w:space="1" w:color="auto"/>
          <w:left w:val="single" w:sz="12" w:space="4" w:color="auto"/>
          <w:bottom w:val="single" w:sz="12" w:space="1" w:color="auto"/>
          <w:right w:val="single" w:sz="12" w:space="4" w:color="auto"/>
        </w:pBdr>
      </w:pPr>
      <w:r w:rsidRPr="004F6331">
        <w:rPr>
          <w:noProof/>
        </w:rPr>
        <w:drawing>
          <wp:inline distT="0" distB="0" distL="0" distR="0" wp14:anchorId="6F4BB0FE" wp14:editId="26D7C48C">
            <wp:extent cx="5400040" cy="1806877"/>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040" cy="1806877"/>
                    </a:xfrm>
                    <a:prstGeom prst="rect">
                      <a:avLst/>
                    </a:prstGeom>
                    <a:noFill/>
                    <a:ln>
                      <a:noFill/>
                    </a:ln>
                  </pic:spPr>
                </pic:pic>
              </a:graphicData>
            </a:graphic>
          </wp:inline>
        </w:drawing>
      </w:r>
    </w:p>
    <w:p w14:paraId="4CC82F1E" w14:textId="3716B84E" w:rsidR="00D137AE" w:rsidRDefault="008C15DB" w:rsidP="004F6331">
      <w:pPr>
        <w:pBdr>
          <w:top w:val="single" w:sz="12" w:space="1" w:color="auto"/>
          <w:left w:val="single" w:sz="12" w:space="4" w:color="auto"/>
          <w:bottom w:val="single" w:sz="12" w:space="1" w:color="auto"/>
          <w:right w:val="single" w:sz="12" w:space="4" w:color="auto"/>
        </w:pBdr>
      </w:pPr>
      <w:r>
        <w:t xml:space="preserve"> </w:t>
      </w:r>
    </w:p>
    <w:p w14:paraId="486EFB94" w14:textId="77777777" w:rsidR="00393C5D" w:rsidRDefault="00393C5D"/>
    <w:p w14:paraId="4F5573A4" w14:textId="77777777" w:rsidR="005B52D7" w:rsidRDefault="005B52D7">
      <w:pPr>
        <w:rPr>
          <w:rFonts w:asciiTheme="majorHAnsi" w:eastAsiaTheme="majorEastAsia" w:hAnsiTheme="majorHAnsi" w:cstheme="majorBidi"/>
          <w:color w:val="2F5496" w:themeColor="accent1" w:themeShade="BF"/>
          <w:sz w:val="32"/>
          <w:szCs w:val="32"/>
        </w:rPr>
      </w:pPr>
      <w:r>
        <w:br w:type="page"/>
      </w:r>
    </w:p>
    <w:p w14:paraId="264EBB71" w14:textId="5349BFF1" w:rsidR="00FF1E3E" w:rsidRDefault="00EF0044" w:rsidP="00EF3830">
      <w:pPr>
        <w:pStyle w:val="Heading1"/>
      </w:pPr>
      <w:r w:rsidRPr="00FF1E3E">
        <w:lastRenderedPageBreak/>
        <w:t>HACEMOS FUTURO</w:t>
      </w:r>
    </w:p>
    <w:p w14:paraId="106E38B6" w14:textId="565D649C" w:rsidR="00FF1E3E" w:rsidRPr="00FF1E3E" w:rsidRDefault="00FF1E3E" w:rsidP="00FF1E3E">
      <w:pPr>
        <w:pStyle w:val="Heading2"/>
      </w:pPr>
      <w:r>
        <w:t>RESULTADOS</w:t>
      </w:r>
    </w:p>
    <w:p w14:paraId="3CA8603F" w14:textId="6F2532C1" w:rsidR="00FF1E3E" w:rsidRDefault="007F1DE3" w:rsidP="001D2146">
      <w:pPr>
        <w:jc w:val="both"/>
        <w:rPr>
          <w:sz w:val="24"/>
          <w:szCs w:val="24"/>
        </w:rPr>
      </w:pPr>
      <w:r w:rsidRPr="001D2146">
        <w:rPr>
          <w:sz w:val="24"/>
          <w:szCs w:val="24"/>
        </w:rPr>
        <w:t xml:space="preserve">Las intervenciones comprendidas en el programa Hacemos Futuro </w:t>
      </w:r>
      <w:r w:rsidR="00FF1E3E">
        <w:rPr>
          <w:sz w:val="24"/>
          <w:szCs w:val="24"/>
        </w:rPr>
        <w:t>se asocian a distintos resultados vinculados a la formación de capital humano</w:t>
      </w:r>
      <w:r w:rsidRPr="001D2146">
        <w:rPr>
          <w:sz w:val="24"/>
          <w:szCs w:val="24"/>
        </w:rPr>
        <w:t xml:space="preserve">. En primer lugar, existe un efecto sobre la escolaridad de aquellos adultos que no cuentan con el nivel obligatorio completo. Para calcular el efecto del programa sobre el nivel de escolaridad se supone que </w:t>
      </w:r>
      <w:r w:rsidR="00D22A66" w:rsidRPr="001D2146">
        <w:rPr>
          <w:sz w:val="24"/>
          <w:szCs w:val="24"/>
        </w:rPr>
        <w:t>de no existir la condicionalidad la proporción de beneficiarios que estarían cursando equivale a la existente en 2010 (año del último censo)</w:t>
      </w:r>
      <w:r w:rsidR="00725BAA" w:rsidRPr="001D2146">
        <w:rPr>
          <w:rStyle w:val="FootnoteReference"/>
          <w:sz w:val="24"/>
          <w:szCs w:val="24"/>
        </w:rPr>
        <w:footnoteReference w:id="3"/>
      </w:r>
      <w:r w:rsidR="00D22A66" w:rsidRPr="001D2146">
        <w:rPr>
          <w:sz w:val="24"/>
          <w:szCs w:val="24"/>
        </w:rPr>
        <w:t xml:space="preserve">. Esta información se presenta en el </w:t>
      </w:r>
      <w:r w:rsidR="00D22A66" w:rsidRPr="001D2146">
        <w:rPr>
          <w:sz w:val="24"/>
          <w:szCs w:val="24"/>
        </w:rPr>
        <w:fldChar w:fldCharType="begin"/>
      </w:r>
      <w:r w:rsidR="00D22A66" w:rsidRPr="001D2146">
        <w:rPr>
          <w:sz w:val="24"/>
          <w:szCs w:val="24"/>
        </w:rPr>
        <w:instrText xml:space="preserve"> REF _Ref522019503 \h </w:instrText>
      </w:r>
      <w:r w:rsidR="001D2146">
        <w:rPr>
          <w:sz w:val="24"/>
          <w:szCs w:val="24"/>
        </w:rPr>
        <w:instrText xml:space="preserve"> \* MERGEFORMAT </w:instrText>
      </w:r>
      <w:r w:rsidR="00D22A66" w:rsidRPr="001D2146">
        <w:rPr>
          <w:sz w:val="24"/>
          <w:szCs w:val="24"/>
        </w:rPr>
      </w:r>
      <w:r w:rsidR="00D22A66" w:rsidRPr="001D2146">
        <w:rPr>
          <w:sz w:val="24"/>
          <w:szCs w:val="24"/>
        </w:rPr>
        <w:fldChar w:fldCharType="separate"/>
      </w:r>
      <w:r w:rsidR="00D22A66" w:rsidRPr="001D2146">
        <w:rPr>
          <w:sz w:val="24"/>
          <w:szCs w:val="24"/>
        </w:rPr>
        <w:t xml:space="preserve">Cuadro </w:t>
      </w:r>
      <w:r w:rsidR="00D22A66" w:rsidRPr="001D2146">
        <w:rPr>
          <w:noProof/>
          <w:sz w:val="24"/>
          <w:szCs w:val="24"/>
        </w:rPr>
        <w:t>2</w:t>
      </w:r>
      <w:r w:rsidR="00D22A66" w:rsidRPr="001D2146">
        <w:rPr>
          <w:sz w:val="24"/>
          <w:szCs w:val="24"/>
        </w:rPr>
        <w:fldChar w:fldCharType="end"/>
      </w:r>
      <w:r w:rsidR="00D22A66" w:rsidRPr="001D2146">
        <w:rPr>
          <w:sz w:val="24"/>
          <w:szCs w:val="24"/>
        </w:rPr>
        <w:t xml:space="preserve">. </w:t>
      </w:r>
      <w:r w:rsidR="00FF1E3E" w:rsidRPr="001D2146">
        <w:rPr>
          <w:sz w:val="24"/>
          <w:szCs w:val="24"/>
        </w:rPr>
        <w:t>Como puede observarse la tasa de escolaridad</w:t>
      </w:r>
      <w:r w:rsidR="00FF1E3E">
        <w:rPr>
          <w:sz w:val="24"/>
          <w:szCs w:val="24"/>
        </w:rPr>
        <w:t xml:space="preserve"> para los adultos</w:t>
      </w:r>
      <w:r w:rsidR="00FF1E3E" w:rsidRPr="001D2146">
        <w:rPr>
          <w:sz w:val="24"/>
          <w:szCs w:val="24"/>
        </w:rPr>
        <w:t xml:space="preserve"> es baja</w:t>
      </w:r>
      <w:r w:rsidR="00FF1E3E">
        <w:rPr>
          <w:sz w:val="24"/>
          <w:szCs w:val="24"/>
        </w:rPr>
        <w:t xml:space="preserve"> (14,5% en primaria y 10,9% en secundaria)</w:t>
      </w:r>
      <w:r w:rsidR="00FF1E3E" w:rsidRPr="001D2146">
        <w:rPr>
          <w:sz w:val="24"/>
          <w:szCs w:val="24"/>
        </w:rPr>
        <w:t xml:space="preserve"> por lo que </w:t>
      </w:r>
      <w:r w:rsidR="00FF1E3E">
        <w:rPr>
          <w:sz w:val="24"/>
          <w:szCs w:val="24"/>
        </w:rPr>
        <w:t>se espera un efecto considerable del programa en la escolarización de esta población</w:t>
      </w:r>
      <w:r w:rsidR="00FF1E3E" w:rsidRPr="001D2146">
        <w:rPr>
          <w:sz w:val="24"/>
          <w:szCs w:val="24"/>
        </w:rPr>
        <w:t>.</w:t>
      </w:r>
    </w:p>
    <w:p w14:paraId="09EF7196" w14:textId="59B62B4F" w:rsidR="007F1DE3" w:rsidRPr="001D2146" w:rsidRDefault="00D22A66" w:rsidP="001D2146">
      <w:pPr>
        <w:jc w:val="both"/>
        <w:rPr>
          <w:sz w:val="24"/>
          <w:szCs w:val="24"/>
        </w:rPr>
      </w:pPr>
      <w:r w:rsidRPr="001D2146">
        <w:rPr>
          <w:sz w:val="24"/>
          <w:szCs w:val="24"/>
        </w:rPr>
        <w:t xml:space="preserve"> </w:t>
      </w:r>
    </w:p>
    <w:p w14:paraId="68710151" w14:textId="4B60924F" w:rsidR="007F1DE3" w:rsidRPr="007F1DE3" w:rsidRDefault="007F1DE3" w:rsidP="007F1DE3">
      <w:pPr>
        <w:pStyle w:val="Caption"/>
        <w:keepNext/>
        <w:rPr>
          <w:sz w:val="24"/>
        </w:rPr>
      </w:pPr>
      <w:bookmarkStart w:id="9" w:name="_Ref522019503"/>
      <w:r w:rsidRPr="007F1DE3">
        <w:rPr>
          <w:sz w:val="24"/>
        </w:rPr>
        <w:t xml:space="preserve">Cuadro </w:t>
      </w:r>
      <w:r w:rsidRPr="007F1DE3">
        <w:rPr>
          <w:sz w:val="24"/>
        </w:rPr>
        <w:fldChar w:fldCharType="begin"/>
      </w:r>
      <w:r w:rsidRPr="007F1DE3">
        <w:rPr>
          <w:sz w:val="24"/>
        </w:rPr>
        <w:instrText xml:space="preserve"> SEQ Cuadro \* ARABIC </w:instrText>
      </w:r>
      <w:r w:rsidRPr="007F1DE3">
        <w:rPr>
          <w:sz w:val="24"/>
        </w:rPr>
        <w:fldChar w:fldCharType="separate"/>
      </w:r>
      <w:r w:rsidR="00D90DF1">
        <w:rPr>
          <w:noProof/>
          <w:sz w:val="24"/>
        </w:rPr>
        <w:t>3</w:t>
      </w:r>
      <w:r w:rsidRPr="007F1DE3">
        <w:rPr>
          <w:sz w:val="24"/>
        </w:rPr>
        <w:fldChar w:fldCharType="end"/>
      </w:r>
      <w:bookmarkEnd w:id="9"/>
      <w:r w:rsidRPr="007F1DE3">
        <w:rPr>
          <w:sz w:val="24"/>
        </w:rPr>
        <w:t>: Tasa de escolaridad en adultos con estudios obligatorios incompletos</w:t>
      </w:r>
    </w:p>
    <w:p w14:paraId="37B6C9FC" w14:textId="55C796DD" w:rsidR="006D7560" w:rsidRDefault="003D1488" w:rsidP="00536C8C">
      <w:r w:rsidRPr="003D1488">
        <w:rPr>
          <w:noProof/>
        </w:rPr>
        <w:drawing>
          <wp:inline distT="0" distB="0" distL="0" distR="0" wp14:anchorId="2EE6C4E2" wp14:editId="6181D12D">
            <wp:extent cx="5400040" cy="806499"/>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00040" cy="806499"/>
                    </a:xfrm>
                    <a:prstGeom prst="rect">
                      <a:avLst/>
                    </a:prstGeom>
                    <a:noFill/>
                    <a:ln>
                      <a:noFill/>
                    </a:ln>
                  </pic:spPr>
                </pic:pic>
              </a:graphicData>
            </a:graphic>
          </wp:inline>
        </w:drawing>
      </w:r>
    </w:p>
    <w:p w14:paraId="5E1A348F" w14:textId="77777777" w:rsidR="00903EB7" w:rsidRPr="00B8155F" w:rsidRDefault="00903EB7" w:rsidP="00903EB7">
      <w:pPr>
        <w:spacing w:after="0" w:line="240" w:lineRule="auto"/>
        <w:rPr>
          <w:rFonts w:ascii="Calibri" w:eastAsia="Times New Roman" w:hAnsi="Calibri" w:cs="Times New Roman"/>
          <w:color w:val="000000"/>
          <w:sz w:val="20"/>
          <w:lang w:eastAsia="es-AR"/>
        </w:rPr>
      </w:pPr>
      <w:r w:rsidRPr="00903EB7">
        <w:rPr>
          <w:rFonts w:ascii="Calibri" w:eastAsia="Times New Roman" w:hAnsi="Calibri" w:cs="Times New Roman"/>
          <w:color w:val="000000"/>
          <w:sz w:val="20"/>
          <w:lang w:eastAsia="es-AR"/>
        </w:rPr>
        <w:t>Fuente: Censo 2010 y DINIECE</w:t>
      </w:r>
    </w:p>
    <w:p w14:paraId="146EBD6B" w14:textId="40212BCB" w:rsidR="00D22A66" w:rsidRDefault="00D22A66" w:rsidP="00536C8C"/>
    <w:p w14:paraId="5399D72C" w14:textId="52ED7C5E" w:rsidR="003F0D2E" w:rsidRPr="00A271CC" w:rsidRDefault="006E57C6" w:rsidP="00A271CC">
      <w:pPr>
        <w:jc w:val="both"/>
        <w:rPr>
          <w:sz w:val="24"/>
        </w:rPr>
      </w:pPr>
      <w:r w:rsidRPr="00A271CC">
        <w:rPr>
          <w:sz w:val="24"/>
        </w:rPr>
        <w:t>Adicionalmente, los cursos de formación profesional también propician la acumulación de capital humano.</w:t>
      </w:r>
      <w:r w:rsidR="00A271CC">
        <w:rPr>
          <w:sz w:val="24"/>
        </w:rPr>
        <w:t xml:space="preserve"> En este caso, aquellos beneficiarios que cuentan con la educación obligatoria completa</w:t>
      </w:r>
      <w:r w:rsidR="00C2417C">
        <w:rPr>
          <w:sz w:val="24"/>
        </w:rPr>
        <w:t xml:space="preserve"> y no estén cursando el nivel superior</w:t>
      </w:r>
      <w:r w:rsidR="00A271CC">
        <w:rPr>
          <w:sz w:val="24"/>
        </w:rPr>
        <w:t xml:space="preserve"> deben sumar 120 horas de formación, mientras que aquellos que asisten a educación obligatoria deben sumar 64 horas de formación profesional.</w:t>
      </w:r>
    </w:p>
    <w:p w14:paraId="400F88DF" w14:textId="77777777" w:rsidR="00FF1E3E" w:rsidRDefault="00FF1E3E" w:rsidP="00FF1E3E">
      <w:pPr>
        <w:pStyle w:val="Heading2"/>
      </w:pPr>
    </w:p>
    <w:p w14:paraId="275D9D6B" w14:textId="5B31AD49" w:rsidR="00FF1E3E" w:rsidRPr="00FF1E3E" w:rsidRDefault="00FF1E3E" w:rsidP="00FF1E3E">
      <w:pPr>
        <w:pStyle w:val="Heading2"/>
      </w:pPr>
      <w:r w:rsidRPr="00FF1E3E">
        <w:t>BENEFICIOS</w:t>
      </w:r>
      <w:r w:rsidR="00772E2C">
        <w:t xml:space="preserve"> Y METODOLOGÍA DE ESTIMACIÓN</w:t>
      </w:r>
    </w:p>
    <w:p w14:paraId="4230BBBD" w14:textId="053B57E7" w:rsidR="005B4D87" w:rsidRPr="00DF5CA7" w:rsidRDefault="00E46D52" w:rsidP="00DF5CA7">
      <w:pPr>
        <w:jc w:val="both"/>
        <w:rPr>
          <w:sz w:val="24"/>
          <w:szCs w:val="24"/>
        </w:rPr>
      </w:pPr>
      <w:r w:rsidRPr="00DF5CA7">
        <w:rPr>
          <w:sz w:val="24"/>
          <w:szCs w:val="24"/>
        </w:rPr>
        <w:t xml:space="preserve">Los beneficios calculados son resultado de incrementos en la productividad dados por retornos a la educación, incremento en la creación de empleos como producto de población con mayores niveles de capital humano o una combinación de los dos. </w:t>
      </w:r>
      <w:r w:rsidR="00560309" w:rsidRPr="00DF5CA7">
        <w:rPr>
          <w:sz w:val="24"/>
          <w:szCs w:val="24"/>
        </w:rPr>
        <w:t>En relación al primero de los mecanismos</w:t>
      </w:r>
      <w:r w:rsidR="00A1114D">
        <w:rPr>
          <w:sz w:val="24"/>
          <w:szCs w:val="24"/>
        </w:rPr>
        <w:t>.</w:t>
      </w:r>
      <w:r w:rsidR="00AD0257" w:rsidRPr="00DF5CA7">
        <w:rPr>
          <w:sz w:val="24"/>
          <w:szCs w:val="24"/>
        </w:rPr>
        <w:t xml:space="preserve"> Con respecto a la utilización de los retornos a la educación, deben mencionarse algunos puntos.</w:t>
      </w:r>
      <w:r w:rsidR="005B4D87" w:rsidRPr="00DF5CA7">
        <w:rPr>
          <w:sz w:val="24"/>
          <w:szCs w:val="24"/>
        </w:rPr>
        <w:t xml:space="preserve"> En primer lugar, existe un consenso en la literatur</w:t>
      </w:r>
      <w:r w:rsidR="00DF5CA7" w:rsidRPr="00DF5CA7">
        <w:rPr>
          <w:sz w:val="24"/>
          <w:szCs w:val="24"/>
        </w:rPr>
        <w:t>a</w:t>
      </w:r>
      <w:r w:rsidR="005B4D87" w:rsidRPr="00DF5CA7">
        <w:rPr>
          <w:sz w:val="24"/>
          <w:szCs w:val="24"/>
        </w:rPr>
        <w:t xml:space="preserve"> acerca de las limitaciones de los retornos a la educación estimados con la metodología de Mincer, basada en los ingresos individuales, para capturar las tasas de retorno “sociales” que incluyan los verdaderos beneficios que la educación genera en la sociedad producto de externalidades.</w:t>
      </w:r>
      <w:r w:rsidR="0096046B" w:rsidRPr="00DF5CA7">
        <w:rPr>
          <w:sz w:val="24"/>
          <w:szCs w:val="24"/>
        </w:rPr>
        <w:t xml:space="preserve"> Si esas externalidades pudieran ser identificadas, </w:t>
      </w:r>
      <w:r w:rsidR="0096046B" w:rsidRPr="00DF5CA7">
        <w:rPr>
          <w:sz w:val="24"/>
          <w:szCs w:val="24"/>
        </w:rPr>
        <w:lastRenderedPageBreak/>
        <w:t>los retornos sociales a la educación serían más altos que los privados, lo que sugiere que la metodología adoptada en este análisis subestima los beneficios</w:t>
      </w:r>
      <w:r w:rsidR="005B4D87" w:rsidRPr="00DF5CA7">
        <w:rPr>
          <w:sz w:val="24"/>
          <w:szCs w:val="24"/>
        </w:rPr>
        <w:t xml:space="preserve">. </w:t>
      </w:r>
    </w:p>
    <w:p w14:paraId="4F25E2E9" w14:textId="44D8920A" w:rsidR="004D290E" w:rsidRPr="00DF5CA7" w:rsidRDefault="0096046B" w:rsidP="00DF5CA7">
      <w:pPr>
        <w:jc w:val="both"/>
        <w:rPr>
          <w:sz w:val="24"/>
          <w:szCs w:val="24"/>
        </w:rPr>
      </w:pPr>
      <w:r w:rsidRPr="00DF5CA7">
        <w:rPr>
          <w:sz w:val="24"/>
          <w:szCs w:val="24"/>
        </w:rPr>
        <w:t>En segundo lugar, d</w:t>
      </w:r>
      <w:r w:rsidR="00FC7C30" w:rsidRPr="00DF5CA7">
        <w:rPr>
          <w:sz w:val="24"/>
          <w:szCs w:val="24"/>
        </w:rPr>
        <w:t>ado que para la estimación de los retornos a la educación se realiza en base a datos de ingresos brutos de los trabajadores, es posible que se esté subestimando el efecto de la educación en la productividad ya que ciertas cargas sociales</w:t>
      </w:r>
      <w:r w:rsidR="006B3442" w:rsidRPr="00DF5CA7">
        <w:rPr>
          <w:sz w:val="24"/>
          <w:szCs w:val="24"/>
        </w:rPr>
        <w:t xml:space="preserve"> de los empleados en el sector formal</w:t>
      </w:r>
      <w:r w:rsidR="00FC7C30" w:rsidRPr="00DF5CA7">
        <w:rPr>
          <w:sz w:val="24"/>
          <w:szCs w:val="24"/>
        </w:rPr>
        <w:t xml:space="preserve"> son adicionales a los salarios brutos.</w:t>
      </w:r>
      <w:r w:rsidR="00D212C4" w:rsidRPr="00DF5CA7">
        <w:rPr>
          <w:sz w:val="24"/>
          <w:szCs w:val="24"/>
        </w:rPr>
        <w:t xml:space="preserve"> </w:t>
      </w:r>
      <w:r w:rsidRPr="00DF5CA7">
        <w:rPr>
          <w:sz w:val="24"/>
          <w:szCs w:val="24"/>
        </w:rPr>
        <w:t>Por último, o</w:t>
      </w:r>
      <w:r w:rsidR="004D290E" w:rsidRPr="00DF5CA7">
        <w:rPr>
          <w:sz w:val="24"/>
          <w:szCs w:val="24"/>
        </w:rPr>
        <w:t xml:space="preserve">tro aspecto a destacar </w:t>
      </w:r>
      <w:r w:rsidR="00D310C3" w:rsidRPr="00DF5CA7">
        <w:rPr>
          <w:sz w:val="24"/>
          <w:szCs w:val="24"/>
        </w:rPr>
        <w:t>acerca de la utilización de las estimaciones de los retornos a la educación para calcular los beneficios de la escolarización de adultos es que implica suponer que los retornos existen más allá de la edad a la que se cursaron los estudios. Al respecto, meta</w:t>
      </w:r>
      <w:r w:rsidR="004A7CD5">
        <w:rPr>
          <w:sz w:val="24"/>
          <w:szCs w:val="24"/>
        </w:rPr>
        <w:t>-</w:t>
      </w:r>
      <w:r w:rsidR="00D310C3" w:rsidRPr="00DF5CA7">
        <w:rPr>
          <w:sz w:val="24"/>
          <w:szCs w:val="24"/>
        </w:rPr>
        <w:t xml:space="preserve">análisis de bibliografía para EEUU, muestran un efecto de la escolarización de adultos en los ingresos y niveles de empleo de los </w:t>
      </w:r>
      <w:r w:rsidR="007C3E58" w:rsidRPr="00DF5CA7">
        <w:rPr>
          <w:sz w:val="24"/>
          <w:szCs w:val="24"/>
        </w:rPr>
        <w:t>beneficiarios,</w:t>
      </w:r>
      <w:r w:rsidR="00D74E34">
        <w:rPr>
          <w:sz w:val="24"/>
          <w:szCs w:val="24"/>
        </w:rPr>
        <w:t xml:space="preserve"> aunque no brinda elementos para comparar este impacto con aquel logrado </w:t>
      </w:r>
      <w:r w:rsidR="003F26D6">
        <w:rPr>
          <w:sz w:val="24"/>
          <w:szCs w:val="24"/>
        </w:rPr>
        <w:t xml:space="preserve">por la educación en la niñez </w:t>
      </w:r>
      <w:r w:rsidR="00D310C3" w:rsidRPr="00DF5CA7">
        <w:rPr>
          <w:sz w:val="24"/>
          <w:szCs w:val="24"/>
        </w:rPr>
        <w:t>(</w:t>
      </w:r>
      <w:hyperlink r:id="rId27" w:history="1">
        <w:r w:rsidR="00D310C3" w:rsidRPr="003F26D6">
          <w:rPr>
            <w:rStyle w:val="Hyperlink"/>
            <w:color w:val="0070C0"/>
            <w:sz w:val="24"/>
            <w:szCs w:val="24"/>
          </w:rPr>
          <w:t>Beder 1999</w:t>
        </w:r>
      </w:hyperlink>
      <w:r w:rsidR="00D310C3" w:rsidRPr="00DF5CA7">
        <w:rPr>
          <w:sz w:val="24"/>
          <w:szCs w:val="24"/>
        </w:rPr>
        <w:t>).</w:t>
      </w:r>
    </w:p>
    <w:p w14:paraId="5F94AAC4" w14:textId="0BDB418A" w:rsidR="00BF3856" w:rsidRDefault="00BF3856" w:rsidP="00BF3856">
      <w:pPr>
        <w:jc w:val="both"/>
        <w:rPr>
          <w:sz w:val="24"/>
          <w:szCs w:val="24"/>
        </w:rPr>
      </w:pPr>
      <w:r>
        <w:rPr>
          <w:sz w:val="24"/>
          <w:szCs w:val="24"/>
        </w:rPr>
        <w:t xml:space="preserve">Para estimar el efecto de la formación profesional en el empleo se utilizan los resultados de </w:t>
      </w:r>
      <w:hyperlink r:id="rId28" w:history="1">
        <w:r w:rsidRPr="003244D5">
          <w:rPr>
            <w:rStyle w:val="Hyperlink"/>
            <w:sz w:val="24"/>
            <w:szCs w:val="24"/>
          </w:rPr>
          <w:t>Galasso et al. (2004)</w:t>
        </w:r>
      </w:hyperlink>
      <w:r>
        <w:rPr>
          <w:sz w:val="24"/>
          <w:szCs w:val="24"/>
        </w:rPr>
        <w:t xml:space="preserve">. En este trabajo se estima el efecto sobre el empleo de un programa (Proempleo) que proporciona capacitación (un promedio de 250 horas) y un subsidio a los empleadores. Es de particular importancia que este documento, además de analizar una intervención en la Argentina, encuentra efectos para la capacitación solamente en los casos en que los beneficiarios contaban con estudios secundarios completos. Esto valida la decisión de diseño de Hacemos Futuro, donde se impone como condicionalidad la terminalidad de los estudios secundarios e incrementa sensiblemente la carga de capacitación a aquellos que tienen este nivel completo. </w:t>
      </w:r>
    </w:p>
    <w:p w14:paraId="36CCB525" w14:textId="23BFB07C" w:rsidR="00560309" w:rsidRPr="00DF5CA7" w:rsidRDefault="00CC6C9B" w:rsidP="00E15047">
      <w:pPr>
        <w:jc w:val="both"/>
        <w:rPr>
          <w:sz w:val="24"/>
          <w:szCs w:val="24"/>
        </w:rPr>
      </w:pPr>
      <w:r w:rsidRPr="00DF5CA7">
        <w:rPr>
          <w:sz w:val="24"/>
          <w:szCs w:val="24"/>
        </w:rPr>
        <w:t xml:space="preserve">Para establecer el tipo de beneficio </w:t>
      </w:r>
      <w:r w:rsidR="00BF3856" w:rsidRPr="00DF5CA7">
        <w:rPr>
          <w:sz w:val="24"/>
          <w:szCs w:val="24"/>
        </w:rPr>
        <w:t xml:space="preserve">que genera cada intervención, se divide a los beneficiarios en los siguientes subgrupos. Aquellos que cursan educación primaria, los que cursan los años primero a cuarto de la educación secundaria quienes generan beneficios por retornos a la educación; los que cursan quinto año (último) de la educación secundaria que generan beneficios por retornos a la educación e incremento del trabajo formal; los que ya cuentan con ciclo obligatorio completo y solo asisten a talleres de formación que generan beneficios por incremento del trabajo formal. </w:t>
      </w:r>
      <w:r w:rsidR="0096046B" w:rsidRPr="00DF5CA7">
        <w:rPr>
          <w:sz w:val="24"/>
          <w:szCs w:val="24"/>
        </w:rPr>
        <w:t>A continuación</w:t>
      </w:r>
      <w:r w:rsidR="00DF5CA7">
        <w:rPr>
          <w:sz w:val="24"/>
          <w:szCs w:val="24"/>
        </w:rPr>
        <w:t>,</w:t>
      </w:r>
      <w:r w:rsidR="0096046B" w:rsidRPr="00DF5CA7">
        <w:rPr>
          <w:sz w:val="24"/>
          <w:szCs w:val="24"/>
        </w:rPr>
        <w:t xml:space="preserve"> se enumeran los supuestos utilizados en el análisis</w:t>
      </w:r>
      <w:r w:rsidR="00D212C4" w:rsidRPr="00DF5CA7">
        <w:rPr>
          <w:sz w:val="24"/>
          <w:szCs w:val="24"/>
        </w:rPr>
        <w:t>.</w:t>
      </w:r>
    </w:p>
    <w:p w14:paraId="2E864211" w14:textId="76FD50E9" w:rsidR="00FC7C30" w:rsidRDefault="00FC7C30" w:rsidP="00E15047">
      <w:pPr>
        <w:jc w:val="both"/>
        <w:rPr>
          <w:sz w:val="24"/>
          <w:szCs w:val="24"/>
        </w:rPr>
      </w:pPr>
      <w:r>
        <w:rPr>
          <w:sz w:val="24"/>
          <w:szCs w:val="24"/>
        </w:rPr>
        <w:t xml:space="preserve">SUPUESTOS: </w:t>
      </w:r>
    </w:p>
    <w:p w14:paraId="3DE05454" w14:textId="4D2D5571" w:rsidR="00FC7C30" w:rsidRDefault="00FC7C30" w:rsidP="00FC7C30">
      <w:pPr>
        <w:pStyle w:val="ListParagraph"/>
        <w:numPr>
          <w:ilvl w:val="0"/>
          <w:numId w:val="1"/>
        </w:numPr>
        <w:jc w:val="both"/>
        <w:rPr>
          <w:sz w:val="24"/>
          <w:szCs w:val="24"/>
        </w:rPr>
      </w:pPr>
      <w:r w:rsidRPr="00FC7C30">
        <w:rPr>
          <w:sz w:val="24"/>
          <w:szCs w:val="24"/>
        </w:rPr>
        <w:t>El incremento en la cantidad de personas con secundario y primario finalizado no afecta los retornos a la educación.</w:t>
      </w:r>
    </w:p>
    <w:p w14:paraId="5F33A3E5" w14:textId="75645A8A" w:rsidR="005C6CB9" w:rsidRDefault="005C6CB9" w:rsidP="00FC7C30">
      <w:pPr>
        <w:pStyle w:val="ListParagraph"/>
        <w:numPr>
          <w:ilvl w:val="0"/>
          <w:numId w:val="1"/>
        </w:numPr>
        <w:jc w:val="both"/>
        <w:rPr>
          <w:sz w:val="24"/>
          <w:szCs w:val="24"/>
        </w:rPr>
      </w:pPr>
      <w:r>
        <w:rPr>
          <w:sz w:val="24"/>
          <w:szCs w:val="24"/>
        </w:rPr>
        <w:t>El cursar y completar los estudios secundarios en edad adulta reduce el retorno a la educación en 1/3.</w:t>
      </w:r>
    </w:p>
    <w:p w14:paraId="22B89669" w14:textId="5266BC79" w:rsidR="00AD0257" w:rsidRDefault="00AD0257" w:rsidP="00FC7C30">
      <w:pPr>
        <w:pStyle w:val="ListParagraph"/>
        <w:numPr>
          <w:ilvl w:val="0"/>
          <w:numId w:val="1"/>
        </w:numPr>
        <w:jc w:val="both"/>
        <w:rPr>
          <w:sz w:val="24"/>
          <w:szCs w:val="24"/>
        </w:rPr>
      </w:pPr>
      <w:r>
        <w:rPr>
          <w:sz w:val="24"/>
          <w:szCs w:val="24"/>
        </w:rPr>
        <w:t>Salario base sector formal: Salario mínimo</w:t>
      </w:r>
      <w:r w:rsidR="00C43865">
        <w:rPr>
          <w:sz w:val="24"/>
          <w:szCs w:val="24"/>
        </w:rPr>
        <w:t xml:space="preserve"> (AR$ 12.500</w:t>
      </w:r>
      <w:r w:rsidR="00CC32FE">
        <w:rPr>
          <w:sz w:val="24"/>
          <w:szCs w:val="24"/>
        </w:rPr>
        <w:t xml:space="preserve"> mensual, 13 meses)</w:t>
      </w:r>
    </w:p>
    <w:p w14:paraId="2A2A0CC6" w14:textId="403C67E4" w:rsidR="00AD0257" w:rsidRDefault="00AD0257" w:rsidP="00FC7C30">
      <w:pPr>
        <w:pStyle w:val="ListParagraph"/>
        <w:numPr>
          <w:ilvl w:val="0"/>
          <w:numId w:val="1"/>
        </w:numPr>
        <w:jc w:val="both"/>
        <w:rPr>
          <w:sz w:val="24"/>
          <w:szCs w:val="24"/>
        </w:rPr>
      </w:pPr>
      <w:r>
        <w:rPr>
          <w:sz w:val="24"/>
          <w:szCs w:val="24"/>
        </w:rPr>
        <w:t>Salario base sector informal: 61% del salario mínimo (calculado a partir de EPH 2017)</w:t>
      </w:r>
    </w:p>
    <w:p w14:paraId="61DE83D8" w14:textId="79BA116D" w:rsidR="00CC32FE" w:rsidRDefault="00CC32FE" w:rsidP="00FC7C30">
      <w:pPr>
        <w:pStyle w:val="ListParagraph"/>
        <w:numPr>
          <w:ilvl w:val="0"/>
          <w:numId w:val="1"/>
        </w:numPr>
        <w:jc w:val="both"/>
        <w:rPr>
          <w:sz w:val="24"/>
          <w:szCs w:val="24"/>
        </w:rPr>
      </w:pPr>
      <w:r>
        <w:rPr>
          <w:sz w:val="24"/>
          <w:szCs w:val="24"/>
        </w:rPr>
        <w:t>Tasa de desempleo: 9,1% (fuente: INDEC)</w:t>
      </w:r>
    </w:p>
    <w:p w14:paraId="723B75E9" w14:textId="6A414A95" w:rsidR="00CC32FE" w:rsidRPr="004A7CD5" w:rsidRDefault="00CC32FE" w:rsidP="00FC7C30">
      <w:pPr>
        <w:pStyle w:val="ListParagraph"/>
        <w:numPr>
          <w:ilvl w:val="0"/>
          <w:numId w:val="1"/>
        </w:numPr>
        <w:jc w:val="both"/>
        <w:rPr>
          <w:sz w:val="24"/>
          <w:szCs w:val="24"/>
        </w:rPr>
      </w:pPr>
      <w:r w:rsidRPr="004A7CD5">
        <w:rPr>
          <w:sz w:val="24"/>
          <w:szCs w:val="24"/>
        </w:rPr>
        <w:t xml:space="preserve">Tipo de cambio: </w:t>
      </w:r>
      <w:r w:rsidR="007C3E58">
        <w:rPr>
          <w:sz w:val="24"/>
          <w:szCs w:val="24"/>
        </w:rPr>
        <w:t>US$</w:t>
      </w:r>
      <w:r w:rsidR="004A7CD5" w:rsidRPr="004A7CD5">
        <w:rPr>
          <w:sz w:val="24"/>
          <w:szCs w:val="24"/>
        </w:rPr>
        <w:t>1 = AR$ 29</w:t>
      </w:r>
    </w:p>
    <w:p w14:paraId="37F13B18" w14:textId="01FFDA56" w:rsidR="00CC32FE" w:rsidRDefault="00CC32FE" w:rsidP="00FC7C30">
      <w:pPr>
        <w:pStyle w:val="ListParagraph"/>
        <w:numPr>
          <w:ilvl w:val="0"/>
          <w:numId w:val="1"/>
        </w:numPr>
        <w:jc w:val="both"/>
        <w:rPr>
          <w:sz w:val="24"/>
          <w:szCs w:val="24"/>
        </w:rPr>
      </w:pPr>
      <w:r>
        <w:rPr>
          <w:sz w:val="24"/>
          <w:szCs w:val="24"/>
        </w:rPr>
        <w:lastRenderedPageBreak/>
        <w:t>Tasa de retorno por un año adicional de educación secundaria: 4,5% (calculado en base a EPH 2017) – Diferencial anual per cápita: AR$ 7.335</w:t>
      </w:r>
    </w:p>
    <w:p w14:paraId="4AE9D752" w14:textId="43CDFB97" w:rsidR="00CC32FE" w:rsidRDefault="00CC32FE" w:rsidP="00FC7C30">
      <w:pPr>
        <w:pStyle w:val="ListParagraph"/>
        <w:numPr>
          <w:ilvl w:val="0"/>
          <w:numId w:val="1"/>
        </w:numPr>
        <w:jc w:val="both"/>
        <w:rPr>
          <w:sz w:val="24"/>
          <w:szCs w:val="24"/>
        </w:rPr>
      </w:pPr>
      <w:r>
        <w:rPr>
          <w:sz w:val="24"/>
          <w:szCs w:val="24"/>
        </w:rPr>
        <w:t xml:space="preserve">Tasa de retorno por último año de educación secundaria: 16,4% - Diferencial anual per cápita: AR$ 26.577. </w:t>
      </w:r>
    </w:p>
    <w:p w14:paraId="5039A978" w14:textId="5E203BBB" w:rsidR="00CC32FE" w:rsidRDefault="00CC32FE" w:rsidP="00FC7C30">
      <w:pPr>
        <w:pStyle w:val="ListParagraph"/>
        <w:numPr>
          <w:ilvl w:val="0"/>
          <w:numId w:val="1"/>
        </w:numPr>
        <w:jc w:val="both"/>
        <w:rPr>
          <w:sz w:val="24"/>
          <w:szCs w:val="24"/>
        </w:rPr>
      </w:pPr>
      <w:r>
        <w:rPr>
          <w:sz w:val="24"/>
          <w:szCs w:val="24"/>
        </w:rPr>
        <w:t>Tasa de retorno por secundario completo: 28,3%</w:t>
      </w:r>
    </w:p>
    <w:p w14:paraId="15A06FAB" w14:textId="04CBD7CE" w:rsidR="00CC32FE" w:rsidRDefault="00CC32FE" w:rsidP="00FC7C30">
      <w:pPr>
        <w:pStyle w:val="ListParagraph"/>
        <w:numPr>
          <w:ilvl w:val="0"/>
          <w:numId w:val="1"/>
        </w:numPr>
        <w:jc w:val="both"/>
        <w:rPr>
          <w:sz w:val="24"/>
          <w:szCs w:val="24"/>
        </w:rPr>
      </w:pPr>
      <w:r>
        <w:rPr>
          <w:sz w:val="24"/>
          <w:szCs w:val="24"/>
        </w:rPr>
        <w:t>Tasa de retorno por educación superior incompleta: 46%</w:t>
      </w:r>
    </w:p>
    <w:p w14:paraId="1B22BB53" w14:textId="3F9DF1DB" w:rsidR="00CC32FE" w:rsidRPr="00A713F5" w:rsidRDefault="00CC32FE" w:rsidP="00FC7C30">
      <w:pPr>
        <w:pStyle w:val="ListParagraph"/>
        <w:numPr>
          <w:ilvl w:val="0"/>
          <w:numId w:val="1"/>
        </w:numPr>
        <w:jc w:val="both"/>
        <w:rPr>
          <w:sz w:val="24"/>
          <w:szCs w:val="24"/>
        </w:rPr>
      </w:pPr>
      <w:r>
        <w:rPr>
          <w:sz w:val="24"/>
          <w:szCs w:val="24"/>
        </w:rPr>
        <w:t>Tasa de retorno por educación supe</w:t>
      </w:r>
      <w:r w:rsidRPr="00A713F5">
        <w:rPr>
          <w:sz w:val="24"/>
          <w:szCs w:val="24"/>
        </w:rPr>
        <w:t>rior completa: 74%</w:t>
      </w:r>
    </w:p>
    <w:p w14:paraId="295431F5" w14:textId="6675EF21" w:rsidR="00D30728" w:rsidRPr="00A713F5" w:rsidRDefault="00D30728" w:rsidP="00FC7C30">
      <w:pPr>
        <w:pStyle w:val="ListParagraph"/>
        <w:numPr>
          <w:ilvl w:val="0"/>
          <w:numId w:val="1"/>
        </w:numPr>
        <w:jc w:val="both"/>
        <w:rPr>
          <w:sz w:val="24"/>
          <w:szCs w:val="24"/>
        </w:rPr>
      </w:pPr>
      <w:r w:rsidRPr="00A713F5">
        <w:rPr>
          <w:sz w:val="24"/>
          <w:szCs w:val="24"/>
        </w:rPr>
        <w:t>Retornos a la educación en el sector informal: 2/3 del registrado como promedio en la población.</w:t>
      </w:r>
    </w:p>
    <w:p w14:paraId="5563A9C4" w14:textId="5575D4C3" w:rsidR="00D30728" w:rsidRPr="00A713F5" w:rsidRDefault="001F45FD" w:rsidP="00FC7C30">
      <w:pPr>
        <w:pStyle w:val="ListParagraph"/>
        <w:numPr>
          <w:ilvl w:val="0"/>
          <w:numId w:val="1"/>
        </w:numPr>
        <w:jc w:val="both"/>
        <w:rPr>
          <w:sz w:val="24"/>
          <w:szCs w:val="24"/>
        </w:rPr>
      </w:pPr>
      <w:r w:rsidRPr="00A713F5">
        <w:rPr>
          <w:sz w:val="24"/>
          <w:szCs w:val="24"/>
        </w:rPr>
        <w:t>Ingreso promedio sector informal/ingreso promedio sector formal: 0,61</w:t>
      </w:r>
    </w:p>
    <w:p w14:paraId="24702106" w14:textId="4287968C" w:rsidR="000B2D7E" w:rsidRPr="00A713F5" w:rsidRDefault="000B2D7E" w:rsidP="00FC7C30">
      <w:pPr>
        <w:pStyle w:val="ListParagraph"/>
        <w:numPr>
          <w:ilvl w:val="0"/>
          <w:numId w:val="1"/>
        </w:numPr>
        <w:jc w:val="both"/>
        <w:rPr>
          <w:sz w:val="24"/>
          <w:szCs w:val="24"/>
        </w:rPr>
      </w:pPr>
      <w:r w:rsidRPr="00A713F5">
        <w:rPr>
          <w:sz w:val="24"/>
          <w:szCs w:val="24"/>
        </w:rPr>
        <w:t>Proporción de beneficiarios formación profesional desempleados: 15%</w:t>
      </w:r>
    </w:p>
    <w:p w14:paraId="64D02E0B" w14:textId="0A5EAF6B" w:rsidR="000B2D7E" w:rsidRPr="00A713F5" w:rsidRDefault="000B2D7E" w:rsidP="000B2D7E">
      <w:pPr>
        <w:pStyle w:val="ListParagraph"/>
        <w:numPr>
          <w:ilvl w:val="0"/>
          <w:numId w:val="1"/>
        </w:numPr>
        <w:jc w:val="both"/>
        <w:rPr>
          <w:sz w:val="24"/>
          <w:szCs w:val="24"/>
        </w:rPr>
      </w:pPr>
      <w:r w:rsidRPr="00A713F5">
        <w:rPr>
          <w:sz w:val="24"/>
          <w:szCs w:val="24"/>
        </w:rPr>
        <w:t>Proporción de beneficiarios formación profesional con empleo informal: 85%</w:t>
      </w:r>
    </w:p>
    <w:p w14:paraId="66A755B2" w14:textId="55DE7C02" w:rsidR="000B2D7E" w:rsidRPr="00A713F5" w:rsidRDefault="00AF0D00" w:rsidP="00FC7C30">
      <w:pPr>
        <w:pStyle w:val="ListParagraph"/>
        <w:numPr>
          <w:ilvl w:val="0"/>
          <w:numId w:val="1"/>
        </w:numPr>
        <w:jc w:val="both"/>
        <w:rPr>
          <w:sz w:val="24"/>
          <w:szCs w:val="24"/>
        </w:rPr>
      </w:pPr>
      <w:r w:rsidRPr="00A713F5">
        <w:rPr>
          <w:sz w:val="24"/>
          <w:szCs w:val="24"/>
        </w:rPr>
        <w:t>Tasa de descuento neta: 3%</w:t>
      </w:r>
      <w:r w:rsidRPr="00A713F5">
        <w:rPr>
          <w:rStyle w:val="FootnoteReference"/>
          <w:sz w:val="24"/>
          <w:szCs w:val="24"/>
        </w:rPr>
        <w:footnoteReference w:id="4"/>
      </w:r>
      <w:r w:rsidRPr="00A713F5">
        <w:rPr>
          <w:sz w:val="24"/>
          <w:szCs w:val="24"/>
        </w:rPr>
        <w:t>.</w:t>
      </w:r>
    </w:p>
    <w:p w14:paraId="53484466" w14:textId="314A2F14" w:rsidR="00682540" w:rsidRPr="00A713F5" w:rsidRDefault="00682540" w:rsidP="00FC7C30">
      <w:pPr>
        <w:pStyle w:val="ListParagraph"/>
        <w:numPr>
          <w:ilvl w:val="0"/>
          <w:numId w:val="1"/>
        </w:numPr>
        <w:jc w:val="both"/>
        <w:rPr>
          <w:sz w:val="24"/>
          <w:szCs w:val="24"/>
        </w:rPr>
      </w:pPr>
      <w:r w:rsidRPr="00A713F5">
        <w:rPr>
          <w:sz w:val="24"/>
          <w:szCs w:val="24"/>
        </w:rPr>
        <w:t>Los costos marginales de los servicios de educación son iguales a los costos medios</w:t>
      </w:r>
    </w:p>
    <w:p w14:paraId="05FCE2E5" w14:textId="448FEDB5" w:rsidR="00A55A75" w:rsidRPr="00A713F5" w:rsidRDefault="00A55A75" w:rsidP="00FC7C30">
      <w:pPr>
        <w:pStyle w:val="ListParagraph"/>
        <w:numPr>
          <w:ilvl w:val="0"/>
          <w:numId w:val="1"/>
        </w:numPr>
        <w:jc w:val="both"/>
        <w:rPr>
          <w:sz w:val="24"/>
          <w:szCs w:val="24"/>
        </w:rPr>
      </w:pPr>
      <w:r w:rsidRPr="00A713F5">
        <w:rPr>
          <w:sz w:val="24"/>
          <w:szCs w:val="24"/>
        </w:rPr>
        <w:t xml:space="preserve">Los beneficiarios requieren realizar </w:t>
      </w:r>
      <w:r w:rsidR="004F41BB" w:rsidRPr="00A713F5">
        <w:rPr>
          <w:sz w:val="24"/>
          <w:szCs w:val="24"/>
        </w:rPr>
        <w:t>400 viajes anuales en colectivo para asistir a los cursos asociados a las corresponsabilidades.</w:t>
      </w:r>
    </w:p>
    <w:p w14:paraId="609F08ED" w14:textId="47F5364C" w:rsidR="003F26D6" w:rsidRPr="00A713F5" w:rsidRDefault="003F26D6" w:rsidP="00FC7C30">
      <w:pPr>
        <w:pStyle w:val="ListParagraph"/>
        <w:numPr>
          <w:ilvl w:val="0"/>
          <w:numId w:val="1"/>
        </w:numPr>
        <w:jc w:val="both"/>
        <w:rPr>
          <w:sz w:val="24"/>
          <w:szCs w:val="24"/>
        </w:rPr>
      </w:pPr>
      <w:r w:rsidRPr="00A713F5">
        <w:rPr>
          <w:sz w:val="24"/>
          <w:szCs w:val="24"/>
        </w:rPr>
        <w:t>Se supone que quienes abandonan los estudios requeridos por la condicionalidad lo hacen al inicio del año escolar por lo que no implican costos adicionales.</w:t>
      </w:r>
    </w:p>
    <w:p w14:paraId="7F9C8DC3" w14:textId="77777777" w:rsidR="00FC7C30" w:rsidRPr="00A713F5" w:rsidRDefault="00FC7C30" w:rsidP="00E15047">
      <w:pPr>
        <w:jc w:val="both"/>
        <w:rPr>
          <w:sz w:val="24"/>
          <w:szCs w:val="24"/>
        </w:rPr>
      </w:pPr>
    </w:p>
    <w:p w14:paraId="1F0A30AA" w14:textId="6D94C459" w:rsidR="009C4BEB" w:rsidRDefault="00BF3856" w:rsidP="00090448">
      <w:pPr>
        <w:jc w:val="both"/>
        <w:rPr>
          <w:sz w:val="24"/>
          <w:szCs w:val="24"/>
        </w:rPr>
      </w:pPr>
      <w:r w:rsidRPr="00A713F5">
        <w:rPr>
          <w:sz w:val="24"/>
          <w:szCs w:val="24"/>
        </w:rPr>
        <w:t xml:space="preserve">En el caso de </w:t>
      </w:r>
      <w:r w:rsidR="00090448" w:rsidRPr="00A713F5">
        <w:rPr>
          <w:sz w:val="24"/>
          <w:szCs w:val="24"/>
        </w:rPr>
        <w:t xml:space="preserve">los beneficiarios que </w:t>
      </w:r>
      <w:r w:rsidR="00D30728" w:rsidRPr="00A713F5">
        <w:rPr>
          <w:sz w:val="24"/>
          <w:szCs w:val="24"/>
        </w:rPr>
        <w:t xml:space="preserve">se encuentran cursando estudios primarios para cumplir con la condicionalidad establecida por el programa, </w:t>
      </w:r>
      <w:r w:rsidR="00090448" w:rsidRPr="00A713F5">
        <w:rPr>
          <w:sz w:val="24"/>
          <w:szCs w:val="24"/>
        </w:rPr>
        <w:t xml:space="preserve">no </w:t>
      </w:r>
      <w:r w:rsidR="00D30728" w:rsidRPr="00A713F5">
        <w:rPr>
          <w:sz w:val="24"/>
          <w:szCs w:val="24"/>
        </w:rPr>
        <w:t xml:space="preserve">se </w:t>
      </w:r>
      <w:r w:rsidR="00090448" w:rsidRPr="00A713F5">
        <w:rPr>
          <w:sz w:val="24"/>
          <w:szCs w:val="24"/>
        </w:rPr>
        <w:t xml:space="preserve">calculan beneficios ya que los retornos a la educación para este nivel no son estadísticamente significativos y el estudio de </w:t>
      </w:r>
      <w:hyperlink r:id="rId29" w:history="1">
        <w:r w:rsidR="00090448" w:rsidRPr="00A713F5">
          <w:rPr>
            <w:rStyle w:val="Hyperlink"/>
            <w:sz w:val="24"/>
            <w:szCs w:val="24"/>
          </w:rPr>
          <w:t>Galasso et al. (2004)</w:t>
        </w:r>
      </w:hyperlink>
      <w:r w:rsidR="00090448" w:rsidRPr="00A713F5">
        <w:rPr>
          <w:sz w:val="24"/>
          <w:szCs w:val="24"/>
        </w:rPr>
        <w:t xml:space="preserve"> no encuentra efectos en los programas de capacitación para </w:t>
      </w:r>
      <w:r w:rsidR="00D30728" w:rsidRPr="00A713F5">
        <w:rPr>
          <w:sz w:val="24"/>
          <w:szCs w:val="24"/>
        </w:rPr>
        <w:t>el</w:t>
      </w:r>
      <w:r w:rsidR="00090448" w:rsidRPr="00A713F5">
        <w:rPr>
          <w:sz w:val="24"/>
          <w:szCs w:val="24"/>
        </w:rPr>
        <w:t xml:space="preserve"> conjunto de beneficiarios</w:t>
      </w:r>
      <w:r w:rsidR="00D30728" w:rsidRPr="00A713F5">
        <w:rPr>
          <w:sz w:val="24"/>
          <w:szCs w:val="24"/>
        </w:rPr>
        <w:t xml:space="preserve"> de estas características</w:t>
      </w:r>
      <w:r w:rsidR="00090448" w:rsidRPr="00A713F5">
        <w:rPr>
          <w:sz w:val="24"/>
          <w:szCs w:val="24"/>
        </w:rPr>
        <w:t>.</w:t>
      </w:r>
      <w:r w:rsidR="00636C1A" w:rsidRPr="00A713F5">
        <w:rPr>
          <w:sz w:val="24"/>
          <w:szCs w:val="24"/>
        </w:rPr>
        <w:t xml:space="preserve"> Cabe destacar que asumir este supuesto, el cual se extiende también para alumnos de secundaria que no cursan el último año, implica limitar los resultados esperados del programa notoriamente. Esta situación no es la deseable, pero para el presente análisis se prefiere generar un sesgo </w:t>
      </w:r>
      <w:r w:rsidR="001D29CE" w:rsidRPr="00A713F5">
        <w:rPr>
          <w:sz w:val="24"/>
          <w:szCs w:val="24"/>
        </w:rPr>
        <w:t>que reduce los beneficios</w:t>
      </w:r>
      <w:r w:rsidR="00636C1A" w:rsidRPr="00A713F5">
        <w:rPr>
          <w:sz w:val="24"/>
          <w:szCs w:val="24"/>
        </w:rPr>
        <w:t>.</w:t>
      </w:r>
    </w:p>
    <w:p w14:paraId="25DEDA15" w14:textId="3442E47F" w:rsidR="00090448" w:rsidRPr="00E15047" w:rsidRDefault="00BF3856" w:rsidP="006E6C9E">
      <w:pPr>
        <w:jc w:val="both"/>
        <w:rPr>
          <w:sz w:val="24"/>
          <w:szCs w:val="24"/>
        </w:rPr>
      </w:pPr>
      <w:r>
        <w:rPr>
          <w:sz w:val="24"/>
          <w:szCs w:val="24"/>
        </w:rPr>
        <w:lastRenderedPageBreak/>
        <w:t>En el caso de</w:t>
      </w:r>
      <w:r w:rsidR="009C4BEB">
        <w:rPr>
          <w:sz w:val="24"/>
          <w:szCs w:val="24"/>
        </w:rPr>
        <w:t xml:space="preserve"> los beneficiarios que cumplen con la condicionalidad de estudios </w:t>
      </w:r>
      <w:r w:rsidR="0010183E">
        <w:rPr>
          <w:sz w:val="24"/>
          <w:szCs w:val="24"/>
        </w:rPr>
        <w:t>secundarios,</w:t>
      </w:r>
      <w:r w:rsidR="009C4BEB">
        <w:rPr>
          <w:sz w:val="24"/>
          <w:szCs w:val="24"/>
        </w:rPr>
        <w:t xml:space="preserve"> pero no se encuentran cursando el último año solo opera el efecto de retornos a la educación. Pero dado que no hay efectos asociados a los niveles de empleo, se considera que permanecen en el sector informal y por lo tanto el incremento en el salario como consecuencia del retorno a la educación es menor.</w:t>
      </w:r>
      <w:r w:rsidR="00090448">
        <w:rPr>
          <w:sz w:val="24"/>
          <w:szCs w:val="24"/>
        </w:rPr>
        <w:t xml:space="preserve"> </w:t>
      </w:r>
      <w:r w:rsidR="006E6C9E">
        <w:rPr>
          <w:sz w:val="24"/>
          <w:szCs w:val="24"/>
        </w:rPr>
        <w:t xml:space="preserve">Asimismo, se supone que el diferencial opera sobre un salario base que equivale </w:t>
      </w:r>
      <w:r w:rsidR="001F45FD">
        <w:rPr>
          <w:sz w:val="24"/>
          <w:szCs w:val="24"/>
        </w:rPr>
        <w:t xml:space="preserve">al </w:t>
      </w:r>
      <w:r w:rsidR="006E6C9E">
        <w:rPr>
          <w:sz w:val="24"/>
          <w:szCs w:val="24"/>
        </w:rPr>
        <w:t>6</w:t>
      </w:r>
      <w:r w:rsidR="001F45FD">
        <w:rPr>
          <w:sz w:val="24"/>
          <w:szCs w:val="24"/>
        </w:rPr>
        <w:t>1</w:t>
      </w:r>
      <w:r w:rsidR="006E6C9E">
        <w:rPr>
          <w:sz w:val="24"/>
          <w:szCs w:val="24"/>
        </w:rPr>
        <w:t>% del salario mínimo. Este supuesto se basa en la relación entre ingresos medios del sector formal e informal estimados a partir de la EPH 2017.</w:t>
      </w:r>
    </w:p>
    <w:p w14:paraId="5D5C71F1" w14:textId="7506CC91" w:rsidR="00AD0257" w:rsidRDefault="00BF3856" w:rsidP="0010183E">
      <w:pPr>
        <w:jc w:val="both"/>
        <w:rPr>
          <w:sz w:val="24"/>
          <w:szCs w:val="24"/>
        </w:rPr>
      </w:pPr>
      <w:r>
        <w:rPr>
          <w:sz w:val="24"/>
          <w:szCs w:val="24"/>
        </w:rPr>
        <w:t>En el caso de</w:t>
      </w:r>
      <w:r w:rsidR="006E6E89">
        <w:rPr>
          <w:sz w:val="24"/>
          <w:szCs w:val="24"/>
        </w:rPr>
        <w:t xml:space="preserve"> los beneficiarios que </w:t>
      </w:r>
      <w:r w:rsidR="007A370A">
        <w:rPr>
          <w:sz w:val="24"/>
          <w:szCs w:val="24"/>
        </w:rPr>
        <w:t>se encuentran cursando el último año de la educación secundaria, como parte de las condicionalidades del programa,</w:t>
      </w:r>
      <w:r w:rsidR="006E6E89">
        <w:rPr>
          <w:sz w:val="24"/>
          <w:szCs w:val="24"/>
        </w:rPr>
        <w:t xml:space="preserve"> operan tanto los retornos a la educación como los efectos sobre los niveles de empleo formal. Para aquellos que permanecen en el sector informal el efecto de los retornos a la educación es menor</w:t>
      </w:r>
      <w:r w:rsidR="007A370A">
        <w:rPr>
          <w:sz w:val="24"/>
          <w:szCs w:val="24"/>
        </w:rPr>
        <w:t xml:space="preserve"> que el existente en el sector formal</w:t>
      </w:r>
      <w:r w:rsidR="006E6E89">
        <w:rPr>
          <w:sz w:val="24"/>
          <w:szCs w:val="24"/>
        </w:rPr>
        <w:t xml:space="preserve">. Para quienes pasan </w:t>
      </w:r>
      <w:r w:rsidR="006165FB">
        <w:rPr>
          <w:sz w:val="24"/>
          <w:szCs w:val="24"/>
        </w:rPr>
        <w:t>a ser empleados en el</w:t>
      </w:r>
      <w:r w:rsidR="006E6E89">
        <w:rPr>
          <w:sz w:val="24"/>
          <w:szCs w:val="24"/>
        </w:rPr>
        <w:t xml:space="preserve"> sector formal </w:t>
      </w:r>
      <w:r w:rsidR="00C9743B">
        <w:rPr>
          <w:sz w:val="24"/>
          <w:szCs w:val="24"/>
        </w:rPr>
        <w:t>el efecto opera como un diferencial sobre el salario mínimo</w:t>
      </w:r>
      <w:r w:rsidR="006E6E89">
        <w:rPr>
          <w:sz w:val="24"/>
          <w:szCs w:val="24"/>
        </w:rPr>
        <w:t>.</w:t>
      </w:r>
      <w:r w:rsidR="00D1656F">
        <w:rPr>
          <w:sz w:val="24"/>
          <w:szCs w:val="24"/>
        </w:rPr>
        <w:t xml:space="preserve"> </w:t>
      </w:r>
    </w:p>
    <w:p w14:paraId="68B2D907" w14:textId="533E9688" w:rsidR="00C9743B" w:rsidRDefault="006165FB" w:rsidP="0010183E">
      <w:pPr>
        <w:jc w:val="both"/>
        <w:rPr>
          <w:sz w:val="24"/>
          <w:szCs w:val="24"/>
        </w:rPr>
      </w:pPr>
      <w:r>
        <w:rPr>
          <w:sz w:val="24"/>
          <w:szCs w:val="24"/>
        </w:rPr>
        <w:t xml:space="preserve">El efecto del tratamiento de formación profesional sobre el empleo formal se calcula a partir de los resultados de </w:t>
      </w:r>
      <w:hyperlink r:id="rId30" w:history="1">
        <w:r w:rsidRPr="003244D5">
          <w:rPr>
            <w:rStyle w:val="Hyperlink"/>
            <w:sz w:val="24"/>
            <w:szCs w:val="24"/>
          </w:rPr>
          <w:t>Galasso et al (20</w:t>
        </w:r>
        <w:r w:rsidR="003244D5" w:rsidRPr="003244D5">
          <w:rPr>
            <w:rStyle w:val="Hyperlink"/>
            <w:sz w:val="24"/>
            <w:szCs w:val="24"/>
          </w:rPr>
          <w:t>0</w:t>
        </w:r>
        <w:r w:rsidRPr="003244D5">
          <w:rPr>
            <w:rStyle w:val="Hyperlink"/>
            <w:sz w:val="24"/>
            <w:szCs w:val="24"/>
          </w:rPr>
          <w:t>4)</w:t>
        </w:r>
      </w:hyperlink>
      <w:r>
        <w:rPr>
          <w:sz w:val="24"/>
          <w:szCs w:val="24"/>
        </w:rPr>
        <w:t xml:space="preserve"> asumiendo una relación lineal entre horas de capacitación y efecto de la intervención. Es decir que en este subconjunto de beneficiarios que deben cumplir con 64 horas de capacitación el efecto es</w:t>
      </w:r>
      <w:r w:rsidR="0084211F">
        <w:rPr>
          <w:sz w:val="24"/>
          <w:szCs w:val="24"/>
        </w:rPr>
        <w:t xml:space="preserve"> 1/4</w:t>
      </w:r>
      <w:r>
        <w:rPr>
          <w:sz w:val="24"/>
          <w:szCs w:val="24"/>
        </w:rPr>
        <w:t xml:space="preserve"> del registrado en la evaluación del Proempleo.</w:t>
      </w:r>
      <w:r w:rsidR="003D4E19">
        <w:rPr>
          <w:sz w:val="24"/>
          <w:szCs w:val="24"/>
        </w:rPr>
        <w:t xml:space="preserve"> Asimismo, se supone que </w:t>
      </w:r>
      <w:r w:rsidR="00596959">
        <w:rPr>
          <w:sz w:val="24"/>
          <w:szCs w:val="24"/>
        </w:rPr>
        <w:t xml:space="preserve">15% de </w:t>
      </w:r>
      <w:r w:rsidR="003D4E19">
        <w:rPr>
          <w:sz w:val="24"/>
          <w:szCs w:val="24"/>
        </w:rPr>
        <w:t xml:space="preserve">quienes </w:t>
      </w:r>
      <w:r w:rsidR="006527D3">
        <w:rPr>
          <w:sz w:val="24"/>
          <w:szCs w:val="24"/>
        </w:rPr>
        <w:t xml:space="preserve">se incorporan al sector formal, se encontraban anteriormente desempleados </w:t>
      </w:r>
      <w:r w:rsidR="00596959">
        <w:rPr>
          <w:sz w:val="24"/>
          <w:szCs w:val="24"/>
        </w:rPr>
        <w:t>mientras que 85%</w:t>
      </w:r>
      <w:r w:rsidR="006527D3">
        <w:rPr>
          <w:sz w:val="24"/>
          <w:szCs w:val="24"/>
        </w:rPr>
        <w:t xml:space="preserve"> se encontraban anteriormente empleados en el sector informal</w:t>
      </w:r>
      <w:r w:rsidR="00596959">
        <w:rPr>
          <w:sz w:val="24"/>
          <w:szCs w:val="24"/>
        </w:rPr>
        <w:t>.</w:t>
      </w:r>
      <w:r w:rsidR="007A370A">
        <w:rPr>
          <w:sz w:val="24"/>
          <w:szCs w:val="24"/>
        </w:rPr>
        <w:t xml:space="preserve"> </w:t>
      </w:r>
      <w:r w:rsidR="007C096D">
        <w:rPr>
          <w:sz w:val="24"/>
          <w:szCs w:val="24"/>
        </w:rPr>
        <w:t xml:space="preserve"> </w:t>
      </w:r>
    </w:p>
    <w:p w14:paraId="024E8DBD" w14:textId="331C6545" w:rsidR="00653E4C" w:rsidRDefault="00653E4C" w:rsidP="006E6C9E">
      <w:pPr>
        <w:pStyle w:val="Caption"/>
        <w:jc w:val="both"/>
        <w:rPr>
          <w:i w:val="0"/>
          <w:color w:val="auto"/>
          <w:sz w:val="24"/>
          <w:szCs w:val="24"/>
        </w:rPr>
      </w:pPr>
      <w:r w:rsidRPr="00FF2C4F">
        <w:rPr>
          <w:i w:val="0"/>
          <w:color w:val="auto"/>
          <w:sz w:val="24"/>
          <w:szCs w:val="24"/>
        </w:rPr>
        <w:t>En el</w:t>
      </w:r>
      <w:r w:rsidRPr="00420A8D">
        <w:rPr>
          <w:i w:val="0"/>
          <w:color w:val="auto"/>
          <w:sz w:val="24"/>
          <w:szCs w:val="24"/>
        </w:rPr>
        <w:t xml:space="preserve"> </w:t>
      </w:r>
      <w:r w:rsidR="00420A8D" w:rsidRPr="00420A8D">
        <w:rPr>
          <w:i w:val="0"/>
          <w:color w:val="auto"/>
          <w:sz w:val="24"/>
          <w:szCs w:val="24"/>
        </w:rPr>
        <w:fldChar w:fldCharType="begin"/>
      </w:r>
      <w:r w:rsidR="00420A8D" w:rsidRPr="00420A8D">
        <w:rPr>
          <w:i w:val="0"/>
          <w:color w:val="auto"/>
          <w:sz w:val="24"/>
          <w:szCs w:val="24"/>
        </w:rPr>
        <w:instrText xml:space="preserve"> REF _Ref522832066 \h  \* MERGEFORMAT </w:instrText>
      </w:r>
      <w:r w:rsidR="00420A8D" w:rsidRPr="00420A8D">
        <w:rPr>
          <w:i w:val="0"/>
          <w:color w:val="auto"/>
          <w:sz w:val="24"/>
          <w:szCs w:val="24"/>
        </w:rPr>
      </w:r>
      <w:r w:rsidR="00420A8D" w:rsidRPr="00420A8D">
        <w:rPr>
          <w:i w:val="0"/>
          <w:color w:val="auto"/>
          <w:sz w:val="24"/>
          <w:szCs w:val="24"/>
        </w:rPr>
        <w:fldChar w:fldCharType="separate"/>
      </w:r>
      <w:r w:rsidR="00420A8D" w:rsidRPr="00420A8D">
        <w:rPr>
          <w:i w:val="0"/>
          <w:color w:val="auto"/>
          <w:sz w:val="24"/>
        </w:rPr>
        <w:t xml:space="preserve">Cuadro </w:t>
      </w:r>
      <w:r w:rsidR="00420A8D" w:rsidRPr="00420A8D">
        <w:rPr>
          <w:i w:val="0"/>
          <w:noProof/>
          <w:color w:val="auto"/>
          <w:sz w:val="24"/>
        </w:rPr>
        <w:t>3</w:t>
      </w:r>
      <w:r w:rsidR="00420A8D" w:rsidRPr="00420A8D">
        <w:rPr>
          <w:i w:val="0"/>
          <w:color w:val="auto"/>
          <w:sz w:val="24"/>
          <w:szCs w:val="24"/>
        </w:rPr>
        <w:fldChar w:fldCharType="end"/>
      </w:r>
      <w:r w:rsidR="00420A8D" w:rsidRPr="00420A8D">
        <w:rPr>
          <w:i w:val="0"/>
          <w:color w:val="auto"/>
          <w:sz w:val="24"/>
          <w:szCs w:val="24"/>
        </w:rPr>
        <w:t xml:space="preserve"> </w:t>
      </w:r>
      <w:r w:rsidRPr="00FF2C4F">
        <w:rPr>
          <w:i w:val="0"/>
          <w:color w:val="auto"/>
          <w:sz w:val="24"/>
          <w:szCs w:val="24"/>
        </w:rPr>
        <w:t>se p</w:t>
      </w:r>
      <w:r w:rsidR="00FF2C4F" w:rsidRPr="00FF2C4F">
        <w:rPr>
          <w:i w:val="0"/>
          <w:color w:val="auto"/>
          <w:sz w:val="24"/>
          <w:szCs w:val="24"/>
        </w:rPr>
        <w:t xml:space="preserve">resentan las estimaciones de beneficios anuales por retornos a la educación para los beneficiarios que cursan educación obligatoria como condicionalidad del programa. </w:t>
      </w:r>
      <w:r w:rsidR="004617E2">
        <w:rPr>
          <w:i w:val="0"/>
          <w:color w:val="auto"/>
          <w:sz w:val="24"/>
          <w:szCs w:val="24"/>
        </w:rPr>
        <w:t xml:space="preserve">El </w:t>
      </w:r>
      <w:r w:rsidR="00AB25E9">
        <w:rPr>
          <w:i w:val="0"/>
          <w:color w:val="auto"/>
          <w:sz w:val="24"/>
          <w:szCs w:val="24"/>
        </w:rPr>
        <w:t xml:space="preserve">Grupo 1 </w:t>
      </w:r>
      <w:r w:rsidR="004617E2">
        <w:rPr>
          <w:i w:val="0"/>
          <w:color w:val="auto"/>
          <w:sz w:val="24"/>
          <w:szCs w:val="24"/>
        </w:rPr>
        <w:t>lo integran quienes cursan de primero a cuarto año de secundaria</w:t>
      </w:r>
      <w:r w:rsidR="00AB25E9" w:rsidRPr="00AB25E9">
        <w:rPr>
          <w:i w:val="0"/>
          <w:color w:val="auto"/>
          <w:sz w:val="24"/>
          <w:szCs w:val="24"/>
        </w:rPr>
        <w:t xml:space="preserve"> + 64 hs</w:t>
      </w:r>
      <w:r w:rsidR="004617E2">
        <w:rPr>
          <w:i w:val="0"/>
          <w:color w:val="auto"/>
          <w:sz w:val="24"/>
          <w:szCs w:val="24"/>
        </w:rPr>
        <w:t>.</w:t>
      </w:r>
      <w:r w:rsidR="00AB25E9" w:rsidRPr="00AB25E9">
        <w:rPr>
          <w:i w:val="0"/>
          <w:color w:val="auto"/>
          <w:sz w:val="24"/>
          <w:szCs w:val="24"/>
        </w:rPr>
        <w:t xml:space="preserve"> de formación profesional</w:t>
      </w:r>
      <w:r w:rsidR="00AB25E9">
        <w:rPr>
          <w:i w:val="0"/>
          <w:color w:val="auto"/>
          <w:sz w:val="24"/>
          <w:szCs w:val="24"/>
        </w:rPr>
        <w:t xml:space="preserve"> mientras que el Grupo 2 está compuesto por </w:t>
      </w:r>
      <w:r w:rsidR="004617E2">
        <w:rPr>
          <w:i w:val="0"/>
          <w:color w:val="auto"/>
          <w:sz w:val="24"/>
          <w:szCs w:val="24"/>
        </w:rPr>
        <w:t>quienes cursan el ú</w:t>
      </w:r>
      <w:r w:rsidR="004617E2" w:rsidRPr="004617E2">
        <w:rPr>
          <w:i w:val="0"/>
          <w:color w:val="auto"/>
          <w:sz w:val="24"/>
          <w:szCs w:val="24"/>
        </w:rPr>
        <w:t>ltimo año</w:t>
      </w:r>
      <w:r w:rsidR="004617E2">
        <w:rPr>
          <w:i w:val="0"/>
          <w:color w:val="auto"/>
          <w:sz w:val="24"/>
          <w:szCs w:val="24"/>
        </w:rPr>
        <w:t xml:space="preserve"> de</w:t>
      </w:r>
      <w:r w:rsidR="004617E2" w:rsidRPr="004617E2">
        <w:rPr>
          <w:i w:val="0"/>
          <w:color w:val="auto"/>
          <w:sz w:val="24"/>
          <w:szCs w:val="24"/>
        </w:rPr>
        <w:t xml:space="preserve"> secundaria + 64 horas de formación profesional</w:t>
      </w:r>
      <w:r w:rsidR="004617E2">
        <w:rPr>
          <w:i w:val="0"/>
          <w:color w:val="auto"/>
          <w:sz w:val="24"/>
          <w:szCs w:val="24"/>
        </w:rPr>
        <w:t xml:space="preserve">. </w:t>
      </w:r>
      <w:r w:rsidR="00FF2C4F" w:rsidRPr="00FF2C4F">
        <w:rPr>
          <w:i w:val="0"/>
          <w:color w:val="auto"/>
          <w:sz w:val="24"/>
          <w:szCs w:val="24"/>
        </w:rPr>
        <w:t xml:space="preserve">Como puede observarse existe un </w:t>
      </w:r>
      <w:r w:rsidR="00FF2C4F" w:rsidRPr="006E6C9E">
        <w:rPr>
          <w:color w:val="auto"/>
          <w:sz w:val="24"/>
          <w:szCs w:val="24"/>
        </w:rPr>
        <w:t>sheepskin effect</w:t>
      </w:r>
      <w:r w:rsidR="0040703C">
        <w:rPr>
          <w:rStyle w:val="FootnoteReference"/>
          <w:color w:val="auto"/>
          <w:sz w:val="24"/>
          <w:szCs w:val="24"/>
        </w:rPr>
        <w:footnoteReference w:id="5"/>
      </w:r>
      <w:r w:rsidR="00FF2C4F" w:rsidRPr="00FF2C4F">
        <w:rPr>
          <w:i w:val="0"/>
          <w:color w:val="auto"/>
          <w:sz w:val="24"/>
          <w:szCs w:val="24"/>
        </w:rPr>
        <w:t xml:space="preserve"> que hace que el retorno al último año del secundario sea mayor que el del resto de los años.</w:t>
      </w:r>
    </w:p>
    <w:p w14:paraId="3BDE1190" w14:textId="77777777" w:rsidR="00B613F8" w:rsidRPr="00B613F8" w:rsidRDefault="00B613F8" w:rsidP="00B613F8"/>
    <w:p w14:paraId="3F35E943" w14:textId="622AD9A4" w:rsidR="002E0B2B" w:rsidRPr="000438D4" w:rsidRDefault="002E0B2B" w:rsidP="002E0B2B">
      <w:pPr>
        <w:pStyle w:val="Caption"/>
        <w:keepNext/>
        <w:jc w:val="both"/>
        <w:rPr>
          <w:sz w:val="24"/>
        </w:rPr>
      </w:pPr>
      <w:bookmarkStart w:id="10" w:name="_Ref522832066"/>
      <w:r w:rsidRPr="000438D4">
        <w:rPr>
          <w:sz w:val="24"/>
        </w:rPr>
        <w:t xml:space="preserve">Cuadro </w:t>
      </w:r>
      <w:r w:rsidRPr="000438D4">
        <w:rPr>
          <w:sz w:val="24"/>
        </w:rPr>
        <w:fldChar w:fldCharType="begin"/>
      </w:r>
      <w:r w:rsidRPr="000438D4">
        <w:rPr>
          <w:sz w:val="24"/>
        </w:rPr>
        <w:instrText xml:space="preserve"> SEQ Cuadro \* ARABIC </w:instrText>
      </w:r>
      <w:r w:rsidRPr="000438D4">
        <w:rPr>
          <w:sz w:val="24"/>
        </w:rPr>
        <w:fldChar w:fldCharType="separate"/>
      </w:r>
      <w:r w:rsidR="00D90DF1">
        <w:rPr>
          <w:noProof/>
          <w:sz w:val="24"/>
        </w:rPr>
        <w:t>4</w:t>
      </w:r>
      <w:r w:rsidRPr="000438D4">
        <w:rPr>
          <w:sz w:val="24"/>
        </w:rPr>
        <w:fldChar w:fldCharType="end"/>
      </w:r>
      <w:bookmarkEnd w:id="10"/>
      <w:r w:rsidRPr="000438D4">
        <w:rPr>
          <w:sz w:val="24"/>
        </w:rPr>
        <w:t>: Estimación</w:t>
      </w:r>
      <w:r w:rsidR="00653E4C" w:rsidRPr="000438D4">
        <w:rPr>
          <w:sz w:val="24"/>
        </w:rPr>
        <w:t xml:space="preserve"> de beneficios por retornos a la educación para trabajadores informales</w:t>
      </w:r>
      <w:r w:rsidRPr="000438D4">
        <w:rPr>
          <w:sz w:val="24"/>
        </w:rPr>
        <w:t xml:space="preserve"> </w:t>
      </w:r>
    </w:p>
    <w:p w14:paraId="63F79B62" w14:textId="3E684DF1" w:rsidR="007C096D" w:rsidRDefault="00B66E10" w:rsidP="0010183E">
      <w:pPr>
        <w:jc w:val="both"/>
        <w:rPr>
          <w:sz w:val="24"/>
          <w:szCs w:val="24"/>
        </w:rPr>
      </w:pPr>
      <w:r w:rsidRPr="00B66E10">
        <w:rPr>
          <w:noProof/>
        </w:rPr>
        <w:drawing>
          <wp:inline distT="0" distB="0" distL="0" distR="0" wp14:anchorId="4293D3D7" wp14:editId="53AC7E7A">
            <wp:extent cx="5400040" cy="1290010"/>
            <wp:effectExtent l="0" t="0" r="0" b="571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00040" cy="1290010"/>
                    </a:xfrm>
                    <a:prstGeom prst="rect">
                      <a:avLst/>
                    </a:prstGeom>
                    <a:noFill/>
                    <a:ln>
                      <a:noFill/>
                    </a:ln>
                  </pic:spPr>
                </pic:pic>
              </a:graphicData>
            </a:graphic>
          </wp:inline>
        </w:drawing>
      </w:r>
    </w:p>
    <w:p w14:paraId="78FF5500" w14:textId="77777777" w:rsidR="00D137AE" w:rsidRDefault="00D137AE" w:rsidP="0010183E">
      <w:pPr>
        <w:jc w:val="both"/>
        <w:rPr>
          <w:sz w:val="24"/>
          <w:szCs w:val="24"/>
        </w:rPr>
      </w:pPr>
    </w:p>
    <w:p w14:paraId="76CD5D96" w14:textId="2FFF2076" w:rsidR="00AD7041" w:rsidRDefault="002E6FE6" w:rsidP="002E0B2B">
      <w:pPr>
        <w:jc w:val="both"/>
        <w:rPr>
          <w:sz w:val="24"/>
          <w:szCs w:val="24"/>
          <w:highlight w:val="yellow"/>
        </w:rPr>
      </w:pPr>
      <w:r>
        <w:rPr>
          <w:sz w:val="24"/>
          <w:szCs w:val="24"/>
        </w:rPr>
        <w:lastRenderedPageBreak/>
        <w:t>En el caso de</w:t>
      </w:r>
      <w:r w:rsidR="005F2D43" w:rsidRPr="00493B78">
        <w:rPr>
          <w:sz w:val="24"/>
          <w:szCs w:val="24"/>
        </w:rPr>
        <w:t xml:space="preserve"> los beneficiarios que </w:t>
      </w:r>
      <w:r w:rsidR="00997580" w:rsidRPr="00493B78">
        <w:rPr>
          <w:sz w:val="24"/>
          <w:szCs w:val="24"/>
        </w:rPr>
        <w:t>cuentan con estudios obligatorios completos solo opera el efecto de incremento de nivel de empleo como efecto de la formación profesional</w:t>
      </w:r>
      <w:r w:rsidR="00B47EFD" w:rsidRPr="00493B78">
        <w:rPr>
          <w:sz w:val="24"/>
          <w:szCs w:val="24"/>
        </w:rPr>
        <w:t xml:space="preserve">. </w:t>
      </w:r>
      <w:r w:rsidR="00493B78" w:rsidRPr="00493B78">
        <w:rPr>
          <w:sz w:val="24"/>
          <w:szCs w:val="24"/>
        </w:rPr>
        <w:t>Cabe destacar que sus ingresos sí contarán con un diferencial por retorno a la educación respecto del salario mínimo</w:t>
      </w:r>
      <w:r w:rsidR="005F2D43" w:rsidRPr="00493B78">
        <w:rPr>
          <w:sz w:val="24"/>
          <w:szCs w:val="24"/>
        </w:rPr>
        <w:t>.</w:t>
      </w:r>
    </w:p>
    <w:p w14:paraId="303F5D33" w14:textId="56746897" w:rsidR="00E619B9" w:rsidRDefault="005F2D43" w:rsidP="002E0B2B">
      <w:pPr>
        <w:jc w:val="both"/>
        <w:rPr>
          <w:sz w:val="24"/>
          <w:szCs w:val="24"/>
          <w:highlight w:val="yellow"/>
        </w:rPr>
      </w:pPr>
      <w:r w:rsidRPr="00493B78">
        <w:rPr>
          <w:sz w:val="24"/>
          <w:szCs w:val="24"/>
        </w:rPr>
        <w:t xml:space="preserve">El efecto del tratamiento de formación profesional sobre el empleo formal se calcula a partir de los resultados de </w:t>
      </w:r>
      <w:hyperlink r:id="rId32" w:history="1">
        <w:r w:rsidRPr="003244D5">
          <w:rPr>
            <w:rStyle w:val="Hyperlink"/>
            <w:sz w:val="24"/>
            <w:szCs w:val="24"/>
          </w:rPr>
          <w:t>Galasso et al (2014)</w:t>
        </w:r>
      </w:hyperlink>
      <w:r w:rsidRPr="00493B78">
        <w:rPr>
          <w:sz w:val="24"/>
          <w:szCs w:val="24"/>
        </w:rPr>
        <w:t xml:space="preserve"> asumiendo una relación lineal entre horas de capacitación y efecto de la intervención. Es decir que en este subconjunto de beneficiarios que deben cumplir con </w:t>
      </w:r>
      <w:r w:rsidR="00493B78" w:rsidRPr="00493B78">
        <w:rPr>
          <w:sz w:val="24"/>
          <w:szCs w:val="24"/>
        </w:rPr>
        <w:t>120</w:t>
      </w:r>
      <w:r w:rsidRPr="00493B78">
        <w:rPr>
          <w:sz w:val="24"/>
          <w:szCs w:val="24"/>
        </w:rPr>
        <w:t xml:space="preserve"> horas de capacitación el efecto </w:t>
      </w:r>
      <w:r w:rsidR="00493B78" w:rsidRPr="00493B78">
        <w:rPr>
          <w:sz w:val="24"/>
          <w:szCs w:val="24"/>
        </w:rPr>
        <w:t>sería aproximadamente la mitad</w:t>
      </w:r>
      <w:r w:rsidRPr="00493B78">
        <w:rPr>
          <w:sz w:val="24"/>
          <w:szCs w:val="24"/>
        </w:rPr>
        <w:t xml:space="preserve"> del registrado en la evaluación del Proempleo. </w:t>
      </w:r>
      <w:r w:rsidR="00E619B9">
        <w:rPr>
          <w:sz w:val="24"/>
          <w:szCs w:val="24"/>
        </w:rPr>
        <w:t xml:space="preserve">Dado que, aun cuando el documento citado no hace esta distinción, el efecto sobre la creación de empleo es menor que sobre la empleabilidad de los beneficiarios en el sector formal, se supone que quienes se incorporan al sector formal, se encontraban anteriormente desempleados en un </w:t>
      </w:r>
      <w:r w:rsidR="00C7714C" w:rsidRPr="00C7714C">
        <w:rPr>
          <w:sz w:val="24"/>
          <w:szCs w:val="24"/>
        </w:rPr>
        <w:t>15</w:t>
      </w:r>
      <w:r w:rsidR="00E619B9">
        <w:rPr>
          <w:sz w:val="24"/>
          <w:szCs w:val="24"/>
        </w:rPr>
        <w:t xml:space="preserve">% y </w:t>
      </w:r>
      <w:r w:rsidR="00C7714C">
        <w:rPr>
          <w:sz w:val="24"/>
          <w:szCs w:val="24"/>
        </w:rPr>
        <w:t xml:space="preserve">85% se </w:t>
      </w:r>
      <w:r w:rsidR="00E619B9">
        <w:rPr>
          <w:sz w:val="24"/>
          <w:szCs w:val="24"/>
        </w:rPr>
        <w:t>encontraban anteriormente empleados en el sector informal</w:t>
      </w:r>
      <w:r w:rsidR="00E619B9" w:rsidRPr="00E619B9">
        <w:rPr>
          <w:sz w:val="24"/>
          <w:szCs w:val="24"/>
        </w:rPr>
        <w:t>. En el primer caso el beneficio está dado por un nuevo empleo mientras que en el segundo está dado por el diferencial de productividad que tiene el sector formal en relación al informal.</w:t>
      </w:r>
    </w:p>
    <w:p w14:paraId="3673AA68" w14:textId="66CDBE2C" w:rsidR="002E0B2B" w:rsidRDefault="002E0B2B" w:rsidP="002E0B2B">
      <w:pPr>
        <w:jc w:val="both"/>
        <w:rPr>
          <w:sz w:val="24"/>
          <w:szCs w:val="24"/>
        </w:rPr>
      </w:pPr>
      <w:r>
        <w:rPr>
          <w:sz w:val="24"/>
          <w:szCs w:val="24"/>
        </w:rPr>
        <w:t xml:space="preserve">En el </w:t>
      </w:r>
      <w:r>
        <w:rPr>
          <w:sz w:val="24"/>
          <w:szCs w:val="24"/>
        </w:rPr>
        <w:fldChar w:fldCharType="begin"/>
      </w:r>
      <w:r>
        <w:rPr>
          <w:sz w:val="24"/>
          <w:szCs w:val="24"/>
        </w:rPr>
        <w:instrText xml:space="preserve"> REF _Ref522025564 \h </w:instrText>
      </w:r>
      <w:r>
        <w:rPr>
          <w:sz w:val="24"/>
          <w:szCs w:val="24"/>
        </w:rPr>
      </w:r>
      <w:r>
        <w:rPr>
          <w:sz w:val="24"/>
          <w:szCs w:val="24"/>
        </w:rPr>
        <w:fldChar w:fldCharType="separate"/>
      </w:r>
      <w:r w:rsidR="00E514A9" w:rsidRPr="00736A4C">
        <w:rPr>
          <w:sz w:val="24"/>
        </w:rPr>
        <w:t xml:space="preserve">Cuadro </w:t>
      </w:r>
      <w:r w:rsidR="00E514A9">
        <w:rPr>
          <w:noProof/>
          <w:sz w:val="24"/>
        </w:rPr>
        <w:t>5</w:t>
      </w:r>
      <w:r>
        <w:rPr>
          <w:sz w:val="24"/>
          <w:szCs w:val="24"/>
        </w:rPr>
        <w:fldChar w:fldCharType="end"/>
      </w:r>
      <w:r>
        <w:rPr>
          <w:sz w:val="24"/>
          <w:szCs w:val="24"/>
        </w:rPr>
        <w:t xml:space="preserve"> se resumen los efectos sobre el empleo de la formación profesional.</w:t>
      </w:r>
      <w:r w:rsidR="0010201D">
        <w:rPr>
          <w:sz w:val="24"/>
          <w:szCs w:val="24"/>
        </w:rPr>
        <w:t xml:space="preserve"> </w:t>
      </w:r>
      <w:r w:rsidR="00585DB7">
        <w:rPr>
          <w:sz w:val="24"/>
          <w:szCs w:val="24"/>
        </w:rPr>
        <w:t xml:space="preserve">El supuesto acerca de la magnitud de estos efectos es consistente con los resultados de un meta-análisis reciente de evaluaciones para programas activos de empleo </w:t>
      </w:r>
      <w:hyperlink r:id="rId33" w:history="1">
        <w:r w:rsidR="00585DB7" w:rsidRPr="003244D5">
          <w:rPr>
            <w:rStyle w:val="Hyperlink"/>
            <w:sz w:val="24"/>
            <w:szCs w:val="24"/>
          </w:rPr>
          <w:t>(Card et al. 2017)</w:t>
        </w:r>
      </w:hyperlink>
      <w:r w:rsidR="00585DB7">
        <w:rPr>
          <w:sz w:val="24"/>
          <w:szCs w:val="24"/>
        </w:rPr>
        <w:t>. Para los programas de capacitación encuentran que el efecto promedio en la probabilidad de empleo en el corto plazo es del 2% (90 programas evaluados), en el medio plazo es de 6,6% (92 programas evaluados) y en el largo plazo es de 6,7% (35 programas evaluados)</w:t>
      </w:r>
      <w:r w:rsidR="00214480">
        <w:rPr>
          <w:rStyle w:val="FootnoteReference"/>
          <w:sz w:val="24"/>
          <w:szCs w:val="24"/>
        </w:rPr>
        <w:footnoteReference w:id="6"/>
      </w:r>
      <w:r w:rsidR="00585DB7">
        <w:rPr>
          <w:sz w:val="24"/>
          <w:szCs w:val="24"/>
        </w:rPr>
        <w:t>.</w:t>
      </w:r>
    </w:p>
    <w:p w14:paraId="12667567" w14:textId="0DD78E03" w:rsidR="002E0B2B" w:rsidRDefault="002E0B2B" w:rsidP="00536C8C"/>
    <w:p w14:paraId="58037F71" w14:textId="5C04801D" w:rsidR="002E0B2B" w:rsidRPr="00736A4C" w:rsidRDefault="002E0B2B" w:rsidP="002E0B2B">
      <w:pPr>
        <w:pStyle w:val="Caption"/>
        <w:keepNext/>
        <w:jc w:val="both"/>
        <w:rPr>
          <w:sz w:val="24"/>
        </w:rPr>
      </w:pPr>
      <w:bookmarkStart w:id="11" w:name="_Ref522025564"/>
      <w:r w:rsidRPr="00736A4C">
        <w:rPr>
          <w:sz w:val="24"/>
        </w:rPr>
        <w:t xml:space="preserve">Cuadro </w:t>
      </w:r>
      <w:r w:rsidRPr="00736A4C">
        <w:rPr>
          <w:sz w:val="24"/>
        </w:rPr>
        <w:fldChar w:fldCharType="begin"/>
      </w:r>
      <w:r w:rsidRPr="00736A4C">
        <w:rPr>
          <w:sz w:val="24"/>
        </w:rPr>
        <w:instrText xml:space="preserve"> SEQ Cuadro \* ARABIC </w:instrText>
      </w:r>
      <w:r w:rsidRPr="00736A4C">
        <w:rPr>
          <w:sz w:val="24"/>
        </w:rPr>
        <w:fldChar w:fldCharType="separate"/>
      </w:r>
      <w:r w:rsidR="00D90DF1">
        <w:rPr>
          <w:noProof/>
          <w:sz w:val="24"/>
        </w:rPr>
        <w:t>5</w:t>
      </w:r>
      <w:r w:rsidRPr="00736A4C">
        <w:rPr>
          <w:sz w:val="24"/>
        </w:rPr>
        <w:fldChar w:fldCharType="end"/>
      </w:r>
      <w:bookmarkEnd w:id="11"/>
      <w:r w:rsidRPr="00736A4C">
        <w:rPr>
          <w:sz w:val="24"/>
        </w:rPr>
        <w:t>: Efectos de los Cursos de formación profesional</w:t>
      </w:r>
    </w:p>
    <w:p w14:paraId="193D0093" w14:textId="77777777" w:rsidR="002E0B2B" w:rsidRDefault="002E0B2B" w:rsidP="002E0B2B">
      <w:pPr>
        <w:jc w:val="both"/>
        <w:rPr>
          <w:sz w:val="24"/>
          <w:szCs w:val="24"/>
        </w:rPr>
      </w:pPr>
      <w:r w:rsidRPr="007C096D">
        <w:rPr>
          <w:noProof/>
        </w:rPr>
        <w:drawing>
          <wp:inline distT="0" distB="0" distL="0" distR="0" wp14:anchorId="544BB7CE" wp14:editId="77D740B6">
            <wp:extent cx="5400040" cy="1007173"/>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00040" cy="1007173"/>
                    </a:xfrm>
                    <a:prstGeom prst="rect">
                      <a:avLst/>
                    </a:prstGeom>
                    <a:noFill/>
                    <a:ln>
                      <a:noFill/>
                    </a:ln>
                  </pic:spPr>
                </pic:pic>
              </a:graphicData>
            </a:graphic>
          </wp:inline>
        </w:drawing>
      </w:r>
    </w:p>
    <w:p w14:paraId="2B8AEF6F" w14:textId="77777777" w:rsidR="00D137AE" w:rsidRDefault="00D137AE" w:rsidP="00536C8C"/>
    <w:p w14:paraId="59A6855B" w14:textId="188F7430" w:rsidR="00AC243B" w:rsidRDefault="00894B60" w:rsidP="00713213">
      <w:pPr>
        <w:jc w:val="both"/>
        <w:rPr>
          <w:sz w:val="24"/>
          <w:szCs w:val="24"/>
        </w:rPr>
      </w:pPr>
      <w:r w:rsidRPr="00713213">
        <w:rPr>
          <w:sz w:val="24"/>
          <w:szCs w:val="24"/>
        </w:rPr>
        <w:t xml:space="preserve">El </w:t>
      </w:r>
      <w:r w:rsidRPr="00713213">
        <w:rPr>
          <w:sz w:val="24"/>
          <w:szCs w:val="24"/>
        </w:rPr>
        <w:fldChar w:fldCharType="begin"/>
      </w:r>
      <w:r w:rsidRPr="00713213">
        <w:rPr>
          <w:sz w:val="24"/>
          <w:szCs w:val="24"/>
        </w:rPr>
        <w:instrText xml:space="preserve"> REF _Ref522028166 \h </w:instrText>
      </w:r>
      <w:r w:rsidR="00713213">
        <w:rPr>
          <w:sz w:val="24"/>
          <w:szCs w:val="24"/>
        </w:rPr>
        <w:instrText xml:space="preserve"> \* MERGEFORMAT </w:instrText>
      </w:r>
      <w:r w:rsidRPr="00713213">
        <w:rPr>
          <w:sz w:val="24"/>
          <w:szCs w:val="24"/>
        </w:rPr>
      </w:r>
      <w:r w:rsidRPr="00713213">
        <w:rPr>
          <w:sz w:val="24"/>
          <w:szCs w:val="24"/>
        </w:rPr>
        <w:fldChar w:fldCharType="separate"/>
      </w:r>
      <w:r w:rsidR="00E514A9" w:rsidRPr="00D747E6">
        <w:rPr>
          <w:sz w:val="24"/>
          <w:szCs w:val="24"/>
        </w:rPr>
        <w:t xml:space="preserve">Cuadro </w:t>
      </w:r>
      <w:r w:rsidR="00E514A9">
        <w:rPr>
          <w:noProof/>
          <w:sz w:val="24"/>
          <w:szCs w:val="24"/>
        </w:rPr>
        <w:t>6</w:t>
      </w:r>
      <w:r w:rsidRPr="00713213">
        <w:rPr>
          <w:sz w:val="24"/>
          <w:szCs w:val="24"/>
        </w:rPr>
        <w:fldChar w:fldCharType="end"/>
      </w:r>
      <w:r w:rsidRPr="00713213">
        <w:rPr>
          <w:sz w:val="24"/>
          <w:szCs w:val="24"/>
        </w:rPr>
        <w:t xml:space="preserve"> presenta las estimaciones </w:t>
      </w:r>
      <w:r w:rsidR="00713213" w:rsidRPr="00713213">
        <w:rPr>
          <w:sz w:val="24"/>
          <w:szCs w:val="24"/>
        </w:rPr>
        <w:t xml:space="preserve">de los beneficios anuales por incremento del nivel de empleo formal. En el cálculo se considera también el retorno a la educación de aquellos potenciales nuevos empleados que se encuentran terminando la educación secundaria en el período </w:t>
      </w:r>
      <w:r w:rsidR="00713213" w:rsidRPr="00713213">
        <w:rPr>
          <w:i/>
          <w:sz w:val="24"/>
          <w:szCs w:val="24"/>
        </w:rPr>
        <w:t>t</w:t>
      </w:r>
      <w:r w:rsidR="00713213" w:rsidRPr="00713213">
        <w:rPr>
          <w:sz w:val="24"/>
          <w:szCs w:val="24"/>
        </w:rPr>
        <w:t xml:space="preserve">. En la estimación del beneficio asociado a aquellos beneficiarios que cuentan con estudios secundarios, universitarios completos o incompletos y terciarios completos o incompletos se considera el diferencial por retorno </w:t>
      </w:r>
      <w:r w:rsidR="00713213" w:rsidRPr="00713213">
        <w:rPr>
          <w:sz w:val="24"/>
          <w:szCs w:val="24"/>
        </w:rPr>
        <w:lastRenderedPageBreak/>
        <w:t>a la educación</w:t>
      </w:r>
      <w:r w:rsidR="00713213">
        <w:rPr>
          <w:sz w:val="24"/>
          <w:szCs w:val="24"/>
        </w:rPr>
        <w:t xml:space="preserve"> alcanzada</w:t>
      </w:r>
      <w:r w:rsidR="00713213" w:rsidRPr="00713213">
        <w:rPr>
          <w:sz w:val="24"/>
          <w:szCs w:val="24"/>
        </w:rPr>
        <w:t>.</w:t>
      </w:r>
      <w:r w:rsidR="005463B3">
        <w:rPr>
          <w:sz w:val="24"/>
          <w:szCs w:val="24"/>
        </w:rPr>
        <w:t xml:space="preserve"> </w:t>
      </w:r>
      <w:r w:rsidR="005463B3">
        <w:rPr>
          <w:i/>
          <w:sz w:val="24"/>
          <w:szCs w:val="24"/>
        </w:rPr>
        <w:t>El Grupo 1 está compuesto por los beneficiarios que se encuentran c</w:t>
      </w:r>
      <w:r w:rsidR="005463B3" w:rsidRPr="00125A83">
        <w:rPr>
          <w:sz w:val="24"/>
          <w:szCs w:val="24"/>
        </w:rPr>
        <w:t xml:space="preserve">ursando </w:t>
      </w:r>
      <w:r w:rsidR="005463B3">
        <w:rPr>
          <w:i/>
          <w:sz w:val="24"/>
          <w:szCs w:val="24"/>
        </w:rPr>
        <w:t xml:space="preserve">el </w:t>
      </w:r>
      <w:r w:rsidR="005463B3" w:rsidRPr="00125A83">
        <w:rPr>
          <w:sz w:val="24"/>
          <w:szCs w:val="24"/>
        </w:rPr>
        <w:t>último año</w:t>
      </w:r>
      <w:r w:rsidR="005463B3">
        <w:rPr>
          <w:i/>
          <w:sz w:val="24"/>
          <w:szCs w:val="24"/>
        </w:rPr>
        <w:t xml:space="preserve"> de</w:t>
      </w:r>
      <w:r w:rsidR="005463B3" w:rsidRPr="00125A83">
        <w:rPr>
          <w:sz w:val="24"/>
          <w:szCs w:val="24"/>
        </w:rPr>
        <w:t xml:space="preserve"> secundaria + 64 horas de formación profesional</w:t>
      </w:r>
      <w:r w:rsidR="005463B3">
        <w:rPr>
          <w:i/>
          <w:sz w:val="24"/>
          <w:szCs w:val="24"/>
        </w:rPr>
        <w:t xml:space="preserve"> y el Grupo 2 se está integrado por los que asisten a 120 hs. de c</w:t>
      </w:r>
      <w:r w:rsidR="005463B3" w:rsidRPr="00B613F8">
        <w:rPr>
          <w:sz w:val="24"/>
          <w:szCs w:val="24"/>
        </w:rPr>
        <w:t>ursos de formación profesional</w:t>
      </w:r>
      <w:r w:rsidR="005463B3">
        <w:rPr>
          <w:i/>
          <w:sz w:val="24"/>
          <w:szCs w:val="24"/>
        </w:rPr>
        <w:t>.</w:t>
      </w:r>
    </w:p>
    <w:p w14:paraId="2A43F876" w14:textId="77777777" w:rsidR="00E619B9" w:rsidRPr="00713213" w:rsidRDefault="00E619B9" w:rsidP="00713213">
      <w:pPr>
        <w:jc w:val="both"/>
        <w:rPr>
          <w:sz w:val="24"/>
          <w:szCs w:val="24"/>
        </w:rPr>
      </w:pPr>
    </w:p>
    <w:p w14:paraId="70D545D8" w14:textId="420E82F4" w:rsidR="00AC243B" w:rsidRDefault="0015671E" w:rsidP="00D747E6">
      <w:pPr>
        <w:pStyle w:val="Caption"/>
        <w:keepNext/>
      </w:pPr>
      <w:bookmarkStart w:id="12" w:name="_Ref522028166"/>
      <w:r w:rsidRPr="00D747E6">
        <w:rPr>
          <w:sz w:val="24"/>
          <w:szCs w:val="24"/>
        </w:rPr>
        <w:t xml:space="preserve">Cuadro </w:t>
      </w:r>
      <w:r w:rsidRPr="00D747E6">
        <w:rPr>
          <w:sz w:val="24"/>
          <w:szCs w:val="24"/>
        </w:rPr>
        <w:fldChar w:fldCharType="begin"/>
      </w:r>
      <w:r w:rsidRPr="00D747E6">
        <w:rPr>
          <w:sz w:val="24"/>
          <w:szCs w:val="24"/>
        </w:rPr>
        <w:instrText xml:space="preserve"> SEQ Cuadro \* ARABIC </w:instrText>
      </w:r>
      <w:r w:rsidRPr="00D747E6">
        <w:rPr>
          <w:sz w:val="24"/>
          <w:szCs w:val="24"/>
        </w:rPr>
        <w:fldChar w:fldCharType="separate"/>
      </w:r>
      <w:r w:rsidR="00D90DF1">
        <w:rPr>
          <w:noProof/>
          <w:sz w:val="24"/>
          <w:szCs w:val="24"/>
        </w:rPr>
        <w:t>6</w:t>
      </w:r>
      <w:r w:rsidRPr="00D747E6">
        <w:rPr>
          <w:sz w:val="24"/>
          <w:szCs w:val="24"/>
        </w:rPr>
        <w:fldChar w:fldCharType="end"/>
      </w:r>
      <w:bookmarkEnd w:id="12"/>
      <w:r w:rsidR="00FF2C4F" w:rsidRPr="00D747E6">
        <w:rPr>
          <w:sz w:val="24"/>
          <w:szCs w:val="24"/>
        </w:rPr>
        <w:t xml:space="preserve">: Estimación de beneficios por </w:t>
      </w:r>
      <w:r w:rsidR="00713213" w:rsidRPr="00D747E6">
        <w:rPr>
          <w:sz w:val="24"/>
          <w:szCs w:val="24"/>
        </w:rPr>
        <w:t>incremento del nivel de empleo formal</w:t>
      </w:r>
      <w:r w:rsidR="005463B3" w:rsidRPr="005463B3">
        <w:t xml:space="preserve"> </w:t>
      </w:r>
      <w:r w:rsidR="005B13AE" w:rsidRPr="005B13AE">
        <w:rPr>
          <w:noProof/>
        </w:rPr>
        <w:drawing>
          <wp:inline distT="0" distB="0" distL="0" distR="0" wp14:anchorId="70A302BC" wp14:editId="2039605B">
            <wp:extent cx="6341133" cy="1816100"/>
            <wp:effectExtent l="0" t="0" r="254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45256" cy="1817281"/>
                    </a:xfrm>
                    <a:prstGeom prst="rect">
                      <a:avLst/>
                    </a:prstGeom>
                    <a:noFill/>
                    <a:ln>
                      <a:noFill/>
                    </a:ln>
                  </pic:spPr>
                </pic:pic>
              </a:graphicData>
            </a:graphic>
          </wp:inline>
        </w:drawing>
      </w:r>
    </w:p>
    <w:p w14:paraId="6F2D098A" w14:textId="77777777" w:rsidR="00D137AE" w:rsidRDefault="00D137AE" w:rsidP="00536C8C"/>
    <w:p w14:paraId="3D11088E" w14:textId="53E63191" w:rsidR="006E6C9E" w:rsidRDefault="006E6C9E" w:rsidP="006E6C9E">
      <w:pPr>
        <w:jc w:val="both"/>
        <w:rPr>
          <w:sz w:val="24"/>
          <w:szCs w:val="24"/>
        </w:rPr>
      </w:pPr>
      <w:r w:rsidRPr="006E6C9E">
        <w:rPr>
          <w:sz w:val="24"/>
          <w:szCs w:val="24"/>
        </w:rPr>
        <w:t xml:space="preserve">En el </w:t>
      </w:r>
      <w:r w:rsidRPr="006E6C9E">
        <w:rPr>
          <w:sz w:val="24"/>
          <w:szCs w:val="24"/>
        </w:rPr>
        <w:fldChar w:fldCharType="begin"/>
      </w:r>
      <w:r w:rsidRPr="006E6C9E">
        <w:rPr>
          <w:sz w:val="24"/>
          <w:szCs w:val="24"/>
        </w:rPr>
        <w:instrText xml:space="preserve"> REF _Ref522030113 \h </w:instrText>
      </w:r>
      <w:r>
        <w:rPr>
          <w:sz w:val="24"/>
          <w:szCs w:val="24"/>
        </w:rPr>
        <w:instrText xml:space="preserve"> \* MERGEFORMAT </w:instrText>
      </w:r>
      <w:r w:rsidRPr="006E6C9E">
        <w:rPr>
          <w:sz w:val="24"/>
          <w:szCs w:val="24"/>
        </w:rPr>
      </w:r>
      <w:r w:rsidRPr="006E6C9E">
        <w:rPr>
          <w:sz w:val="24"/>
          <w:szCs w:val="24"/>
        </w:rPr>
        <w:fldChar w:fldCharType="separate"/>
      </w:r>
      <w:r w:rsidR="00E514A9" w:rsidRPr="00E514A9">
        <w:rPr>
          <w:sz w:val="24"/>
          <w:szCs w:val="24"/>
        </w:rPr>
        <w:t xml:space="preserve">Cuadro </w:t>
      </w:r>
      <w:r w:rsidR="00E514A9" w:rsidRPr="00E514A9">
        <w:rPr>
          <w:noProof/>
          <w:sz w:val="24"/>
          <w:szCs w:val="24"/>
        </w:rPr>
        <w:t>7</w:t>
      </w:r>
      <w:r w:rsidRPr="006E6C9E">
        <w:rPr>
          <w:sz w:val="24"/>
          <w:szCs w:val="24"/>
        </w:rPr>
        <w:fldChar w:fldCharType="end"/>
      </w:r>
      <w:r>
        <w:rPr>
          <w:sz w:val="24"/>
          <w:szCs w:val="24"/>
        </w:rPr>
        <w:t xml:space="preserve"> se presenta la estimación de beneficios para una tasa de descuento neta del </w:t>
      </w:r>
      <w:r w:rsidR="00112962">
        <w:rPr>
          <w:sz w:val="24"/>
          <w:szCs w:val="24"/>
        </w:rPr>
        <w:t>3</w:t>
      </w:r>
      <w:r>
        <w:rPr>
          <w:sz w:val="24"/>
          <w:szCs w:val="24"/>
        </w:rPr>
        <w:t xml:space="preserve">%. </w:t>
      </w:r>
      <w:r w:rsidR="00A67DB4">
        <w:rPr>
          <w:sz w:val="24"/>
          <w:szCs w:val="24"/>
        </w:rPr>
        <w:t>Además de los beneficios de mediano y largo plazo asociados a los efectos enumerados, se considera también el beneficio inmediato generado por el incremento en el ingreso de los hogares como consecuencia de la transferencia</w:t>
      </w:r>
      <w:r w:rsidR="00D747E6">
        <w:rPr>
          <w:rStyle w:val="FootnoteReference"/>
          <w:sz w:val="24"/>
          <w:szCs w:val="24"/>
        </w:rPr>
        <w:footnoteReference w:id="7"/>
      </w:r>
      <w:r w:rsidR="00A67DB4">
        <w:rPr>
          <w:sz w:val="24"/>
          <w:szCs w:val="24"/>
        </w:rPr>
        <w:t xml:space="preserve">. </w:t>
      </w:r>
      <w:r w:rsidR="004F5D11">
        <w:rPr>
          <w:sz w:val="24"/>
          <w:szCs w:val="24"/>
        </w:rPr>
        <w:t>E</w:t>
      </w:r>
      <w:r w:rsidR="00A67DB4">
        <w:rPr>
          <w:sz w:val="24"/>
          <w:szCs w:val="24"/>
        </w:rPr>
        <w:t>ste beneficio es igual al monto recibido por los beneficiarios y</w:t>
      </w:r>
      <w:r w:rsidR="004F5D11">
        <w:rPr>
          <w:sz w:val="24"/>
          <w:szCs w:val="24"/>
        </w:rPr>
        <w:t xml:space="preserve"> </w:t>
      </w:r>
      <w:r w:rsidR="000E16CF">
        <w:rPr>
          <w:sz w:val="24"/>
          <w:szCs w:val="24"/>
        </w:rPr>
        <w:t xml:space="preserve">no se descuenta ya que tiene lugar en el momento </w:t>
      </w:r>
      <w:r w:rsidR="000E16CF" w:rsidRPr="000E16CF">
        <w:rPr>
          <w:i/>
          <w:sz w:val="24"/>
          <w:szCs w:val="24"/>
        </w:rPr>
        <w:t>t</w:t>
      </w:r>
      <w:r>
        <w:rPr>
          <w:sz w:val="24"/>
          <w:szCs w:val="24"/>
        </w:rPr>
        <w:t>. Para el cálculo se supone que el beneficio</w:t>
      </w:r>
      <w:r w:rsidR="00420A8D">
        <w:rPr>
          <w:sz w:val="24"/>
          <w:szCs w:val="24"/>
        </w:rPr>
        <w:t>, exceptuando el generado por la transferencia monetaria,</w:t>
      </w:r>
      <w:r>
        <w:rPr>
          <w:sz w:val="24"/>
          <w:szCs w:val="24"/>
        </w:rPr>
        <w:t xml:space="preserve"> comienza a tener un efecto en el período </w:t>
      </w:r>
      <w:r w:rsidRPr="006E6C9E">
        <w:rPr>
          <w:i/>
          <w:sz w:val="24"/>
          <w:szCs w:val="24"/>
        </w:rPr>
        <w:t>t+1</w:t>
      </w:r>
      <w:r w:rsidR="00CB0148">
        <w:rPr>
          <w:i/>
          <w:sz w:val="24"/>
          <w:szCs w:val="24"/>
        </w:rPr>
        <w:t xml:space="preserve"> </w:t>
      </w:r>
      <w:r w:rsidR="00463364">
        <w:rPr>
          <w:sz w:val="24"/>
          <w:szCs w:val="24"/>
        </w:rPr>
        <w:t>y que el horizonte del análisis es</w:t>
      </w:r>
      <w:r>
        <w:rPr>
          <w:sz w:val="24"/>
          <w:szCs w:val="24"/>
        </w:rPr>
        <w:t xml:space="preserve"> de </w:t>
      </w:r>
      <w:r w:rsidRPr="006E6C9E">
        <w:rPr>
          <w:i/>
          <w:sz w:val="24"/>
          <w:szCs w:val="24"/>
        </w:rPr>
        <w:t>t+</w:t>
      </w:r>
      <w:r w:rsidR="00AB7B85">
        <w:rPr>
          <w:i/>
          <w:sz w:val="24"/>
          <w:szCs w:val="24"/>
        </w:rPr>
        <w:t>2</w:t>
      </w:r>
      <w:r w:rsidR="00B84132">
        <w:rPr>
          <w:i/>
          <w:sz w:val="24"/>
          <w:szCs w:val="24"/>
        </w:rPr>
        <w:t>9</w:t>
      </w:r>
      <w:r>
        <w:rPr>
          <w:i/>
          <w:sz w:val="24"/>
          <w:szCs w:val="24"/>
        </w:rPr>
        <w:t xml:space="preserve"> </w:t>
      </w:r>
      <w:r>
        <w:rPr>
          <w:sz w:val="24"/>
          <w:szCs w:val="24"/>
        </w:rPr>
        <w:t>años</w:t>
      </w:r>
      <w:r w:rsidR="00910851">
        <w:rPr>
          <w:sz w:val="24"/>
          <w:szCs w:val="24"/>
        </w:rPr>
        <w:t>, el tiempo promedio que resta hasta la jubilación de los beneficiarios.</w:t>
      </w:r>
      <w:r>
        <w:rPr>
          <w:sz w:val="24"/>
          <w:szCs w:val="24"/>
        </w:rPr>
        <w:t xml:space="preserve"> </w:t>
      </w:r>
      <w:r w:rsidR="00CE5C89">
        <w:rPr>
          <w:sz w:val="24"/>
          <w:szCs w:val="24"/>
        </w:rPr>
        <w:t>Como puede observarse, e</w:t>
      </w:r>
      <w:r>
        <w:rPr>
          <w:sz w:val="24"/>
          <w:szCs w:val="24"/>
        </w:rPr>
        <w:t>l mayor beneficio está dado por posibles efectos en los niveles de empleo formal.</w:t>
      </w:r>
    </w:p>
    <w:p w14:paraId="46EBE01C" w14:textId="38AC01A7" w:rsidR="007C6BD3" w:rsidRPr="006E6C9E" w:rsidRDefault="007C6BD3" w:rsidP="006E6C9E">
      <w:pPr>
        <w:jc w:val="both"/>
        <w:rPr>
          <w:sz w:val="24"/>
          <w:szCs w:val="24"/>
        </w:rPr>
      </w:pPr>
    </w:p>
    <w:p w14:paraId="77003820" w14:textId="38E8A884" w:rsidR="006E6C9E" w:rsidRPr="006E6C9E" w:rsidRDefault="006E6C9E" w:rsidP="006E6C9E">
      <w:pPr>
        <w:pStyle w:val="Caption"/>
        <w:keepNext/>
        <w:rPr>
          <w:sz w:val="24"/>
        </w:rPr>
      </w:pPr>
      <w:bookmarkStart w:id="13" w:name="_Ref522030113"/>
      <w:r w:rsidRPr="006E6C9E">
        <w:rPr>
          <w:sz w:val="24"/>
        </w:rPr>
        <w:lastRenderedPageBreak/>
        <w:t xml:space="preserve">Cuadro </w:t>
      </w:r>
      <w:r w:rsidRPr="006E6C9E">
        <w:rPr>
          <w:sz w:val="24"/>
        </w:rPr>
        <w:fldChar w:fldCharType="begin"/>
      </w:r>
      <w:r w:rsidRPr="006E6C9E">
        <w:rPr>
          <w:sz w:val="24"/>
        </w:rPr>
        <w:instrText xml:space="preserve"> SEQ Cuadro \* ARABIC </w:instrText>
      </w:r>
      <w:r w:rsidRPr="006E6C9E">
        <w:rPr>
          <w:sz w:val="24"/>
        </w:rPr>
        <w:fldChar w:fldCharType="separate"/>
      </w:r>
      <w:r w:rsidR="00D90DF1">
        <w:rPr>
          <w:noProof/>
          <w:sz w:val="24"/>
        </w:rPr>
        <w:t>7</w:t>
      </w:r>
      <w:r w:rsidRPr="006E6C9E">
        <w:rPr>
          <w:sz w:val="24"/>
        </w:rPr>
        <w:fldChar w:fldCharType="end"/>
      </w:r>
      <w:bookmarkEnd w:id="13"/>
      <w:r w:rsidRPr="006E6C9E">
        <w:rPr>
          <w:sz w:val="24"/>
        </w:rPr>
        <w:t xml:space="preserve">: </w:t>
      </w:r>
      <w:r w:rsidR="00754ECF">
        <w:rPr>
          <w:sz w:val="24"/>
        </w:rPr>
        <w:t>Estimación del v</w:t>
      </w:r>
      <w:r w:rsidRPr="006E6C9E">
        <w:rPr>
          <w:sz w:val="24"/>
        </w:rPr>
        <w:t xml:space="preserve">alor actual de los beneficios (tasa de descuento del </w:t>
      </w:r>
      <w:r w:rsidR="00AF0D00">
        <w:rPr>
          <w:sz w:val="24"/>
        </w:rPr>
        <w:t>3</w:t>
      </w:r>
      <w:r w:rsidRPr="006E6C9E">
        <w:rPr>
          <w:sz w:val="24"/>
        </w:rPr>
        <w:t>%)</w:t>
      </w:r>
    </w:p>
    <w:p w14:paraId="2E4A663E" w14:textId="5B306ECB" w:rsidR="008F22E4" w:rsidRDefault="00F42B32" w:rsidP="00536C8C">
      <w:r w:rsidRPr="00F42B32">
        <w:rPr>
          <w:noProof/>
        </w:rPr>
        <w:drawing>
          <wp:inline distT="0" distB="0" distL="0" distR="0" wp14:anchorId="7E2691BB" wp14:editId="6702CF06">
            <wp:extent cx="5400040" cy="2122657"/>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00040" cy="2122657"/>
                    </a:xfrm>
                    <a:prstGeom prst="rect">
                      <a:avLst/>
                    </a:prstGeom>
                    <a:noFill/>
                    <a:ln>
                      <a:noFill/>
                    </a:ln>
                  </pic:spPr>
                </pic:pic>
              </a:graphicData>
            </a:graphic>
          </wp:inline>
        </w:drawing>
      </w:r>
    </w:p>
    <w:p w14:paraId="3660B513" w14:textId="2B96C781" w:rsidR="00881C18" w:rsidRPr="00F35F4F" w:rsidRDefault="00881C18" w:rsidP="00AD0257"/>
    <w:p w14:paraId="527058A8" w14:textId="7E3B2E5E" w:rsidR="00A67DB4" w:rsidRPr="00791F3A" w:rsidRDefault="00A67DB4" w:rsidP="00791F3A">
      <w:pPr>
        <w:jc w:val="both"/>
        <w:rPr>
          <w:sz w:val="24"/>
        </w:rPr>
      </w:pPr>
      <w:r w:rsidRPr="00791F3A">
        <w:rPr>
          <w:sz w:val="24"/>
        </w:rPr>
        <w:t xml:space="preserve">Por </w:t>
      </w:r>
      <w:r w:rsidR="00791F3A" w:rsidRPr="00791F3A">
        <w:rPr>
          <w:sz w:val="24"/>
        </w:rPr>
        <w:t>ú</w:t>
      </w:r>
      <w:r w:rsidRPr="00791F3A">
        <w:rPr>
          <w:sz w:val="24"/>
        </w:rPr>
        <w:t xml:space="preserve">ltimo, cabe destacar que hay una serie de beneficios que no han sido incluidos en este análisis. </w:t>
      </w:r>
      <w:r w:rsidR="00791F3A" w:rsidRPr="00791F3A">
        <w:rPr>
          <w:sz w:val="24"/>
        </w:rPr>
        <w:t xml:space="preserve">Los efectos de la educación en la educación (este punto es abordado en forma parcial más adelante) y salud de los hijos y otros integrantes de la familia. Efectos sobre la tasa de natalidad, cohesión social y tasas de criminalidad tampoco están siendo abordados. Todo esto lleva a inferir que los beneficios sociales de la intervención son mayores a los estimados. </w:t>
      </w:r>
    </w:p>
    <w:p w14:paraId="03F0C9E4" w14:textId="77777777" w:rsidR="00A27572" w:rsidRPr="00A27572" w:rsidRDefault="00A27572" w:rsidP="00536C8C"/>
    <w:p w14:paraId="4A7F9425" w14:textId="2BB440E7" w:rsidR="00FF1E3E" w:rsidRDefault="00FF1E3E" w:rsidP="00FF1E3E">
      <w:pPr>
        <w:pStyle w:val="Heading2"/>
      </w:pPr>
      <w:r>
        <w:t>COSTOS</w:t>
      </w:r>
      <w:r w:rsidR="00772E2C">
        <w:t xml:space="preserve"> Y METODOLOGÍA DE ESTIMACIÓN</w:t>
      </w:r>
    </w:p>
    <w:p w14:paraId="47A09067" w14:textId="77777777" w:rsidR="00FF1E3E" w:rsidRDefault="00FF1E3E" w:rsidP="00536C8C"/>
    <w:p w14:paraId="73FF57DE" w14:textId="7710B9B0" w:rsidR="003B2F98" w:rsidRDefault="001720CC" w:rsidP="00E12532">
      <w:pPr>
        <w:jc w:val="both"/>
        <w:rPr>
          <w:sz w:val="24"/>
        </w:rPr>
      </w:pPr>
      <w:r w:rsidRPr="00E12532">
        <w:rPr>
          <w:sz w:val="24"/>
        </w:rPr>
        <w:t xml:space="preserve">En el </w:t>
      </w:r>
      <w:r w:rsidRPr="00E12532">
        <w:rPr>
          <w:sz w:val="24"/>
        </w:rPr>
        <w:fldChar w:fldCharType="begin"/>
      </w:r>
      <w:r w:rsidRPr="00E12532">
        <w:rPr>
          <w:sz w:val="24"/>
        </w:rPr>
        <w:instrText xml:space="preserve"> REF _Ref522037858 \h </w:instrText>
      </w:r>
      <w:r w:rsidR="00E12532">
        <w:rPr>
          <w:sz w:val="24"/>
        </w:rPr>
        <w:instrText xml:space="preserve"> \* MERGEFORMAT </w:instrText>
      </w:r>
      <w:r w:rsidRPr="00E12532">
        <w:rPr>
          <w:sz w:val="24"/>
        </w:rPr>
      </w:r>
      <w:r w:rsidRPr="00E12532">
        <w:rPr>
          <w:sz w:val="24"/>
        </w:rPr>
        <w:fldChar w:fldCharType="separate"/>
      </w:r>
      <w:r w:rsidRPr="00E12532">
        <w:rPr>
          <w:sz w:val="24"/>
        </w:rPr>
        <w:t xml:space="preserve">Cuadro </w:t>
      </w:r>
      <w:r w:rsidRPr="00E12532">
        <w:rPr>
          <w:noProof/>
          <w:sz w:val="24"/>
        </w:rPr>
        <w:t>9</w:t>
      </w:r>
      <w:r w:rsidRPr="00E12532">
        <w:rPr>
          <w:sz w:val="24"/>
        </w:rPr>
        <w:fldChar w:fldCharType="end"/>
      </w:r>
      <w:r w:rsidRPr="00E12532">
        <w:rPr>
          <w:sz w:val="24"/>
        </w:rPr>
        <w:t xml:space="preserve"> se </w:t>
      </w:r>
      <w:r w:rsidR="00591E68">
        <w:rPr>
          <w:sz w:val="24"/>
        </w:rPr>
        <w:t>ilustra</w:t>
      </w:r>
      <w:r w:rsidRPr="00E12532">
        <w:rPr>
          <w:sz w:val="24"/>
        </w:rPr>
        <w:t xml:space="preserve"> la estimación de costos de implementación del programa. En primer lugar</w:t>
      </w:r>
      <w:r w:rsidR="00243985" w:rsidRPr="00E12532">
        <w:rPr>
          <w:sz w:val="24"/>
        </w:rPr>
        <w:t>,</w:t>
      </w:r>
      <w:r w:rsidRPr="00E12532">
        <w:rPr>
          <w:sz w:val="24"/>
        </w:rPr>
        <w:t xml:space="preserve"> se </w:t>
      </w:r>
      <w:r w:rsidR="00591E68">
        <w:rPr>
          <w:sz w:val="24"/>
        </w:rPr>
        <w:t>exhiben</w:t>
      </w:r>
      <w:r w:rsidRPr="00E12532">
        <w:rPr>
          <w:sz w:val="24"/>
        </w:rPr>
        <w:t xml:space="preserve"> los c</w:t>
      </w:r>
      <w:r w:rsidR="003F3FDA" w:rsidRPr="00E12532">
        <w:rPr>
          <w:sz w:val="24"/>
        </w:rPr>
        <w:t>ostos directos</w:t>
      </w:r>
      <w:r w:rsidR="00243985" w:rsidRPr="00E12532">
        <w:rPr>
          <w:sz w:val="24"/>
        </w:rPr>
        <w:t xml:space="preserve"> que suman </w:t>
      </w:r>
      <w:r w:rsidR="00F35F4F">
        <w:rPr>
          <w:sz w:val="24"/>
        </w:rPr>
        <w:t>462,7</w:t>
      </w:r>
      <w:r w:rsidR="00243985" w:rsidRPr="00E12532">
        <w:rPr>
          <w:sz w:val="24"/>
        </w:rPr>
        <w:t xml:space="preserve"> millones de </w:t>
      </w:r>
      <w:r w:rsidR="00F35F4F">
        <w:rPr>
          <w:sz w:val="24"/>
        </w:rPr>
        <w:t>dólares</w:t>
      </w:r>
      <w:r w:rsidR="00243985" w:rsidRPr="00E12532">
        <w:rPr>
          <w:sz w:val="24"/>
        </w:rPr>
        <w:t>. En segundo lugar, se presenta una estimación de los costos indirectos asociados a brindar los servicios</w:t>
      </w:r>
      <w:r w:rsidR="005D7770">
        <w:rPr>
          <w:sz w:val="24"/>
        </w:rPr>
        <w:t xml:space="preserve"> educativos</w:t>
      </w:r>
      <w:r w:rsidR="00243985" w:rsidRPr="00E12532">
        <w:rPr>
          <w:sz w:val="24"/>
        </w:rPr>
        <w:t xml:space="preserve"> de educación obligatoria</w:t>
      </w:r>
      <w:r w:rsidR="00C87ACC" w:rsidRPr="00E12532">
        <w:rPr>
          <w:sz w:val="24"/>
        </w:rPr>
        <w:t xml:space="preserve"> </w:t>
      </w:r>
      <w:r w:rsidR="00243985" w:rsidRPr="00E12532">
        <w:rPr>
          <w:sz w:val="24"/>
        </w:rPr>
        <w:t>y formación profesional.</w:t>
      </w:r>
      <w:r w:rsidR="003B2F98">
        <w:rPr>
          <w:sz w:val="24"/>
        </w:rPr>
        <w:t xml:space="preserve"> En tercer lugar, los costos indirectos asociados a la administración y monitoreo del programa. Por último, los costos de logística que deben afrontar los beneficiarios para acceder a los servicios de educación</w:t>
      </w:r>
      <w:r w:rsidR="004F41BB">
        <w:rPr>
          <w:sz w:val="24"/>
        </w:rPr>
        <w:t xml:space="preserve"> y el </w:t>
      </w:r>
      <w:r w:rsidR="00280FE2">
        <w:rPr>
          <w:sz w:val="24"/>
        </w:rPr>
        <w:t>costo de oportunidad</w:t>
      </w:r>
      <w:r w:rsidR="00D31376">
        <w:rPr>
          <w:sz w:val="24"/>
        </w:rPr>
        <w:t xml:space="preserve"> por las horas</w:t>
      </w:r>
      <w:r w:rsidR="004F41BB">
        <w:rPr>
          <w:sz w:val="24"/>
        </w:rPr>
        <w:t xml:space="preserve"> de trabajo pérdidas para asistir a los cursos</w:t>
      </w:r>
      <w:r w:rsidR="003B2F98">
        <w:rPr>
          <w:sz w:val="24"/>
        </w:rPr>
        <w:t>.</w:t>
      </w:r>
    </w:p>
    <w:p w14:paraId="4E0B4731" w14:textId="27B9510B" w:rsidR="009A165A" w:rsidRDefault="009A165A" w:rsidP="00E12532">
      <w:pPr>
        <w:jc w:val="both"/>
        <w:rPr>
          <w:sz w:val="24"/>
        </w:rPr>
      </w:pPr>
      <w:r>
        <w:rPr>
          <w:sz w:val="24"/>
        </w:rPr>
        <w:t xml:space="preserve">Los costos directos </w:t>
      </w:r>
      <w:r w:rsidR="00682540">
        <w:rPr>
          <w:sz w:val="24"/>
        </w:rPr>
        <w:t>están conformados por las transferencias monetarias a los beneficiarios y suman un monto igual al considerado en los beneficios por el mismo ítem.</w:t>
      </w:r>
      <w:r w:rsidR="008A50F3">
        <w:rPr>
          <w:sz w:val="24"/>
        </w:rPr>
        <w:t xml:space="preserve"> Al igual que el resto de los </w:t>
      </w:r>
      <w:r w:rsidR="00666917">
        <w:rPr>
          <w:sz w:val="24"/>
        </w:rPr>
        <w:t xml:space="preserve">costos de este programa, no son descontados ya que se devengan en el momento </w:t>
      </w:r>
      <w:r w:rsidR="00666917" w:rsidRPr="00666917">
        <w:rPr>
          <w:i/>
          <w:sz w:val="24"/>
        </w:rPr>
        <w:t>t</w:t>
      </w:r>
      <w:r w:rsidR="00666917">
        <w:rPr>
          <w:sz w:val="24"/>
        </w:rPr>
        <w:t>.</w:t>
      </w:r>
    </w:p>
    <w:p w14:paraId="042C0F89" w14:textId="190C73CD" w:rsidR="00A55A75" w:rsidRDefault="00A572C3" w:rsidP="00E12532">
      <w:pPr>
        <w:jc w:val="both"/>
        <w:rPr>
          <w:sz w:val="24"/>
        </w:rPr>
      </w:pPr>
      <w:r>
        <w:rPr>
          <w:sz w:val="24"/>
        </w:rPr>
        <w:t xml:space="preserve">Los costos </w:t>
      </w:r>
      <w:r w:rsidR="00077EE0">
        <w:rPr>
          <w:sz w:val="24"/>
        </w:rPr>
        <w:t>in</w:t>
      </w:r>
      <w:r>
        <w:rPr>
          <w:sz w:val="24"/>
        </w:rPr>
        <w:t xml:space="preserve">directos de brindar la educación primaria y secundaria se estiman a partir de datos de educación para adultos del presupuesto de la provincia de Buenos Aires. Se </w:t>
      </w:r>
      <w:r w:rsidR="00345377">
        <w:rPr>
          <w:sz w:val="24"/>
        </w:rPr>
        <w:t>multiplica</w:t>
      </w:r>
      <w:r>
        <w:rPr>
          <w:sz w:val="24"/>
        </w:rPr>
        <w:t xml:space="preserve"> el costo medio</w:t>
      </w:r>
      <w:r w:rsidR="00345377">
        <w:rPr>
          <w:sz w:val="24"/>
        </w:rPr>
        <w:t xml:space="preserve"> por la cantidad de alumnos adicionales a partir de la intervención de política pública</w:t>
      </w:r>
      <w:r>
        <w:rPr>
          <w:sz w:val="24"/>
        </w:rPr>
        <w:t>. Los costos de formación profesional se estiman a partir de datos del presupuesto de la Ciudad Autónoma de Buenos Aires. Al igual que en el caso anterior se utilizan los costos medios.</w:t>
      </w:r>
    </w:p>
    <w:p w14:paraId="2E59FD18" w14:textId="15F816F0" w:rsidR="00A572C3" w:rsidRDefault="00A55A75" w:rsidP="00E12532">
      <w:pPr>
        <w:jc w:val="both"/>
        <w:rPr>
          <w:sz w:val="24"/>
        </w:rPr>
      </w:pPr>
      <w:r>
        <w:rPr>
          <w:sz w:val="24"/>
        </w:rPr>
        <w:lastRenderedPageBreak/>
        <w:t>Los costos de administración y monitoreo del programa se calcularon de la siguiente forma. Se ponderó la partida de “</w:t>
      </w:r>
      <w:r w:rsidRPr="00A55A75">
        <w:rPr>
          <w:sz w:val="24"/>
        </w:rPr>
        <w:t>Servicios no personales</w:t>
      </w:r>
      <w:r>
        <w:rPr>
          <w:sz w:val="24"/>
        </w:rPr>
        <w:t>”</w:t>
      </w:r>
      <w:r w:rsidRPr="00A55A75">
        <w:rPr>
          <w:sz w:val="24"/>
        </w:rPr>
        <w:t xml:space="preserve"> del programa "Apoyo al empleo" de Ministerio de Desarrollo Social</w:t>
      </w:r>
      <w:r>
        <w:rPr>
          <w:sz w:val="24"/>
        </w:rPr>
        <w:t xml:space="preserve"> por el peso de las actividades “E</w:t>
      </w:r>
      <w:r w:rsidRPr="00A55A75">
        <w:rPr>
          <w:sz w:val="24"/>
        </w:rPr>
        <w:t>llas hacen</w:t>
      </w:r>
      <w:r>
        <w:rPr>
          <w:sz w:val="24"/>
        </w:rPr>
        <w:t>”</w:t>
      </w:r>
      <w:r w:rsidRPr="00A55A75">
        <w:rPr>
          <w:sz w:val="24"/>
        </w:rPr>
        <w:t xml:space="preserve"> y </w:t>
      </w:r>
      <w:r>
        <w:rPr>
          <w:sz w:val="24"/>
        </w:rPr>
        <w:t>“A</w:t>
      </w:r>
      <w:r w:rsidRPr="00A55A75">
        <w:rPr>
          <w:sz w:val="24"/>
        </w:rPr>
        <w:t>rgentina trabaja</w:t>
      </w:r>
      <w:r>
        <w:rPr>
          <w:sz w:val="24"/>
        </w:rPr>
        <w:t>”. Estas dos actividades se transformaron en el programa Hacemos Futuro.</w:t>
      </w:r>
      <w:r w:rsidR="00A572C3">
        <w:rPr>
          <w:sz w:val="24"/>
        </w:rPr>
        <w:t xml:space="preserve"> </w:t>
      </w:r>
      <w:r>
        <w:rPr>
          <w:sz w:val="24"/>
        </w:rPr>
        <w:t>Adicionalmente, se ponderó el gasto del programa “</w:t>
      </w:r>
      <w:r w:rsidRPr="00A55A75">
        <w:rPr>
          <w:sz w:val="24"/>
        </w:rPr>
        <w:t>Actividades Centrales</w:t>
      </w:r>
      <w:r>
        <w:rPr>
          <w:sz w:val="24"/>
        </w:rPr>
        <w:t xml:space="preserve">” del </w:t>
      </w:r>
      <w:r w:rsidRPr="00A55A75">
        <w:rPr>
          <w:sz w:val="24"/>
        </w:rPr>
        <w:t xml:space="preserve"> Ministerio de Desarrollo Social</w:t>
      </w:r>
      <w:r>
        <w:rPr>
          <w:sz w:val="24"/>
        </w:rPr>
        <w:t xml:space="preserve"> por la proporción de las actividades “E</w:t>
      </w:r>
      <w:r w:rsidRPr="00A55A75">
        <w:rPr>
          <w:sz w:val="24"/>
        </w:rPr>
        <w:t>llas hacen</w:t>
      </w:r>
      <w:r>
        <w:rPr>
          <w:sz w:val="24"/>
        </w:rPr>
        <w:t>”</w:t>
      </w:r>
      <w:r w:rsidRPr="00A55A75">
        <w:rPr>
          <w:sz w:val="24"/>
        </w:rPr>
        <w:t xml:space="preserve"> y </w:t>
      </w:r>
      <w:r>
        <w:rPr>
          <w:sz w:val="24"/>
        </w:rPr>
        <w:t>“A</w:t>
      </w:r>
      <w:r w:rsidRPr="00A55A75">
        <w:rPr>
          <w:sz w:val="24"/>
        </w:rPr>
        <w:t>rgentina trabaja</w:t>
      </w:r>
      <w:r>
        <w:rPr>
          <w:sz w:val="24"/>
        </w:rPr>
        <w:t>” en relación al total del presupuesto del Ministerio.</w:t>
      </w:r>
      <w:r w:rsidR="00077EE0">
        <w:rPr>
          <w:sz w:val="24"/>
        </w:rPr>
        <w:t xml:space="preserve"> El costo de la recaudación tributaria necesaria para financiar las transferencias se realizó ponderando el presupuesto de la AFIP por la proporción de las transferencias en la recaudación total.</w:t>
      </w:r>
    </w:p>
    <w:p w14:paraId="313BD4F7" w14:textId="47A4CCE8" w:rsidR="00A55A75" w:rsidRDefault="00A55A75" w:rsidP="00E12532">
      <w:pPr>
        <w:jc w:val="both"/>
        <w:rPr>
          <w:sz w:val="24"/>
        </w:rPr>
      </w:pPr>
      <w:r>
        <w:rPr>
          <w:sz w:val="24"/>
        </w:rPr>
        <w:t>Por último</w:t>
      </w:r>
      <w:r w:rsidR="004F41BB">
        <w:rPr>
          <w:sz w:val="24"/>
        </w:rPr>
        <w:t>, se estimó el costo de transporte suponiendo dos viajes diarios durante 200 días con un costo de tarifa social intraurbana.</w:t>
      </w:r>
      <w:r>
        <w:rPr>
          <w:sz w:val="24"/>
        </w:rPr>
        <w:t xml:space="preserve"> </w:t>
      </w:r>
      <w:r w:rsidR="004F41BB">
        <w:rPr>
          <w:sz w:val="24"/>
        </w:rPr>
        <w:t xml:space="preserve">Para calcular el </w:t>
      </w:r>
      <w:r w:rsidR="00D31376">
        <w:rPr>
          <w:sz w:val="24"/>
        </w:rPr>
        <w:t>costo de oportunidad</w:t>
      </w:r>
      <w:r w:rsidR="004F41BB">
        <w:rPr>
          <w:sz w:val="24"/>
        </w:rPr>
        <w:t xml:space="preserve"> de las horas no trabajadas se establecieron los siguientes supuestos: </w:t>
      </w:r>
      <w:r w:rsidR="00347827">
        <w:rPr>
          <w:sz w:val="24"/>
        </w:rPr>
        <w:t xml:space="preserve">solamente los alumnos de secundaria y primaria deben resignar horas de trabajo. Aquellos que solo asisten a 120 horas anuales de formación profesional no disminuyen </w:t>
      </w:r>
      <w:r w:rsidR="00BF6B17">
        <w:rPr>
          <w:sz w:val="24"/>
        </w:rPr>
        <w:t xml:space="preserve">su oferta de trabajo. </w:t>
      </w:r>
      <w:r w:rsidR="000347F2">
        <w:rPr>
          <w:sz w:val="24"/>
        </w:rPr>
        <w:t>Se considera que tienen ingresos de trabajadores informales y que resignan ¼ de su oferta laboral para cumplir con las condicionalidades del programa.</w:t>
      </w:r>
      <w:r w:rsidR="00824818">
        <w:rPr>
          <w:sz w:val="24"/>
        </w:rPr>
        <w:t xml:space="preserve"> </w:t>
      </w:r>
    </w:p>
    <w:p w14:paraId="09C1415E" w14:textId="424433A7" w:rsidR="004C7786" w:rsidRPr="000B77F3" w:rsidRDefault="004C7786" w:rsidP="00E12532">
      <w:pPr>
        <w:jc w:val="both"/>
        <w:rPr>
          <w:sz w:val="24"/>
        </w:rPr>
      </w:pPr>
    </w:p>
    <w:p w14:paraId="20F88ED8" w14:textId="0101607A" w:rsidR="003F3FDA" w:rsidRPr="00274015" w:rsidRDefault="003F3FDA" w:rsidP="003F3FDA">
      <w:pPr>
        <w:pStyle w:val="Caption"/>
        <w:keepNext/>
        <w:rPr>
          <w:sz w:val="24"/>
        </w:rPr>
      </w:pPr>
      <w:bookmarkStart w:id="14" w:name="_Ref522037858"/>
      <w:r w:rsidRPr="00274015">
        <w:rPr>
          <w:sz w:val="24"/>
        </w:rPr>
        <w:t xml:space="preserve">Cuadro </w:t>
      </w:r>
      <w:r w:rsidR="00243985" w:rsidRPr="00274015">
        <w:rPr>
          <w:noProof/>
          <w:sz w:val="24"/>
        </w:rPr>
        <w:fldChar w:fldCharType="begin"/>
      </w:r>
      <w:r w:rsidR="00243985" w:rsidRPr="00274015">
        <w:rPr>
          <w:noProof/>
          <w:sz w:val="24"/>
        </w:rPr>
        <w:instrText xml:space="preserve"> SEQ Cuadro \* ARABIC </w:instrText>
      </w:r>
      <w:r w:rsidR="00243985" w:rsidRPr="00274015">
        <w:rPr>
          <w:noProof/>
          <w:sz w:val="24"/>
        </w:rPr>
        <w:fldChar w:fldCharType="separate"/>
      </w:r>
      <w:r w:rsidR="00D90DF1">
        <w:rPr>
          <w:noProof/>
          <w:sz w:val="24"/>
        </w:rPr>
        <w:t>8</w:t>
      </w:r>
      <w:r w:rsidR="00243985" w:rsidRPr="00274015">
        <w:rPr>
          <w:noProof/>
          <w:sz w:val="24"/>
        </w:rPr>
        <w:fldChar w:fldCharType="end"/>
      </w:r>
      <w:bookmarkEnd w:id="14"/>
      <w:r w:rsidRPr="00274015">
        <w:rPr>
          <w:sz w:val="24"/>
        </w:rPr>
        <w:t>: Estimación de costos de implementación del programa Hacemos Futuro</w:t>
      </w:r>
    </w:p>
    <w:p w14:paraId="1A15D53F" w14:textId="77D3BA0B" w:rsidR="00D03447" w:rsidRDefault="009357C0" w:rsidP="00536C8C">
      <w:r w:rsidRPr="009357C0">
        <w:rPr>
          <w:noProof/>
        </w:rPr>
        <w:drawing>
          <wp:inline distT="0" distB="0" distL="0" distR="0" wp14:anchorId="30F4F02C" wp14:editId="7704378B">
            <wp:extent cx="4699000" cy="1663700"/>
            <wp:effectExtent l="0" t="0" r="635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699000" cy="1663700"/>
                    </a:xfrm>
                    <a:prstGeom prst="rect">
                      <a:avLst/>
                    </a:prstGeom>
                    <a:noFill/>
                    <a:ln>
                      <a:noFill/>
                    </a:ln>
                  </pic:spPr>
                </pic:pic>
              </a:graphicData>
            </a:graphic>
          </wp:inline>
        </w:drawing>
      </w:r>
    </w:p>
    <w:p w14:paraId="70ECE9C0" w14:textId="184A59EC" w:rsidR="00D145AA" w:rsidRDefault="00D145AA" w:rsidP="00536C8C"/>
    <w:p w14:paraId="7DB279EE" w14:textId="519C4588" w:rsidR="00B9481C" w:rsidRDefault="00B9481C" w:rsidP="00B9481C">
      <w:pPr>
        <w:pStyle w:val="Heading2"/>
      </w:pPr>
      <w:r>
        <w:t>RESULTADOS Y ANÁLISIS DE SENSIBILIDAD</w:t>
      </w:r>
    </w:p>
    <w:p w14:paraId="77687737" w14:textId="77777777" w:rsidR="00B9481C" w:rsidRDefault="00B9481C" w:rsidP="00536C8C"/>
    <w:p w14:paraId="256DFC04" w14:textId="13E575FC" w:rsidR="00CA2A95" w:rsidRPr="00222E4A" w:rsidRDefault="000347F2" w:rsidP="00092A2F">
      <w:pPr>
        <w:jc w:val="both"/>
        <w:rPr>
          <w:sz w:val="24"/>
        </w:rPr>
      </w:pPr>
      <w:r w:rsidRPr="00222E4A">
        <w:rPr>
          <w:sz w:val="24"/>
        </w:rPr>
        <w:t xml:space="preserve">El </w:t>
      </w:r>
      <w:r w:rsidR="00092A2F">
        <w:rPr>
          <w:sz w:val="24"/>
        </w:rPr>
        <w:fldChar w:fldCharType="begin"/>
      </w:r>
      <w:r w:rsidR="00092A2F">
        <w:rPr>
          <w:sz w:val="24"/>
        </w:rPr>
        <w:instrText xml:space="preserve"> REF _Ref522809940 \h  \* MERGEFORMAT </w:instrText>
      </w:r>
      <w:r w:rsidR="00092A2F">
        <w:rPr>
          <w:sz w:val="24"/>
        </w:rPr>
      </w:r>
      <w:r w:rsidR="00092A2F">
        <w:rPr>
          <w:sz w:val="24"/>
        </w:rPr>
        <w:fldChar w:fldCharType="separate"/>
      </w:r>
      <w:r w:rsidR="00092A2F" w:rsidRPr="007928CE">
        <w:rPr>
          <w:sz w:val="24"/>
        </w:rPr>
        <w:t xml:space="preserve">Cuadro </w:t>
      </w:r>
      <w:r w:rsidR="00092A2F" w:rsidRPr="007928CE">
        <w:rPr>
          <w:noProof/>
          <w:sz w:val="24"/>
        </w:rPr>
        <w:t>9</w:t>
      </w:r>
      <w:r w:rsidR="00092A2F">
        <w:rPr>
          <w:sz w:val="24"/>
        </w:rPr>
        <w:fldChar w:fldCharType="end"/>
      </w:r>
      <w:r w:rsidR="00092A2F">
        <w:rPr>
          <w:sz w:val="24"/>
        </w:rPr>
        <w:t xml:space="preserve"> </w:t>
      </w:r>
      <w:r w:rsidRPr="00222E4A">
        <w:rPr>
          <w:sz w:val="24"/>
        </w:rPr>
        <w:t xml:space="preserve">presenta el VAN, TIR y Ratio </w:t>
      </w:r>
      <w:r w:rsidR="007C3E58" w:rsidRPr="00222E4A">
        <w:rPr>
          <w:sz w:val="24"/>
        </w:rPr>
        <w:t>Beneficio: Costo</w:t>
      </w:r>
      <w:r w:rsidR="00222E4A" w:rsidRPr="00222E4A">
        <w:rPr>
          <w:sz w:val="24"/>
        </w:rPr>
        <w:t xml:space="preserve"> del proyecto</w:t>
      </w:r>
      <w:r w:rsidRPr="00222E4A">
        <w:rPr>
          <w:sz w:val="24"/>
        </w:rPr>
        <w:t>. Como puede observarse, bajo los supuestos establecidos</w:t>
      </w:r>
      <w:r w:rsidR="00092A2F">
        <w:rPr>
          <w:sz w:val="24"/>
        </w:rPr>
        <w:t>,</w:t>
      </w:r>
      <w:r w:rsidRPr="00222E4A">
        <w:rPr>
          <w:sz w:val="24"/>
        </w:rPr>
        <w:t xml:space="preserve"> el programa</w:t>
      </w:r>
      <w:r w:rsidR="00092A2F">
        <w:rPr>
          <w:sz w:val="24"/>
        </w:rPr>
        <w:t xml:space="preserve"> tiene un valor actual neto positivo. Este resultado tiene su paralelismo en </w:t>
      </w:r>
      <w:r w:rsidR="007C3E58">
        <w:rPr>
          <w:sz w:val="24"/>
        </w:rPr>
        <w:t>la ratio</w:t>
      </w:r>
      <w:r w:rsidR="00092A2F">
        <w:rPr>
          <w:sz w:val="24"/>
        </w:rPr>
        <w:t xml:space="preserve"> </w:t>
      </w:r>
      <w:r w:rsidR="007C3E58">
        <w:rPr>
          <w:sz w:val="24"/>
        </w:rPr>
        <w:t>beneficio: costo</w:t>
      </w:r>
      <w:r w:rsidR="00092A2F">
        <w:rPr>
          <w:sz w:val="24"/>
        </w:rPr>
        <w:t xml:space="preserve"> mayor a uno y una TIR del </w:t>
      </w:r>
      <w:r w:rsidR="007865FC">
        <w:rPr>
          <w:sz w:val="24"/>
        </w:rPr>
        <w:t>7,5</w:t>
      </w:r>
      <w:r w:rsidR="00092A2F">
        <w:rPr>
          <w:sz w:val="24"/>
        </w:rPr>
        <w:t>%.</w:t>
      </w:r>
    </w:p>
    <w:p w14:paraId="44B490E2" w14:textId="77777777" w:rsidR="00222E4A" w:rsidRDefault="00222E4A" w:rsidP="000F323C">
      <w:pPr>
        <w:pStyle w:val="Caption"/>
        <w:keepNext/>
        <w:rPr>
          <w:sz w:val="24"/>
        </w:rPr>
      </w:pPr>
    </w:p>
    <w:p w14:paraId="665FB0C4" w14:textId="02E7D81A" w:rsidR="000F323C" w:rsidRPr="007928CE" w:rsidRDefault="000F323C" w:rsidP="000F323C">
      <w:pPr>
        <w:pStyle w:val="Caption"/>
        <w:keepNext/>
        <w:rPr>
          <w:sz w:val="24"/>
        </w:rPr>
      </w:pPr>
      <w:bookmarkStart w:id="15" w:name="_Ref522809940"/>
      <w:r w:rsidRPr="007928CE">
        <w:rPr>
          <w:sz w:val="24"/>
        </w:rPr>
        <w:t xml:space="preserve">Cuadro </w:t>
      </w:r>
      <w:r w:rsidRPr="007928CE">
        <w:rPr>
          <w:sz w:val="24"/>
        </w:rPr>
        <w:fldChar w:fldCharType="begin"/>
      </w:r>
      <w:r w:rsidRPr="007928CE">
        <w:rPr>
          <w:sz w:val="24"/>
        </w:rPr>
        <w:instrText xml:space="preserve"> SEQ Cuadro \* ARABIC </w:instrText>
      </w:r>
      <w:r w:rsidRPr="007928CE">
        <w:rPr>
          <w:sz w:val="24"/>
        </w:rPr>
        <w:fldChar w:fldCharType="separate"/>
      </w:r>
      <w:r w:rsidR="00D90DF1">
        <w:rPr>
          <w:noProof/>
          <w:sz w:val="24"/>
        </w:rPr>
        <w:t>9</w:t>
      </w:r>
      <w:r w:rsidRPr="007928CE">
        <w:rPr>
          <w:sz w:val="24"/>
        </w:rPr>
        <w:fldChar w:fldCharType="end"/>
      </w:r>
      <w:bookmarkEnd w:id="15"/>
      <w:r w:rsidR="007928CE" w:rsidRPr="007928CE">
        <w:rPr>
          <w:sz w:val="24"/>
        </w:rPr>
        <w:t xml:space="preserve">: VAN, Ratio </w:t>
      </w:r>
      <w:r w:rsidR="007C3E58" w:rsidRPr="007928CE">
        <w:rPr>
          <w:sz w:val="24"/>
        </w:rPr>
        <w:t>Beneficio: Costo</w:t>
      </w:r>
      <w:r w:rsidR="007928CE" w:rsidRPr="007928CE">
        <w:rPr>
          <w:sz w:val="24"/>
        </w:rPr>
        <w:t xml:space="preserve"> y TIR del proyecto</w:t>
      </w:r>
    </w:p>
    <w:p w14:paraId="21365867" w14:textId="35C1A5DD" w:rsidR="00092A2F" w:rsidRDefault="00AE0231">
      <w:r w:rsidRPr="00AE0231">
        <w:rPr>
          <w:noProof/>
        </w:rPr>
        <w:drawing>
          <wp:inline distT="0" distB="0" distL="0" distR="0" wp14:anchorId="784F2687" wp14:editId="16C2506F">
            <wp:extent cx="5400040" cy="645288"/>
            <wp:effectExtent l="0" t="0" r="0" b="254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00040" cy="645288"/>
                    </a:xfrm>
                    <a:prstGeom prst="rect">
                      <a:avLst/>
                    </a:prstGeom>
                    <a:noFill/>
                    <a:ln>
                      <a:noFill/>
                    </a:ln>
                  </pic:spPr>
                </pic:pic>
              </a:graphicData>
            </a:graphic>
          </wp:inline>
        </w:drawing>
      </w:r>
    </w:p>
    <w:p w14:paraId="7CB1CDE0" w14:textId="210B7657" w:rsidR="00092A2F" w:rsidRDefault="00092A2F"/>
    <w:p w14:paraId="7B0E7ED8" w14:textId="14A27A1C" w:rsidR="000D245B" w:rsidRPr="00E0265C" w:rsidRDefault="00D70340" w:rsidP="00E0265C">
      <w:pPr>
        <w:jc w:val="both"/>
        <w:rPr>
          <w:sz w:val="24"/>
          <w:lang w:val="es-ES_tradnl"/>
        </w:rPr>
      </w:pPr>
      <w:r w:rsidRPr="00E0265C">
        <w:rPr>
          <w:sz w:val="24"/>
          <w:lang w:val="es-ES_tradnl"/>
        </w:rPr>
        <w:t xml:space="preserve">El </w:t>
      </w:r>
      <w:r w:rsidR="003E5676" w:rsidRPr="00E0265C">
        <w:rPr>
          <w:sz w:val="24"/>
          <w:lang w:val="es-ES_tradnl"/>
        </w:rPr>
        <w:fldChar w:fldCharType="begin"/>
      </w:r>
      <w:r w:rsidR="003E5676" w:rsidRPr="00E0265C">
        <w:rPr>
          <w:sz w:val="24"/>
          <w:lang w:val="es-ES_tradnl"/>
        </w:rPr>
        <w:instrText xml:space="preserve"> REF _Ref522878118 \h </w:instrText>
      </w:r>
      <w:r w:rsidR="00E0265C" w:rsidRPr="00E0265C">
        <w:rPr>
          <w:sz w:val="24"/>
          <w:lang w:val="es-ES_tradnl"/>
        </w:rPr>
        <w:instrText xml:space="preserve"> \* MERGEFORMAT </w:instrText>
      </w:r>
      <w:r w:rsidR="003E5676" w:rsidRPr="00E0265C">
        <w:rPr>
          <w:sz w:val="24"/>
          <w:lang w:val="es-ES_tradnl"/>
        </w:rPr>
      </w:r>
      <w:r w:rsidR="003E5676" w:rsidRPr="00E0265C">
        <w:rPr>
          <w:sz w:val="24"/>
          <w:lang w:val="es-ES_tradnl"/>
        </w:rPr>
        <w:fldChar w:fldCharType="separate"/>
      </w:r>
      <w:r w:rsidR="003E5676" w:rsidRPr="00E0265C">
        <w:rPr>
          <w:sz w:val="24"/>
        </w:rPr>
        <w:t xml:space="preserve">Cuadro </w:t>
      </w:r>
      <w:r w:rsidR="003E5676" w:rsidRPr="00E0265C">
        <w:rPr>
          <w:noProof/>
          <w:sz w:val="24"/>
        </w:rPr>
        <w:t>9</w:t>
      </w:r>
      <w:r w:rsidR="003E5676" w:rsidRPr="00E0265C">
        <w:rPr>
          <w:sz w:val="24"/>
        </w:rPr>
        <w:t>: Análisis de sensibilidad</w:t>
      </w:r>
      <w:r w:rsidR="003E5676" w:rsidRPr="00E0265C">
        <w:rPr>
          <w:sz w:val="24"/>
          <w:lang w:val="es-ES_tradnl"/>
        </w:rPr>
        <w:fldChar w:fldCharType="end"/>
      </w:r>
      <w:r w:rsidRPr="00E0265C">
        <w:rPr>
          <w:sz w:val="24"/>
          <w:lang w:val="es-ES_tradnl"/>
        </w:rPr>
        <w:t xml:space="preserve"> presenta los distintos resultados del cálculo del </w:t>
      </w:r>
      <w:r w:rsidR="003E5676" w:rsidRPr="00E0265C">
        <w:rPr>
          <w:sz w:val="24"/>
          <w:lang w:val="es-ES_tradnl"/>
        </w:rPr>
        <w:t>valor actual neto del beneficio</w:t>
      </w:r>
      <w:r w:rsidRPr="00E0265C">
        <w:rPr>
          <w:sz w:val="24"/>
          <w:lang w:val="es-ES_tradnl"/>
        </w:rPr>
        <w:t xml:space="preserve"> </w:t>
      </w:r>
      <w:r w:rsidR="003E5676" w:rsidRPr="00E0265C">
        <w:rPr>
          <w:sz w:val="24"/>
          <w:lang w:val="es-ES_tradnl"/>
        </w:rPr>
        <w:t>generado por la intervención</w:t>
      </w:r>
      <w:r w:rsidRPr="00E0265C">
        <w:rPr>
          <w:sz w:val="24"/>
          <w:lang w:val="es-ES_tradnl"/>
        </w:rPr>
        <w:t xml:space="preserve"> como respuesta a la modificación de tres parámetros. El primero, </w:t>
      </w:r>
      <w:r w:rsidR="000D245B" w:rsidRPr="00E0265C">
        <w:rPr>
          <w:sz w:val="24"/>
          <w:lang w:val="es-ES_tradnl"/>
        </w:rPr>
        <w:t xml:space="preserve">“Costos de prestación del servicio de educación” </w:t>
      </w:r>
      <w:r w:rsidRPr="00E0265C">
        <w:rPr>
          <w:sz w:val="24"/>
          <w:lang w:val="es-ES_tradnl"/>
        </w:rPr>
        <w:t>mide</w:t>
      </w:r>
      <w:r w:rsidR="000D245B" w:rsidRPr="00E0265C">
        <w:rPr>
          <w:sz w:val="24"/>
          <w:lang w:val="es-ES_tradnl"/>
        </w:rPr>
        <w:t xml:space="preserve"> la</w:t>
      </w:r>
      <w:r w:rsidRPr="00E0265C">
        <w:rPr>
          <w:sz w:val="24"/>
          <w:lang w:val="es-ES_tradnl"/>
        </w:rPr>
        <w:t xml:space="preserve"> eficiencia</w:t>
      </w:r>
      <w:r w:rsidR="000D245B" w:rsidRPr="00E0265C">
        <w:rPr>
          <w:sz w:val="24"/>
          <w:lang w:val="es-ES_tradnl"/>
        </w:rPr>
        <w:t xml:space="preserve"> en la implementación de la política pública. Se analizan incrementos del 10% y del 25% en los costos medios de brindar los servicios de educación obligatoria y formación profesional. Como puede observarse, cuando éste es el único parámetro que varía los beneficios son superiores al costo aún cuando este último aumenta en un 25%</w:t>
      </w:r>
    </w:p>
    <w:p w14:paraId="72EF5D51" w14:textId="4E5F5F18" w:rsidR="00761D69" w:rsidRPr="00E0265C" w:rsidRDefault="00D70340" w:rsidP="00E0265C">
      <w:pPr>
        <w:jc w:val="both"/>
        <w:rPr>
          <w:sz w:val="24"/>
          <w:lang w:val="es-ES_tradnl"/>
        </w:rPr>
      </w:pPr>
      <w:r w:rsidRPr="00E0265C">
        <w:rPr>
          <w:sz w:val="24"/>
          <w:lang w:val="es-ES_tradnl"/>
        </w:rPr>
        <w:t xml:space="preserve">El segundo, </w:t>
      </w:r>
      <w:r w:rsidR="00761D69" w:rsidRPr="00E0265C">
        <w:rPr>
          <w:sz w:val="24"/>
          <w:lang w:val="es-ES_tradnl"/>
        </w:rPr>
        <w:t xml:space="preserve">la “tasa de descuento” indica el precio del dinero. </w:t>
      </w:r>
      <w:r w:rsidR="001738A1" w:rsidRPr="00E0265C">
        <w:rPr>
          <w:sz w:val="24"/>
          <w:lang w:val="es-ES_tradnl"/>
        </w:rPr>
        <w:t>Con tasas del 9% y del 12</w:t>
      </w:r>
      <w:r w:rsidR="00E0265C" w:rsidRPr="00E0265C">
        <w:rPr>
          <w:sz w:val="24"/>
          <w:lang w:val="es-ES_tradnl"/>
        </w:rPr>
        <w:t>% todos los escenarios presentan un Valor Actual Neto negativo. Sin embargo, debe considerarse que, como se mencionó anteriormente, se considera que la tasa de referencia para proyectos sociales debe ser del 3%</w:t>
      </w:r>
      <w:r w:rsidR="00761D69" w:rsidRPr="00E0265C">
        <w:rPr>
          <w:sz w:val="24"/>
          <w:lang w:val="es-ES_tradnl"/>
        </w:rPr>
        <w:t>.</w:t>
      </w:r>
    </w:p>
    <w:p w14:paraId="536AFEFD" w14:textId="59E3D656" w:rsidR="004A49F8" w:rsidRDefault="00E0265C" w:rsidP="00E0265C">
      <w:pPr>
        <w:jc w:val="both"/>
        <w:rPr>
          <w:sz w:val="24"/>
          <w:highlight w:val="yellow"/>
          <w:lang w:val="es-ES_tradnl"/>
        </w:rPr>
      </w:pPr>
      <w:r w:rsidRPr="00E0265C">
        <w:rPr>
          <w:sz w:val="24"/>
          <w:lang w:val="es-ES_tradnl"/>
        </w:rPr>
        <w:t>Por último, e</w:t>
      </w:r>
      <w:r w:rsidR="004116F7" w:rsidRPr="00E0265C">
        <w:rPr>
          <w:sz w:val="24"/>
          <w:lang w:val="es-ES_tradnl"/>
        </w:rPr>
        <w:t>l tercer</w:t>
      </w:r>
      <w:r w:rsidRPr="00E0265C">
        <w:rPr>
          <w:sz w:val="24"/>
          <w:lang w:val="es-ES_tradnl"/>
        </w:rPr>
        <w:t xml:space="preserve"> parámetro que se modifica</w:t>
      </w:r>
      <w:r w:rsidR="004116F7" w:rsidRPr="00E0265C">
        <w:rPr>
          <w:sz w:val="24"/>
          <w:lang w:val="es-ES_tradnl"/>
        </w:rPr>
        <w:t xml:space="preserve"> </w:t>
      </w:r>
      <w:r w:rsidR="004A49F8" w:rsidRPr="00E0265C">
        <w:rPr>
          <w:sz w:val="24"/>
          <w:lang w:val="es-ES_tradnl"/>
        </w:rPr>
        <w:t xml:space="preserve">mide la efectividad de la intervención en términos de tanto del efecto sobre los retornos a la educación como los asociados a la creación de empleo formal. Se contemplan dos escenarios alternativos donde los efectos considerados bajo el escenario base se reducen al 75% y 50% respectivamente. </w:t>
      </w:r>
      <w:r w:rsidRPr="00E0265C">
        <w:rPr>
          <w:sz w:val="24"/>
          <w:lang w:val="es-ES_tradnl"/>
        </w:rPr>
        <w:t>Cuando la efectividad es del 50% todos los escenarios presentan valores actuales netos negativos</w:t>
      </w:r>
      <w:r w:rsidR="00D70340" w:rsidRPr="00E0265C">
        <w:rPr>
          <w:sz w:val="24"/>
          <w:lang w:val="es-ES_tradnl"/>
        </w:rPr>
        <w:t>.</w:t>
      </w:r>
      <w:r w:rsidRPr="00E0265C">
        <w:rPr>
          <w:sz w:val="24"/>
          <w:lang w:val="es-ES_tradnl"/>
        </w:rPr>
        <w:t xml:space="preserve"> En el caso en que las efectividad se reduce en un 25% el valor actual del beneficio es mayor al del costo cuando la tasa de descuento es del 3% y el gasto en la provisión del servicio no se incrementa en más de un 10% del escenario base. Dado que escenarios en los cuales los costos de provisión tengan aumentos considerables no son probables, el mayor riesgo para que el programa sea beneficioso desde una perspectiva económica es su efectividad.</w:t>
      </w:r>
      <w:r w:rsidR="00D70340" w:rsidRPr="00D70340">
        <w:rPr>
          <w:sz w:val="24"/>
          <w:highlight w:val="yellow"/>
          <w:lang w:val="es-ES_tradnl"/>
        </w:rPr>
        <w:t xml:space="preserve"> </w:t>
      </w:r>
    </w:p>
    <w:p w14:paraId="4FC7A63F" w14:textId="1C3BAED4" w:rsidR="0086245A" w:rsidRDefault="0086245A"/>
    <w:p w14:paraId="049A951A" w14:textId="77777777" w:rsidR="00092A2F" w:rsidRDefault="00092A2F"/>
    <w:p w14:paraId="7B18C436" w14:textId="38731569" w:rsidR="0086245A" w:rsidRPr="00D70340" w:rsidRDefault="0086245A" w:rsidP="0086245A">
      <w:pPr>
        <w:pStyle w:val="Caption"/>
        <w:keepNext/>
        <w:rPr>
          <w:sz w:val="24"/>
        </w:rPr>
      </w:pPr>
      <w:bookmarkStart w:id="16" w:name="_Ref522878118"/>
      <w:r w:rsidRPr="00AF25A2">
        <w:rPr>
          <w:sz w:val="24"/>
        </w:rPr>
        <w:t xml:space="preserve">Cuadro </w:t>
      </w:r>
      <w:r w:rsidRPr="00AF25A2">
        <w:rPr>
          <w:sz w:val="24"/>
        </w:rPr>
        <w:fldChar w:fldCharType="begin"/>
      </w:r>
      <w:r w:rsidRPr="00AF25A2">
        <w:rPr>
          <w:sz w:val="24"/>
        </w:rPr>
        <w:instrText xml:space="preserve"> SEQ Cuadro \* ARABIC </w:instrText>
      </w:r>
      <w:r w:rsidRPr="00AF25A2">
        <w:rPr>
          <w:sz w:val="24"/>
        </w:rPr>
        <w:fldChar w:fldCharType="separate"/>
      </w:r>
      <w:r w:rsidR="00D90DF1" w:rsidRPr="00AF25A2">
        <w:rPr>
          <w:noProof/>
          <w:sz w:val="24"/>
        </w:rPr>
        <w:t>10</w:t>
      </w:r>
      <w:r w:rsidRPr="00AF25A2">
        <w:rPr>
          <w:sz w:val="24"/>
        </w:rPr>
        <w:fldChar w:fldCharType="end"/>
      </w:r>
      <w:r w:rsidRPr="00AF25A2">
        <w:rPr>
          <w:sz w:val="24"/>
        </w:rPr>
        <w:t>: Análisis de sensibilidad</w:t>
      </w:r>
      <w:bookmarkEnd w:id="16"/>
    </w:p>
    <w:p w14:paraId="3976743D" w14:textId="51C50DF4" w:rsidR="00A86708" w:rsidRDefault="00AF25A2">
      <w:r w:rsidRPr="00AF25A2">
        <w:rPr>
          <w:noProof/>
        </w:rPr>
        <w:drawing>
          <wp:inline distT="0" distB="0" distL="0" distR="0" wp14:anchorId="309F94EA" wp14:editId="691A0C58">
            <wp:extent cx="5400040" cy="1603337"/>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00040" cy="1603337"/>
                    </a:xfrm>
                    <a:prstGeom prst="rect">
                      <a:avLst/>
                    </a:prstGeom>
                    <a:noFill/>
                    <a:ln>
                      <a:noFill/>
                    </a:ln>
                  </pic:spPr>
                </pic:pic>
              </a:graphicData>
            </a:graphic>
          </wp:inline>
        </w:drawing>
      </w:r>
    </w:p>
    <w:p w14:paraId="7B8BBFDC" w14:textId="77777777" w:rsidR="005C1B4C" w:rsidRDefault="005C1B4C">
      <w:pPr>
        <w:rPr>
          <w:rFonts w:asciiTheme="majorHAnsi" w:eastAsiaTheme="majorEastAsia" w:hAnsiTheme="majorHAnsi" w:cstheme="majorBidi"/>
          <w:color w:val="2F5496" w:themeColor="accent1" w:themeShade="BF"/>
          <w:sz w:val="32"/>
          <w:szCs w:val="32"/>
        </w:rPr>
      </w:pPr>
      <w:r>
        <w:br w:type="page"/>
      </w:r>
    </w:p>
    <w:p w14:paraId="2BBCEAF8" w14:textId="2AC1F3B2" w:rsidR="00D145AA" w:rsidRDefault="00D145AA" w:rsidP="00D145AA">
      <w:pPr>
        <w:pStyle w:val="Heading1"/>
      </w:pPr>
      <w:r>
        <w:lastRenderedPageBreak/>
        <w:t>PROGRESAR</w:t>
      </w:r>
      <w:r w:rsidR="00427B69">
        <w:t xml:space="preserve"> VIRTUAL</w:t>
      </w:r>
    </w:p>
    <w:p w14:paraId="098EEA70" w14:textId="6588146A" w:rsidR="00D145AA" w:rsidRDefault="00D145AA" w:rsidP="00D145AA"/>
    <w:p w14:paraId="6FEFAF9C" w14:textId="6E88C9F8" w:rsidR="0049764C" w:rsidRDefault="0049764C" w:rsidP="0049764C">
      <w:pPr>
        <w:pStyle w:val="Heading2"/>
      </w:pPr>
      <w:r>
        <w:t>BENEFICIOS Y METODOLOGÍA DE ESTIMACIÓN</w:t>
      </w:r>
    </w:p>
    <w:p w14:paraId="3CC3C0BC" w14:textId="13DA75C9" w:rsidR="0054199A" w:rsidRDefault="00DC55FA" w:rsidP="0054199A">
      <w:pPr>
        <w:jc w:val="both"/>
        <w:rPr>
          <w:sz w:val="24"/>
          <w:szCs w:val="24"/>
        </w:rPr>
      </w:pPr>
      <w:r>
        <w:rPr>
          <w:sz w:val="24"/>
          <w:szCs w:val="24"/>
        </w:rPr>
        <w:t xml:space="preserve">El </w:t>
      </w:r>
      <w:r w:rsidRPr="00DC55FA">
        <w:rPr>
          <w:sz w:val="24"/>
          <w:szCs w:val="24"/>
        </w:rPr>
        <w:t xml:space="preserve">MECCT </w:t>
      </w:r>
      <w:r>
        <w:rPr>
          <w:sz w:val="24"/>
          <w:szCs w:val="24"/>
        </w:rPr>
        <w:t>implementará en</w:t>
      </w:r>
      <w:r w:rsidRPr="00DC55FA">
        <w:rPr>
          <w:sz w:val="24"/>
          <w:szCs w:val="24"/>
        </w:rPr>
        <w:t xml:space="preserve"> 2020-2021 el programa “Progresar Virtual”, que desarrolla acciones </w:t>
      </w:r>
      <w:r>
        <w:rPr>
          <w:sz w:val="24"/>
          <w:szCs w:val="24"/>
        </w:rPr>
        <w:t>complementarias</w:t>
      </w:r>
      <w:r w:rsidRPr="00DC55FA">
        <w:rPr>
          <w:sz w:val="24"/>
          <w:szCs w:val="24"/>
        </w:rPr>
        <w:t xml:space="preserve"> a la transferencia monetaria</w:t>
      </w:r>
      <w:r>
        <w:rPr>
          <w:sz w:val="24"/>
          <w:szCs w:val="24"/>
        </w:rPr>
        <w:t xml:space="preserve"> estipulada en las Becas Progresar,</w:t>
      </w:r>
      <w:r w:rsidRPr="00DC55FA">
        <w:rPr>
          <w:sz w:val="24"/>
          <w:szCs w:val="24"/>
        </w:rPr>
        <w:t xml:space="preserve"> con el objetivo de incrementar la retención de los estudiantes del nivel superior y mejorar así la tasa de graduación. La principal intervención en el marco de</w:t>
      </w:r>
      <w:r>
        <w:rPr>
          <w:sz w:val="24"/>
          <w:szCs w:val="24"/>
        </w:rPr>
        <w:t xml:space="preserve"> </w:t>
      </w:r>
      <w:r w:rsidRPr="00DC55FA">
        <w:rPr>
          <w:sz w:val="24"/>
          <w:szCs w:val="24"/>
        </w:rPr>
        <w:t>l</w:t>
      </w:r>
      <w:r>
        <w:rPr>
          <w:sz w:val="24"/>
          <w:szCs w:val="24"/>
        </w:rPr>
        <w:t>a fasee</w:t>
      </w:r>
      <w:r w:rsidRPr="00DC55FA">
        <w:rPr>
          <w:sz w:val="24"/>
          <w:szCs w:val="24"/>
        </w:rPr>
        <w:t xml:space="preserve"> piloto </w:t>
      </w:r>
      <w:r>
        <w:rPr>
          <w:sz w:val="24"/>
          <w:szCs w:val="24"/>
        </w:rPr>
        <w:t xml:space="preserve">de Progresar Virtual </w:t>
      </w:r>
      <w:r w:rsidRPr="00DC55FA">
        <w:rPr>
          <w:sz w:val="24"/>
          <w:szCs w:val="24"/>
        </w:rPr>
        <w:t xml:space="preserve">es un sistema de tutorías de pares. El acompañamiento se realizará a través de </w:t>
      </w:r>
      <w:r>
        <w:rPr>
          <w:sz w:val="24"/>
          <w:szCs w:val="24"/>
        </w:rPr>
        <w:t xml:space="preserve">un </w:t>
      </w:r>
      <w:r w:rsidRPr="00DC55FA">
        <w:rPr>
          <w:sz w:val="24"/>
          <w:szCs w:val="24"/>
        </w:rPr>
        <w:t>aplicativo móvil desarrollado por el programa y estará disponible para los beneficiarios del nivel superior que al momento de inscribirse a las becas Progresar manifiesten su intención de participar en las tutorías.</w:t>
      </w:r>
    </w:p>
    <w:p w14:paraId="633577FF" w14:textId="3C5206AF" w:rsidR="00BF4B40" w:rsidRDefault="0054199A" w:rsidP="00BF4B40">
      <w:pPr>
        <w:jc w:val="both"/>
        <w:rPr>
          <w:sz w:val="24"/>
          <w:szCs w:val="24"/>
        </w:rPr>
      </w:pPr>
      <w:r>
        <w:rPr>
          <w:sz w:val="24"/>
          <w:szCs w:val="24"/>
        </w:rPr>
        <w:t>Se espera que l</w:t>
      </w:r>
      <w:r w:rsidRPr="001D2146">
        <w:rPr>
          <w:sz w:val="24"/>
          <w:szCs w:val="24"/>
        </w:rPr>
        <w:t xml:space="preserve">as intervenciones comprendidas en el programa </w:t>
      </w:r>
      <w:r>
        <w:rPr>
          <w:sz w:val="24"/>
          <w:szCs w:val="24"/>
        </w:rPr>
        <w:t>Progresar</w:t>
      </w:r>
      <w:r w:rsidRPr="001D2146">
        <w:rPr>
          <w:sz w:val="24"/>
          <w:szCs w:val="24"/>
        </w:rPr>
        <w:t xml:space="preserve"> </w:t>
      </w:r>
      <w:r>
        <w:rPr>
          <w:sz w:val="24"/>
          <w:szCs w:val="24"/>
        </w:rPr>
        <w:t>Virtual contribuyan a reducir los niveles de deserción en la educación superior, y por lo tanto incremente</w:t>
      </w:r>
      <w:r w:rsidR="00BF4B40">
        <w:rPr>
          <w:sz w:val="24"/>
          <w:szCs w:val="24"/>
        </w:rPr>
        <w:t>n</w:t>
      </w:r>
      <w:r>
        <w:rPr>
          <w:sz w:val="24"/>
          <w:szCs w:val="24"/>
        </w:rPr>
        <w:t xml:space="preserve"> la tasa de terminalidad en ese nivel.</w:t>
      </w:r>
      <w:r w:rsidR="00BF4B40">
        <w:rPr>
          <w:sz w:val="24"/>
          <w:szCs w:val="24"/>
        </w:rPr>
        <w:t xml:space="preserve"> Conceptualmente, los beneficios de este programa se asocian entonces a un incremento en el ingreso futuro de los beneficios a partir de los retornos a la educación en el mercado de trabajo. Para cuantificar este beneficio, se ha calculado la tasa de retorno a la finalización de la educación superior a partir de una ecuación de Mincer en base a datos de la EPH correspondiente al tercer trimestre del año 2018.</w:t>
      </w:r>
      <w:r w:rsidR="00250706">
        <w:rPr>
          <w:sz w:val="24"/>
          <w:szCs w:val="24"/>
        </w:rPr>
        <w:t xml:space="preserve"> En promedio, el diferencial de ingreso anual asociado a la finalización del nivel superior está estimado en US</w:t>
      </w:r>
      <w:r w:rsidR="002437A5">
        <w:rPr>
          <w:sz w:val="24"/>
          <w:szCs w:val="24"/>
        </w:rPr>
        <w:t>$</w:t>
      </w:r>
      <w:r w:rsidR="00250706">
        <w:rPr>
          <w:sz w:val="24"/>
          <w:szCs w:val="24"/>
        </w:rPr>
        <w:t>1.980</w:t>
      </w:r>
      <w:r w:rsidR="006A1429">
        <w:rPr>
          <w:sz w:val="24"/>
          <w:szCs w:val="24"/>
        </w:rPr>
        <w:t xml:space="preserve"> (ver Anexo)</w:t>
      </w:r>
      <w:r w:rsidR="00250706">
        <w:rPr>
          <w:sz w:val="24"/>
          <w:szCs w:val="24"/>
        </w:rPr>
        <w:t xml:space="preserve">. </w:t>
      </w:r>
      <w:r w:rsidR="00BF4B40">
        <w:rPr>
          <w:sz w:val="24"/>
          <w:szCs w:val="24"/>
        </w:rPr>
        <w:t xml:space="preserve"> </w:t>
      </w:r>
    </w:p>
    <w:p w14:paraId="06A1C613" w14:textId="1476406A" w:rsidR="005444C6" w:rsidRPr="009A654A" w:rsidRDefault="00EB2246" w:rsidP="00BF4B40">
      <w:pPr>
        <w:jc w:val="both"/>
        <w:rPr>
          <w:sz w:val="24"/>
        </w:rPr>
      </w:pPr>
      <w:r>
        <w:rPr>
          <w:sz w:val="24"/>
          <w:szCs w:val="24"/>
        </w:rPr>
        <w:t xml:space="preserve">Adicionalmente, se ha adoptado para la evaluación de costo-efectividad un horizonte temporal de 15 años, asumiendo una duración de la educación superior de 5 años. Es decir, que los beneficios en forma de prima salarial comienzan a percibirse a partir del sexto año, hasta el final del periodo considerado. Los beneficios se descuentan utilizando diferentes tasas de descuento, a fin de </w:t>
      </w:r>
      <w:r w:rsidR="005444C6">
        <w:rPr>
          <w:sz w:val="24"/>
          <w:szCs w:val="24"/>
        </w:rPr>
        <w:t>evaluar la robustez de las conclusiones antes cambios en ese parámetro. A su vez, los beneficios se calculan para diferentes escenarios</w:t>
      </w:r>
      <w:r w:rsidR="00E9040F">
        <w:rPr>
          <w:sz w:val="24"/>
          <w:szCs w:val="24"/>
        </w:rPr>
        <w:t xml:space="preserve"> que surgen de la combinación de dos factores: </w:t>
      </w:r>
      <w:r w:rsidR="008F0695">
        <w:rPr>
          <w:sz w:val="24"/>
          <w:szCs w:val="24"/>
        </w:rPr>
        <w:t>(</w:t>
      </w:r>
      <w:r w:rsidR="00E9040F">
        <w:rPr>
          <w:sz w:val="24"/>
          <w:szCs w:val="24"/>
        </w:rPr>
        <w:t>i) la tasa de participación de los becarios progresar en el programa piloto</w:t>
      </w:r>
      <w:r w:rsidR="008F0695">
        <w:rPr>
          <w:sz w:val="24"/>
          <w:szCs w:val="24"/>
        </w:rPr>
        <w:t>;</w:t>
      </w:r>
      <w:r w:rsidR="00E9040F">
        <w:rPr>
          <w:sz w:val="24"/>
          <w:szCs w:val="24"/>
        </w:rPr>
        <w:t xml:space="preserve"> y </w:t>
      </w:r>
      <w:r w:rsidR="008F0695">
        <w:rPr>
          <w:sz w:val="24"/>
          <w:szCs w:val="24"/>
        </w:rPr>
        <w:t>(</w:t>
      </w:r>
      <w:proofErr w:type="spellStart"/>
      <w:r w:rsidR="00E9040F">
        <w:rPr>
          <w:sz w:val="24"/>
          <w:szCs w:val="24"/>
        </w:rPr>
        <w:t>ii</w:t>
      </w:r>
      <w:proofErr w:type="spellEnd"/>
      <w:r w:rsidR="00E9040F">
        <w:rPr>
          <w:sz w:val="24"/>
          <w:szCs w:val="24"/>
        </w:rPr>
        <w:t xml:space="preserve">) </w:t>
      </w:r>
      <w:r w:rsidR="005444C6">
        <w:rPr>
          <w:sz w:val="24"/>
          <w:szCs w:val="24"/>
        </w:rPr>
        <w:t xml:space="preserve">la efectividad del programa </w:t>
      </w:r>
      <w:r w:rsidR="00E9040F">
        <w:rPr>
          <w:sz w:val="24"/>
          <w:szCs w:val="24"/>
        </w:rPr>
        <w:t xml:space="preserve">de tutorías para incrementar la </w:t>
      </w:r>
      <w:proofErr w:type="spellStart"/>
      <w:r w:rsidR="00E9040F">
        <w:rPr>
          <w:sz w:val="24"/>
          <w:szCs w:val="24"/>
        </w:rPr>
        <w:t>terminalidad</w:t>
      </w:r>
      <w:proofErr w:type="spellEnd"/>
      <w:r w:rsidR="00E9040F">
        <w:rPr>
          <w:sz w:val="24"/>
          <w:szCs w:val="24"/>
        </w:rPr>
        <w:t xml:space="preserve"> del nivel superior. </w:t>
      </w:r>
      <w:r w:rsidR="00B577E0">
        <w:rPr>
          <w:sz w:val="24"/>
          <w:szCs w:val="24"/>
        </w:rPr>
        <w:t>En la fase piloto</w:t>
      </w:r>
      <w:r w:rsidR="00B577E0" w:rsidRPr="00B577E0">
        <w:rPr>
          <w:sz w:val="24"/>
          <w:szCs w:val="24"/>
        </w:rPr>
        <w:t>, se espera alcanzar a aproximadamente 1.000 estudiantes universitarios y 300 estudiantes del sector superior no universitario.</w:t>
      </w:r>
    </w:p>
    <w:p w14:paraId="7C8A5EA9" w14:textId="6161FFD9" w:rsidR="00445DCA" w:rsidRDefault="00F562C5" w:rsidP="00DC55FA">
      <w:pPr>
        <w:jc w:val="both"/>
      </w:pPr>
      <w:r>
        <w:rPr>
          <w:sz w:val="24"/>
        </w:rPr>
        <w:t xml:space="preserve">En el </w:t>
      </w:r>
      <w:r>
        <w:rPr>
          <w:sz w:val="24"/>
        </w:rPr>
        <w:fldChar w:fldCharType="begin"/>
      </w:r>
      <w:r>
        <w:rPr>
          <w:sz w:val="24"/>
        </w:rPr>
        <w:instrText xml:space="preserve"> REF _Ref522061111 \h </w:instrText>
      </w:r>
      <w:r>
        <w:rPr>
          <w:sz w:val="24"/>
        </w:rPr>
      </w:r>
      <w:r>
        <w:rPr>
          <w:sz w:val="24"/>
        </w:rPr>
        <w:fldChar w:fldCharType="separate"/>
      </w:r>
      <w:r w:rsidRPr="00F562C5">
        <w:rPr>
          <w:sz w:val="24"/>
        </w:rPr>
        <w:t xml:space="preserve">Cuadro </w:t>
      </w:r>
      <w:r w:rsidRPr="00F562C5">
        <w:rPr>
          <w:noProof/>
          <w:sz w:val="24"/>
        </w:rPr>
        <w:t>11</w:t>
      </w:r>
      <w:r>
        <w:rPr>
          <w:sz w:val="24"/>
        </w:rPr>
        <w:fldChar w:fldCharType="end"/>
      </w:r>
      <w:r>
        <w:rPr>
          <w:sz w:val="24"/>
        </w:rPr>
        <w:t xml:space="preserve"> se presenta</w:t>
      </w:r>
      <w:r w:rsidR="00B967EA">
        <w:rPr>
          <w:sz w:val="24"/>
        </w:rPr>
        <w:t xml:space="preserve"> la estimación de los beneficios</w:t>
      </w:r>
      <w:r w:rsidR="00DC55FA">
        <w:rPr>
          <w:sz w:val="24"/>
        </w:rPr>
        <w:t xml:space="preserve"> totales</w:t>
      </w:r>
      <w:r w:rsidR="00B967EA">
        <w:rPr>
          <w:sz w:val="24"/>
        </w:rPr>
        <w:t xml:space="preserve"> anuales</w:t>
      </w:r>
      <w:r w:rsidR="00DC55FA">
        <w:rPr>
          <w:sz w:val="24"/>
        </w:rPr>
        <w:t xml:space="preserve"> descontados</w:t>
      </w:r>
      <w:r w:rsidR="00B967EA">
        <w:rPr>
          <w:sz w:val="24"/>
        </w:rPr>
        <w:t xml:space="preserve"> del</w:t>
      </w:r>
      <w:r w:rsidR="00E9040F">
        <w:rPr>
          <w:sz w:val="24"/>
        </w:rPr>
        <w:t xml:space="preserve"> programa Progresar Virtual</w:t>
      </w:r>
      <w:r w:rsidR="00DC55FA">
        <w:rPr>
          <w:sz w:val="24"/>
        </w:rPr>
        <w:t xml:space="preserve">, para dos hipótesis sobre la efectividad de la intervención en lograr un incremento en la probabilidad de que los beneficiaros se gradúen del nivel superior (0.5 y 0.25) y una tasa decreciente de participación en el programa, desde el 100% al 10% de los estudiantes. La actualización de los beneficios se presenta para tasas de descuento del 3%, 5%, 9% y 12%. </w:t>
      </w:r>
    </w:p>
    <w:p w14:paraId="373DD46F" w14:textId="434E9057" w:rsidR="00676A54" w:rsidRDefault="00676A54" w:rsidP="00676A54">
      <w:pPr>
        <w:pStyle w:val="Caption"/>
        <w:keepNext/>
        <w:rPr>
          <w:sz w:val="24"/>
          <w:lang w:val="es-ES"/>
        </w:rPr>
      </w:pPr>
      <w:bookmarkStart w:id="17" w:name="_Ref522061111"/>
      <w:r w:rsidRPr="009533F8">
        <w:rPr>
          <w:sz w:val="24"/>
          <w:lang w:val="es-ES"/>
        </w:rPr>
        <w:lastRenderedPageBreak/>
        <w:t xml:space="preserve">Cuadro </w:t>
      </w:r>
      <w:r w:rsidRPr="00F562C5">
        <w:rPr>
          <w:sz w:val="24"/>
        </w:rPr>
        <w:fldChar w:fldCharType="begin"/>
      </w:r>
      <w:r w:rsidRPr="009533F8">
        <w:rPr>
          <w:sz w:val="24"/>
          <w:lang w:val="es-ES"/>
        </w:rPr>
        <w:instrText xml:space="preserve"> SEQ Cuadro \* ARABIC </w:instrText>
      </w:r>
      <w:r w:rsidRPr="00F562C5">
        <w:rPr>
          <w:sz w:val="24"/>
        </w:rPr>
        <w:fldChar w:fldCharType="separate"/>
      </w:r>
      <w:r w:rsidR="00D90DF1" w:rsidRPr="009533F8">
        <w:rPr>
          <w:noProof/>
          <w:sz w:val="24"/>
          <w:lang w:val="es-ES"/>
        </w:rPr>
        <w:t>1</w:t>
      </w:r>
      <w:r w:rsidR="00751375" w:rsidRPr="009533F8">
        <w:rPr>
          <w:noProof/>
          <w:sz w:val="24"/>
          <w:lang w:val="es-ES"/>
        </w:rPr>
        <w:t>1</w:t>
      </w:r>
      <w:r w:rsidRPr="00F562C5">
        <w:rPr>
          <w:sz w:val="24"/>
        </w:rPr>
        <w:fldChar w:fldCharType="end"/>
      </w:r>
      <w:bookmarkEnd w:id="17"/>
      <w:r w:rsidR="00B967EA" w:rsidRPr="009533F8">
        <w:rPr>
          <w:sz w:val="24"/>
          <w:lang w:val="es-ES"/>
        </w:rPr>
        <w:t>:</w:t>
      </w:r>
      <w:r w:rsidR="009533F8" w:rsidRPr="009533F8">
        <w:rPr>
          <w:sz w:val="24"/>
          <w:lang w:val="es-ES"/>
        </w:rPr>
        <w:t xml:space="preserve"> Estimación del</w:t>
      </w:r>
      <w:r w:rsidR="009533F8">
        <w:rPr>
          <w:sz w:val="24"/>
          <w:lang w:val="es-ES"/>
        </w:rPr>
        <w:t xml:space="preserve"> valor actual de los b</w:t>
      </w:r>
      <w:r w:rsidR="00B967EA" w:rsidRPr="009533F8">
        <w:rPr>
          <w:sz w:val="24"/>
          <w:lang w:val="es-ES"/>
        </w:rPr>
        <w:t>eneficio</w:t>
      </w:r>
      <w:r w:rsidR="00DC00E8">
        <w:rPr>
          <w:sz w:val="24"/>
          <w:lang w:val="es-ES"/>
        </w:rPr>
        <w:t>s</w:t>
      </w:r>
      <w:r w:rsidR="00B967EA" w:rsidRPr="009533F8">
        <w:rPr>
          <w:sz w:val="24"/>
          <w:lang w:val="es-ES"/>
        </w:rPr>
        <w:t xml:space="preserve"> anual</w:t>
      </w:r>
      <w:r w:rsidR="009533F8">
        <w:rPr>
          <w:sz w:val="24"/>
          <w:lang w:val="es-ES"/>
        </w:rPr>
        <w:t>es</w:t>
      </w:r>
      <w:r w:rsidR="00B967EA" w:rsidRPr="009533F8">
        <w:rPr>
          <w:sz w:val="24"/>
          <w:lang w:val="es-ES"/>
        </w:rPr>
        <w:t xml:space="preserve"> de </w:t>
      </w:r>
      <w:r w:rsidR="00751375" w:rsidRPr="009533F8">
        <w:rPr>
          <w:sz w:val="24"/>
          <w:lang w:val="es-ES"/>
        </w:rPr>
        <w:t>Progresar Virtual</w:t>
      </w:r>
      <w:r w:rsidR="00B967EA" w:rsidRPr="009533F8">
        <w:rPr>
          <w:sz w:val="24"/>
          <w:lang w:val="es-ES"/>
        </w:rPr>
        <w:t xml:space="preserve"> </w:t>
      </w:r>
      <w:r w:rsidR="009533F8">
        <w:rPr>
          <w:sz w:val="24"/>
          <w:lang w:val="es-ES"/>
        </w:rPr>
        <w:t>para diferentes tasas de descuento</w:t>
      </w:r>
    </w:p>
    <w:tbl>
      <w:tblPr>
        <w:tblW w:w="5000" w:type="pct"/>
        <w:tblLook w:val="04A0" w:firstRow="1" w:lastRow="0" w:firstColumn="1" w:lastColumn="0" w:noHBand="0" w:noVBand="1"/>
      </w:tblPr>
      <w:tblGrid>
        <w:gridCol w:w="1167"/>
        <w:gridCol w:w="916"/>
        <w:gridCol w:w="917"/>
        <w:gridCol w:w="917"/>
        <w:gridCol w:w="919"/>
        <w:gridCol w:w="917"/>
        <w:gridCol w:w="917"/>
        <w:gridCol w:w="917"/>
        <w:gridCol w:w="917"/>
      </w:tblGrid>
      <w:tr w:rsidR="00917FDC" w:rsidRPr="00E70C84" w14:paraId="1238FB85" w14:textId="77777777" w:rsidTr="00917FDC">
        <w:trPr>
          <w:trHeight w:val="300"/>
        </w:trPr>
        <w:tc>
          <w:tcPr>
            <w:tcW w:w="671" w:type="pct"/>
            <w:tcBorders>
              <w:top w:val="single" w:sz="4" w:space="0" w:color="auto"/>
              <w:left w:val="nil"/>
              <w:bottom w:val="single" w:sz="4" w:space="0" w:color="auto"/>
              <w:right w:val="nil"/>
            </w:tcBorders>
            <w:shd w:val="clear" w:color="000000" w:fill="FFFFFF"/>
            <w:vAlign w:val="center"/>
            <w:hideMark/>
          </w:tcPr>
          <w:p w14:paraId="64E1AD2A" w14:textId="77777777" w:rsidR="00E70C84" w:rsidRPr="00E70C84" w:rsidRDefault="00E70C84" w:rsidP="00E70C84">
            <w:pPr>
              <w:spacing w:after="0" w:line="240" w:lineRule="auto"/>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Tasa de descuento</w:t>
            </w:r>
          </w:p>
        </w:tc>
        <w:tc>
          <w:tcPr>
            <w:tcW w:w="541" w:type="pct"/>
            <w:tcBorders>
              <w:top w:val="single" w:sz="4" w:space="0" w:color="auto"/>
              <w:left w:val="nil"/>
              <w:bottom w:val="single" w:sz="4" w:space="0" w:color="auto"/>
              <w:right w:val="nil"/>
            </w:tcBorders>
            <w:shd w:val="clear" w:color="000000" w:fill="FFFFFF"/>
            <w:vAlign w:val="center"/>
            <w:hideMark/>
          </w:tcPr>
          <w:p w14:paraId="40BD13D4" w14:textId="77777777" w:rsidR="00E70C84" w:rsidRPr="00E70C84" w:rsidRDefault="00E70C84" w:rsidP="00E70C84">
            <w:pPr>
              <w:spacing w:after="0" w:line="240" w:lineRule="auto"/>
              <w:jc w:val="center"/>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3%</w:t>
            </w:r>
          </w:p>
        </w:tc>
        <w:tc>
          <w:tcPr>
            <w:tcW w:w="541" w:type="pct"/>
            <w:tcBorders>
              <w:top w:val="single" w:sz="4" w:space="0" w:color="auto"/>
              <w:left w:val="nil"/>
              <w:bottom w:val="single" w:sz="4" w:space="0" w:color="auto"/>
              <w:right w:val="nil"/>
            </w:tcBorders>
            <w:shd w:val="clear" w:color="000000" w:fill="FFFFFF"/>
            <w:vAlign w:val="center"/>
            <w:hideMark/>
          </w:tcPr>
          <w:p w14:paraId="30AE7140" w14:textId="77777777" w:rsidR="00E70C84" w:rsidRPr="00E70C84" w:rsidRDefault="00E70C84" w:rsidP="00E70C84">
            <w:pPr>
              <w:spacing w:after="0" w:line="240" w:lineRule="auto"/>
              <w:jc w:val="center"/>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5%</w:t>
            </w:r>
          </w:p>
        </w:tc>
        <w:tc>
          <w:tcPr>
            <w:tcW w:w="541" w:type="pct"/>
            <w:tcBorders>
              <w:top w:val="single" w:sz="4" w:space="0" w:color="auto"/>
              <w:left w:val="nil"/>
              <w:bottom w:val="single" w:sz="4" w:space="0" w:color="auto"/>
              <w:right w:val="nil"/>
            </w:tcBorders>
            <w:shd w:val="clear" w:color="000000" w:fill="FFFFFF"/>
            <w:vAlign w:val="center"/>
            <w:hideMark/>
          </w:tcPr>
          <w:p w14:paraId="2F3B77CC" w14:textId="77777777" w:rsidR="00E70C84" w:rsidRPr="00E70C84" w:rsidRDefault="00E70C84" w:rsidP="00E70C84">
            <w:pPr>
              <w:spacing w:after="0" w:line="240" w:lineRule="auto"/>
              <w:jc w:val="center"/>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9%</w:t>
            </w:r>
          </w:p>
        </w:tc>
        <w:tc>
          <w:tcPr>
            <w:tcW w:w="541" w:type="pct"/>
            <w:tcBorders>
              <w:top w:val="single" w:sz="4" w:space="0" w:color="auto"/>
              <w:left w:val="nil"/>
              <w:bottom w:val="single" w:sz="4" w:space="0" w:color="auto"/>
              <w:right w:val="nil"/>
            </w:tcBorders>
            <w:shd w:val="clear" w:color="000000" w:fill="FFFFFF"/>
            <w:vAlign w:val="center"/>
            <w:hideMark/>
          </w:tcPr>
          <w:p w14:paraId="176F94E5" w14:textId="77777777" w:rsidR="00E70C84" w:rsidRPr="00E70C84" w:rsidRDefault="00E70C84" w:rsidP="00E70C84">
            <w:pPr>
              <w:spacing w:after="0" w:line="240" w:lineRule="auto"/>
              <w:jc w:val="center"/>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12%</w:t>
            </w:r>
          </w:p>
        </w:tc>
        <w:tc>
          <w:tcPr>
            <w:tcW w:w="541" w:type="pct"/>
            <w:tcBorders>
              <w:top w:val="single" w:sz="4" w:space="0" w:color="auto"/>
              <w:left w:val="nil"/>
              <w:bottom w:val="single" w:sz="4" w:space="0" w:color="auto"/>
              <w:right w:val="nil"/>
            </w:tcBorders>
            <w:shd w:val="clear" w:color="000000" w:fill="FFFFFF"/>
            <w:vAlign w:val="center"/>
            <w:hideMark/>
          </w:tcPr>
          <w:p w14:paraId="2EAFC91E" w14:textId="77777777" w:rsidR="00E70C84" w:rsidRPr="00E70C84" w:rsidRDefault="00E70C84" w:rsidP="00E70C84">
            <w:pPr>
              <w:spacing w:after="0" w:line="240" w:lineRule="auto"/>
              <w:jc w:val="center"/>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3%</w:t>
            </w:r>
          </w:p>
        </w:tc>
        <w:tc>
          <w:tcPr>
            <w:tcW w:w="541" w:type="pct"/>
            <w:tcBorders>
              <w:top w:val="single" w:sz="4" w:space="0" w:color="auto"/>
              <w:left w:val="nil"/>
              <w:bottom w:val="single" w:sz="4" w:space="0" w:color="auto"/>
              <w:right w:val="nil"/>
            </w:tcBorders>
            <w:shd w:val="clear" w:color="000000" w:fill="FFFFFF"/>
            <w:vAlign w:val="center"/>
            <w:hideMark/>
          </w:tcPr>
          <w:p w14:paraId="28C35905" w14:textId="77777777" w:rsidR="00E70C84" w:rsidRPr="00E70C84" w:rsidRDefault="00E70C84" w:rsidP="00E70C84">
            <w:pPr>
              <w:spacing w:after="0" w:line="240" w:lineRule="auto"/>
              <w:jc w:val="center"/>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5%</w:t>
            </w:r>
          </w:p>
        </w:tc>
        <w:tc>
          <w:tcPr>
            <w:tcW w:w="541" w:type="pct"/>
            <w:tcBorders>
              <w:top w:val="single" w:sz="4" w:space="0" w:color="auto"/>
              <w:left w:val="nil"/>
              <w:bottom w:val="single" w:sz="4" w:space="0" w:color="auto"/>
              <w:right w:val="nil"/>
            </w:tcBorders>
            <w:shd w:val="clear" w:color="000000" w:fill="FFFFFF"/>
            <w:vAlign w:val="center"/>
            <w:hideMark/>
          </w:tcPr>
          <w:p w14:paraId="693AD57A" w14:textId="77777777" w:rsidR="00E70C84" w:rsidRPr="00E70C84" w:rsidRDefault="00E70C84" w:rsidP="00E70C84">
            <w:pPr>
              <w:spacing w:after="0" w:line="240" w:lineRule="auto"/>
              <w:jc w:val="center"/>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9%</w:t>
            </w:r>
          </w:p>
        </w:tc>
        <w:tc>
          <w:tcPr>
            <w:tcW w:w="541" w:type="pct"/>
            <w:tcBorders>
              <w:top w:val="single" w:sz="4" w:space="0" w:color="auto"/>
              <w:left w:val="nil"/>
              <w:bottom w:val="single" w:sz="4" w:space="0" w:color="auto"/>
              <w:right w:val="nil"/>
            </w:tcBorders>
            <w:shd w:val="clear" w:color="000000" w:fill="FFFFFF"/>
            <w:vAlign w:val="center"/>
            <w:hideMark/>
          </w:tcPr>
          <w:p w14:paraId="111CA029" w14:textId="77777777" w:rsidR="00E70C84" w:rsidRPr="00E70C84" w:rsidRDefault="00E70C84" w:rsidP="00E70C84">
            <w:pPr>
              <w:spacing w:after="0" w:line="240" w:lineRule="auto"/>
              <w:jc w:val="center"/>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12%</w:t>
            </w:r>
          </w:p>
        </w:tc>
      </w:tr>
      <w:tr w:rsidR="00E70C84" w:rsidRPr="00E70C84" w14:paraId="2688A2E8" w14:textId="77777777" w:rsidTr="00917FDC">
        <w:trPr>
          <w:trHeight w:val="510"/>
        </w:trPr>
        <w:tc>
          <w:tcPr>
            <w:tcW w:w="671" w:type="pct"/>
            <w:tcBorders>
              <w:top w:val="nil"/>
              <w:left w:val="nil"/>
              <w:bottom w:val="single" w:sz="4" w:space="0" w:color="auto"/>
              <w:right w:val="nil"/>
            </w:tcBorders>
            <w:shd w:val="clear" w:color="000000" w:fill="FFFFFF"/>
            <w:vAlign w:val="center"/>
            <w:hideMark/>
          </w:tcPr>
          <w:p w14:paraId="2F15E0C1" w14:textId="77777777" w:rsidR="00E70C84" w:rsidRPr="00E70C84" w:rsidRDefault="00E70C84" w:rsidP="00E70C84">
            <w:pPr>
              <w:spacing w:after="0" w:line="240" w:lineRule="auto"/>
              <w:rPr>
                <w:rFonts w:ascii="Calibri" w:eastAsia="Times New Roman" w:hAnsi="Calibri" w:cs="Calibri"/>
                <w:color w:val="000000"/>
                <w:sz w:val="18"/>
                <w:szCs w:val="18"/>
                <w:lang w:val="es-ES"/>
              </w:rPr>
            </w:pPr>
            <w:r w:rsidRPr="00E70C84">
              <w:rPr>
                <w:rFonts w:ascii="Calibri" w:eastAsia="Times New Roman" w:hAnsi="Calibri" w:cs="Calibri"/>
                <w:color w:val="000000"/>
                <w:sz w:val="18"/>
                <w:szCs w:val="18"/>
                <w:lang w:val="es-ES"/>
              </w:rPr>
              <w:t>Tasa de participación (%)</w:t>
            </w:r>
          </w:p>
        </w:tc>
        <w:tc>
          <w:tcPr>
            <w:tcW w:w="2165" w:type="pct"/>
            <w:gridSpan w:val="4"/>
            <w:tcBorders>
              <w:top w:val="nil"/>
              <w:left w:val="nil"/>
              <w:bottom w:val="single" w:sz="4" w:space="0" w:color="auto"/>
              <w:right w:val="nil"/>
            </w:tcBorders>
            <w:shd w:val="clear" w:color="000000" w:fill="FFFFFF"/>
            <w:vAlign w:val="center"/>
            <w:hideMark/>
          </w:tcPr>
          <w:p w14:paraId="755C11DE" w14:textId="77777777" w:rsidR="00E70C84" w:rsidRPr="00E70C84" w:rsidRDefault="00E70C84" w:rsidP="00E70C84">
            <w:pPr>
              <w:spacing w:after="0" w:line="240" w:lineRule="auto"/>
              <w:jc w:val="center"/>
              <w:rPr>
                <w:rFonts w:ascii="Calibri" w:eastAsia="Times New Roman" w:hAnsi="Calibri" w:cs="Calibri"/>
                <w:color w:val="000000"/>
                <w:sz w:val="18"/>
                <w:szCs w:val="18"/>
                <w:lang w:val="es-ES"/>
              </w:rPr>
            </w:pPr>
            <w:r w:rsidRPr="00E70C84">
              <w:rPr>
                <w:rFonts w:ascii="Calibri" w:eastAsia="Times New Roman" w:hAnsi="Calibri" w:cs="Calibri"/>
                <w:color w:val="000000"/>
                <w:sz w:val="18"/>
                <w:szCs w:val="18"/>
                <w:lang w:val="es-ES"/>
              </w:rPr>
              <w:t>Efectividad del programa: 50%</w:t>
            </w:r>
          </w:p>
        </w:tc>
        <w:tc>
          <w:tcPr>
            <w:tcW w:w="2165" w:type="pct"/>
            <w:gridSpan w:val="4"/>
            <w:tcBorders>
              <w:top w:val="nil"/>
              <w:left w:val="nil"/>
              <w:bottom w:val="single" w:sz="4" w:space="0" w:color="auto"/>
              <w:right w:val="nil"/>
            </w:tcBorders>
            <w:shd w:val="clear" w:color="000000" w:fill="FFFFFF"/>
            <w:vAlign w:val="center"/>
            <w:hideMark/>
          </w:tcPr>
          <w:p w14:paraId="682675F8" w14:textId="77777777" w:rsidR="00E70C84" w:rsidRPr="00E70C84" w:rsidRDefault="00E70C84" w:rsidP="00E70C84">
            <w:pPr>
              <w:spacing w:after="0" w:line="240" w:lineRule="auto"/>
              <w:jc w:val="center"/>
              <w:rPr>
                <w:rFonts w:ascii="Calibri" w:eastAsia="Times New Roman" w:hAnsi="Calibri" w:cs="Calibri"/>
                <w:color w:val="000000"/>
                <w:sz w:val="18"/>
                <w:szCs w:val="18"/>
                <w:lang w:val="es-ES"/>
              </w:rPr>
            </w:pPr>
            <w:r w:rsidRPr="00E70C84">
              <w:rPr>
                <w:rFonts w:ascii="Calibri" w:eastAsia="Times New Roman" w:hAnsi="Calibri" w:cs="Calibri"/>
                <w:color w:val="000000"/>
                <w:sz w:val="18"/>
                <w:szCs w:val="18"/>
                <w:lang w:val="es-ES"/>
              </w:rPr>
              <w:t>Efectividad del programa: 25%</w:t>
            </w:r>
          </w:p>
        </w:tc>
      </w:tr>
      <w:tr w:rsidR="00917FDC" w:rsidRPr="00E70C84" w14:paraId="4B401086" w14:textId="77777777" w:rsidTr="00917FDC">
        <w:trPr>
          <w:trHeight w:val="300"/>
        </w:trPr>
        <w:tc>
          <w:tcPr>
            <w:tcW w:w="671" w:type="pct"/>
            <w:tcBorders>
              <w:top w:val="nil"/>
              <w:left w:val="nil"/>
              <w:bottom w:val="nil"/>
              <w:right w:val="nil"/>
            </w:tcBorders>
            <w:shd w:val="clear" w:color="000000" w:fill="FFFFFF"/>
            <w:vAlign w:val="center"/>
            <w:hideMark/>
          </w:tcPr>
          <w:p w14:paraId="62DE62C4" w14:textId="77777777" w:rsidR="00E70C84" w:rsidRPr="00E70C84" w:rsidRDefault="00E70C84" w:rsidP="00E70C84">
            <w:pPr>
              <w:spacing w:after="0" w:line="240" w:lineRule="auto"/>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100</w:t>
            </w:r>
          </w:p>
        </w:tc>
        <w:tc>
          <w:tcPr>
            <w:tcW w:w="541" w:type="pct"/>
            <w:tcBorders>
              <w:top w:val="nil"/>
              <w:left w:val="nil"/>
              <w:bottom w:val="nil"/>
              <w:right w:val="nil"/>
            </w:tcBorders>
            <w:shd w:val="clear" w:color="000000" w:fill="FFFFFF"/>
            <w:vAlign w:val="center"/>
            <w:hideMark/>
          </w:tcPr>
          <w:p w14:paraId="087FD3CC"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2,467,964</w:t>
            </w:r>
          </w:p>
        </w:tc>
        <w:tc>
          <w:tcPr>
            <w:tcW w:w="541" w:type="pct"/>
            <w:tcBorders>
              <w:top w:val="nil"/>
              <w:left w:val="nil"/>
              <w:bottom w:val="nil"/>
              <w:right w:val="nil"/>
            </w:tcBorders>
            <w:shd w:val="clear" w:color="000000" w:fill="FFFFFF"/>
            <w:vAlign w:val="center"/>
            <w:hideMark/>
          </w:tcPr>
          <w:p w14:paraId="2AECDD60"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7,784,877</w:t>
            </w:r>
          </w:p>
        </w:tc>
        <w:tc>
          <w:tcPr>
            <w:tcW w:w="541" w:type="pct"/>
            <w:tcBorders>
              <w:top w:val="nil"/>
              <w:left w:val="nil"/>
              <w:bottom w:val="nil"/>
              <w:right w:val="nil"/>
            </w:tcBorders>
            <w:shd w:val="clear" w:color="000000" w:fill="FFFFFF"/>
            <w:vAlign w:val="center"/>
            <w:hideMark/>
          </w:tcPr>
          <w:p w14:paraId="5BF5826A"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5,366,949</w:t>
            </w:r>
          </w:p>
        </w:tc>
        <w:tc>
          <w:tcPr>
            <w:tcW w:w="541" w:type="pct"/>
            <w:tcBorders>
              <w:top w:val="nil"/>
              <w:left w:val="nil"/>
              <w:bottom w:val="nil"/>
              <w:right w:val="nil"/>
            </w:tcBorders>
            <w:shd w:val="clear" w:color="000000" w:fill="FFFFFF"/>
            <w:vAlign w:val="center"/>
            <w:hideMark/>
          </w:tcPr>
          <w:p w14:paraId="749914D7"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4,125,332</w:t>
            </w:r>
          </w:p>
        </w:tc>
        <w:tc>
          <w:tcPr>
            <w:tcW w:w="541" w:type="pct"/>
            <w:tcBorders>
              <w:top w:val="nil"/>
              <w:left w:val="nil"/>
              <w:bottom w:val="nil"/>
              <w:right w:val="nil"/>
            </w:tcBorders>
            <w:shd w:val="clear" w:color="000000" w:fill="FFFFFF"/>
            <w:vAlign w:val="center"/>
            <w:hideMark/>
          </w:tcPr>
          <w:p w14:paraId="2FC1715F"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4,733,982</w:t>
            </w:r>
          </w:p>
        </w:tc>
        <w:tc>
          <w:tcPr>
            <w:tcW w:w="541" w:type="pct"/>
            <w:tcBorders>
              <w:top w:val="nil"/>
              <w:left w:val="nil"/>
              <w:bottom w:val="nil"/>
              <w:right w:val="nil"/>
            </w:tcBorders>
            <w:shd w:val="clear" w:color="000000" w:fill="FFFFFF"/>
            <w:vAlign w:val="center"/>
            <w:hideMark/>
          </w:tcPr>
          <w:p w14:paraId="2B270754"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3,892,439</w:t>
            </w:r>
          </w:p>
        </w:tc>
        <w:tc>
          <w:tcPr>
            <w:tcW w:w="541" w:type="pct"/>
            <w:tcBorders>
              <w:top w:val="nil"/>
              <w:left w:val="nil"/>
              <w:bottom w:val="nil"/>
              <w:right w:val="nil"/>
            </w:tcBorders>
            <w:shd w:val="clear" w:color="000000" w:fill="FFFFFF"/>
            <w:vAlign w:val="center"/>
            <w:hideMark/>
          </w:tcPr>
          <w:p w14:paraId="1350F5BD"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2,683,474</w:t>
            </w:r>
          </w:p>
        </w:tc>
        <w:tc>
          <w:tcPr>
            <w:tcW w:w="541" w:type="pct"/>
            <w:tcBorders>
              <w:top w:val="nil"/>
              <w:left w:val="nil"/>
              <w:bottom w:val="nil"/>
              <w:right w:val="nil"/>
            </w:tcBorders>
            <w:shd w:val="clear" w:color="000000" w:fill="FFFFFF"/>
            <w:vAlign w:val="center"/>
            <w:hideMark/>
          </w:tcPr>
          <w:p w14:paraId="23F00D6F"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2,062,666</w:t>
            </w:r>
          </w:p>
        </w:tc>
      </w:tr>
      <w:tr w:rsidR="00917FDC" w:rsidRPr="00E70C84" w14:paraId="731778F2" w14:textId="77777777" w:rsidTr="00917FDC">
        <w:trPr>
          <w:trHeight w:val="300"/>
        </w:trPr>
        <w:tc>
          <w:tcPr>
            <w:tcW w:w="671" w:type="pct"/>
            <w:tcBorders>
              <w:top w:val="nil"/>
              <w:left w:val="nil"/>
              <w:bottom w:val="nil"/>
              <w:right w:val="nil"/>
            </w:tcBorders>
            <w:shd w:val="clear" w:color="000000" w:fill="FFFFFF"/>
            <w:vAlign w:val="center"/>
            <w:hideMark/>
          </w:tcPr>
          <w:p w14:paraId="73C6BD2B" w14:textId="77777777" w:rsidR="00E70C84" w:rsidRPr="00E70C84" w:rsidRDefault="00E70C84" w:rsidP="00E70C84">
            <w:pPr>
              <w:spacing w:after="0" w:line="240" w:lineRule="auto"/>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90</w:t>
            </w:r>
          </w:p>
        </w:tc>
        <w:tc>
          <w:tcPr>
            <w:tcW w:w="541" w:type="pct"/>
            <w:tcBorders>
              <w:top w:val="nil"/>
              <w:left w:val="nil"/>
              <w:bottom w:val="nil"/>
              <w:right w:val="nil"/>
            </w:tcBorders>
            <w:shd w:val="clear" w:color="000000" w:fill="FFFFFF"/>
            <w:vAlign w:val="center"/>
            <w:hideMark/>
          </w:tcPr>
          <w:p w14:paraId="2A540851"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8,521,168</w:t>
            </w:r>
          </w:p>
        </w:tc>
        <w:tc>
          <w:tcPr>
            <w:tcW w:w="541" w:type="pct"/>
            <w:tcBorders>
              <w:top w:val="nil"/>
              <w:left w:val="nil"/>
              <w:bottom w:val="nil"/>
              <w:right w:val="nil"/>
            </w:tcBorders>
            <w:shd w:val="clear" w:color="000000" w:fill="FFFFFF"/>
            <w:vAlign w:val="center"/>
            <w:hideMark/>
          </w:tcPr>
          <w:p w14:paraId="74CFE244"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7,006,390</w:t>
            </w:r>
          </w:p>
        </w:tc>
        <w:tc>
          <w:tcPr>
            <w:tcW w:w="541" w:type="pct"/>
            <w:tcBorders>
              <w:top w:val="nil"/>
              <w:left w:val="nil"/>
              <w:bottom w:val="nil"/>
              <w:right w:val="nil"/>
            </w:tcBorders>
            <w:shd w:val="clear" w:color="000000" w:fill="FFFFFF"/>
            <w:vAlign w:val="center"/>
            <w:hideMark/>
          </w:tcPr>
          <w:p w14:paraId="6628388C"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4,830,254</w:t>
            </w:r>
          </w:p>
        </w:tc>
        <w:tc>
          <w:tcPr>
            <w:tcW w:w="541" w:type="pct"/>
            <w:tcBorders>
              <w:top w:val="nil"/>
              <w:left w:val="nil"/>
              <w:bottom w:val="nil"/>
              <w:right w:val="nil"/>
            </w:tcBorders>
            <w:shd w:val="clear" w:color="000000" w:fill="FFFFFF"/>
            <w:vAlign w:val="center"/>
            <w:hideMark/>
          </w:tcPr>
          <w:p w14:paraId="300E37CA"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3,712,798</w:t>
            </w:r>
          </w:p>
        </w:tc>
        <w:tc>
          <w:tcPr>
            <w:tcW w:w="541" w:type="pct"/>
            <w:tcBorders>
              <w:top w:val="nil"/>
              <w:left w:val="nil"/>
              <w:bottom w:val="nil"/>
              <w:right w:val="nil"/>
            </w:tcBorders>
            <w:shd w:val="clear" w:color="000000" w:fill="FFFFFF"/>
            <w:vAlign w:val="center"/>
            <w:hideMark/>
          </w:tcPr>
          <w:p w14:paraId="2C7F0D8F"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4,260,584</w:t>
            </w:r>
          </w:p>
        </w:tc>
        <w:tc>
          <w:tcPr>
            <w:tcW w:w="541" w:type="pct"/>
            <w:tcBorders>
              <w:top w:val="nil"/>
              <w:left w:val="nil"/>
              <w:bottom w:val="nil"/>
              <w:right w:val="nil"/>
            </w:tcBorders>
            <w:shd w:val="clear" w:color="000000" w:fill="FFFFFF"/>
            <w:vAlign w:val="center"/>
            <w:hideMark/>
          </w:tcPr>
          <w:p w14:paraId="2138043D"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3,503,195</w:t>
            </w:r>
          </w:p>
        </w:tc>
        <w:tc>
          <w:tcPr>
            <w:tcW w:w="541" w:type="pct"/>
            <w:tcBorders>
              <w:top w:val="nil"/>
              <w:left w:val="nil"/>
              <w:bottom w:val="nil"/>
              <w:right w:val="nil"/>
            </w:tcBorders>
            <w:shd w:val="clear" w:color="000000" w:fill="FFFFFF"/>
            <w:vAlign w:val="center"/>
            <w:hideMark/>
          </w:tcPr>
          <w:p w14:paraId="7D07511A"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2,415,127</w:t>
            </w:r>
          </w:p>
        </w:tc>
        <w:tc>
          <w:tcPr>
            <w:tcW w:w="541" w:type="pct"/>
            <w:tcBorders>
              <w:top w:val="nil"/>
              <w:left w:val="nil"/>
              <w:bottom w:val="nil"/>
              <w:right w:val="nil"/>
            </w:tcBorders>
            <w:shd w:val="clear" w:color="000000" w:fill="FFFFFF"/>
            <w:vAlign w:val="center"/>
            <w:hideMark/>
          </w:tcPr>
          <w:p w14:paraId="1CBF5473"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1,856,399</w:t>
            </w:r>
          </w:p>
        </w:tc>
      </w:tr>
      <w:tr w:rsidR="00917FDC" w:rsidRPr="00E70C84" w14:paraId="69C7DF68" w14:textId="77777777" w:rsidTr="00917FDC">
        <w:trPr>
          <w:trHeight w:val="300"/>
        </w:trPr>
        <w:tc>
          <w:tcPr>
            <w:tcW w:w="671" w:type="pct"/>
            <w:tcBorders>
              <w:top w:val="nil"/>
              <w:left w:val="nil"/>
              <w:bottom w:val="nil"/>
              <w:right w:val="nil"/>
            </w:tcBorders>
            <w:shd w:val="clear" w:color="000000" w:fill="FFFFFF"/>
            <w:vAlign w:val="center"/>
            <w:hideMark/>
          </w:tcPr>
          <w:p w14:paraId="6687CC74" w14:textId="77777777" w:rsidR="00E70C84" w:rsidRPr="00E70C84" w:rsidRDefault="00E70C84" w:rsidP="00E70C84">
            <w:pPr>
              <w:spacing w:after="0" w:line="240" w:lineRule="auto"/>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80</w:t>
            </w:r>
          </w:p>
        </w:tc>
        <w:tc>
          <w:tcPr>
            <w:tcW w:w="541" w:type="pct"/>
            <w:tcBorders>
              <w:top w:val="nil"/>
              <w:left w:val="nil"/>
              <w:bottom w:val="nil"/>
              <w:right w:val="nil"/>
            </w:tcBorders>
            <w:shd w:val="clear" w:color="000000" w:fill="FFFFFF"/>
            <w:vAlign w:val="center"/>
            <w:hideMark/>
          </w:tcPr>
          <w:p w14:paraId="02BB77C1"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7,574,372</w:t>
            </w:r>
          </w:p>
        </w:tc>
        <w:tc>
          <w:tcPr>
            <w:tcW w:w="541" w:type="pct"/>
            <w:tcBorders>
              <w:top w:val="nil"/>
              <w:left w:val="nil"/>
              <w:bottom w:val="nil"/>
              <w:right w:val="nil"/>
            </w:tcBorders>
            <w:shd w:val="clear" w:color="000000" w:fill="FFFFFF"/>
            <w:vAlign w:val="center"/>
            <w:hideMark/>
          </w:tcPr>
          <w:p w14:paraId="6CEDD305"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6,227,902</w:t>
            </w:r>
          </w:p>
        </w:tc>
        <w:tc>
          <w:tcPr>
            <w:tcW w:w="541" w:type="pct"/>
            <w:tcBorders>
              <w:top w:val="nil"/>
              <w:left w:val="nil"/>
              <w:bottom w:val="nil"/>
              <w:right w:val="nil"/>
            </w:tcBorders>
            <w:shd w:val="clear" w:color="000000" w:fill="FFFFFF"/>
            <w:vAlign w:val="center"/>
            <w:hideMark/>
          </w:tcPr>
          <w:p w14:paraId="7AC55197"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4,293,559</w:t>
            </w:r>
          </w:p>
        </w:tc>
        <w:tc>
          <w:tcPr>
            <w:tcW w:w="541" w:type="pct"/>
            <w:tcBorders>
              <w:top w:val="nil"/>
              <w:left w:val="nil"/>
              <w:bottom w:val="nil"/>
              <w:right w:val="nil"/>
            </w:tcBorders>
            <w:shd w:val="clear" w:color="000000" w:fill="FFFFFF"/>
            <w:vAlign w:val="center"/>
            <w:hideMark/>
          </w:tcPr>
          <w:p w14:paraId="7ED7F87A"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3,300,265</w:t>
            </w:r>
          </w:p>
        </w:tc>
        <w:tc>
          <w:tcPr>
            <w:tcW w:w="541" w:type="pct"/>
            <w:tcBorders>
              <w:top w:val="nil"/>
              <w:left w:val="nil"/>
              <w:bottom w:val="nil"/>
              <w:right w:val="nil"/>
            </w:tcBorders>
            <w:shd w:val="clear" w:color="000000" w:fill="FFFFFF"/>
            <w:vAlign w:val="center"/>
            <w:hideMark/>
          </w:tcPr>
          <w:p w14:paraId="3E644C71"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3,787,186</w:t>
            </w:r>
          </w:p>
        </w:tc>
        <w:tc>
          <w:tcPr>
            <w:tcW w:w="541" w:type="pct"/>
            <w:tcBorders>
              <w:top w:val="nil"/>
              <w:left w:val="nil"/>
              <w:bottom w:val="nil"/>
              <w:right w:val="nil"/>
            </w:tcBorders>
            <w:shd w:val="clear" w:color="000000" w:fill="FFFFFF"/>
            <w:vAlign w:val="center"/>
            <w:hideMark/>
          </w:tcPr>
          <w:p w14:paraId="28D56916"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3,113,951</w:t>
            </w:r>
          </w:p>
        </w:tc>
        <w:tc>
          <w:tcPr>
            <w:tcW w:w="541" w:type="pct"/>
            <w:tcBorders>
              <w:top w:val="nil"/>
              <w:left w:val="nil"/>
              <w:bottom w:val="nil"/>
              <w:right w:val="nil"/>
            </w:tcBorders>
            <w:shd w:val="clear" w:color="000000" w:fill="FFFFFF"/>
            <w:vAlign w:val="center"/>
            <w:hideMark/>
          </w:tcPr>
          <w:p w14:paraId="1E2D4943"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2,146,779</w:t>
            </w:r>
          </w:p>
        </w:tc>
        <w:tc>
          <w:tcPr>
            <w:tcW w:w="541" w:type="pct"/>
            <w:tcBorders>
              <w:top w:val="nil"/>
              <w:left w:val="nil"/>
              <w:bottom w:val="nil"/>
              <w:right w:val="nil"/>
            </w:tcBorders>
            <w:shd w:val="clear" w:color="000000" w:fill="FFFFFF"/>
            <w:vAlign w:val="center"/>
            <w:hideMark/>
          </w:tcPr>
          <w:p w14:paraId="4A6041C4"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1,650,133</w:t>
            </w:r>
          </w:p>
        </w:tc>
      </w:tr>
      <w:tr w:rsidR="00917FDC" w:rsidRPr="00E70C84" w14:paraId="6A8EA744" w14:textId="77777777" w:rsidTr="00917FDC">
        <w:trPr>
          <w:trHeight w:val="300"/>
        </w:trPr>
        <w:tc>
          <w:tcPr>
            <w:tcW w:w="671" w:type="pct"/>
            <w:tcBorders>
              <w:top w:val="nil"/>
              <w:left w:val="nil"/>
              <w:bottom w:val="nil"/>
              <w:right w:val="nil"/>
            </w:tcBorders>
            <w:shd w:val="clear" w:color="000000" w:fill="FFFFFF"/>
            <w:vAlign w:val="center"/>
            <w:hideMark/>
          </w:tcPr>
          <w:p w14:paraId="33D28581" w14:textId="77777777" w:rsidR="00E70C84" w:rsidRPr="00E70C84" w:rsidRDefault="00E70C84" w:rsidP="00E70C84">
            <w:pPr>
              <w:spacing w:after="0" w:line="240" w:lineRule="auto"/>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70</w:t>
            </w:r>
          </w:p>
        </w:tc>
        <w:tc>
          <w:tcPr>
            <w:tcW w:w="541" w:type="pct"/>
            <w:tcBorders>
              <w:top w:val="nil"/>
              <w:left w:val="nil"/>
              <w:bottom w:val="nil"/>
              <w:right w:val="nil"/>
            </w:tcBorders>
            <w:shd w:val="clear" w:color="000000" w:fill="FFFFFF"/>
            <w:vAlign w:val="center"/>
            <w:hideMark/>
          </w:tcPr>
          <w:p w14:paraId="2E586ED8"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6,627,575</w:t>
            </w:r>
          </w:p>
        </w:tc>
        <w:tc>
          <w:tcPr>
            <w:tcW w:w="541" w:type="pct"/>
            <w:tcBorders>
              <w:top w:val="nil"/>
              <w:left w:val="nil"/>
              <w:bottom w:val="nil"/>
              <w:right w:val="nil"/>
            </w:tcBorders>
            <w:shd w:val="clear" w:color="000000" w:fill="FFFFFF"/>
            <w:vAlign w:val="center"/>
            <w:hideMark/>
          </w:tcPr>
          <w:p w14:paraId="11A12B2A"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5,449,414</w:t>
            </w:r>
          </w:p>
        </w:tc>
        <w:tc>
          <w:tcPr>
            <w:tcW w:w="541" w:type="pct"/>
            <w:tcBorders>
              <w:top w:val="nil"/>
              <w:left w:val="nil"/>
              <w:bottom w:val="nil"/>
              <w:right w:val="nil"/>
            </w:tcBorders>
            <w:shd w:val="clear" w:color="000000" w:fill="FFFFFF"/>
            <w:vAlign w:val="center"/>
            <w:hideMark/>
          </w:tcPr>
          <w:p w14:paraId="6F01A3CD"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3,756,864</w:t>
            </w:r>
          </w:p>
        </w:tc>
        <w:tc>
          <w:tcPr>
            <w:tcW w:w="541" w:type="pct"/>
            <w:tcBorders>
              <w:top w:val="nil"/>
              <w:left w:val="nil"/>
              <w:bottom w:val="nil"/>
              <w:right w:val="nil"/>
            </w:tcBorders>
            <w:shd w:val="clear" w:color="000000" w:fill="FFFFFF"/>
            <w:vAlign w:val="center"/>
            <w:hideMark/>
          </w:tcPr>
          <w:p w14:paraId="2CF5DC7F"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2,887,732</w:t>
            </w:r>
          </w:p>
        </w:tc>
        <w:tc>
          <w:tcPr>
            <w:tcW w:w="541" w:type="pct"/>
            <w:tcBorders>
              <w:top w:val="nil"/>
              <w:left w:val="nil"/>
              <w:bottom w:val="nil"/>
              <w:right w:val="nil"/>
            </w:tcBorders>
            <w:shd w:val="clear" w:color="000000" w:fill="FFFFFF"/>
            <w:vAlign w:val="center"/>
            <w:hideMark/>
          </w:tcPr>
          <w:p w14:paraId="6F18B2B3"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3,313,788</w:t>
            </w:r>
          </w:p>
        </w:tc>
        <w:tc>
          <w:tcPr>
            <w:tcW w:w="541" w:type="pct"/>
            <w:tcBorders>
              <w:top w:val="nil"/>
              <w:left w:val="nil"/>
              <w:bottom w:val="nil"/>
              <w:right w:val="nil"/>
            </w:tcBorders>
            <w:shd w:val="clear" w:color="000000" w:fill="FFFFFF"/>
            <w:vAlign w:val="center"/>
            <w:hideMark/>
          </w:tcPr>
          <w:p w14:paraId="218C7092"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2,724,707</w:t>
            </w:r>
          </w:p>
        </w:tc>
        <w:tc>
          <w:tcPr>
            <w:tcW w:w="541" w:type="pct"/>
            <w:tcBorders>
              <w:top w:val="nil"/>
              <w:left w:val="nil"/>
              <w:bottom w:val="nil"/>
              <w:right w:val="nil"/>
            </w:tcBorders>
            <w:shd w:val="clear" w:color="000000" w:fill="FFFFFF"/>
            <w:vAlign w:val="center"/>
            <w:hideMark/>
          </w:tcPr>
          <w:p w14:paraId="23C7481D"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1,878,432</w:t>
            </w:r>
          </w:p>
        </w:tc>
        <w:tc>
          <w:tcPr>
            <w:tcW w:w="541" w:type="pct"/>
            <w:tcBorders>
              <w:top w:val="nil"/>
              <w:left w:val="nil"/>
              <w:bottom w:val="nil"/>
              <w:right w:val="nil"/>
            </w:tcBorders>
            <w:shd w:val="clear" w:color="000000" w:fill="FFFFFF"/>
            <w:vAlign w:val="center"/>
            <w:hideMark/>
          </w:tcPr>
          <w:p w14:paraId="2F26476B"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1,443,866</w:t>
            </w:r>
          </w:p>
        </w:tc>
      </w:tr>
      <w:tr w:rsidR="00917FDC" w:rsidRPr="00E70C84" w14:paraId="2807ED50" w14:textId="77777777" w:rsidTr="00917FDC">
        <w:trPr>
          <w:trHeight w:val="300"/>
        </w:trPr>
        <w:tc>
          <w:tcPr>
            <w:tcW w:w="671" w:type="pct"/>
            <w:tcBorders>
              <w:top w:val="nil"/>
              <w:left w:val="nil"/>
              <w:bottom w:val="nil"/>
              <w:right w:val="nil"/>
            </w:tcBorders>
            <w:shd w:val="clear" w:color="000000" w:fill="FFFFFF"/>
            <w:vAlign w:val="center"/>
            <w:hideMark/>
          </w:tcPr>
          <w:p w14:paraId="7DB3BBE8" w14:textId="77777777" w:rsidR="00E70C84" w:rsidRPr="00E70C84" w:rsidRDefault="00E70C84" w:rsidP="00E70C84">
            <w:pPr>
              <w:spacing w:after="0" w:line="240" w:lineRule="auto"/>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60</w:t>
            </w:r>
          </w:p>
        </w:tc>
        <w:tc>
          <w:tcPr>
            <w:tcW w:w="541" w:type="pct"/>
            <w:tcBorders>
              <w:top w:val="nil"/>
              <w:left w:val="nil"/>
              <w:bottom w:val="nil"/>
              <w:right w:val="nil"/>
            </w:tcBorders>
            <w:shd w:val="clear" w:color="000000" w:fill="FFFFFF"/>
            <w:vAlign w:val="center"/>
            <w:hideMark/>
          </w:tcPr>
          <w:p w14:paraId="733CBC2C"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5,680,779</w:t>
            </w:r>
          </w:p>
        </w:tc>
        <w:tc>
          <w:tcPr>
            <w:tcW w:w="541" w:type="pct"/>
            <w:tcBorders>
              <w:top w:val="nil"/>
              <w:left w:val="nil"/>
              <w:bottom w:val="nil"/>
              <w:right w:val="nil"/>
            </w:tcBorders>
            <w:shd w:val="clear" w:color="000000" w:fill="FFFFFF"/>
            <w:vAlign w:val="center"/>
            <w:hideMark/>
          </w:tcPr>
          <w:p w14:paraId="7C0BDECA"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4,670,926</w:t>
            </w:r>
          </w:p>
        </w:tc>
        <w:tc>
          <w:tcPr>
            <w:tcW w:w="541" w:type="pct"/>
            <w:tcBorders>
              <w:top w:val="nil"/>
              <w:left w:val="nil"/>
              <w:bottom w:val="nil"/>
              <w:right w:val="nil"/>
            </w:tcBorders>
            <w:shd w:val="clear" w:color="000000" w:fill="FFFFFF"/>
            <w:vAlign w:val="center"/>
            <w:hideMark/>
          </w:tcPr>
          <w:p w14:paraId="6E6EE07E"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3,220,169</w:t>
            </w:r>
          </w:p>
        </w:tc>
        <w:tc>
          <w:tcPr>
            <w:tcW w:w="541" w:type="pct"/>
            <w:tcBorders>
              <w:top w:val="nil"/>
              <w:left w:val="nil"/>
              <w:bottom w:val="nil"/>
              <w:right w:val="nil"/>
            </w:tcBorders>
            <w:shd w:val="clear" w:color="000000" w:fill="FFFFFF"/>
            <w:vAlign w:val="center"/>
            <w:hideMark/>
          </w:tcPr>
          <w:p w14:paraId="2EA73E61"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2,475,199</w:t>
            </w:r>
          </w:p>
        </w:tc>
        <w:tc>
          <w:tcPr>
            <w:tcW w:w="541" w:type="pct"/>
            <w:tcBorders>
              <w:top w:val="nil"/>
              <w:left w:val="nil"/>
              <w:bottom w:val="nil"/>
              <w:right w:val="nil"/>
            </w:tcBorders>
            <w:shd w:val="clear" w:color="000000" w:fill="FFFFFF"/>
            <w:vAlign w:val="center"/>
            <w:hideMark/>
          </w:tcPr>
          <w:p w14:paraId="6110EBC6"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2,840,389</w:t>
            </w:r>
          </w:p>
        </w:tc>
        <w:tc>
          <w:tcPr>
            <w:tcW w:w="541" w:type="pct"/>
            <w:tcBorders>
              <w:top w:val="nil"/>
              <w:left w:val="nil"/>
              <w:bottom w:val="nil"/>
              <w:right w:val="nil"/>
            </w:tcBorders>
            <w:shd w:val="clear" w:color="000000" w:fill="FFFFFF"/>
            <w:vAlign w:val="center"/>
            <w:hideMark/>
          </w:tcPr>
          <w:p w14:paraId="6131F148"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2,335,463</w:t>
            </w:r>
          </w:p>
        </w:tc>
        <w:tc>
          <w:tcPr>
            <w:tcW w:w="541" w:type="pct"/>
            <w:tcBorders>
              <w:top w:val="nil"/>
              <w:left w:val="nil"/>
              <w:bottom w:val="nil"/>
              <w:right w:val="nil"/>
            </w:tcBorders>
            <w:shd w:val="clear" w:color="000000" w:fill="FFFFFF"/>
            <w:vAlign w:val="center"/>
            <w:hideMark/>
          </w:tcPr>
          <w:p w14:paraId="540235A4"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1,610,085</w:t>
            </w:r>
          </w:p>
        </w:tc>
        <w:tc>
          <w:tcPr>
            <w:tcW w:w="541" w:type="pct"/>
            <w:tcBorders>
              <w:top w:val="nil"/>
              <w:left w:val="nil"/>
              <w:bottom w:val="nil"/>
              <w:right w:val="nil"/>
            </w:tcBorders>
            <w:shd w:val="clear" w:color="000000" w:fill="FFFFFF"/>
            <w:vAlign w:val="center"/>
            <w:hideMark/>
          </w:tcPr>
          <w:p w14:paraId="73D0B04A"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1,237,599</w:t>
            </w:r>
          </w:p>
        </w:tc>
      </w:tr>
      <w:tr w:rsidR="00917FDC" w:rsidRPr="00E70C84" w14:paraId="532CE7A1" w14:textId="77777777" w:rsidTr="00917FDC">
        <w:trPr>
          <w:trHeight w:val="300"/>
        </w:trPr>
        <w:tc>
          <w:tcPr>
            <w:tcW w:w="671" w:type="pct"/>
            <w:tcBorders>
              <w:top w:val="nil"/>
              <w:left w:val="nil"/>
              <w:bottom w:val="nil"/>
              <w:right w:val="nil"/>
            </w:tcBorders>
            <w:shd w:val="clear" w:color="000000" w:fill="FFFFFF"/>
            <w:vAlign w:val="center"/>
            <w:hideMark/>
          </w:tcPr>
          <w:p w14:paraId="5327D53A" w14:textId="77777777" w:rsidR="00E70C84" w:rsidRPr="00E70C84" w:rsidRDefault="00E70C84" w:rsidP="00E70C84">
            <w:pPr>
              <w:spacing w:after="0" w:line="240" w:lineRule="auto"/>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50</w:t>
            </w:r>
          </w:p>
        </w:tc>
        <w:tc>
          <w:tcPr>
            <w:tcW w:w="541" w:type="pct"/>
            <w:tcBorders>
              <w:top w:val="nil"/>
              <w:left w:val="nil"/>
              <w:bottom w:val="nil"/>
              <w:right w:val="nil"/>
            </w:tcBorders>
            <w:shd w:val="clear" w:color="000000" w:fill="FFFFFF"/>
            <w:vAlign w:val="center"/>
            <w:hideMark/>
          </w:tcPr>
          <w:p w14:paraId="3A2BF0A1"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4,733,982</w:t>
            </w:r>
          </w:p>
        </w:tc>
        <w:tc>
          <w:tcPr>
            <w:tcW w:w="541" w:type="pct"/>
            <w:tcBorders>
              <w:top w:val="nil"/>
              <w:left w:val="nil"/>
              <w:bottom w:val="nil"/>
              <w:right w:val="nil"/>
            </w:tcBorders>
            <w:shd w:val="clear" w:color="000000" w:fill="FFFFFF"/>
            <w:vAlign w:val="center"/>
            <w:hideMark/>
          </w:tcPr>
          <w:p w14:paraId="42BB332B"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3,892,439</w:t>
            </w:r>
          </w:p>
        </w:tc>
        <w:tc>
          <w:tcPr>
            <w:tcW w:w="541" w:type="pct"/>
            <w:tcBorders>
              <w:top w:val="nil"/>
              <w:left w:val="nil"/>
              <w:bottom w:val="nil"/>
              <w:right w:val="nil"/>
            </w:tcBorders>
            <w:shd w:val="clear" w:color="000000" w:fill="FFFFFF"/>
            <w:vAlign w:val="center"/>
            <w:hideMark/>
          </w:tcPr>
          <w:p w14:paraId="22A6DAEE"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2,683,474</w:t>
            </w:r>
          </w:p>
        </w:tc>
        <w:tc>
          <w:tcPr>
            <w:tcW w:w="541" w:type="pct"/>
            <w:tcBorders>
              <w:top w:val="nil"/>
              <w:left w:val="nil"/>
              <w:bottom w:val="nil"/>
              <w:right w:val="nil"/>
            </w:tcBorders>
            <w:shd w:val="clear" w:color="000000" w:fill="FFFFFF"/>
            <w:vAlign w:val="center"/>
            <w:hideMark/>
          </w:tcPr>
          <w:p w14:paraId="76299BEC"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2,062,666</w:t>
            </w:r>
          </w:p>
        </w:tc>
        <w:tc>
          <w:tcPr>
            <w:tcW w:w="541" w:type="pct"/>
            <w:tcBorders>
              <w:top w:val="nil"/>
              <w:left w:val="nil"/>
              <w:bottom w:val="nil"/>
              <w:right w:val="nil"/>
            </w:tcBorders>
            <w:shd w:val="clear" w:color="000000" w:fill="FFFFFF"/>
            <w:vAlign w:val="center"/>
            <w:hideMark/>
          </w:tcPr>
          <w:p w14:paraId="354FA72B"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2,366,991</w:t>
            </w:r>
          </w:p>
        </w:tc>
        <w:tc>
          <w:tcPr>
            <w:tcW w:w="541" w:type="pct"/>
            <w:tcBorders>
              <w:top w:val="nil"/>
              <w:left w:val="nil"/>
              <w:bottom w:val="nil"/>
              <w:right w:val="nil"/>
            </w:tcBorders>
            <w:shd w:val="clear" w:color="000000" w:fill="FFFFFF"/>
            <w:vAlign w:val="center"/>
            <w:hideMark/>
          </w:tcPr>
          <w:p w14:paraId="4BCCEEF8"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1,946,219</w:t>
            </w:r>
          </w:p>
        </w:tc>
        <w:tc>
          <w:tcPr>
            <w:tcW w:w="541" w:type="pct"/>
            <w:tcBorders>
              <w:top w:val="nil"/>
              <w:left w:val="nil"/>
              <w:bottom w:val="nil"/>
              <w:right w:val="nil"/>
            </w:tcBorders>
            <w:shd w:val="clear" w:color="000000" w:fill="FFFFFF"/>
            <w:vAlign w:val="center"/>
            <w:hideMark/>
          </w:tcPr>
          <w:p w14:paraId="0FF86B7A"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1,341,737</w:t>
            </w:r>
          </w:p>
        </w:tc>
        <w:tc>
          <w:tcPr>
            <w:tcW w:w="541" w:type="pct"/>
            <w:tcBorders>
              <w:top w:val="nil"/>
              <w:left w:val="nil"/>
              <w:bottom w:val="nil"/>
              <w:right w:val="nil"/>
            </w:tcBorders>
            <w:shd w:val="clear" w:color="000000" w:fill="FFFFFF"/>
            <w:vAlign w:val="center"/>
            <w:hideMark/>
          </w:tcPr>
          <w:p w14:paraId="483FD075"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1,031,333</w:t>
            </w:r>
          </w:p>
        </w:tc>
      </w:tr>
      <w:tr w:rsidR="00917FDC" w:rsidRPr="00E70C84" w14:paraId="20D29AA4" w14:textId="77777777" w:rsidTr="00917FDC">
        <w:trPr>
          <w:trHeight w:val="300"/>
        </w:trPr>
        <w:tc>
          <w:tcPr>
            <w:tcW w:w="671" w:type="pct"/>
            <w:tcBorders>
              <w:top w:val="nil"/>
              <w:left w:val="nil"/>
              <w:bottom w:val="nil"/>
              <w:right w:val="nil"/>
            </w:tcBorders>
            <w:shd w:val="clear" w:color="000000" w:fill="FFFFFF"/>
            <w:vAlign w:val="center"/>
            <w:hideMark/>
          </w:tcPr>
          <w:p w14:paraId="7CBEDE21" w14:textId="77777777" w:rsidR="00E70C84" w:rsidRPr="00E70C84" w:rsidRDefault="00E70C84" w:rsidP="00E70C84">
            <w:pPr>
              <w:spacing w:after="0" w:line="240" w:lineRule="auto"/>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40</w:t>
            </w:r>
          </w:p>
        </w:tc>
        <w:tc>
          <w:tcPr>
            <w:tcW w:w="541" w:type="pct"/>
            <w:tcBorders>
              <w:top w:val="nil"/>
              <w:left w:val="nil"/>
              <w:bottom w:val="nil"/>
              <w:right w:val="nil"/>
            </w:tcBorders>
            <w:shd w:val="clear" w:color="000000" w:fill="FFFFFF"/>
            <w:vAlign w:val="center"/>
            <w:hideMark/>
          </w:tcPr>
          <w:p w14:paraId="415CA59A"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3,787,186</w:t>
            </w:r>
          </w:p>
        </w:tc>
        <w:tc>
          <w:tcPr>
            <w:tcW w:w="541" w:type="pct"/>
            <w:tcBorders>
              <w:top w:val="nil"/>
              <w:left w:val="nil"/>
              <w:bottom w:val="nil"/>
              <w:right w:val="nil"/>
            </w:tcBorders>
            <w:shd w:val="clear" w:color="000000" w:fill="FFFFFF"/>
            <w:vAlign w:val="center"/>
            <w:hideMark/>
          </w:tcPr>
          <w:p w14:paraId="1A49EA7A"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3,113,951</w:t>
            </w:r>
          </w:p>
        </w:tc>
        <w:tc>
          <w:tcPr>
            <w:tcW w:w="541" w:type="pct"/>
            <w:tcBorders>
              <w:top w:val="nil"/>
              <w:left w:val="nil"/>
              <w:bottom w:val="nil"/>
              <w:right w:val="nil"/>
            </w:tcBorders>
            <w:shd w:val="clear" w:color="000000" w:fill="FFFFFF"/>
            <w:vAlign w:val="center"/>
            <w:hideMark/>
          </w:tcPr>
          <w:p w14:paraId="20B50285"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2,146,779</w:t>
            </w:r>
          </w:p>
        </w:tc>
        <w:tc>
          <w:tcPr>
            <w:tcW w:w="541" w:type="pct"/>
            <w:tcBorders>
              <w:top w:val="nil"/>
              <w:left w:val="nil"/>
              <w:bottom w:val="nil"/>
              <w:right w:val="nil"/>
            </w:tcBorders>
            <w:shd w:val="clear" w:color="000000" w:fill="FFFFFF"/>
            <w:vAlign w:val="center"/>
            <w:hideMark/>
          </w:tcPr>
          <w:p w14:paraId="5B2E64A2"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1,650,133</w:t>
            </w:r>
          </w:p>
        </w:tc>
        <w:tc>
          <w:tcPr>
            <w:tcW w:w="541" w:type="pct"/>
            <w:tcBorders>
              <w:top w:val="nil"/>
              <w:left w:val="nil"/>
              <w:bottom w:val="nil"/>
              <w:right w:val="nil"/>
            </w:tcBorders>
            <w:shd w:val="clear" w:color="000000" w:fill="FFFFFF"/>
            <w:vAlign w:val="center"/>
            <w:hideMark/>
          </w:tcPr>
          <w:p w14:paraId="1DD77D29"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1,893,593</w:t>
            </w:r>
          </w:p>
        </w:tc>
        <w:tc>
          <w:tcPr>
            <w:tcW w:w="541" w:type="pct"/>
            <w:tcBorders>
              <w:top w:val="nil"/>
              <w:left w:val="nil"/>
              <w:bottom w:val="nil"/>
              <w:right w:val="nil"/>
            </w:tcBorders>
            <w:shd w:val="clear" w:color="000000" w:fill="FFFFFF"/>
            <w:vAlign w:val="center"/>
            <w:hideMark/>
          </w:tcPr>
          <w:p w14:paraId="6EE94D5B"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1,556,975</w:t>
            </w:r>
          </w:p>
        </w:tc>
        <w:tc>
          <w:tcPr>
            <w:tcW w:w="541" w:type="pct"/>
            <w:tcBorders>
              <w:top w:val="nil"/>
              <w:left w:val="nil"/>
              <w:bottom w:val="nil"/>
              <w:right w:val="nil"/>
            </w:tcBorders>
            <w:shd w:val="clear" w:color="000000" w:fill="FFFFFF"/>
            <w:vAlign w:val="center"/>
            <w:hideMark/>
          </w:tcPr>
          <w:p w14:paraId="0749967F"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1,073,390</w:t>
            </w:r>
          </w:p>
        </w:tc>
        <w:tc>
          <w:tcPr>
            <w:tcW w:w="541" w:type="pct"/>
            <w:tcBorders>
              <w:top w:val="nil"/>
              <w:left w:val="nil"/>
              <w:bottom w:val="nil"/>
              <w:right w:val="nil"/>
            </w:tcBorders>
            <w:shd w:val="clear" w:color="000000" w:fill="FFFFFF"/>
            <w:vAlign w:val="center"/>
            <w:hideMark/>
          </w:tcPr>
          <w:p w14:paraId="2D1F321F"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825,066</w:t>
            </w:r>
          </w:p>
        </w:tc>
      </w:tr>
      <w:tr w:rsidR="00917FDC" w:rsidRPr="00E70C84" w14:paraId="39483A51" w14:textId="77777777" w:rsidTr="00917FDC">
        <w:trPr>
          <w:trHeight w:val="300"/>
        </w:trPr>
        <w:tc>
          <w:tcPr>
            <w:tcW w:w="671" w:type="pct"/>
            <w:tcBorders>
              <w:top w:val="nil"/>
              <w:left w:val="nil"/>
              <w:bottom w:val="nil"/>
              <w:right w:val="nil"/>
            </w:tcBorders>
            <w:shd w:val="clear" w:color="000000" w:fill="FFFFFF"/>
            <w:vAlign w:val="center"/>
            <w:hideMark/>
          </w:tcPr>
          <w:p w14:paraId="4A835514" w14:textId="77777777" w:rsidR="00E70C84" w:rsidRPr="00E70C84" w:rsidRDefault="00E70C84" w:rsidP="00E70C84">
            <w:pPr>
              <w:spacing w:after="0" w:line="240" w:lineRule="auto"/>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30</w:t>
            </w:r>
          </w:p>
        </w:tc>
        <w:tc>
          <w:tcPr>
            <w:tcW w:w="541" w:type="pct"/>
            <w:tcBorders>
              <w:top w:val="nil"/>
              <w:left w:val="nil"/>
              <w:bottom w:val="nil"/>
              <w:right w:val="nil"/>
            </w:tcBorders>
            <w:shd w:val="clear" w:color="000000" w:fill="FFFFFF"/>
            <w:vAlign w:val="center"/>
            <w:hideMark/>
          </w:tcPr>
          <w:p w14:paraId="2B63AF64"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2,840,389</w:t>
            </w:r>
          </w:p>
        </w:tc>
        <w:tc>
          <w:tcPr>
            <w:tcW w:w="541" w:type="pct"/>
            <w:tcBorders>
              <w:top w:val="nil"/>
              <w:left w:val="nil"/>
              <w:bottom w:val="nil"/>
              <w:right w:val="nil"/>
            </w:tcBorders>
            <w:shd w:val="clear" w:color="000000" w:fill="FFFFFF"/>
            <w:vAlign w:val="center"/>
            <w:hideMark/>
          </w:tcPr>
          <w:p w14:paraId="2A4C61FA"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2,335,463</w:t>
            </w:r>
          </w:p>
        </w:tc>
        <w:tc>
          <w:tcPr>
            <w:tcW w:w="541" w:type="pct"/>
            <w:tcBorders>
              <w:top w:val="nil"/>
              <w:left w:val="nil"/>
              <w:bottom w:val="nil"/>
              <w:right w:val="nil"/>
            </w:tcBorders>
            <w:shd w:val="clear" w:color="000000" w:fill="FFFFFF"/>
            <w:vAlign w:val="center"/>
            <w:hideMark/>
          </w:tcPr>
          <w:p w14:paraId="4F5774B5"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1,610,085</w:t>
            </w:r>
          </w:p>
        </w:tc>
        <w:tc>
          <w:tcPr>
            <w:tcW w:w="541" w:type="pct"/>
            <w:tcBorders>
              <w:top w:val="nil"/>
              <w:left w:val="nil"/>
              <w:bottom w:val="nil"/>
              <w:right w:val="nil"/>
            </w:tcBorders>
            <w:shd w:val="clear" w:color="000000" w:fill="FFFFFF"/>
            <w:vAlign w:val="center"/>
            <w:hideMark/>
          </w:tcPr>
          <w:p w14:paraId="69252921"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1,237,599</w:t>
            </w:r>
          </w:p>
        </w:tc>
        <w:tc>
          <w:tcPr>
            <w:tcW w:w="541" w:type="pct"/>
            <w:tcBorders>
              <w:top w:val="nil"/>
              <w:left w:val="nil"/>
              <w:bottom w:val="nil"/>
              <w:right w:val="nil"/>
            </w:tcBorders>
            <w:shd w:val="clear" w:color="000000" w:fill="FFFFFF"/>
            <w:vAlign w:val="center"/>
            <w:hideMark/>
          </w:tcPr>
          <w:p w14:paraId="51A7CDF9"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1,420,195</w:t>
            </w:r>
          </w:p>
        </w:tc>
        <w:tc>
          <w:tcPr>
            <w:tcW w:w="541" w:type="pct"/>
            <w:tcBorders>
              <w:top w:val="nil"/>
              <w:left w:val="nil"/>
              <w:bottom w:val="nil"/>
              <w:right w:val="nil"/>
            </w:tcBorders>
            <w:shd w:val="clear" w:color="000000" w:fill="FFFFFF"/>
            <w:vAlign w:val="center"/>
            <w:hideMark/>
          </w:tcPr>
          <w:p w14:paraId="2D95B462"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1,167,732</w:t>
            </w:r>
          </w:p>
        </w:tc>
        <w:tc>
          <w:tcPr>
            <w:tcW w:w="541" w:type="pct"/>
            <w:tcBorders>
              <w:top w:val="nil"/>
              <w:left w:val="nil"/>
              <w:bottom w:val="nil"/>
              <w:right w:val="nil"/>
            </w:tcBorders>
            <w:shd w:val="clear" w:color="000000" w:fill="FFFFFF"/>
            <w:vAlign w:val="center"/>
            <w:hideMark/>
          </w:tcPr>
          <w:p w14:paraId="6335CECB"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805,042</w:t>
            </w:r>
          </w:p>
        </w:tc>
        <w:tc>
          <w:tcPr>
            <w:tcW w:w="541" w:type="pct"/>
            <w:tcBorders>
              <w:top w:val="nil"/>
              <w:left w:val="nil"/>
              <w:bottom w:val="nil"/>
              <w:right w:val="nil"/>
            </w:tcBorders>
            <w:shd w:val="clear" w:color="000000" w:fill="FFFFFF"/>
            <w:vAlign w:val="center"/>
            <w:hideMark/>
          </w:tcPr>
          <w:p w14:paraId="224B2E9E"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618,800</w:t>
            </w:r>
          </w:p>
        </w:tc>
      </w:tr>
      <w:tr w:rsidR="00917FDC" w:rsidRPr="00E70C84" w14:paraId="726B97FC" w14:textId="77777777" w:rsidTr="00917FDC">
        <w:trPr>
          <w:trHeight w:val="300"/>
        </w:trPr>
        <w:tc>
          <w:tcPr>
            <w:tcW w:w="671" w:type="pct"/>
            <w:tcBorders>
              <w:top w:val="nil"/>
              <w:left w:val="nil"/>
              <w:bottom w:val="nil"/>
              <w:right w:val="nil"/>
            </w:tcBorders>
            <w:shd w:val="clear" w:color="000000" w:fill="FFFFFF"/>
            <w:vAlign w:val="center"/>
            <w:hideMark/>
          </w:tcPr>
          <w:p w14:paraId="22F203E1" w14:textId="77777777" w:rsidR="00E70C84" w:rsidRPr="00E70C84" w:rsidRDefault="00E70C84" w:rsidP="00E70C84">
            <w:pPr>
              <w:spacing w:after="0" w:line="240" w:lineRule="auto"/>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20</w:t>
            </w:r>
          </w:p>
        </w:tc>
        <w:tc>
          <w:tcPr>
            <w:tcW w:w="541" w:type="pct"/>
            <w:tcBorders>
              <w:top w:val="nil"/>
              <w:left w:val="nil"/>
              <w:bottom w:val="nil"/>
              <w:right w:val="nil"/>
            </w:tcBorders>
            <w:shd w:val="clear" w:color="000000" w:fill="FFFFFF"/>
            <w:vAlign w:val="center"/>
            <w:hideMark/>
          </w:tcPr>
          <w:p w14:paraId="398B8909" w14:textId="77777777" w:rsidR="00E70C84" w:rsidRPr="00E70C84" w:rsidRDefault="00E70C84" w:rsidP="00E70C84">
            <w:pPr>
              <w:spacing w:after="0" w:line="240" w:lineRule="auto"/>
              <w:jc w:val="right"/>
              <w:rPr>
                <w:rFonts w:ascii="Calibri" w:eastAsia="Times New Roman" w:hAnsi="Calibri" w:cs="Calibri"/>
                <w:color w:val="000000"/>
                <w:sz w:val="16"/>
                <w:szCs w:val="16"/>
                <w:lang w:val="es-ES"/>
              </w:rPr>
            </w:pPr>
            <w:r w:rsidRPr="00E70C84">
              <w:rPr>
                <w:rFonts w:ascii="Calibri" w:eastAsia="Times New Roman" w:hAnsi="Calibri" w:cs="Calibri"/>
                <w:color w:val="000000"/>
                <w:sz w:val="16"/>
                <w:szCs w:val="16"/>
                <w:lang w:val="es-ES"/>
              </w:rPr>
              <w:t>1,893,593</w:t>
            </w:r>
          </w:p>
        </w:tc>
        <w:tc>
          <w:tcPr>
            <w:tcW w:w="541" w:type="pct"/>
            <w:tcBorders>
              <w:top w:val="nil"/>
              <w:left w:val="nil"/>
              <w:bottom w:val="nil"/>
              <w:right w:val="nil"/>
            </w:tcBorders>
            <w:shd w:val="clear" w:color="000000" w:fill="FFFFFF"/>
            <w:vAlign w:val="center"/>
            <w:hideMark/>
          </w:tcPr>
          <w:p w14:paraId="3914DDE2"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1,556,975</w:t>
            </w:r>
          </w:p>
        </w:tc>
        <w:tc>
          <w:tcPr>
            <w:tcW w:w="541" w:type="pct"/>
            <w:tcBorders>
              <w:top w:val="nil"/>
              <w:left w:val="nil"/>
              <w:bottom w:val="nil"/>
              <w:right w:val="nil"/>
            </w:tcBorders>
            <w:shd w:val="clear" w:color="000000" w:fill="FFFFFF"/>
            <w:vAlign w:val="center"/>
            <w:hideMark/>
          </w:tcPr>
          <w:p w14:paraId="7091091B"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1,073,390</w:t>
            </w:r>
          </w:p>
        </w:tc>
        <w:tc>
          <w:tcPr>
            <w:tcW w:w="541" w:type="pct"/>
            <w:tcBorders>
              <w:top w:val="nil"/>
              <w:left w:val="nil"/>
              <w:bottom w:val="nil"/>
              <w:right w:val="nil"/>
            </w:tcBorders>
            <w:shd w:val="clear" w:color="000000" w:fill="FFFFFF"/>
            <w:vAlign w:val="center"/>
            <w:hideMark/>
          </w:tcPr>
          <w:p w14:paraId="07174121"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825,066</w:t>
            </w:r>
          </w:p>
        </w:tc>
        <w:tc>
          <w:tcPr>
            <w:tcW w:w="541" w:type="pct"/>
            <w:tcBorders>
              <w:top w:val="nil"/>
              <w:left w:val="nil"/>
              <w:bottom w:val="nil"/>
              <w:right w:val="nil"/>
            </w:tcBorders>
            <w:shd w:val="clear" w:color="000000" w:fill="FFFFFF"/>
            <w:vAlign w:val="center"/>
            <w:hideMark/>
          </w:tcPr>
          <w:p w14:paraId="222A4D41"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946,796</w:t>
            </w:r>
          </w:p>
        </w:tc>
        <w:tc>
          <w:tcPr>
            <w:tcW w:w="541" w:type="pct"/>
            <w:tcBorders>
              <w:top w:val="nil"/>
              <w:left w:val="nil"/>
              <w:bottom w:val="nil"/>
              <w:right w:val="nil"/>
            </w:tcBorders>
            <w:shd w:val="clear" w:color="000000" w:fill="FFFFFF"/>
            <w:vAlign w:val="center"/>
            <w:hideMark/>
          </w:tcPr>
          <w:p w14:paraId="4BE28E47"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778,488</w:t>
            </w:r>
          </w:p>
        </w:tc>
        <w:tc>
          <w:tcPr>
            <w:tcW w:w="541" w:type="pct"/>
            <w:tcBorders>
              <w:top w:val="nil"/>
              <w:left w:val="nil"/>
              <w:bottom w:val="nil"/>
              <w:right w:val="nil"/>
            </w:tcBorders>
            <w:shd w:val="clear" w:color="000000" w:fill="FFFFFF"/>
            <w:vAlign w:val="center"/>
            <w:hideMark/>
          </w:tcPr>
          <w:p w14:paraId="4D792790"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536,695</w:t>
            </w:r>
          </w:p>
        </w:tc>
        <w:tc>
          <w:tcPr>
            <w:tcW w:w="541" w:type="pct"/>
            <w:tcBorders>
              <w:top w:val="nil"/>
              <w:left w:val="nil"/>
              <w:bottom w:val="nil"/>
              <w:right w:val="nil"/>
            </w:tcBorders>
            <w:shd w:val="clear" w:color="000000" w:fill="FFFFFF"/>
            <w:vAlign w:val="center"/>
            <w:hideMark/>
          </w:tcPr>
          <w:p w14:paraId="3BEF9D20"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412,533</w:t>
            </w:r>
          </w:p>
        </w:tc>
      </w:tr>
      <w:tr w:rsidR="00917FDC" w:rsidRPr="00E70C84" w14:paraId="5FC7CCB5" w14:textId="77777777" w:rsidTr="00917FDC">
        <w:trPr>
          <w:trHeight w:val="300"/>
        </w:trPr>
        <w:tc>
          <w:tcPr>
            <w:tcW w:w="671" w:type="pct"/>
            <w:tcBorders>
              <w:top w:val="nil"/>
              <w:left w:val="nil"/>
              <w:bottom w:val="single" w:sz="4" w:space="0" w:color="auto"/>
              <w:right w:val="nil"/>
            </w:tcBorders>
            <w:shd w:val="clear" w:color="000000" w:fill="FFFFFF"/>
            <w:vAlign w:val="center"/>
            <w:hideMark/>
          </w:tcPr>
          <w:p w14:paraId="24B283B4" w14:textId="77777777" w:rsidR="00E70C84" w:rsidRPr="00E70C84" w:rsidRDefault="00E70C84" w:rsidP="00E70C84">
            <w:pPr>
              <w:spacing w:after="0" w:line="240" w:lineRule="auto"/>
              <w:rPr>
                <w:rFonts w:ascii="Calibri" w:eastAsia="Times New Roman" w:hAnsi="Calibri" w:cs="Calibri"/>
                <w:color w:val="000000"/>
                <w:sz w:val="20"/>
                <w:szCs w:val="20"/>
                <w:lang w:val="es-ES"/>
              </w:rPr>
            </w:pPr>
            <w:r w:rsidRPr="00E70C84">
              <w:rPr>
                <w:rFonts w:ascii="Calibri" w:eastAsia="Times New Roman" w:hAnsi="Calibri" w:cs="Calibri"/>
                <w:color w:val="000000"/>
                <w:sz w:val="20"/>
                <w:szCs w:val="20"/>
                <w:lang w:val="es-ES"/>
              </w:rPr>
              <w:t>10</w:t>
            </w:r>
          </w:p>
        </w:tc>
        <w:tc>
          <w:tcPr>
            <w:tcW w:w="541" w:type="pct"/>
            <w:tcBorders>
              <w:top w:val="nil"/>
              <w:left w:val="nil"/>
              <w:bottom w:val="single" w:sz="4" w:space="0" w:color="auto"/>
              <w:right w:val="nil"/>
            </w:tcBorders>
            <w:shd w:val="clear" w:color="000000" w:fill="FFFFFF"/>
            <w:vAlign w:val="center"/>
            <w:hideMark/>
          </w:tcPr>
          <w:p w14:paraId="6F734C41"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946,796</w:t>
            </w:r>
          </w:p>
        </w:tc>
        <w:tc>
          <w:tcPr>
            <w:tcW w:w="541" w:type="pct"/>
            <w:tcBorders>
              <w:top w:val="nil"/>
              <w:left w:val="nil"/>
              <w:bottom w:val="single" w:sz="4" w:space="0" w:color="auto"/>
              <w:right w:val="nil"/>
            </w:tcBorders>
            <w:shd w:val="clear" w:color="000000" w:fill="FFFFFF"/>
            <w:vAlign w:val="center"/>
            <w:hideMark/>
          </w:tcPr>
          <w:p w14:paraId="35415ED6"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778,488</w:t>
            </w:r>
          </w:p>
        </w:tc>
        <w:tc>
          <w:tcPr>
            <w:tcW w:w="541" w:type="pct"/>
            <w:tcBorders>
              <w:top w:val="nil"/>
              <w:left w:val="nil"/>
              <w:bottom w:val="single" w:sz="4" w:space="0" w:color="auto"/>
              <w:right w:val="nil"/>
            </w:tcBorders>
            <w:shd w:val="clear" w:color="000000" w:fill="FFFFFF"/>
            <w:vAlign w:val="center"/>
            <w:hideMark/>
          </w:tcPr>
          <w:p w14:paraId="27E01016"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536,695</w:t>
            </w:r>
          </w:p>
        </w:tc>
        <w:tc>
          <w:tcPr>
            <w:tcW w:w="541" w:type="pct"/>
            <w:tcBorders>
              <w:top w:val="nil"/>
              <w:left w:val="nil"/>
              <w:bottom w:val="single" w:sz="4" w:space="0" w:color="auto"/>
              <w:right w:val="nil"/>
            </w:tcBorders>
            <w:shd w:val="clear" w:color="000000" w:fill="FFFFFF"/>
            <w:vAlign w:val="center"/>
            <w:hideMark/>
          </w:tcPr>
          <w:p w14:paraId="59D5D563"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412,533</w:t>
            </w:r>
          </w:p>
        </w:tc>
        <w:tc>
          <w:tcPr>
            <w:tcW w:w="541" w:type="pct"/>
            <w:tcBorders>
              <w:top w:val="nil"/>
              <w:left w:val="nil"/>
              <w:bottom w:val="single" w:sz="4" w:space="0" w:color="auto"/>
              <w:right w:val="nil"/>
            </w:tcBorders>
            <w:shd w:val="clear" w:color="000000" w:fill="FFFFFF"/>
            <w:vAlign w:val="center"/>
            <w:hideMark/>
          </w:tcPr>
          <w:p w14:paraId="7B68160C"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473,398</w:t>
            </w:r>
          </w:p>
        </w:tc>
        <w:tc>
          <w:tcPr>
            <w:tcW w:w="541" w:type="pct"/>
            <w:tcBorders>
              <w:top w:val="nil"/>
              <w:left w:val="nil"/>
              <w:bottom w:val="single" w:sz="4" w:space="0" w:color="auto"/>
              <w:right w:val="nil"/>
            </w:tcBorders>
            <w:shd w:val="clear" w:color="000000" w:fill="FFFFFF"/>
            <w:vAlign w:val="center"/>
            <w:hideMark/>
          </w:tcPr>
          <w:p w14:paraId="6322B774"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389,244</w:t>
            </w:r>
          </w:p>
        </w:tc>
        <w:tc>
          <w:tcPr>
            <w:tcW w:w="541" w:type="pct"/>
            <w:tcBorders>
              <w:top w:val="nil"/>
              <w:left w:val="nil"/>
              <w:bottom w:val="single" w:sz="4" w:space="0" w:color="auto"/>
              <w:right w:val="nil"/>
            </w:tcBorders>
            <w:shd w:val="clear" w:color="000000" w:fill="FFFFFF"/>
            <w:vAlign w:val="center"/>
            <w:hideMark/>
          </w:tcPr>
          <w:p w14:paraId="45E4C8F6"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268,347</w:t>
            </w:r>
          </w:p>
        </w:tc>
        <w:tc>
          <w:tcPr>
            <w:tcW w:w="541" w:type="pct"/>
            <w:tcBorders>
              <w:top w:val="nil"/>
              <w:left w:val="nil"/>
              <w:bottom w:val="single" w:sz="4" w:space="0" w:color="auto"/>
              <w:right w:val="nil"/>
            </w:tcBorders>
            <w:shd w:val="clear" w:color="000000" w:fill="FFFFFF"/>
            <w:vAlign w:val="center"/>
            <w:hideMark/>
          </w:tcPr>
          <w:p w14:paraId="74FE6DD0" w14:textId="77777777" w:rsidR="00E70C84" w:rsidRPr="00E70C84" w:rsidRDefault="00E70C84" w:rsidP="00E70C84">
            <w:pPr>
              <w:spacing w:after="0" w:line="240" w:lineRule="auto"/>
              <w:jc w:val="right"/>
              <w:rPr>
                <w:rFonts w:ascii="Calibri" w:eastAsia="Times New Roman" w:hAnsi="Calibri" w:cs="Calibri"/>
                <w:color w:val="FF0000"/>
                <w:sz w:val="16"/>
                <w:szCs w:val="16"/>
                <w:lang w:val="es-ES"/>
              </w:rPr>
            </w:pPr>
            <w:r w:rsidRPr="00E70C84">
              <w:rPr>
                <w:rFonts w:ascii="Calibri" w:eastAsia="Times New Roman" w:hAnsi="Calibri" w:cs="Calibri"/>
                <w:color w:val="FF0000"/>
                <w:sz w:val="16"/>
                <w:szCs w:val="16"/>
                <w:lang w:val="es-ES"/>
              </w:rPr>
              <w:t>206,267</w:t>
            </w:r>
          </w:p>
        </w:tc>
      </w:tr>
    </w:tbl>
    <w:p w14:paraId="6F7053DF" w14:textId="77777777" w:rsidR="00DC00E8" w:rsidRPr="00DC00E8" w:rsidRDefault="00DC00E8" w:rsidP="00DC00E8">
      <w:pPr>
        <w:jc w:val="center"/>
        <w:rPr>
          <w:lang w:val="es-ES"/>
        </w:rPr>
      </w:pPr>
    </w:p>
    <w:p w14:paraId="01199913" w14:textId="60092DC6" w:rsidR="00247CF0" w:rsidRDefault="00867C8D" w:rsidP="00247CF0">
      <w:pPr>
        <w:jc w:val="both"/>
        <w:rPr>
          <w:sz w:val="24"/>
        </w:rPr>
      </w:pPr>
      <w:r w:rsidRPr="00E12532">
        <w:rPr>
          <w:sz w:val="24"/>
        </w:rPr>
        <w:t xml:space="preserve">En el </w:t>
      </w:r>
      <w:r>
        <w:rPr>
          <w:sz w:val="24"/>
        </w:rPr>
        <w:fldChar w:fldCharType="begin"/>
      </w:r>
      <w:r>
        <w:rPr>
          <w:sz w:val="24"/>
        </w:rPr>
        <w:instrText xml:space="preserve"> REF _Ref522063973 \h </w:instrText>
      </w:r>
      <w:r>
        <w:rPr>
          <w:sz w:val="24"/>
        </w:rPr>
      </w:r>
      <w:r>
        <w:rPr>
          <w:sz w:val="24"/>
        </w:rPr>
        <w:fldChar w:fldCharType="separate"/>
      </w:r>
      <w:r w:rsidRPr="00F625E7">
        <w:rPr>
          <w:sz w:val="24"/>
        </w:rPr>
        <w:t xml:space="preserve">Cuadro </w:t>
      </w:r>
      <w:r w:rsidRPr="00F625E7">
        <w:rPr>
          <w:noProof/>
          <w:sz w:val="24"/>
        </w:rPr>
        <w:t>1</w:t>
      </w:r>
      <w:r w:rsidR="009533F8">
        <w:rPr>
          <w:noProof/>
          <w:sz w:val="24"/>
        </w:rPr>
        <w:t>2</w:t>
      </w:r>
      <w:r>
        <w:rPr>
          <w:sz w:val="24"/>
        </w:rPr>
        <w:fldChar w:fldCharType="end"/>
      </w:r>
      <w:r>
        <w:rPr>
          <w:sz w:val="24"/>
        </w:rPr>
        <w:t xml:space="preserve"> </w:t>
      </w:r>
      <w:r w:rsidR="00247CF0" w:rsidRPr="00E12532">
        <w:rPr>
          <w:sz w:val="24"/>
        </w:rPr>
        <w:t xml:space="preserve">se </w:t>
      </w:r>
      <w:r w:rsidR="00591E68">
        <w:rPr>
          <w:sz w:val="24"/>
        </w:rPr>
        <w:t>ilustra</w:t>
      </w:r>
      <w:r w:rsidR="00247CF0" w:rsidRPr="00E12532">
        <w:rPr>
          <w:sz w:val="24"/>
        </w:rPr>
        <w:t xml:space="preserve"> la estimación de costos de implementación del programa. </w:t>
      </w:r>
      <w:r w:rsidR="00B577E0">
        <w:rPr>
          <w:sz w:val="24"/>
        </w:rPr>
        <w:t xml:space="preserve">Se incluyen un conjunto de costos vinculados al desarrollo del aplicativo móvil </w:t>
      </w:r>
      <w:r w:rsidR="0001513B">
        <w:rPr>
          <w:sz w:val="24"/>
        </w:rPr>
        <w:t xml:space="preserve">en el cual se desarrollan las tutorías, a la capacitación de tutores y el desarrollo de materiales que acompañarán las tutorías y los costos directos que representan los tutores. El proyecto contempla la contratación de 130 tutores, asegurando que la relación alumnos por tutor no exceda los 10. Se asumen una duración total del programa de cinco años, es decir, si se implementa con ingresantes tendría lugar durante todo el trayecto educativo del nivel superior. </w:t>
      </w:r>
      <w:r w:rsidR="00800C9F">
        <w:rPr>
          <w:sz w:val="24"/>
        </w:rPr>
        <w:t>Los costos se descuentan a la</w:t>
      </w:r>
      <w:r w:rsidR="009D070B">
        <w:rPr>
          <w:sz w:val="24"/>
        </w:rPr>
        <w:t>s</w:t>
      </w:r>
      <w:r w:rsidR="00800C9F">
        <w:rPr>
          <w:sz w:val="24"/>
        </w:rPr>
        <w:t xml:space="preserve"> </w:t>
      </w:r>
      <w:r w:rsidR="008E1498">
        <w:rPr>
          <w:sz w:val="24"/>
        </w:rPr>
        <w:t>t</w:t>
      </w:r>
      <w:r w:rsidR="00800C9F">
        <w:rPr>
          <w:sz w:val="24"/>
        </w:rPr>
        <w:t>asa</w:t>
      </w:r>
      <w:r w:rsidR="009D070B">
        <w:rPr>
          <w:sz w:val="24"/>
        </w:rPr>
        <w:t>s</w:t>
      </w:r>
      <w:r w:rsidR="00800C9F">
        <w:rPr>
          <w:sz w:val="24"/>
        </w:rPr>
        <w:t xml:space="preserve"> </w:t>
      </w:r>
      <w:r w:rsidR="008E1498">
        <w:rPr>
          <w:sz w:val="24"/>
        </w:rPr>
        <w:t xml:space="preserve">de </w:t>
      </w:r>
      <w:r w:rsidR="00877EAD">
        <w:rPr>
          <w:sz w:val="24"/>
        </w:rPr>
        <w:t>3%</w:t>
      </w:r>
      <w:r w:rsidR="009D070B">
        <w:rPr>
          <w:sz w:val="24"/>
        </w:rPr>
        <w:t>, 5%, 9% y 12%, al igual que los beneficios</w:t>
      </w:r>
      <w:r w:rsidR="00877EAD" w:rsidRPr="00A62A2C">
        <w:rPr>
          <w:sz w:val="24"/>
        </w:rPr>
        <w:t>.</w:t>
      </w:r>
    </w:p>
    <w:p w14:paraId="1FB473BF" w14:textId="6C3FCC0A" w:rsidR="00565630" w:rsidRPr="00F625E7" w:rsidRDefault="00565630" w:rsidP="00565630">
      <w:pPr>
        <w:pStyle w:val="Caption"/>
        <w:keepNext/>
        <w:rPr>
          <w:sz w:val="24"/>
        </w:rPr>
      </w:pPr>
      <w:bookmarkStart w:id="18" w:name="_Ref522063973"/>
      <w:r w:rsidRPr="00F625E7">
        <w:rPr>
          <w:sz w:val="24"/>
        </w:rPr>
        <w:t xml:space="preserve">Cuadro </w:t>
      </w:r>
      <w:r w:rsidRPr="00F625E7">
        <w:rPr>
          <w:sz w:val="24"/>
        </w:rPr>
        <w:fldChar w:fldCharType="begin"/>
      </w:r>
      <w:r w:rsidRPr="00F625E7">
        <w:rPr>
          <w:sz w:val="24"/>
        </w:rPr>
        <w:instrText xml:space="preserve"> SEQ Cuadro \* ARABIC </w:instrText>
      </w:r>
      <w:r w:rsidRPr="00F625E7">
        <w:rPr>
          <w:sz w:val="24"/>
        </w:rPr>
        <w:fldChar w:fldCharType="separate"/>
      </w:r>
      <w:r w:rsidR="00D90DF1">
        <w:rPr>
          <w:noProof/>
          <w:sz w:val="24"/>
        </w:rPr>
        <w:t>1</w:t>
      </w:r>
      <w:r w:rsidR="008E1498">
        <w:rPr>
          <w:noProof/>
          <w:sz w:val="24"/>
        </w:rPr>
        <w:t>2</w:t>
      </w:r>
      <w:r w:rsidRPr="00F625E7">
        <w:rPr>
          <w:sz w:val="24"/>
        </w:rPr>
        <w:fldChar w:fldCharType="end"/>
      </w:r>
      <w:bookmarkEnd w:id="18"/>
      <w:r w:rsidR="00F625E7">
        <w:rPr>
          <w:sz w:val="24"/>
        </w:rPr>
        <w:t xml:space="preserve">: </w:t>
      </w:r>
      <w:r w:rsidR="003D2A93" w:rsidRPr="00274015">
        <w:rPr>
          <w:sz w:val="24"/>
        </w:rPr>
        <w:t>Estimación de costos de implementación del programa</w:t>
      </w:r>
      <w:r w:rsidR="003D2A93">
        <w:rPr>
          <w:sz w:val="24"/>
        </w:rPr>
        <w:t xml:space="preserve"> PROGRESAR</w:t>
      </w:r>
      <w:r w:rsidR="008E1498">
        <w:rPr>
          <w:sz w:val="24"/>
        </w:rPr>
        <w:t xml:space="preserve"> Virtual</w:t>
      </w:r>
    </w:p>
    <w:p w14:paraId="63586EE3" w14:textId="025E44E3" w:rsidR="00BF50EB" w:rsidRDefault="000476AF" w:rsidP="000476AF">
      <w:pPr>
        <w:ind w:left="-360" w:firstLine="360"/>
        <w:jc w:val="right"/>
      </w:pPr>
      <w:r>
        <w:rPr>
          <w:noProof/>
        </w:rPr>
        <w:drawing>
          <wp:inline distT="0" distB="0" distL="0" distR="0" wp14:anchorId="75857D19" wp14:editId="63C9780F">
            <wp:extent cx="5116195" cy="2550131"/>
            <wp:effectExtent l="171450" t="171450" r="179705" b="174625"/>
            <wp:docPr id="1" name="Picture 4">
              <a:extLst xmlns:a="http://schemas.openxmlformats.org/drawingml/2006/main">
                <a:ext uri="{FF2B5EF4-FFF2-40B4-BE49-F238E27FC236}">
                  <a16:creationId xmlns:a16="http://schemas.microsoft.com/office/drawing/2014/main" id="{04460C49-EB2F-4304-A38F-94DA8BC33D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4460C49-EB2F-4304-A38F-94DA8BC33D33}"/>
                        </a:ext>
                      </a:extLst>
                    </pic:cNvPr>
                    <pic:cNvPicPr>
                      <a:picLocks noChangeAspect="1"/>
                    </pic:cNvPicPr>
                  </pic:nvPicPr>
                  <pic:blipFill>
                    <a:blip r:embed="rId40">
                      <a:extLst>
                        <a:ext uri="{28A0092B-C50C-407E-A947-70E740481C1C}">
                          <a14:useLocalDpi xmlns:a14="http://schemas.microsoft.com/office/drawing/2010/main" val="0"/>
                        </a:ext>
                      </a:extLst>
                    </a:blip>
                    <a:stretch>
                      <a:fillRect/>
                    </a:stretch>
                  </pic:blipFill>
                  <pic:spPr>
                    <a:xfrm>
                      <a:off x="0" y="0"/>
                      <a:ext cx="5157136" cy="2570538"/>
                    </a:xfrm>
                    <a:prstGeom prst="rect">
                      <a:avLst/>
                    </a:prstGeom>
                    <a:ln>
                      <a:noFill/>
                    </a:ln>
                    <a:effectLst>
                      <a:outerShdw blurRad="190500" algn="tl" rotWithShape="0">
                        <a:srgbClr val="000000">
                          <a:alpha val="70000"/>
                        </a:srgbClr>
                      </a:outerShdw>
                    </a:effectLst>
                  </pic:spPr>
                </pic:pic>
              </a:graphicData>
            </a:graphic>
          </wp:inline>
        </w:drawing>
      </w:r>
    </w:p>
    <w:p w14:paraId="4C7DDD15" w14:textId="729AEE28" w:rsidR="00BF50EB" w:rsidRDefault="00BF50EB" w:rsidP="00536C8C"/>
    <w:p w14:paraId="32A25C19" w14:textId="77777777" w:rsidR="00864206" w:rsidRDefault="00864206" w:rsidP="00864206">
      <w:pPr>
        <w:pStyle w:val="Heading2"/>
      </w:pPr>
      <w:r>
        <w:lastRenderedPageBreak/>
        <w:t>RESULTADOS Y ANÁLISIS DE SENSIBILIDAD</w:t>
      </w:r>
    </w:p>
    <w:p w14:paraId="4A644CC8" w14:textId="44594334" w:rsidR="006A1429" w:rsidRPr="000476AF" w:rsidRDefault="00CD429B" w:rsidP="003C6089">
      <w:pPr>
        <w:jc w:val="both"/>
        <w:rPr>
          <w:lang w:val="es-ES_tradnl"/>
        </w:rPr>
      </w:pPr>
      <w:r>
        <w:t xml:space="preserve">Tomando la tasa de descuento de 3% tanto para costos como para beneficios y una tasa de participación en el programa de 50%, el Cuadro 13 presenta </w:t>
      </w:r>
      <w:r w:rsidR="00A56F84" w:rsidRPr="00A56F84">
        <w:rPr>
          <w:sz w:val="24"/>
        </w:rPr>
        <w:t xml:space="preserve">el VAN, TIR y Ratio </w:t>
      </w:r>
      <w:r w:rsidR="007C3E58" w:rsidRPr="00A56F84">
        <w:rPr>
          <w:sz w:val="24"/>
        </w:rPr>
        <w:t>Beneficio: Costo</w:t>
      </w:r>
      <w:r w:rsidR="00A56F84" w:rsidRPr="00A56F84">
        <w:rPr>
          <w:sz w:val="24"/>
        </w:rPr>
        <w:t xml:space="preserve"> del proyecto</w:t>
      </w:r>
      <w:r>
        <w:rPr>
          <w:sz w:val="24"/>
        </w:rPr>
        <w:t xml:space="preserve"> para las dos hipótesis de efectividad del programa</w:t>
      </w:r>
      <w:r w:rsidR="00A56F84" w:rsidRPr="00A56F84">
        <w:rPr>
          <w:sz w:val="24"/>
        </w:rPr>
        <w:t xml:space="preserve">. </w:t>
      </w:r>
    </w:p>
    <w:p w14:paraId="657C0772" w14:textId="171F7D56" w:rsidR="00337AF0" w:rsidRPr="007928CE" w:rsidRDefault="00337AF0" w:rsidP="00337AF0">
      <w:pPr>
        <w:pStyle w:val="Caption"/>
        <w:keepNext/>
        <w:rPr>
          <w:sz w:val="24"/>
        </w:rPr>
      </w:pPr>
      <w:r w:rsidRPr="007928CE">
        <w:rPr>
          <w:sz w:val="24"/>
        </w:rPr>
        <w:t xml:space="preserve">Cuadro </w:t>
      </w:r>
      <w:r>
        <w:rPr>
          <w:sz w:val="24"/>
        </w:rPr>
        <w:t>13</w:t>
      </w:r>
      <w:r w:rsidRPr="007928CE">
        <w:rPr>
          <w:sz w:val="24"/>
        </w:rPr>
        <w:t>: VAN, Ratio Beneficio: Costo y TIR del proyecto</w:t>
      </w:r>
    </w:p>
    <w:tbl>
      <w:tblPr>
        <w:tblW w:w="5000" w:type="pct"/>
        <w:tblLook w:val="04A0" w:firstRow="1" w:lastRow="0" w:firstColumn="1" w:lastColumn="0" w:noHBand="0" w:noVBand="1"/>
      </w:tblPr>
      <w:tblGrid>
        <w:gridCol w:w="4165"/>
        <w:gridCol w:w="2230"/>
        <w:gridCol w:w="2109"/>
      </w:tblGrid>
      <w:tr w:rsidR="00044F8B" w:rsidRPr="00044F8B" w14:paraId="2821D3E7" w14:textId="77777777" w:rsidTr="00044F8B">
        <w:trPr>
          <w:trHeight w:val="300"/>
        </w:trPr>
        <w:tc>
          <w:tcPr>
            <w:tcW w:w="2449" w:type="pct"/>
            <w:tcBorders>
              <w:top w:val="single" w:sz="4" w:space="0" w:color="auto"/>
              <w:left w:val="nil"/>
              <w:bottom w:val="nil"/>
              <w:right w:val="nil"/>
            </w:tcBorders>
            <w:shd w:val="clear" w:color="000000" w:fill="FFFFFF"/>
            <w:noWrap/>
            <w:vAlign w:val="bottom"/>
            <w:hideMark/>
          </w:tcPr>
          <w:p w14:paraId="1FD3ED2F" w14:textId="77777777" w:rsidR="00044F8B" w:rsidRPr="000476AF" w:rsidRDefault="00044F8B" w:rsidP="00044F8B">
            <w:pPr>
              <w:spacing w:after="0" w:line="240" w:lineRule="auto"/>
              <w:rPr>
                <w:rFonts w:ascii="Calibri" w:eastAsia="Times New Roman" w:hAnsi="Calibri" w:cs="Calibri"/>
                <w:color w:val="000000"/>
                <w:sz w:val="20"/>
                <w:szCs w:val="20"/>
                <w:lang w:val="es-ES_tradnl"/>
              </w:rPr>
            </w:pPr>
            <w:r w:rsidRPr="000476AF">
              <w:rPr>
                <w:rFonts w:ascii="Calibri" w:eastAsia="Times New Roman" w:hAnsi="Calibri" w:cs="Calibri"/>
                <w:color w:val="000000"/>
                <w:sz w:val="20"/>
                <w:szCs w:val="20"/>
                <w:lang w:val="es-ES_tradnl"/>
              </w:rPr>
              <w:t> </w:t>
            </w:r>
          </w:p>
        </w:tc>
        <w:tc>
          <w:tcPr>
            <w:tcW w:w="2551" w:type="pct"/>
            <w:gridSpan w:val="2"/>
            <w:tcBorders>
              <w:top w:val="single" w:sz="4" w:space="0" w:color="auto"/>
              <w:left w:val="nil"/>
              <w:bottom w:val="nil"/>
              <w:right w:val="nil"/>
            </w:tcBorders>
            <w:shd w:val="clear" w:color="000000" w:fill="FFFFFF"/>
            <w:noWrap/>
            <w:vAlign w:val="bottom"/>
            <w:hideMark/>
          </w:tcPr>
          <w:p w14:paraId="203EE69D" w14:textId="77777777" w:rsidR="00044F8B" w:rsidRPr="00044F8B" w:rsidRDefault="00044F8B" w:rsidP="00044F8B">
            <w:pPr>
              <w:spacing w:after="0" w:line="240" w:lineRule="auto"/>
              <w:jc w:val="center"/>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Efectividad del programa</w:t>
            </w:r>
          </w:p>
        </w:tc>
      </w:tr>
      <w:tr w:rsidR="00044F8B" w:rsidRPr="00044F8B" w14:paraId="04F596BD" w14:textId="77777777" w:rsidTr="00044F8B">
        <w:trPr>
          <w:trHeight w:val="300"/>
        </w:trPr>
        <w:tc>
          <w:tcPr>
            <w:tcW w:w="2449" w:type="pct"/>
            <w:tcBorders>
              <w:top w:val="nil"/>
              <w:left w:val="nil"/>
              <w:bottom w:val="single" w:sz="4" w:space="0" w:color="auto"/>
              <w:right w:val="nil"/>
            </w:tcBorders>
            <w:shd w:val="clear" w:color="000000" w:fill="FFFFFF"/>
            <w:noWrap/>
            <w:vAlign w:val="bottom"/>
            <w:hideMark/>
          </w:tcPr>
          <w:p w14:paraId="34CB079B" w14:textId="77777777" w:rsidR="00044F8B" w:rsidRPr="00044F8B" w:rsidRDefault="00044F8B" w:rsidP="00044F8B">
            <w:pPr>
              <w:spacing w:after="0" w:line="240" w:lineRule="auto"/>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 </w:t>
            </w:r>
          </w:p>
        </w:tc>
        <w:tc>
          <w:tcPr>
            <w:tcW w:w="1311" w:type="pct"/>
            <w:tcBorders>
              <w:top w:val="nil"/>
              <w:left w:val="nil"/>
              <w:bottom w:val="single" w:sz="4" w:space="0" w:color="auto"/>
              <w:right w:val="nil"/>
            </w:tcBorders>
            <w:shd w:val="clear" w:color="000000" w:fill="FFFFFF"/>
            <w:noWrap/>
            <w:vAlign w:val="bottom"/>
            <w:hideMark/>
          </w:tcPr>
          <w:p w14:paraId="6BEF921C" w14:textId="77777777" w:rsidR="00044F8B" w:rsidRPr="00044F8B" w:rsidRDefault="00044F8B" w:rsidP="00044F8B">
            <w:pPr>
              <w:spacing w:after="0" w:line="240" w:lineRule="auto"/>
              <w:jc w:val="right"/>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50%</w:t>
            </w:r>
          </w:p>
        </w:tc>
        <w:tc>
          <w:tcPr>
            <w:tcW w:w="1241" w:type="pct"/>
            <w:tcBorders>
              <w:top w:val="nil"/>
              <w:left w:val="nil"/>
              <w:bottom w:val="single" w:sz="4" w:space="0" w:color="auto"/>
              <w:right w:val="nil"/>
            </w:tcBorders>
            <w:shd w:val="clear" w:color="000000" w:fill="FFFFFF"/>
            <w:noWrap/>
            <w:vAlign w:val="bottom"/>
            <w:hideMark/>
          </w:tcPr>
          <w:p w14:paraId="60C51CFA" w14:textId="77777777" w:rsidR="00044F8B" w:rsidRPr="00044F8B" w:rsidRDefault="00044F8B" w:rsidP="00044F8B">
            <w:pPr>
              <w:spacing w:after="0" w:line="240" w:lineRule="auto"/>
              <w:jc w:val="right"/>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25%</w:t>
            </w:r>
          </w:p>
        </w:tc>
      </w:tr>
      <w:tr w:rsidR="00044F8B" w:rsidRPr="00044F8B" w14:paraId="362BD815" w14:textId="77777777" w:rsidTr="00044F8B">
        <w:trPr>
          <w:trHeight w:val="300"/>
        </w:trPr>
        <w:tc>
          <w:tcPr>
            <w:tcW w:w="2449" w:type="pct"/>
            <w:tcBorders>
              <w:top w:val="nil"/>
              <w:left w:val="nil"/>
              <w:bottom w:val="nil"/>
              <w:right w:val="nil"/>
            </w:tcBorders>
            <w:shd w:val="clear" w:color="000000" w:fill="FFFFFF"/>
            <w:noWrap/>
            <w:vAlign w:val="bottom"/>
            <w:hideMark/>
          </w:tcPr>
          <w:p w14:paraId="5CA4840F" w14:textId="73D233F8" w:rsidR="00044F8B" w:rsidRPr="00044F8B" w:rsidRDefault="00044F8B" w:rsidP="00044F8B">
            <w:pPr>
              <w:spacing w:after="0" w:line="240" w:lineRule="auto"/>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VAN</w:t>
            </w:r>
          </w:p>
        </w:tc>
        <w:tc>
          <w:tcPr>
            <w:tcW w:w="1311" w:type="pct"/>
            <w:tcBorders>
              <w:top w:val="nil"/>
              <w:left w:val="nil"/>
              <w:bottom w:val="nil"/>
              <w:right w:val="nil"/>
            </w:tcBorders>
            <w:shd w:val="clear" w:color="000000" w:fill="FFFFFF"/>
            <w:noWrap/>
            <w:vAlign w:val="bottom"/>
            <w:hideMark/>
          </w:tcPr>
          <w:p w14:paraId="2E6B2484" w14:textId="4DBAF1D8" w:rsidR="00044F8B" w:rsidRPr="00044F8B" w:rsidRDefault="00044F8B" w:rsidP="00044F8B">
            <w:pPr>
              <w:spacing w:after="0" w:line="240" w:lineRule="auto"/>
              <w:jc w:val="right"/>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3</w:t>
            </w:r>
            <w:r>
              <w:rPr>
                <w:rFonts w:ascii="Calibri" w:eastAsia="Times New Roman" w:hAnsi="Calibri" w:cs="Calibri"/>
                <w:color w:val="000000"/>
                <w:sz w:val="20"/>
                <w:szCs w:val="20"/>
                <w:lang w:val="en-US"/>
              </w:rPr>
              <w:t>.</w:t>
            </w:r>
            <w:r w:rsidRPr="00044F8B">
              <w:rPr>
                <w:rFonts w:ascii="Calibri" w:eastAsia="Times New Roman" w:hAnsi="Calibri" w:cs="Calibri"/>
                <w:color w:val="000000"/>
                <w:sz w:val="20"/>
                <w:szCs w:val="20"/>
                <w:lang w:val="en-US"/>
              </w:rPr>
              <w:t>039</w:t>
            </w:r>
            <w:r>
              <w:rPr>
                <w:rFonts w:ascii="Calibri" w:eastAsia="Times New Roman" w:hAnsi="Calibri" w:cs="Calibri"/>
                <w:color w:val="000000"/>
                <w:sz w:val="20"/>
                <w:szCs w:val="20"/>
                <w:lang w:val="en-US"/>
              </w:rPr>
              <w:t>.</w:t>
            </w:r>
            <w:r w:rsidRPr="00044F8B">
              <w:rPr>
                <w:rFonts w:ascii="Calibri" w:eastAsia="Times New Roman" w:hAnsi="Calibri" w:cs="Calibri"/>
                <w:color w:val="000000"/>
                <w:sz w:val="20"/>
                <w:szCs w:val="20"/>
                <w:lang w:val="en-US"/>
              </w:rPr>
              <w:t>926</w:t>
            </w:r>
          </w:p>
        </w:tc>
        <w:tc>
          <w:tcPr>
            <w:tcW w:w="1241" w:type="pct"/>
            <w:tcBorders>
              <w:top w:val="nil"/>
              <w:left w:val="nil"/>
              <w:bottom w:val="nil"/>
              <w:right w:val="nil"/>
            </w:tcBorders>
            <w:shd w:val="clear" w:color="000000" w:fill="FFFFFF"/>
            <w:noWrap/>
            <w:vAlign w:val="bottom"/>
            <w:hideMark/>
          </w:tcPr>
          <w:p w14:paraId="5F64B976" w14:textId="0EA6758D" w:rsidR="00044F8B" w:rsidRPr="00044F8B" w:rsidRDefault="00044F8B" w:rsidP="00044F8B">
            <w:pPr>
              <w:spacing w:after="0" w:line="240" w:lineRule="auto"/>
              <w:jc w:val="right"/>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672</w:t>
            </w:r>
            <w:r>
              <w:rPr>
                <w:rFonts w:ascii="Calibri" w:eastAsia="Times New Roman" w:hAnsi="Calibri" w:cs="Calibri"/>
                <w:color w:val="000000"/>
                <w:sz w:val="20"/>
                <w:szCs w:val="20"/>
                <w:lang w:val="en-US"/>
              </w:rPr>
              <w:t>.</w:t>
            </w:r>
            <w:r w:rsidRPr="00044F8B">
              <w:rPr>
                <w:rFonts w:ascii="Calibri" w:eastAsia="Times New Roman" w:hAnsi="Calibri" w:cs="Calibri"/>
                <w:color w:val="000000"/>
                <w:sz w:val="20"/>
                <w:szCs w:val="20"/>
                <w:lang w:val="en-US"/>
              </w:rPr>
              <w:t>935</w:t>
            </w:r>
          </w:p>
        </w:tc>
      </w:tr>
      <w:tr w:rsidR="00044F8B" w:rsidRPr="00044F8B" w14:paraId="19A6245B" w14:textId="77777777" w:rsidTr="00044F8B">
        <w:trPr>
          <w:trHeight w:val="300"/>
        </w:trPr>
        <w:tc>
          <w:tcPr>
            <w:tcW w:w="2449" w:type="pct"/>
            <w:tcBorders>
              <w:top w:val="nil"/>
              <w:left w:val="nil"/>
              <w:bottom w:val="nil"/>
              <w:right w:val="nil"/>
            </w:tcBorders>
            <w:shd w:val="clear" w:color="000000" w:fill="FFFFFF"/>
            <w:noWrap/>
            <w:vAlign w:val="bottom"/>
            <w:hideMark/>
          </w:tcPr>
          <w:p w14:paraId="4B0D6CE7" w14:textId="31DC5C5E" w:rsidR="00044F8B" w:rsidRPr="00044F8B" w:rsidRDefault="00044F8B" w:rsidP="00044F8B">
            <w:pPr>
              <w:spacing w:after="0" w:line="240" w:lineRule="auto"/>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 xml:space="preserve">Ratio </w:t>
            </w:r>
            <w:proofErr w:type="gramStart"/>
            <w:r w:rsidRPr="00044F8B">
              <w:rPr>
                <w:rFonts w:ascii="Calibri" w:eastAsia="Times New Roman" w:hAnsi="Calibri" w:cs="Calibri"/>
                <w:color w:val="000000"/>
                <w:sz w:val="20"/>
                <w:szCs w:val="20"/>
                <w:lang w:val="en-US"/>
              </w:rPr>
              <w:t>Beneficio:Costo</w:t>
            </w:r>
            <w:proofErr w:type="gramEnd"/>
          </w:p>
        </w:tc>
        <w:tc>
          <w:tcPr>
            <w:tcW w:w="1311" w:type="pct"/>
            <w:tcBorders>
              <w:top w:val="nil"/>
              <w:left w:val="nil"/>
              <w:bottom w:val="nil"/>
              <w:right w:val="nil"/>
            </w:tcBorders>
            <w:shd w:val="clear" w:color="000000" w:fill="FFFFFF"/>
            <w:noWrap/>
            <w:vAlign w:val="bottom"/>
            <w:hideMark/>
          </w:tcPr>
          <w:p w14:paraId="5D17BA80" w14:textId="438AD3F0" w:rsidR="00044F8B" w:rsidRPr="00044F8B" w:rsidRDefault="00044F8B" w:rsidP="00044F8B">
            <w:pPr>
              <w:spacing w:after="0" w:line="240" w:lineRule="auto"/>
              <w:jc w:val="right"/>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2</w:t>
            </w:r>
            <w:r>
              <w:rPr>
                <w:rFonts w:ascii="Calibri" w:eastAsia="Times New Roman" w:hAnsi="Calibri" w:cs="Calibri"/>
                <w:color w:val="000000"/>
                <w:sz w:val="20"/>
                <w:szCs w:val="20"/>
                <w:lang w:val="en-US"/>
              </w:rPr>
              <w:t>,</w:t>
            </w:r>
            <w:r w:rsidRPr="00044F8B">
              <w:rPr>
                <w:rFonts w:ascii="Calibri" w:eastAsia="Times New Roman" w:hAnsi="Calibri" w:cs="Calibri"/>
                <w:color w:val="000000"/>
                <w:sz w:val="20"/>
                <w:szCs w:val="20"/>
                <w:lang w:val="en-US"/>
              </w:rPr>
              <w:t>8</w:t>
            </w:r>
          </w:p>
        </w:tc>
        <w:tc>
          <w:tcPr>
            <w:tcW w:w="1241" w:type="pct"/>
            <w:tcBorders>
              <w:top w:val="nil"/>
              <w:left w:val="nil"/>
              <w:bottom w:val="nil"/>
              <w:right w:val="nil"/>
            </w:tcBorders>
            <w:shd w:val="clear" w:color="000000" w:fill="FFFFFF"/>
            <w:noWrap/>
            <w:vAlign w:val="bottom"/>
            <w:hideMark/>
          </w:tcPr>
          <w:p w14:paraId="725A9F82" w14:textId="2D529650" w:rsidR="00044F8B" w:rsidRPr="00044F8B" w:rsidRDefault="00044F8B" w:rsidP="00044F8B">
            <w:pPr>
              <w:spacing w:after="0" w:line="240" w:lineRule="auto"/>
              <w:jc w:val="right"/>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1</w:t>
            </w:r>
            <w:r>
              <w:rPr>
                <w:rFonts w:ascii="Calibri" w:eastAsia="Times New Roman" w:hAnsi="Calibri" w:cs="Calibri"/>
                <w:color w:val="000000"/>
                <w:sz w:val="20"/>
                <w:szCs w:val="20"/>
                <w:lang w:val="en-US"/>
              </w:rPr>
              <w:t>,</w:t>
            </w:r>
            <w:r w:rsidRPr="00044F8B">
              <w:rPr>
                <w:rFonts w:ascii="Calibri" w:eastAsia="Times New Roman" w:hAnsi="Calibri" w:cs="Calibri"/>
                <w:color w:val="000000"/>
                <w:sz w:val="20"/>
                <w:szCs w:val="20"/>
                <w:lang w:val="en-US"/>
              </w:rPr>
              <w:t>4</w:t>
            </w:r>
          </w:p>
        </w:tc>
      </w:tr>
      <w:tr w:rsidR="00044F8B" w:rsidRPr="00044F8B" w14:paraId="4993144B" w14:textId="77777777" w:rsidTr="00044F8B">
        <w:trPr>
          <w:trHeight w:val="300"/>
        </w:trPr>
        <w:tc>
          <w:tcPr>
            <w:tcW w:w="2449" w:type="pct"/>
            <w:tcBorders>
              <w:top w:val="nil"/>
              <w:left w:val="nil"/>
              <w:bottom w:val="single" w:sz="4" w:space="0" w:color="auto"/>
              <w:right w:val="nil"/>
            </w:tcBorders>
            <w:shd w:val="clear" w:color="000000" w:fill="FFFFFF"/>
            <w:noWrap/>
            <w:vAlign w:val="bottom"/>
            <w:hideMark/>
          </w:tcPr>
          <w:p w14:paraId="15CD80B7" w14:textId="77777777" w:rsidR="00044F8B" w:rsidRPr="00044F8B" w:rsidRDefault="00044F8B" w:rsidP="00044F8B">
            <w:pPr>
              <w:spacing w:after="0" w:line="240" w:lineRule="auto"/>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 xml:space="preserve">TIR </w:t>
            </w:r>
          </w:p>
        </w:tc>
        <w:tc>
          <w:tcPr>
            <w:tcW w:w="1311" w:type="pct"/>
            <w:tcBorders>
              <w:top w:val="nil"/>
              <w:left w:val="nil"/>
              <w:bottom w:val="single" w:sz="4" w:space="0" w:color="auto"/>
              <w:right w:val="nil"/>
            </w:tcBorders>
            <w:shd w:val="clear" w:color="000000" w:fill="FFFFFF"/>
            <w:noWrap/>
            <w:vAlign w:val="bottom"/>
            <w:hideMark/>
          </w:tcPr>
          <w:p w14:paraId="07CFB52A" w14:textId="2F5F81A7" w:rsidR="00044F8B" w:rsidRPr="00044F8B" w:rsidRDefault="00044F8B" w:rsidP="00044F8B">
            <w:pPr>
              <w:spacing w:after="0" w:line="240" w:lineRule="auto"/>
              <w:jc w:val="right"/>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16</w:t>
            </w:r>
            <w:r>
              <w:rPr>
                <w:rFonts w:ascii="Calibri" w:eastAsia="Times New Roman" w:hAnsi="Calibri" w:cs="Calibri"/>
                <w:color w:val="000000"/>
                <w:sz w:val="20"/>
                <w:szCs w:val="20"/>
                <w:lang w:val="en-US"/>
              </w:rPr>
              <w:t>,</w:t>
            </w:r>
            <w:r w:rsidRPr="00044F8B">
              <w:rPr>
                <w:rFonts w:ascii="Calibri" w:eastAsia="Times New Roman" w:hAnsi="Calibri" w:cs="Calibri"/>
                <w:color w:val="000000"/>
                <w:sz w:val="20"/>
                <w:szCs w:val="20"/>
                <w:lang w:val="en-US"/>
              </w:rPr>
              <w:t>2%</w:t>
            </w:r>
          </w:p>
        </w:tc>
        <w:tc>
          <w:tcPr>
            <w:tcW w:w="1241" w:type="pct"/>
            <w:tcBorders>
              <w:top w:val="nil"/>
              <w:left w:val="nil"/>
              <w:bottom w:val="single" w:sz="4" w:space="0" w:color="auto"/>
              <w:right w:val="nil"/>
            </w:tcBorders>
            <w:shd w:val="clear" w:color="000000" w:fill="FFFFFF"/>
            <w:noWrap/>
            <w:vAlign w:val="bottom"/>
            <w:hideMark/>
          </w:tcPr>
          <w:p w14:paraId="4665C714" w14:textId="09D4DBFB" w:rsidR="00044F8B" w:rsidRPr="00044F8B" w:rsidRDefault="00044F8B" w:rsidP="00044F8B">
            <w:pPr>
              <w:spacing w:after="0" w:line="240" w:lineRule="auto"/>
              <w:jc w:val="right"/>
              <w:rPr>
                <w:rFonts w:ascii="Calibri" w:eastAsia="Times New Roman" w:hAnsi="Calibri" w:cs="Calibri"/>
                <w:color w:val="000000"/>
                <w:sz w:val="20"/>
                <w:szCs w:val="20"/>
                <w:lang w:val="en-US"/>
              </w:rPr>
            </w:pPr>
            <w:r w:rsidRPr="00044F8B">
              <w:rPr>
                <w:rFonts w:ascii="Calibri" w:eastAsia="Times New Roman" w:hAnsi="Calibri" w:cs="Calibri"/>
                <w:color w:val="000000"/>
                <w:sz w:val="20"/>
                <w:szCs w:val="20"/>
                <w:lang w:val="en-US"/>
              </w:rPr>
              <w:t>7</w:t>
            </w:r>
            <w:r>
              <w:rPr>
                <w:rFonts w:ascii="Calibri" w:eastAsia="Times New Roman" w:hAnsi="Calibri" w:cs="Calibri"/>
                <w:color w:val="000000"/>
                <w:sz w:val="20"/>
                <w:szCs w:val="20"/>
                <w:lang w:val="en-US"/>
              </w:rPr>
              <w:t>,</w:t>
            </w:r>
            <w:r w:rsidRPr="00044F8B">
              <w:rPr>
                <w:rFonts w:ascii="Calibri" w:eastAsia="Times New Roman" w:hAnsi="Calibri" w:cs="Calibri"/>
                <w:color w:val="000000"/>
                <w:sz w:val="20"/>
                <w:szCs w:val="20"/>
                <w:lang w:val="en-US"/>
              </w:rPr>
              <w:t>2%</w:t>
            </w:r>
          </w:p>
        </w:tc>
      </w:tr>
    </w:tbl>
    <w:p w14:paraId="1ADE3945" w14:textId="704CE972" w:rsidR="00682540" w:rsidRDefault="00682540" w:rsidP="007C4DD8">
      <w:pPr>
        <w:jc w:val="both"/>
        <w:rPr>
          <w:lang w:val="en-US"/>
        </w:rPr>
      </w:pPr>
    </w:p>
    <w:p w14:paraId="2D38DE82" w14:textId="7CB3C1F3" w:rsidR="007B75C3" w:rsidRDefault="007B75C3" w:rsidP="007B75C3">
      <w:pPr>
        <w:pStyle w:val="Heading1"/>
      </w:pPr>
      <w:r>
        <w:t>CONCLUSIÓN</w:t>
      </w:r>
    </w:p>
    <w:p w14:paraId="17247EA4" w14:textId="6E1B1AB0" w:rsidR="00A810BE" w:rsidRDefault="00A810BE" w:rsidP="00A810BE"/>
    <w:p w14:paraId="240A11CC" w14:textId="2D66A635" w:rsidR="008668ED" w:rsidRPr="007E2744" w:rsidRDefault="00A810BE" w:rsidP="007E2744">
      <w:pPr>
        <w:jc w:val="both"/>
        <w:rPr>
          <w:sz w:val="24"/>
          <w:highlight w:val="yellow"/>
        </w:rPr>
      </w:pPr>
      <w:r w:rsidRPr="00F23D11">
        <w:rPr>
          <w:sz w:val="24"/>
        </w:rPr>
        <w:t xml:space="preserve">Se realizaron distintos análisis para establecer los efectos económicos de las distintas intervenciones de política financiadas mediante el </w:t>
      </w:r>
      <w:r w:rsidR="00F950AF" w:rsidRPr="00F23D11">
        <w:rPr>
          <w:sz w:val="24"/>
        </w:rPr>
        <w:t>préstamo AR-</w:t>
      </w:r>
      <w:r w:rsidR="0004645C" w:rsidRPr="00F23D11">
        <w:rPr>
          <w:sz w:val="24"/>
        </w:rPr>
        <w:t>L</w:t>
      </w:r>
      <w:r w:rsidR="0004645C">
        <w:rPr>
          <w:sz w:val="24"/>
        </w:rPr>
        <w:t>130</w:t>
      </w:r>
      <w:r w:rsidR="006A1429">
        <w:rPr>
          <w:sz w:val="24"/>
        </w:rPr>
        <w:t>9</w:t>
      </w:r>
      <w:r w:rsidRPr="00F23D11">
        <w:rPr>
          <w:sz w:val="24"/>
        </w:rPr>
        <w:t xml:space="preserve">. </w:t>
      </w:r>
      <w:r w:rsidR="008E773B" w:rsidRPr="00F23D11">
        <w:rPr>
          <w:sz w:val="24"/>
        </w:rPr>
        <w:t>En el caso de</w:t>
      </w:r>
      <w:r w:rsidR="00EB56C5" w:rsidRPr="00F23D11">
        <w:rPr>
          <w:sz w:val="24"/>
        </w:rPr>
        <w:t xml:space="preserve"> los programas Hacemos Futuro y PROGRESAR</w:t>
      </w:r>
      <w:r w:rsidR="006A1429">
        <w:rPr>
          <w:sz w:val="24"/>
        </w:rPr>
        <w:t xml:space="preserve"> Virtual</w:t>
      </w:r>
      <w:r w:rsidR="00EB56C5" w:rsidRPr="00F23D11">
        <w:rPr>
          <w:sz w:val="24"/>
        </w:rPr>
        <w:t xml:space="preserve"> se condujeron análisis costo beneficio, mientras que para el subsidio Atributo Social SUBE se realizó un análisis de incidencia. El análisis costo beneficio de Hacemos Futuro muestra </w:t>
      </w:r>
      <w:r w:rsidR="001A4AE6" w:rsidRPr="00F23D11">
        <w:rPr>
          <w:sz w:val="24"/>
        </w:rPr>
        <w:t>que</w:t>
      </w:r>
      <w:r w:rsidR="00EB56C5" w:rsidRPr="00F23D11">
        <w:rPr>
          <w:sz w:val="24"/>
        </w:rPr>
        <w:t xml:space="preserve"> bajo una tasa de descuento del 3%</w:t>
      </w:r>
      <w:r w:rsidR="001A4AE6" w:rsidRPr="00F23D11">
        <w:rPr>
          <w:sz w:val="24"/>
        </w:rPr>
        <w:t xml:space="preserve"> y determinados supuestos sobre la dinámica del mercado laboral, el </w:t>
      </w:r>
      <w:r w:rsidR="00D9385D" w:rsidRPr="00F23D11">
        <w:rPr>
          <w:sz w:val="24"/>
        </w:rPr>
        <w:t>VAN</w:t>
      </w:r>
      <w:r w:rsidR="001A4AE6" w:rsidRPr="00F23D11">
        <w:rPr>
          <w:sz w:val="24"/>
        </w:rPr>
        <w:t xml:space="preserve"> es de</w:t>
      </w:r>
      <w:r w:rsidR="0073580E" w:rsidRPr="00F23D11">
        <w:rPr>
          <w:sz w:val="24"/>
        </w:rPr>
        <w:t xml:space="preserve"> US$ 11</w:t>
      </w:r>
      <w:r w:rsidR="007E2744">
        <w:rPr>
          <w:sz w:val="24"/>
        </w:rPr>
        <w:t>6</w:t>
      </w:r>
      <w:r w:rsidR="0073580E" w:rsidRPr="00F23D11">
        <w:rPr>
          <w:sz w:val="24"/>
        </w:rPr>
        <w:t xml:space="preserve"> millones,</w:t>
      </w:r>
      <w:r w:rsidR="001A4AE6" w:rsidRPr="00F23D11">
        <w:rPr>
          <w:sz w:val="24"/>
        </w:rPr>
        <w:t xml:space="preserve"> la TIR es de</w:t>
      </w:r>
      <w:r w:rsidR="0073580E" w:rsidRPr="00F23D11">
        <w:rPr>
          <w:sz w:val="24"/>
        </w:rPr>
        <w:t>l 7</w:t>
      </w:r>
      <w:r w:rsidR="007E2744">
        <w:rPr>
          <w:sz w:val="24"/>
        </w:rPr>
        <w:t>,5</w:t>
      </w:r>
      <w:r w:rsidR="0073580E" w:rsidRPr="00F23D11">
        <w:rPr>
          <w:sz w:val="24"/>
        </w:rPr>
        <w:t>%</w:t>
      </w:r>
      <w:r w:rsidR="001A4AE6" w:rsidRPr="00F23D11">
        <w:rPr>
          <w:sz w:val="24"/>
        </w:rPr>
        <w:t xml:space="preserve"> y el ratio </w:t>
      </w:r>
      <w:r w:rsidR="007C3E58" w:rsidRPr="00F23D11">
        <w:rPr>
          <w:sz w:val="24"/>
        </w:rPr>
        <w:t>Beneficio: Costo</w:t>
      </w:r>
      <w:r w:rsidR="001A4AE6" w:rsidRPr="00F23D11">
        <w:rPr>
          <w:sz w:val="24"/>
        </w:rPr>
        <w:t xml:space="preserve"> es de</w:t>
      </w:r>
      <w:r w:rsidR="0073580E" w:rsidRPr="00F23D11">
        <w:rPr>
          <w:sz w:val="24"/>
        </w:rPr>
        <w:t xml:space="preserve"> 1,1</w:t>
      </w:r>
      <w:r w:rsidR="007E2744">
        <w:rPr>
          <w:sz w:val="24"/>
        </w:rPr>
        <w:t>9</w:t>
      </w:r>
      <w:r w:rsidR="0073580E" w:rsidRPr="00F23D11">
        <w:rPr>
          <w:sz w:val="24"/>
        </w:rPr>
        <w:t>.</w:t>
      </w:r>
      <w:r w:rsidR="00EB56C5" w:rsidRPr="00F23D11">
        <w:rPr>
          <w:sz w:val="24"/>
        </w:rPr>
        <w:t xml:space="preserve"> El análisis de sensibilidad sugiere que</w:t>
      </w:r>
      <w:r w:rsidR="00D9385D" w:rsidRPr="00F23D11">
        <w:rPr>
          <w:sz w:val="24"/>
        </w:rPr>
        <w:t xml:space="preserve"> con tasas de descuento más elevadas el programa deja de tener un VAN positivo y que si bien el programa sigue siendo beneficioso aun con incrementos considerables en los costos</w:t>
      </w:r>
      <w:r w:rsidR="00EB56C5" w:rsidRPr="00F23D11">
        <w:rPr>
          <w:sz w:val="24"/>
        </w:rPr>
        <w:t xml:space="preserve"> </w:t>
      </w:r>
      <w:r w:rsidR="00D9385D" w:rsidRPr="00F23D11">
        <w:rPr>
          <w:sz w:val="24"/>
        </w:rPr>
        <w:t xml:space="preserve">este resultado no necesariamente se mantiene ante caídas en la efectividad del programa respecto de los supuestos adoptados. </w:t>
      </w:r>
      <w:r w:rsidR="00EB56C5" w:rsidRPr="00F23D11">
        <w:rPr>
          <w:sz w:val="24"/>
        </w:rPr>
        <w:t>El análisis costo beneficio de PROGRESAR</w:t>
      </w:r>
      <w:r w:rsidR="006A1429">
        <w:rPr>
          <w:sz w:val="24"/>
        </w:rPr>
        <w:t xml:space="preserve"> Virtual</w:t>
      </w:r>
      <w:r w:rsidR="00EB56C5" w:rsidRPr="00F23D11">
        <w:rPr>
          <w:sz w:val="24"/>
        </w:rPr>
        <w:t xml:space="preserve"> </w:t>
      </w:r>
      <w:r w:rsidR="00111EEE" w:rsidRPr="00F23D11">
        <w:rPr>
          <w:sz w:val="24"/>
        </w:rPr>
        <w:t>muestra que bajo una tasa de descuento del 3% y determinados supuestos sobre l</w:t>
      </w:r>
      <w:r w:rsidR="00495024">
        <w:rPr>
          <w:sz w:val="24"/>
        </w:rPr>
        <w:t>os efectos del programa</w:t>
      </w:r>
      <w:r w:rsidR="00111EEE" w:rsidRPr="00F23D11">
        <w:rPr>
          <w:sz w:val="24"/>
        </w:rPr>
        <w:t xml:space="preserve">, el VAN es de </w:t>
      </w:r>
      <w:r w:rsidR="00111EEE" w:rsidRPr="00DB489A">
        <w:rPr>
          <w:sz w:val="24"/>
        </w:rPr>
        <w:t xml:space="preserve">US$ </w:t>
      </w:r>
      <w:r w:rsidR="00DB489A" w:rsidRPr="00DB489A">
        <w:rPr>
          <w:sz w:val="24"/>
        </w:rPr>
        <w:t>3</w:t>
      </w:r>
      <w:r w:rsidR="00111EEE" w:rsidRPr="00DB489A">
        <w:rPr>
          <w:sz w:val="24"/>
        </w:rPr>
        <w:t xml:space="preserve"> millones, la TIR es del </w:t>
      </w:r>
      <w:r w:rsidR="006B351B" w:rsidRPr="00DB489A">
        <w:rPr>
          <w:sz w:val="24"/>
        </w:rPr>
        <w:t>1</w:t>
      </w:r>
      <w:r w:rsidR="00DB489A" w:rsidRPr="00DB489A">
        <w:rPr>
          <w:sz w:val="24"/>
        </w:rPr>
        <w:t>6</w:t>
      </w:r>
      <w:r w:rsidR="00111EEE" w:rsidRPr="00DB489A">
        <w:rPr>
          <w:sz w:val="24"/>
        </w:rPr>
        <w:t xml:space="preserve">% y </w:t>
      </w:r>
      <w:r w:rsidR="007C3E58" w:rsidRPr="00DB489A">
        <w:rPr>
          <w:sz w:val="24"/>
        </w:rPr>
        <w:t>la ratio</w:t>
      </w:r>
      <w:r w:rsidR="00111EEE" w:rsidRPr="00DB489A">
        <w:rPr>
          <w:sz w:val="24"/>
        </w:rPr>
        <w:t xml:space="preserve"> </w:t>
      </w:r>
      <w:r w:rsidR="007C3E58" w:rsidRPr="00DB489A">
        <w:rPr>
          <w:sz w:val="24"/>
        </w:rPr>
        <w:t>Beneficio: Costo</w:t>
      </w:r>
      <w:r w:rsidR="00111EEE" w:rsidRPr="00DB489A">
        <w:rPr>
          <w:sz w:val="24"/>
        </w:rPr>
        <w:t xml:space="preserve"> es de </w:t>
      </w:r>
      <w:r w:rsidR="00DB489A" w:rsidRPr="00DB489A">
        <w:rPr>
          <w:sz w:val="24"/>
        </w:rPr>
        <w:t>2,</w:t>
      </w:r>
      <w:r w:rsidR="006B351B" w:rsidRPr="00DB489A">
        <w:rPr>
          <w:sz w:val="24"/>
        </w:rPr>
        <w:t>8</w:t>
      </w:r>
      <w:r w:rsidR="00111EEE" w:rsidRPr="00DB489A">
        <w:rPr>
          <w:sz w:val="24"/>
        </w:rPr>
        <w:t>.</w:t>
      </w:r>
      <w:r w:rsidR="006B351B">
        <w:rPr>
          <w:sz w:val="24"/>
        </w:rPr>
        <w:t xml:space="preserve"> </w:t>
      </w:r>
      <w:r w:rsidR="00EB56C5" w:rsidRPr="00F23D11">
        <w:rPr>
          <w:sz w:val="24"/>
        </w:rPr>
        <w:t>El análisis de incidencia del subsidio al transporte mu</w:t>
      </w:r>
      <w:r w:rsidR="00DF0629" w:rsidRPr="00F23D11">
        <w:rPr>
          <w:sz w:val="24"/>
        </w:rPr>
        <w:t>e</w:t>
      </w:r>
      <w:r w:rsidR="00EB56C5" w:rsidRPr="00F23D11">
        <w:rPr>
          <w:sz w:val="24"/>
        </w:rPr>
        <w:t xml:space="preserve">stra que el subsidio es </w:t>
      </w:r>
      <w:r w:rsidR="00F82110" w:rsidRPr="00F23D11">
        <w:rPr>
          <w:sz w:val="24"/>
        </w:rPr>
        <w:t>progresivo</w:t>
      </w:r>
      <w:r w:rsidR="00B3721F">
        <w:rPr>
          <w:sz w:val="24"/>
        </w:rPr>
        <w:t xml:space="preserve"> y</w:t>
      </w:r>
      <w:r w:rsidR="00EB56C5" w:rsidRPr="00F23D11">
        <w:rPr>
          <w:sz w:val="24"/>
        </w:rPr>
        <w:t xml:space="preserve"> pro pobre en un esquema donde solo se consideran beneficiarios directos. Si se incluyen beneficiarios indirectos del hogar en el análisis, el efecto distributivo </w:t>
      </w:r>
      <w:r w:rsidR="00B3721F">
        <w:rPr>
          <w:sz w:val="24"/>
        </w:rPr>
        <w:t>se potencia</w:t>
      </w:r>
      <w:r w:rsidR="00EB56C5" w:rsidRPr="00F23D11">
        <w:rPr>
          <w:sz w:val="24"/>
        </w:rPr>
        <w:t>.</w:t>
      </w:r>
      <w:r w:rsidR="009C4917" w:rsidRPr="00F23D11">
        <w:rPr>
          <w:sz w:val="24"/>
        </w:rPr>
        <w:t xml:space="preserve"> Bajo el supuesto de beneficiarios indirectos,</w:t>
      </w:r>
      <w:r w:rsidR="00B848B4">
        <w:rPr>
          <w:sz w:val="24"/>
        </w:rPr>
        <w:t xml:space="preserve"> </w:t>
      </w:r>
      <w:r w:rsidR="00B3721F">
        <w:rPr>
          <w:sz w:val="24"/>
        </w:rPr>
        <w:t>más d</w:t>
      </w:r>
      <w:r w:rsidR="00B848B4">
        <w:rPr>
          <w:sz w:val="24"/>
        </w:rPr>
        <w:t>el 5</w:t>
      </w:r>
      <w:r w:rsidR="00B3721F">
        <w:rPr>
          <w:sz w:val="24"/>
        </w:rPr>
        <w:t>0</w:t>
      </w:r>
      <w:r w:rsidR="00B848B4">
        <w:rPr>
          <w:sz w:val="24"/>
        </w:rPr>
        <w:t xml:space="preserve">% de los recursos del programa </w:t>
      </w:r>
      <w:r w:rsidR="00B3721F">
        <w:rPr>
          <w:sz w:val="24"/>
        </w:rPr>
        <w:t>se canalizaría a los tres deciles más pobres de la población</w:t>
      </w:r>
      <w:r w:rsidR="00B848B4">
        <w:rPr>
          <w:sz w:val="24"/>
        </w:rPr>
        <w:t>.</w:t>
      </w:r>
    </w:p>
    <w:p w14:paraId="7B78F363" w14:textId="77777777" w:rsidR="006B351B" w:rsidRDefault="006B351B">
      <w:pPr>
        <w:rPr>
          <w:rFonts w:asciiTheme="majorHAnsi" w:eastAsiaTheme="majorEastAsia" w:hAnsiTheme="majorHAnsi" w:cstheme="majorBidi"/>
          <w:color w:val="2F5496" w:themeColor="accent1" w:themeShade="BF"/>
          <w:sz w:val="32"/>
          <w:szCs w:val="32"/>
        </w:rPr>
      </w:pPr>
      <w:r>
        <w:br w:type="page"/>
      </w:r>
    </w:p>
    <w:p w14:paraId="3DF44DBF" w14:textId="06F6403D" w:rsidR="00682540" w:rsidRDefault="00682540" w:rsidP="00682540">
      <w:pPr>
        <w:pStyle w:val="Heading1"/>
      </w:pPr>
      <w:r w:rsidRPr="00682540">
        <w:lastRenderedPageBreak/>
        <w:t>ANEXO: ESTIMACIÓN DE RETORNOS A L</w:t>
      </w:r>
      <w:r>
        <w:t>A EDUCACIÓN</w:t>
      </w:r>
    </w:p>
    <w:p w14:paraId="47320591" w14:textId="115C4037" w:rsidR="00C42222" w:rsidRPr="001E7CEC" w:rsidRDefault="00E5153D" w:rsidP="002437A5">
      <w:pPr>
        <w:spacing w:before="120"/>
        <w:jc w:val="both"/>
        <w:rPr>
          <w:sz w:val="24"/>
          <w:szCs w:val="24"/>
        </w:rPr>
      </w:pPr>
      <w:r w:rsidRPr="001E7CEC">
        <w:rPr>
          <w:sz w:val="24"/>
          <w:szCs w:val="24"/>
        </w:rPr>
        <w:t xml:space="preserve">El </w:t>
      </w:r>
      <w:r w:rsidR="001E7CEC" w:rsidRPr="001E7CEC">
        <w:rPr>
          <w:sz w:val="24"/>
          <w:szCs w:val="24"/>
        </w:rPr>
        <w:fldChar w:fldCharType="begin"/>
      </w:r>
      <w:r w:rsidR="001E7CEC" w:rsidRPr="001E7CEC">
        <w:rPr>
          <w:sz w:val="24"/>
          <w:szCs w:val="24"/>
        </w:rPr>
        <w:instrText xml:space="preserve"> REF _Ref523125271 \h </w:instrText>
      </w:r>
      <w:r w:rsidR="001E7CEC">
        <w:rPr>
          <w:sz w:val="24"/>
          <w:szCs w:val="24"/>
        </w:rPr>
        <w:instrText xml:space="preserve"> \* MERGEFORMAT </w:instrText>
      </w:r>
      <w:r w:rsidR="001E7CEC" w:rsidRPr="001E7CEC">
        <w:rPr>
          <w:sz w:val="24"/>
          <w:szCs w:val="24"/>
        </w:rPr>
      </w:r>
      <w:r w:rsidR="001E7CEC" w:rsidRPr="001E7CEC">
        <w:rPr>
          <w:sz w:val="24"/>
          <w:szCs w:val="24"/>
        </w:rPr>
        <w:fldChar w:fldCharType="separate"/>
      </w:r>
      <w:r w:rsidR="001E7CEC" w:rsidRPr="001E7CEC">
        <w:rPr>
          <w:sz w:val="24"/>
          <w:szCs w:val="24"/>
        </w:rPr>
        <w:t xml:space="preserve">Cuadro </w:t>
      </w:r>
      <w:r w:rsidR="001E7CEC" w:rsidRPr="001E7CEC">
        <w:rPr>
          <w:noProof/>
          <w:sz w:val="24"/>
          <w:szCs w:val="24"/>
        </w:rPr>
        <w:t>18</w:t>
      </w:r>
      <w:r w:rsidR="001E7CEC" w:rsidRPr="001E7CEC">
        <w:rPr>
          <w:sz w:val="24"/>
          <w:szCs w:val="24"/>
        </w:rPr>
        <w:fldChar w:fldCharType="end"/>
      </w:r>
      <w:r w:rsidR="001E7CEC" w:rsidRPr="001E7CEC">
        <w:rPr>
          <w:sz w:val="24"/>
          <w:szCs w:val="24"/>
        </w:rPr>
        <w:t xml:space="preserve"> </w:t>
      </w:r>
      <w:r w:rsidR="00B43ADE" w:rsidRPr="001E7CEC">
        <w:rPr>
          <w:sz w:val="24"/>
          <w:szCs w:val="24"/>
        </w:rPr>
        <w:t>presenta los resultados de la estimación de los retornos a la educación. La variable dependiente es el logaritmo de los ingresos salariales (precios primer trimestre 2017). Las variables independientes son edad, edad</w:t>
      </w:r>
      <w:r w:rsidR="00B43ADE" w:rsidRPr="001E7CEC">
        <w:rPr>
          <w:sz w:val="24"/>
          <w:szCs w:val="24"/>
          <w:vertAlign w:val="superscript"/>
        </w:rPr>
        <w:t>2</w:t>
      </w:r>
      <w:r w:rsidR="00B43ADE" w:rsidRPr="001E7CEC">
        <w:rPr>
          <w:sz w:val="24"/>
          <w:szCs w:val="24"/>
        </w:rPr>
        <w:t>, Primario completo (dummy), Secundario incompleto (dummy), Secundario completo (dummy), Superior incompleto (dummy), Superior completo (dummy). Se utilizan también 6 dummies regionales, y siguiendo a López Boo (2010) una dummy para aquellos individuos de entre 14 y 17</w:t>
      </w:r>
      <w:r w:rsidR="007C3E58">
        <w:rPr>
          <w:sz w:val="24"/>
          <w:szCs w:val="24"/>
        </w:rPr>
        <w:t> </w:t>
      </w:r>
      <w:r w:rsidR="00B43ADE" w:rsidRPr="001E7CEC">
        <w:rPr>
          <w:sz w:val="24"/>
          <w:szCs w:val="24"/>
        </w:rPr>
        <w:t xml:space="preserve">años. </w:t>
      </w:r>
      <w:r w:rsidR="00135B60" w:rsidRPr="001E7CEC">
        <w:rPr>
          <w:sz w:val="24"/>
          <w:szCs w:val="24"/>
        </w:rPr>
        <w:t>El cálculo de l</w:t>
      </w:r>
      <w:r w:rsidR="007B4745" w:rsidRPr="001E7CEC">
        <w:rPr>
          <w:sz w:val="24"/>
          <w:szCs w:val="24"/>
        </w:rPr>
        <w:t xml:space="preserve">os retornos por año adicional de </w:t>
      </w:r>
      <w:r w:rsidR="001E7CEC" w:rsidRPr="001E7CEC">
        <w:rPr>
          <w:sz w:val="24"/>
          <w:szCs w:val="24"/>
        </w:rPr>
        <w:t>educación</w:t>
      </w:r>
      <w:r w:rsidR="007B4745" w:rsidRPr="001E7CEC">
        <w:rPr>
          <w:sz w:val="24"/>
          <w:szCs w:val="24"/>
        </w:rPr>
        <w:t xml:space="preserve"> </w:t>
      </w:r>
      <w:r w:rsidR="00596976" w:rsidRPr="001E7CEC">
        <w:rPr>
          <w:sz w:val="24"/>
          <w:szCs w:val="24"/>
        </w:rPr>
        <w:t xml:space="preserve">sigue la metodología propuesta por </w:t>
      </w:r>
      <w:r w:rsidR="007B4745" w:rsidRPr="001E7CEC">
        <w:rPr>
          <w:sz w:val="24"/>
          <w:szCs w:val="24"/>
        </w:rPr>
        <w:t>López Boo (2010)</w:t>
      </w:r>
      <w:r w:rsidR="00596976" w:rsidRPr="001E7CEC">
        <w:rPr>
          <w:sz w:val="24"/>
          <w:szCs w:val="24"/>
        </w:rPr>
        <w:t xml:space="preserve">. Se aplica el procedimiento de Heckman para lidiar con los problemas de sesgo de selección. Las variables elegidas que se consideran determinantes para la participación en el mercado de trabajo son: dummy por jefe/a de hogar, dummy que identifica si está en pareja, cantidad de hijos. </w:t>
      </w:r>
    </w:p>
    <w:p w14:paraId="0CED5132" w14:textId="32AA4816" w:rsidR="00D90DF1" w:rsidRPr="00D90DF1" w:rsidRDefault="00D90DF1" w:rsidP="00D90DF1">
      <w:pPr>
        <w:pStyle w:val="Caption"/>
        <w:keepNext/>
        <w:rPr>
          <w:sz w:val="24"/>
        </w:rPr>
      </w:pPr>
      <w:bookmarkStart w:id="19" w:name="_Ref523125271"/>
      <w:r w:rsidRPr="00D90DF1">
        <w:rPr>
          <w:sz w:val="24"/>
        </w:rPr>
        <w:t xml:space="preserve">Cuadro </w:t>
      </w:r>
      <w:r w:rsidRPr="00D90DF1">
        <w:rPr>
          <w:sz w:val="24"/>
        </w:rPr>
        <w:fldChar w:fldCharType="begin"/>
      </w:r>
      <w:r w:rsidRPr="00D90DF1">
        <w:rPr>
          <w:sz w:val="24"/>
        </w:rPr>
        <w:instrText xml:space="preserve"> SEQ Cuadro \* ARABIC </w:instrText>
      </w:r>
      <w:r w:rsidRPr="00D90DF1">
        <w:rPr>
          <w:sz w:val="24"/>
        </w:rPr>
        <w:fldChar w:fldCharType="separate"/>
      </w:r>
      <w:r w:rsidRPr="00D90DF1">
        <w:rPr>
          <w:noProof/>
          <w:sz w:val="24"/>
        </w:rPr>
        <w:t>18</w:t>
      </w:r>
      <w:r w:rsidRPr="00D90DF1">
        <w:rPr>
          <w:sz w:val="24"/>
        </w:rPr>
        <w:fldChar w:fldCharType="end"/>
      </w:r>
      <w:bookmarkEnd w:id="19"/>
      <w:r w:rsidRPr="00D90DF1">
        <w:rPr>
          <w:sz w:val="24"/>
        </w:rPr>
        <w:t>: Ecuación de ingreso corregida por sesgo de selección</w:t>
      </w:r>
    </w:p>
    <w:p w14:paraId="588C5BF9" w14:textId="661EE7D0" w:rsidR="00D90DF1" w:rsidRPr="00D90DF1" w:rsidRDefault="00D90DF1" w:rsidP="00596976">
      <w:pPr>
        <w:rPr>
          <w:rFonts w:ascii="CMR10" w:eastAsia="Times New Roman" w:hAnsi="CMR10" w:cs="Times New Roman"/>
          <w:color w:val="000000"/>
          <w:lang w:eastAsia="es-AR"/>
        </w:rPr>
      </w:pPr>
      <w:r w:rsidRPr="00D90DF1">
        <w:rPr>
          <w:noProof/>
        </w:rPr>
        <w:drawing>
          <wp:inline distT="0" distB="0" distL="0" distR="0" wp14:anchorId="078CAB5A" wp14:editId="18FC422E">
            <wp:extent cx="2570281" cy="5225406"/>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580248" cy="5245668"/>
                    </a:xfrm>
                    <a:prstGeom prst="rect">
                      <a:avLst/>
                    </a:prstGeom>
                    <a:noFill/>
                    <a:ln>
                      <a:noFill/>
                    </a:ln>
                  </pic:spPr>
                </pic:pic>
              </a:graphicData>
            </a:graphic>
          </wp:inline>
        </w:drawing>
      </w:r>
    </w:p>
    <w:p w14:paraId="1B267493" w14:textId="753D2903" w:rsidR="00AD7749" w:rsidRPr="00FE1506" w:rsidRDefault="00AD7749"/>
    <w:sectPr w:rsidR="00AD7749" w:rsidRPr="00FE1506" w:rsidSect="00993AB7">
      <w:headerReference w:type="even" r:id="rId42"/>
      <w:headerReference w:type="default" r:id="rId43"/>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AA0A4" w14:textId="77777777" w:rsidR="0030240E" w:rsidRDefault="0030240E" w:rsidP="00725BAA">
      <w:pPr>
        <w:spacing w:after="0" w:line="240" w:lineRule="auto"/>
      </w:pPr>
      <w:r>
        <w:separator/>
      </w:r>
    </w:p>
  </w:endnote>
  <w:endnote w:type="continuationSeparator" w:id="0">
    <w:p w14:paraId="7D65B539" w14:textId="77777777" w:rsidR="0030240E" w:rsidRDefault="0030240E" w:rsidP="00725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dvOT4ebfadd1">
    <w:altName w:val="Cambria"/>
    <w:panose1 w:val="00000000000000000000"/>
    <w:charset w:val="00"/>
    <w:family w:val="roman"/>
    <w:notTrueType/>
    <w:pitch w:val="default"/>
  </w:font>
  <w:font w:name="AdvOT4ebfadd1+fb">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MMI8">
    <w:altName w:val="Cambria"/>
    <w:panose1 w:val="00000000000000000000"/>
    <w:charset w:val="00"/>
    <w:family w:val="roman"/>
    <w:notTrueType/>
    <w:pitch w:val="default"/>
  </w:font>
  <w:font w:name="CMR8">
    <w:altName w:val="Cambria"/>
    <w:panose1 w:val="00000000000000000000"/>
    <w:charset w:val="00"/>
    <w:family w:val="roman"/>
    <w:notTrueType/>
    <w:pitch w:val="default"/>
  </w:font>
  <w:font w:name="CMR6">
    <w:altName w:val="Cambria"/>
    <w:panose1 w:val="00000000000000000000"/>
    <w:charset w:val="00"/>
    <w:family w:val="roman"/>
    <w:notTrueType/>
    <w:pitch w:val="default"/>
  </w:font>
  <w:font w:name="CMSY10">
    <w:altName w:val="Cambria"/>
    <w:panose1 w:val="00000000000000000000"/>
    <w:charset w:val="00"/>
    <w:family w:val="roman"/>
    <w:notTrueType/>
    <w:pitch w:val="default"/>
  </w:font>
  <w:font w:name="CMR10">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D0D67" w14:textId="77777777" w:rsidR="0030240E" w:rsidRDefault="0030240E" w:rsidP="00725BAA">
      <w:pPr>
        <w:spacing w:after="0" w:line="240" w:lineRule="auto"/>
      </w:pPr>
      <w:r>
        <w:separator/>
      </w:r>
    </w:p>
  </w:footnote>
  <w:footnote w:type="continuationSeparator" w:id="0">
    <w:p w14:paraId="73187F39" w14:textId="77777777" w:rsidR="0030240E" w:rsidRDefault="0030240E" w:rsidP="00725BAA">
      <w:pPr>
        <w:spacing w:after="0" w:line="240" w:lineRule="auto"/>
      </w:pPr>
      <w:r>
        <w:continuationSeparator/>
      </w:r>
    </w:p>
  </w:footnote>
  <w:footnote w:id="1">
    <w:p w14:paraId="4E5C83A7" w14:textId="68ABCB89" w:rsidR="00B577E0" w:rsidRPr="00312808" w:rsidRDefault="00B577E0">
      <w:pPr>
        <w:pStyle w:val="FootnoteText"/>
      </w:pPr>
      <w:r>
        <w:rPr>
          <w:rStyle w:val="FootnoteReference"/>
        </w:rPr>
        <w:footnoteRef/>
      </w:r>
      <w:r>
        <w:t xml:space="preserve"> Para una descripción detallada del Programa, se refiere al documento de proyecto.</w:t>
      </w:r>
    </w:p>
  </w:footnote>
  <w:footnote w:id="2">
    <w:p w14:paraId="3CF60E94" w14:textId="425A4904" w:rsidR="00B577E0" w:rsidRDefault="00B577E0">
      <w:pPr>
        <w:pStyle w:val="FootnoteText"/>
      </w:pPr>
      <w:r>
        <w:rPr>
          <w:rStyle w:val="FootnoteReference"/>
        </w:rPr>
        <w:footnoteRef/>
      </w:r>
      <w:r>
        <w:t xml:space="preserve"> El análisis está hecho para el Área Metropolitana de Buenos Aires.</w:t>
      </w:r>
    </w:p>
  </w:footnote>
  <w:footnote w:id="3">
    <w:p w14:paraId="613B67F7" w14:textId="6358C642" w:rsidR="00B577E0" w:rsidRDefault="00B577E0" w:rsidP="00D74E34">
      <w:pPr>
        <w:pStyle w:val="FootnoteText"/>
        <w:jc w:val="both"/>
      </w:pPr>
      <w:r>
        <w:rPr>
          <w:rStyle w:val="FootnoteReference"/>
        </w:rPr>
        <w:footnoteRef/>
      </w:r>
      <w:r>
        <w:t xml:space="preserve"> Implica el siguiente supuesto:</w:t>
      </w:r>
      <w:r w:rsidRPr="00725BAA">
        <w:t xml:space="preserve"> </w:t>
      </w:r>
      <w:r>
        <w:t>l</w:t>
      </w:r>
      <w:r w:rsidRPr="00725BAA">
        <w:t xml:space="preserve">a cantidad de personas con educación primaria incompleta es la misma que en 2010. Esto probablemente sobreestima la cantidad de personas con educación primaria incompleta en 2018. </w:t>
      </w:r>
    </w:p>
  </w:footnote>
  <w:footnote w:id="4">
    <w:p w14:paraId="1E561C57" w14:textId="1F650B19" w:rsidR="00B577E0" w:rsidRDefault="00B577E0" w:rsidP="00AF0D00">
      <w:pPr>
        <w:pStyle w:val="FootnoteText"/>
        <w:jc w:val="both"/>
      </w:pPr>
      <w:r>
        <w:rPr>
          <w:rStyle w:val="FootnoteReference"/>
        </w:rPr>
        <w:footnoteRef/>
      </w:r>
      <w:r w:rsidRPr="008F336E">
        <w:rPr>
          <w:rFonts w:cstheme="minorHAnsi"/>
          <w:sz w:val="18"/>
        </w:rPr>
        <w:t xml:space="preserve"> </w:t>
      </w:r>
      <w:r w:rsidRPr="00506650">
        <w:rPr>
          <w:rFonts w:cstheme="minorHAnsi"/>
          <w:szCs w:val="22"/>
          <w:lang w:val="es-ES"/>
        </w:rPr>
        <w:t xml:space="preserve">Existe una amplia literatura teórica y empírica que justifica utilizar valores relativamente bajos de la tasa para el análisis de proyectos sociales ya que estos proyectos tienen importantes externalidades, se realizan en el mediano y largo plazo, y la monetización de los beneficios no es tan directa. El análisis de </w:t>
      </w:r>
      <w:r w:rsidRPr="00506650">
        <w:rPr>
          <w:rFonts w:cstheme="minorHAnsi"/>
          <w:szCs w:val="22"/>
          <w:lang w:val="es-ES"/>
        </w:rPr>
        <w:fldChar w:fldCharType="begin" w:fldLock="1"/>
      </w:r>
      <w:r w:rsidRPr="00506650">
        <w:rPr>
          <w:rFonts w:cstheme="minorHAnsi"/>
          <w:szCs w:val="22"/>
          <w:lang w:val="es-ES"/>
        </w:rPr>
        <w:instrText>ADDIN CSL_CITATION { "citationItems" : [ { "id" : "ITEM-1", "itemData" : { "author" : [ { "dropping-particle" : "", "family" : "Zhuang", "given" : "J", "non-dropping-particle" : "", "parse-names" : false, "suffix" : "" }, { "dropping-particle" : "", "family" : "Liang", "given" : "Z", "non-dropping-particle" : "", "parse-names" : false, "suffix" : "" }, { "dropping-particle" : "", "family" : "Lin", "given" : "T", "non-dropping-particle" : "", "parse-names" : false, "suffix" : "" }, { "dropping-particle" : "De", "family" : "Guzman", "given" : "F", "non-dropping-particle" : "", "parse-names" : false, "suffix" : "" } ], "id" : "ITEM-1", "issued" : { "date-parts" : [ [ "2007" ] ] }, "title" : "Theory and practice in the choice of social discount rate for cost-benefit analysis: a survey", "type" : "article-journal" }, "uris" : [ "http://www.mendeley.com/documents/?uuid=51604dde-2ed8-495a-9696-b3161bc180f6" ] } ], "mendeley" : { "formattedCitation" : "(Zhuang et al. 2007)", "manualFormatting" : "Zhuang et al. (2007)", "plainTextFormattedCitation" : "(Zhuang et al. 2007)", "previouslyFormattedCitation" : "(Zhuang et al. 2007)" }, "properties" : { "noteIndex" : 0 }, "schema" : "https://github.com/citation-style-language/schema/raw/master/csl-citation.json" }</w:instrText>
      </w:r>
      <w:r w:rsidRPr="00506650">
        <w:rPr>
          <w:rFonts w:cstheme="minorHAnsi"/>
          <w:szCs w:val="22"/>
          <w:lang w:val="es-ES"/>
        </w:rPr>
        <w:fldChar w:fldCharType="separate"/>
      </w:r>
      <w:r w:rsidRPr="00506650">
        <w:rPr>
          <w:rFonts w:cstheme="minorHAnsi"/>
          <w:noProof/>
          <w:szCs w:val="22"/>
          <w:lang w:val="es-ES"/>
        </w:rPr>
        <w:t>Zhuang et al. (2007)</w:t>
      </w:r>
      <w:r w:rsidRPr="00506650">
        <w:rPr>
          <w:rFonts w:cstheme="minorHAnsi"/>
          <w:szCs w:val="22"/>
          <w:lang w:val="es-ES"/>
        </w:rPr>
        <w:fldChar w:fldCharType="end"/>
      </w:r>
      <w:r w:rsidRPr="00506650">
        <w:rPr>
          <w:rFonts w:cstheme="minorHAnsi"/>
          <w:szCs w:val="22"/>
          <w:lang w:val="es-ES"/>
        </w:rPr>
        <w:t xml:space="preserve"> encuentra que países desarrollados como Francia, Alemania, Italia y España utilizan tasas entre 3 y 7% para evaluar proyectos sociales mientras que los países en desarrollo optan por tasas entre 8 y 15%. El trabajo de </w:t>
      </w:r>
      <w:r w:rsidRPr="00506650">
        <w:rPr>
          <w:rFonts w:cstheme="minorHAnsi"/>
          <w:szCs w:val="22"/>
          <w:lang w:val="es-ES"/>
        </w:rPr>
        <w:fldChar w:fldCharType="begin" w:fldLock="1"/>
      </w:r>
      <w:r w:rsidRPr="00506650">
        <w:rPr>
          <w:rFonts w:cstheme="minorHAnsi"/>
          <w:szCs w:val="22"/>
          <w:lang w:val="es-ES"/>
        </w:rPr>
        <w:instrText>ADDIN CSL_CITATION { "citationItems" : [ { "id" : "ITEM-1", "itemData" : { "DOI" : "10.1596/1813-9450-4639", "author" : [ { "dropping-particle" : "", "family" : "Lopez", "given" : "Humberto", "non-dropping-particle" : "", "parse-names" : false, "suffix" : "" } ], "collection-title" : "Policy Research Working Papers", "id" : "ITEM-1", "issued" : { "date-parts" : [ [ "2008", "6", "12" ] ] }, "language" : "English", "publisher" : "The World Bank", "title" : "The Social Discount Rate: Estimates For Nine Latin American Countries", "type" : "book" }, "uris" : [ "http://www.mendeley.com/documents/?uuid=1c1d3902-07ef-4655-9402-cdac0fbfa4be" ] } ], "mendeley" : { "formattedCitation" : "(Lopez 2008)", "manualFormatting" : "Lopez (2008)", "plainTextFormattedCitation" : "(Lopez 2008)", "previouslyFormattedCitation" : "(Lopez 2008)" }, "properties" : { "noteIndex" : 0 }, "schema" : "https://github.com/citation-style-language/schema/raw/master/csl-citation.json" }</w:instrText>
      </w:r>
      <w:r w:rsidRPr="00506650">
        <w:rPr>
          <w:rFonts w:cstheme="minorHAnsi"/>
          <w:szCs w:val="22"/>
          <w:lang w:val="es-ES"/>
        </w:rPr>
        <w:fldChar w:fldCharType="separate"/>
      </w:r>
      <w:r w:rsidRPr="00506650">
        <w:rPr>
          <w:rFonts w:cstheme="minorHAnsi"/>
          <w:noProof/>
          <w:szCs w:val="22"/>
          <w:lang w:val="es-ES"/>
        </w:rPr>
        <w:t>Lopez (2008)</w:t>
      </w:r>
      <w:r w:rsidRPr="00506650">
        <w:rPr>
          <w:rFonts w:cstheme="minorHAnsi"/>
          <w:szCs w:val="22"/>
          <w:lang w:val="es-ES"/>
        </w:rPr>
        <w:fldChar w:fldCharType="end"/>
      </w:r>
      <w:r w:rsidRPr="00506650">
        <w:rPr>
          <w:rFonts w:cstheme="minorHAnsi"/>
          <w:szCs w:val="22"/>
          <w:lang w:val="es-ES"/>
        </w:rPr>
        <w:t xml:space="preserve"> que estima tasas de descuento para nueve países latinoamericanos indica que la selección de la tasa depende las expectativas de crecimiento. Esto es que ante un escenario de crecimiento económico bajo la tasa de descuento debe situarse entre 3 y 4% mientras que en un escenario de crecimiento acelerado la tasa puede ser de un 5 o hasta 7%. En un documento en el que desarrolla un marco metodológico para el análisis de las intervenciones de desarrollo infantil temprano, </w:t>
      </w:r>
      <w:hyperlink r:id="rId1" w:history="1">
        <w:r w:rsidRPr="00506650">
          <w:rPr>
            <w:rStyle w:val="Hyperlink"/>
          </w:rPr>
          <w:t>Karoly (2012)</w:t>
        </w:r>
      </w:hyperlink>
      <w:r w:rsidRPr="00506650">
        <w:t>, propone una tasa de descuento del</w:t>
      </w:r>
      <w:r w:rsidRPr="00506650">
        <w:rPr>
          <w:rFonts w:cstheme="minorHAnsi"/>
          <w:szCs w:val="22"/>
          <w:lang w:val="es-ES"/>
        </w:rPr>
        <w:t xml:space="preserve"> </w:t>
      </w:r>
      <w:r w:rsidRPr="00506650">
        <w:t>3% a partir de un relevamiento de la literatura</w:t>
      </w:r>
      <w:r w:rsidRPr="00506650">
        <w:rPr>
          <w:rFonts w:cstheme="minorHAnsi"/>
          <w:szCs w:val="22"/>
          <w:lang w:val="es-ES"/>
        </w:rPr>
        <w:t xml:space="preserve">. Finalmente, para proyectos de Salud, la OMS </w:t>
      </w:r>
      <w:r w:rsidRPr="00506650">
        <w:rPr>
          <w:rFonts w:cstheme="minorHAnsi"/>
          <w:szCs w:val="22"/>
          <w:lang w:val="es-ES"/>
        </w:rPr>
        <w:fldChar w:fldCharType="begin" w:fldLock="1"/>
      </w:r>
      <w:r w:rsidRPr="00506650">
        <w:rPr>
          <w:rFonts w:cstheme="minorHAnsi"/>
          <w:szCs w:val="22"/>
          <w:lang w:val="es-ES"/>
        </w:rPr>
        <w:instrText>ADDIN CSL_CITATION { "citationItems" : [ { "id" : "ITEM-1", "itemData" : { "editor" : [ { "dropping-particle" : "", "family" : "Tan-Torres Edejer", "given" : "T", "non-dropping-particle" : "", "parse-names" : false, "suffix" : "" }, { "dropping-particle" : "", "family" : "Baltussen", "given" : "R.", "non-dropping-particle" : "", "parse-names" : false, "suffix" : "" }, { "dropping-particle" : "", "family" : "Adam", "given" : "T", "non-dropping-particle" : "", "parse-names" : false, "suffix" : "" }, { "dropping-particle" : "", "family" : "Hutubessy", "given" : "R", "non-dropping-particle" : "", "parse-names" : false, "suffix" : "" }, { "dropping-particle" : "", "family" : "Acharya", "given" : "A.", "non-dropping-particle" : "", "parse-names" : false, "suffix" : "" }, { "dropping-particle" : "", "family" : "Evans", "given" : "D.B.", "non-dropping-particle" : "", "parse-names" : false, "suffix" : "" }, { "dropping-particle" : "", "family" : "Murray", "given" : "C.J.L.", "non-dropping-particle" : "", "parse-names" : false, "suffix" : "" } ], "id" : "ITEM-1", "issued" : { "date-parts" : [ [ "2003" ] ] }, "publisher" : "Organizaci\u00f3n Mundial de la Salud", "publisher-place" : "Ginebra, Suiza", "title" : "Making Choices in Health:WHO Guide to Cost-Effectiveness Analysis", "type" : "book" }, "uris" : [ "http://www.mendeley.com/documents/?uuid=25a26c8b-dbda-4a68-ae1c-4aef5e08e5d1" ] } ], "mendeley" : { "formattedCitation" : "(Tan-Torres Edejer et al. 2003)", "manualFormatting" : "(en Tan-Torres Edejer et al. 2003)", "plainTextFormattedCitation" : "(Tan-Torres Edejer et al. 2003)", "previouslyFormattedCitation" : "(Tan-Torres Edejer et al. 2003)" }, "properties" : { "noteIndex" : 0 }, "schema" : "https://github.com/citation-style-language/schema/raw/master/csl-citation.json" }</w:instrText>
      </w:r>
      <w:r w:rsidRPr="00506650">
        <w:rPr>
          <w:rFonts w:cstheme="minorHAnsi"/>
          <w:szCs w:val="22"/>
          <w:lang w:val="es-ES"/>
        </w:rPr>
        <w:fldChar w:fldCharType="separate"/>
      </w:r>
      <w:r w:rsidRPr="00506650">
        <w:rPr>
          <w:rFonts w:cstheme="minorHAnsi"/>
          <w:noProof/>
          <w:szCs w:val="22"/>
          <w:lang w:val="es-ES"/>
        </w:rPr>
        <w:t>(en Tan-Torres Edejer et al. 2003)</w:t>
      </w:r>
      <w:r w:rsidRPr="00506650">
        <w:rPr>
          <w:rFonts w:cstheme="minorHAnsi"/>
          <w:szCs w:val="22"/>
          <w:lang w:val="es-ES"/>
        </w:rPr>
        <w:fldChar w:fldCharType="end"/>
      </w:r>
      <w:r w:rsidRPr="00506650">
        <w:rPr>
          <w:rFonts w:cstheme="minorHAnsi"/>
          <w:szCs w:val="22"/>
          <w:lang w:val="es-ES"/>
        </w:rPr>
        <w:t xml:space="preserve"> recomienda usar 3% como tasa de descuento y sugieren que para los análisis de sensibilidad se descuenten los efectos de salud con una tasa del 0% y los costos con una del 6%.</w:t>
      </w:r>
    </w:p>
  </w:footnote>
  <w:footnote w:id="5">
    <w:p w14:paraId="7CFCDD93" w14:textId="6AE2F844" w:rsidR="00B577E0" w:rsidRDefault="00B577E0">
      <w:pPr>
        <w:pStyle w:val="FootnoteText"/>
      </w:pPr>
      <w:r>
        <w:rPr>
          <w:rStyle w:val="FootnoteReference"/>
        </w:rPr>
        <w:footnoteRef/>
      </w:r>
      <w:r>
        <w:t xml:space="preserve"> Ver </w:t>
      </w:r>
      <w:hyperlink r:id="rId2" w:anchor="page_scan_tab_contents" w:history="1">
        <w:r w:rsidRPr="0040703C">
          <w:rPr>
            <w:rStyle w:val="Hyperlink"/>
          </w:rPr>
          <w:t>Hungerford y Solon (1987)</w:t>
        </w:r>
      </w:hyperlink>
      <w:r>
        <w:t xml:space="preserve"> para una introducción a este fenómeno.</w:t>
      </w:r>
    </w:p>
  </w:footnote>
  <w:footnote w:id="6">
    <w:p w14:paraId="50BBB69A" w14:textId="026644C1" w:rsidR="00B577E0" w:rsidRDefault="00B577E0">
      <w:pPr>
        <w:pStyle w:val="FootnoteText"/>
      </w:pPr>
      <w:r>
        <w:rPr>
          <w:rStyle w:val="FootnoteReference"/>
        </w:rPr>
        <w:footnoteRef/>
      </w:r>
      <w:r>
        <w:t xml:space="preserve"> </w:t>
      </w:r>
      <w:hyperlink r:id="rId3" w:history="1">
        <w:r w:rsidRPr="008B440B">
          <w:rPr>
            <w:rStyle w:val="Hyperlink"/>
          </w:rPr>
          <w:t>Escudero et al. (2017)</w:t>
        </w:r>
      </w:hyperlink>
      <w:r>
        <w:t xml:space="preserve"> desarrollan un meta-análisis para América Latina y el Caribe pero no presentan cálculos de efectos promedio. Destacan sí que las intervenciones de formación suelen ser más efectivas si son acompañadas por capacitación en el lugar de trabajo.</w:t>
      </w:r>
    </w:p>
  </w:footnote>
  <w:footnote w:id="7">
    <w:p w14:paraId="3FB5BD3B" w14:textId="4A33B1E2" w:rsidR="00B577E0" w:rsidRDefault="00B577E0">
      <w:pPr>
        <w:pStyle w:val="FootnoteText"/>
      </w:pPr>
      <w:r>
        <w:rPr>
          <w:rStyle w:val="FootnoteReference"/>
        </w:rPr>
        <w:footnoteRef/>
      </w:r>
      <w:r>
        <w:t xml:space="preserve"> La decisión de incorporar este ítem entre los beneficios fue tomada siguiendo la metodología para análisis costo beneficio de programas de transferencias condicionadas propuesta por </w:t>
      </w:r>
      <w:hyperlink r:id="rId4" w:history="1">
        <w:r w:rsidRPr="00D747E6">
          <w:rPr>
            <w:rStyle w:val="Hyperlink"/>
            <w:szCs w:val="24"/>
          </w:rPr>
          <w:t>Brent (2013)</w:t>
        </w:r>
      </w:hyperlink>
      <w:r>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EDE3B" w14:textId="11CCAF11" w:rsidR="00B577E0" w:rsidRPr="00C249E7" w:rsidRDefault="00B577E0" w:rsidP="00993AB7">
    <w:pPr>
      <w:spacing w:after="0" w:line="240" w:lineRule="auto"/>
      <w:rPr>
        <w:rFonts w:ascii="Arial" w:hAnsi="Arial" w:cs="Arial"/>
        <w:sz w:val="18"/>
        <w:szCs w:val="18"/>
        <w:lang w:val="pt-BR"/>
      </w:rPr>
    </w:pPr>
    <w:r>
      <w:rPr>
        <w:rFonts w:ascii="Arial" w:hAnsi="Arial" w:cs="Arial"/>
        <w:sz w:val="18"/>
        <w:szCs w:val="18"/>
        <w:lang w:val="pt-BR"/>
      </w:rPr>
      <w:t>EEO#1</w:t>
    </w:r>
    <w:r w:rsidRPr="00C249E7">
      <w:rPr>
        <w:rFonts w:ascii="Arial" w:hAnsi="Arial" w:cs="Arial"/>
        <w:sz w:val="18"/>
        <w:szCs w:val="18"/>
        <w:lang w:val="pt-BR"/>
      </w:rPr>
      <w:t xml:space="preserve"> – </w:t>
    </w:r>
    <w:r>
      <w:rPr>
        <w:rFonts w:ascii="Arial" w:hAnsi="Arial" w:cs="Arial"/>
        <w:sz w:val="18"/>
        <w:szCs w:val="18"/>
        <w:lang w:val="pt-BR"/>
      </w:rPr>
      <w:t>AR</w:t>
    </w:r>
    <w:r w:rsidRPr="00C249E7">
      <w:rPr>
        <w:rFonts w:ascii="Arial" w:hAnsi="Arial" w:cs="Arial"/>
        <w:sz w:val="18"/>
        <w:szCs w:val="18"/>
        <w:lang w:val="pt-BR"/>
      </w:rPr>
      <w:t>-L1</w:t>
    </w:r>
    <w:r>
      <w:rPr>
        <w:rFonts w:ascii="Arial" w:hAnsi="Arial" w:cs="Arial"/>
        <w:sz w:val="18"/>
        <w:szCs w:val="18"/>
        <w:lang w:val="pt-BR"/>
      </w:rPr>
      <w:t>30</w:t>
    </w:r>
    <w:r w:rsidR="000476AF">
      <w:rPr>
        <w:rFonts w:ascii="Arial" w:hAnsi="Arial" w:cs="Arial"/>
        <w:sz w:val="18"/>
        <w:szCs w:val="18"/>
        <w:lang w:val="pt-BR"/>
      </w:rPr>
      <w:t>9</w:t>
    </w:r>
  </w:p>
  <w:p w14:paraId="14D02227" w14:textId="77777777" w:rsidR="00B577E0" w:rsidRPr="00C249E7" w:rsidRDefault="00B577E0" w:rsidP="00993AB7">
    <w:pPr>
      <w:pStyle w:val="Header"/>
      <w:numPr>
        <w:ilvl w:val="0"/>
        <w:numId w:val="0"/>
      </w:numPr>
      <w:rPr>
        <w:rFonts w:ascii="Arial" w:hAnsi="Arial" w:cs="Arial"/>
        <w:sz w:val="18"/>
        <w:szCs w:val="18"/>
        <w:lang w:val="pt-BR"/>
      </w:rPr>
    </w:pPr>
    <w:r w:rsidRPr="00C249E7">
      <w:rPr>
        <w:rFonts w:ascii="Arial" w:hAnsi="Arial" w:cs="Arial"/>
        <w:sz w:val="18"/>
        <w:szCs w:val="18"/>
        <w:lang w:val="pt-BR"/>
      </w:rPr>
      <w:t xml:space="preserve">Página </w:t>
    </w:r>
    <w:r w:rsidRPr="00C249E7">
      <w:rPr>
        <w:rFonts w:ascii="Arial" w:hAnsi="Arial" w:cs="Arial"/>
        <w:bCs/>
        <w:sz w:val="18"/>
        <w:szCs w:val="18"/>
        <w:lang w:val="pt-BR"/>
      </w:rPr>
      <w:fldChar w:fldCharType="begin"/>
    </w:r>
    <w:r w:rsidRPr="00C249E7">
      <w:rPr>
        <w:rFonts w:ascii="Arial" w:hAnsi="Arial" w:cs="Arial"/>
        <w:bCs/>
        <w:sz w:val="18"/>
        <w:szCs w:val="18"/>
        <w:lang w:val="pt-BR"/>
      </w:rPr>
      <w:instrText xml:space="preserve"> PAGE </w:instrText>
    </w:r>
    <w:r w:rsidRPr="00C249E7">
      <w:rPr>
        <w:rFonts w:ascii="Arial" w:hAnsi="Arial" w:cs="Arial"/>
        <w:bCs/>
        <w:sz w:val="18"/>
        <w:szCs w:val="18"/>
        <w:lang w:val="pt-BR"/>
      </w:rPr>
      <w:fldChar w:fldCharType="separate"/>
    </w:r>
    <w:r>
      <w:rPr>
        <w:rFonts w:ascii="Arial" w:hAnsi="Arial" w:cs="Arial"/>
        <w:bCs/>
        <w:sz w:val="18"/>
        <w:szCs w:val="18"/>
        <w:lang w:val="pt-BR"/>
      </w:rPr>
      <w:t>2</w:t>
    </w:r>
    <w:r w:rsidRPr="00C249E7">
      <w:rPr>
        <w:rFonts w:ascii="Arial" w:hAnsi="Arial" w:cs="Arial"/>
        <w:bCs/>
        <w:sz w:val="18"/>
        <w:szCs w:val="18"/>
        <w:lang w:val="pt-BR"/>
      </w:rPr>
      <w:fldChar w:fldCharType="end"/>
    </w:r>
    <w:r w:rsidRPr="00C249E7">
      <w:rPr>
        <w:rFonts w:ascii="Arial" w:hAnsi="Arial" w:cs="Arial"/>
        <w:sz w:val="18"/>
        <w:szCs w:val="18"/>
        <w:lang w:val="pt-BR"/>
      </w:rPr>
      <w:t xml:space="preserve"> de </w:t>
    </w:r>
    <w:r w:rsidRPr="00C249E7">
      <w:rPr>
        <w:rFonts w:ascii="Arial" w:hAnsi="Arial" w:cs="Arial"/>
        <w:bCs/>
        <w:sz w:val="18"/>
        <w:szCs w:val="18"/>
        <w:lang w:val="pt-BR"/>
      </w:rPr>
      <w:fldChar w:fldCharType="begin"/>
    </w:r>
    <w:r w:rsidRPr="00C249E7">
      <w:rPr>
        <w:rFonts w:ascii="Arial" w:hAnsi="Arial" w:cs="Arial"/>
        <w:bCs/>
        <w:sz w:val="18"/>
        <w:szCs w:val="18"/>
        <w:lang w:val="pt-BR"/>
      </w:rPr>
      <w:instrText xml:space="preserve"> NUMPAGES  </w:instrText>
    </w:r>
    <w:r w:rsidRPr="00C249E7">
      <w:rPr>
        <w:rFonts w:ascii="Arial" w:hAnsi="Arial" w:cs="Arial"/>
        <w:bCs/>
        <w:sz w:val="18"/>
        <w:szCs w:val="18"/>
        <w:lang w:val="pt-BR"/>
      </w:rPr>
      <w:fldChar w:fldCharType="separate"/>
    </w:r>
    <w:r>
      <w:rPr>
        <w:rFonts w:ascii="Arial" w:hAnsi="Arial" w:cs="Arial"/>
        <w:bCs/>
        <w:sz w:val="18"/>
        <w:szCs w:val="18"/>
        <w:lang w:val="pt-BR"/>
      </w:rPr>
      <w:t>29</w:t>
    </w:r>
    <w:r w:rsidRPr="00C249E7">
      <w:rPr>
        <w:rFonts w:ascii="Arial" w:hAnsi="Arial" w:cs="Arial"/>
        <w:bCs/>
        <w:sz w:val="18"/>
        <w:szCs w:val="18"/>
        <w:lang w:val="pt-BR"/>
      </w:rPr>
      <w:fldChar w:fldCharType="end"/>
    </w:r>
  </w:p>
  <w:p w14:paraId="335AE6AD" w14:textId="77777777" w:rsidR="00B577E0" w:rsidRPr="00993AB7" w:rsidRDefault="00B577E0" w:rsidP="00993AB7">
    <w:pPr>
      <w:pStyle w:val="Header"/>
      <w:numPr>
        <w:ilvl w:val="0"/>
        <w:numId w:val="0"/>
      </w:numPr>
      <w:ind w:left="1440"/>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7205E" w14:textId="7CB2EA4B" w:rsidR="00B577E0" w:rsidRPr="00C249E7" w:rsidRDefault="00B577E0" w:rsidP="00993AB7">
    <w:pPr>
      <w:spacing w:after="0" w:line="240" w:lineRule="auto"/>
      <w:jc w:val="right"/>
      <w:rPr>
        <w:rFonts w:ascii="Arial" w:hAnsi="Arial" w:cs="Arial"/>
        <w:sz w:val="18"/>
        <w:szCs w:val="18"/>
        <w:lang w:val="pt-BR"/>
      </w:rPr>
    </w:pPr>
    <w:r>
      <w:rPr>
        <w:rFonts w:ascii="Arial" w:hAnsi="Arial" w:cs="Arial"/>
        <w:sz w:val="18"/>
        <w:szCs w:val="18"/>
        <w:lang w:val="pt-BR"/>
      </w:rPr>
      <w:t>EEO#1</w:t>
    </w:r>
    <w:r w:rsidRPr="00C249E7">
      <w:rPr>
        <w:rFonts w:ascii="Arial" w:hAnsi="Arial" w:cs="Arial"/>
        <w:sz w:val="18"/>
        <w:szCs w:val="18"/>
        <w:lang w:val="pt-BR"/>
      </w:rPr>
      <w:t xml:space="preserve"> – </w:t>
    </w:r>
    <w:r>
      <w:rPr>
        <w:rFonts w:ascii="Arial" w:hAnsi="Arial" w:cs="Arial"/>
        <w:sz w:val="18"/>
        <w:szCs w:val="18"/>
        <w:lang w:val="pt-BR"/>
      </w:rPr>
      <w:t>AR</w:t>
    </w:r>
    <w:r w:rsidRPr="00C249E7">
      <w:rPr>
        <w:rFonts w:ascii="Arial" w:hAnsi="Arial" w:cs="Arial"/>
        <w:sz w:val="18"/>
        <w:szCs w:val="18"/>
        <w:lang w:val="pt-BR"/>
      </w:rPr>
      <w:t>-L1</w:t>
    </w:r>
    <w:r>
      <w:rPr>
        <w:rFonts w:ascii="Arial" w:hAnsi="Arial" w:cs="Arial"/>
        <w:sz w:val="18"/>
        <w:szCs w:val="18"/>
        <w:lang w:val="pt-BR"/>
      </w:rPr>
      <w:t>30</w:t>
    </w:r>
    <w:r w:rsidR="000476AF">
      <w:rPr>
        <w:rFonts w:ascii="Arial" w:hAnsi="Arial" w:cs="Arial"/>
        <w:sz w:val="18"/>
        <w:szCs w:val="18"/>
        <w:lang w:val="pt-BR"/>
      </w:rPr>
      <w:t>9</w:t>
    </w:r>
  </w:p>
  <w:p w14:paraId="525187D2" w14:textId="77777777" w:rsidR="00B577E0" w:rsidRPr="00C249E7" w:rsidRDefault="00B577E0" w:rsidP="00993AB7">
    <w:pPr>
      <w:pStyle w:val="Header"/>
      <w:numPr>
        <w:ilvl w:val="0"/>
        <w:numId w:val="0"/>
      </w:numPr>
      <w:jc w:val="right"/>
      <w:rPr>
        <w:rFonts w:ascii="Arial" w:hAnsi="Arial" w:cs="Arial"/>
        <w:sz w:val="18"/>
        <w:szCs w:val="18"/>
        <w:lang w:val="pt-BR"/>
      </w:rPr>
    </w:pPr>
    <w:r w:rsidRPr="00C249E7">
      <w:rPr>
        <w:rFonts w:ascii="Arial" w:hAnsi="Arial" w:cs="Arial"/>
        <w:sz w:val="18"/>
        <w:szCs w:val="18"/>
        <w:lang w:val="pt-BR"/>
      </w:rPr>
      <w:t xml:space="preserve">Página </w:t>
    </w:r>
    <w:r w:rsidRPr="00C249E7">
      <w:rPr>
        <w:rFonts w:ascii="Arial" w:hAnsi="Arial" w:cs="Arial"/>
        <w:bCs/>
        <w:sz w:val="18"/>
        <w:szCs w:val="18"/>
        <w:lang w:val="pt-BR"/>
      </w:rPr>
      <w:fldChar w:fldCharType="begin"/>
    </w:r>
    <w:r w:rsidRPr="00C249E7">
      <w:rPr>
        <w:rFonts w:ascii="Arial" w:hAnsi="Arial" w:cs="Arial"/>
        <w:bCs/>
        <w:sz w:val="18"/>
        <w:szCs w:val="18"/>
        <w:lang w:val="pt-BR"/>
      </w:rPr>
      <w:instrText xml:space="preserve"> PAGE </w:instrText>
    </w:r>
    <w:r w:rsidRPr="00C249E7">
      <w:rPr>
        <w:rFonts w:ascii="Arial" w:hAnsi="Arial" w:cs="Arial"/>
        <w:bCs/>
        <w:sz w:val="18"/>
        <w:szCs w:val="18"/>
        <w:lang w:val="pt-BR"/>
      </w:rPr>
      <w:fldChar w:fldCharType="separate"/>
    </w:r>
    <w:r>
      <w:rPr>
        <w:rFonts w:ascii="Arial" w:hAnsi="Arial" w:cs="Arial"/>
        <w:bCs/>
        <w:sz w:val="18"/>
        <w:szCs w:val="18"/>
        <w:lang w:val="pt-BR"/>
      </w:rPr>
      <w:t>1</w:t>
    </w:r>
    <w:r w:rsidRPr="00C249E7">
      <w:rPr>
        <w:rFonts w:ascii="Arial" w:hAnsi="Arial" w:cs="Arial"/>
        <w:bCs/>
        <w:sz w:val="18"/>
        <w:szCs w:val="18"/>
        <w:lang w:val="pt-BR"/>
      </w:rPr>
      <w:fldChar w:fldCharType="end"/>
    </w:r>
    <w:r w:rsidRPr="00C249E7">
      <w:rPr>
        <w:rFonts w:ascii="Arial" w:hAnsi="Arial" w:cs="Arial"/>
        <w:sz w:val="18"/>
        <w:szCs w:val="18"/>
        <w:lang w:val="pt-BR"/>
      </w:rPr>
      <w:t xml:space="preserve"> de </w:t>
    </w:r>
    <w:r w:rsidRPr="00C249E7">
      <w:rPr>
        <w:rFonts w:ascii="Arial" w:hAnsi="Arial" w:cs="Arial"/>
        <w:bCs/>
        <w:sz w:val="18"/>
        <w:szCs w:val="18"/>
        <w:lang w:val="pt-BR"/>
      </w:rPr>
      <w:fldChar w:fldCharType="begin"/>
    </w:r>
    <w:r w:rsidRPr="00C249E7">
      <w:rPr>
        <w:rFonts w:ascii="Arial" w:hAnsi="Arial" w:cs="Arial"/>
        <w:bCs/>
        <w:sz w:val="18"/>
        <w:szCs w:val="18"/>
        <w:lang w:val="pt-BR"/>
      </w:rPr>
      <w:instrText xml:space="preserve"> NUMPAGES  </w:instrText>
    </w:r>
    <w:r w:rsidRPr="00C249E7">
      <w:rPr>
        <w:rFonts w:ascii="Arial" w:hAnsi="Arial" w:cs="Arial"/>
        <w:bCs/>
        <w:sz w:val="18"/>
        <w:szCs w:val="18"/>
        <w:lang w:val="pt-BR"/>
      </w:rPr>
      <w:fldChar w:fldCharType="separate"/>
    </w:r>
    <w:r>
      <w:rPr>
        <w:rFonts w:ascii="Arial" w:hAnsi="Arial" w:cs="Arial"/>
        <w:bCs/>
        <w:sz w:val="18"/>
        <w:szCs w:val="18"/>
        <w:lang w:val="pt-BR"/>
      </w:rPr>
      <w:t>9</w:t>
    </w:r>
    <w:r w:rsidRPr="00C249E7">
      <w:rPr>
        <w:rFonts w:ascii="Arial" w:hAnsi="Arial" w:cs="Arial"/>
        <w:bCs/>
        <w:sz w:val="18"/>
        <w:szCs w:val="18"/>
        <w:lang w:val="pt-BR"/>
      </w:rPr>
      <w:fldChar w:fldCharType="end"/>
    </w:r>
  </w:p>
  <w:p w14:paraId="4143BBD1" w14:textId="77777777" w:rsidR="00B577E0" w:rsidRPr="00993AB7" w:rsidRDefault="00B577E0" w:rsidP="00993AB7">
    <w:pPr>
      <w:pStyle w:val="Header"/>
      <w:numPr>
        <w:ilvl w:val="0"/>
        <w:numId w:val="0"/>
      </w:numPr>
      <w:jc w:val="righ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8141F"/>
    <w:multiLevelType w:val="hybridMultilevel"/>
    <w:tmpl w:val="B310F65A"/>
    <w:lvl w:ilvl="0" w:tplc="A330D372">
      <w:start w:val="1"/>
      <w:numFmt w:val="lowerLetter"/>
      <w:lvlText w:val="%1)"/>
      <w:lvlJc w:val="left"/>
      <w:pPr>
        <w:ind w:left="1530" w:hanging="360"/>
      </w:pPr>
      <w:rPr>
        <w:rFonts w:ascii="Arial" w:hAnsi="Arial" w:cs="Arial" w:hint="default"/>
        <w:sz w:val="22"/>
        <w:szCs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162F3FF8"/>
    <w:multiLevelType w:val="hybridMultilevel"/>
    <w:tmpl w:val="950C8852"/>
    <w:lvl w:ilvl="0" w:tplc="EEE8CBC4">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DD62189"/>
    <w:multiLevelType w:val="multilevel"/>
    <w:tmpl w:val="35764604"/>
    <w:lvl w:ilvl="0">
      <w:start w:val="1"/>
      <w:numFmt w:val="decimal"/>
      <w:lvlText w:val="%1."/>
      <w:lvlJc w:val="right"/>
      <w:pPr>
        <w:ind w:left="360" w:hanging="360"/>
      </w:pPr>
      <w:rPr>
        <w:rFonts w:hint="default"/>
      </w:rPr>
    </w:lvl>
    <w:lvl w:ilvl="1">
      <w:start w:val="1"/>
      <w:numFmt w:val="decimal"/>
      <w:lvlText w:val="%1.%2."/>
      <w:lvlJc w:val="left"/>
      <w:pPr>
        <w:ind w:left="504" w:hanging="144"/>
      </w:pPr>
      <w:rPr>
        <w:rFonts w:hint="default"/>
        <w:b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5CA77C1"/>
    <w:multiLevelType w:val="hybridMultilevel"/>
    <w:tmpl w:val="B310F65A"/>
    <w:lvl w:ilvl="0" w:tplc="A330D372">
      <w:start w:val="1"/>
      <w:numFmt w:val="lowerLetter"/>
      <w:lvlText w:val="%1)"/>
      <w:lvlJc w:val="left"/>
      <w:pPr>
        <w:ind w:left="1530" w:hanging="360"/>
      </w:pPr>
      <w:rPr>
        <w:rFonts w:ascii="Arial" w:hAnsi="Arial" w:cs="Arial" w:hint="default"/>
        <w:sz w:val="22"/>
        <w:szCs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569905A8"/>
    <w:multiLevelType w:val="multilevel"/>
    <w:tmpl w:val="0C4C110A"/>
    <w:lvl w:ilvl="0">
      <w:start w:val="1"/>
      <w:numFmt w:val="upperRoman"/>
      <w:lvlRestart w:val="0"/>
      <w:pStyle w:val="Header"/>
      <w:lvlText w:val="%1."/>
      <w:lvlJc w:val="center"/>
      <w:pPr>
        <w:tabs>
          <w:tab w:val="num" w:pos="1800"/>
        </w:tabs>
        <w:ind w:left="1152" w:firstLine="288"/>
      </w:pPr>
      <w:rPr>
        <w:b/>
        <w:i w:val="0"/>
      </w:rPr>
    </w:lvl>
    <w:lvl w:ilvl="1">
      <w:start w:val="1"/>
      <w:numFmt w:val="decimal"/>
      <w:pStyle w:val="BodyTextIndent"/>
      <w:isLgl/>
      <w:lvlText w:val="%1.%2"/>
      <w:lvlJc w:val="left"/>
      <w:pPr>
        <w:tabs>
          <w:tab w:val="num" w:pos="2448"/>
        </w:tabs>
        <w:ind w:left="2448" w:hanging="1296"/>
      </w:pPr>
      <w:rPr>
        <w:i w:val="0"/>
      </w:rPr>
    </w:lvl>
    <w:lvl w:ilvl="2">
      <w:start w:val="1"/>
      <w:numFmt w:val="lowerLetter"/>
      <w:pStyle w:val="BodyTextIndent2"/>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5" w15:restartNumberingAfterBreak="0">
    <w:nsid w:val="5D240046"/>
    <w:multiLevelType w:val="hybridMultilevel"/>
    <w:tmpl w:val="B310F65A"/>
    <w:lvl w:ilvl="0" w:tplc="A330D372">
      <w:start w:val="1"/>
      <w:numFmt w:val="lowerLetter"/>
      <w:lvlText w:val="%1)"/>
      <w:lvlJc w:val="left"/>
      <w:pPr>
        <w:ind w:left="1530" w:hanging="360"/>
      </w:pPr>
      <w:rPr>
        <w:rFonts w:ascii="Arial" w:hAnsi="Arial" w:cs="Arial" w:hint="default"/>
        <w:sz w:val="22"/>
        <w:szCs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044"/>
    <w:rsid w:val="00005181"/>
    <w:rsid w:val="000103A6"/>
    <w:rsid w:val="000126C3"/>
    <w:rsid w:val="0001513B"/>
    <w:rsid w:val="00020473"/>
    <w:rsid w:val="000215A2"/>
    <w:rsid w:val="000277CD"/>
    <w:rsid w:val="00027F84"/>
    <w:rsid w:val="00030A8D"/>
    <w:rsid w:val="000347F2"/>
    <w:rsid w:val="00034D21"/>
    <w:rsid w:val="000357D8"/>
    <w:rsid w:val="00036145"/>
    <w:rsid w:val="000408EB"/>
    <w:rsid w:val="0004117A"/>
    <w:rsid w:val="000438D4"/>
    <w:rsid w:val="00044F8B"/>
    <w:rsid w:val="0004645C"/>
    <w:rsid w:val="000476AF"/>
    <w:rsid w:val="00051BF7"/>
    <w:rsid w:val="000529A9"/>
    <w:rsid w:val="00070622"/>
    <w:rsid w:val="00071152"/>
    <w:rsid w:val="00075274"/>
    <w:rsid w:val="00077EE0"/>
    <w:rsid w:val="00083A1D"/>
    <w:rsid w:val="00087789"/>
    <w:rsid w:val="00090448"/>
    <w:rsid w:val="00092A2F"/>
    <w:rsid w:val="000A035C"/>
    <w:rsid w:val="000A3838"/>
    <w:rsid w:val="000B2D7E"/>
    <w:rsid w:val="000B3B5C"/>
    <w:rsid w:val="000B77F3"/>
    <w:rsid w:val="000C50EF"/>
    <w:rsid w:val="000C58D5"/>
    <w:rsid w:val="000D245B"/>
    <w:rsid w:val="000E16CF"/>
    <w:rsid w:val="000E1958"/>
    <w:rsid w:val="000E4F12"/>
    <w:rsid w:val="000F0E98"/>
    <w:rsid w:val="000F2C5F"/>
    <w:rsid w:val="000F323C"/>
    <w:rsid w:val="0010183E"/>
    <w:rsid w:val="0010201D"/>
    <w:rsid w:val="00105902"/>
    <w:rsid w:val="001061A7"/>
    <w:rsid w:val="00107F06"/>
    <w:rsid w:val="00110C9B"/>
    <w:rsid w:val="00111687"/>
    <w:rsid w:val="00111EEE"/>
    <w:rsid w:val="00112962"/>
    <w:rsid w:val="00125A83"/>
    <w:rsid w:val="00125EEA"/>
    <w:rsid w:val="00131C22"/>
    <w:rsid w:val="00131F45"/>
    <w:rsid w:val="001354FD"/>
    <w:rsid w:val="00135B60"/>
    <w:rsid w:val="0013632D"/>
    <w:rsid w:val="00137D9D"/>
    <w:rsid w:val="001400C7"/>
    <w:rsid w:val="00153EEC"/>
    <w:rsid w:val="00156558"/>
    <w:rsid w:val="0015671E"/>
    <w:rsid w:val="00156E5E"/>
    <w:rsid w:val="0016268C"/>
    <w:rsid w:val="001638DF"/>
    <w:rsid w:val="001720CC"/>
    <w:rsid w:val="00173459"/>
    <w:rsid w:val="001738A1"/>
    <w:rsid w:val="00175C27"/>
    <w:rsid w:val="00175F5B"/>
    <w:rsid w:val="00182D69"/>
    <w:rsid w:val="00190B53"/>
    <w:rsid w:val="001A1310"/>
    <w:rsid w:val="001A3214"/>
    <w:rsid w:val="001A4AE6"/>
    <w:rsid w:val="001B48DD"/>
    <w:rsid w:val="001B7F3E"/>
    <w:rsid w:val="001C14FD"/>
    <w:rsid w:val="001C4F1E"/>
    <w:rsid w:val="001C6033"/>
    <w:rsid w:val="001C60DB"/>
    <w:rsid w:val="001C6DC6"/>
    <w:rsid w:val="001D2146"/>
    <w:rsid w:val="001D29CE"/>
    <w:rsid w:val="001D32FF"/>
    <w:rsid w:val="001D3D0E"/>
    <w:rsid w:val="001E077D"/>
    <w:rsid w:val="001E6339"/>
    <w:rsid w:val="001E7CEC"/>
    <w:rsid w:val="001F0AD4"/>
    <w:rsid w:val="001F35D9"/>
    <w:rsid w:val="001F3C04"/>
    <w:rsid w:val="001F40EE"/>
    <w:rsid w:val="001F45FD"/>
    <w:rsid w:val="001F6FAB"/>
    <w:rsid w:val="00200A6E"/>
    <w:rsid w:val="00205401"/>
    <w:rsid w:val="002062B8"/>
    <w:rsid w:val="0021192B"/>
    <w:rsid w:val="00214480"/>
    <w:rsid w:val="00222E4A"/>
    <w:rsid w:val="002374B7"/>
    <w:rsid w:val="00241E53"/>
    <w:rsid w:val="002432E0"/>
    <w:rsid w:val="002437A5"/>
    <w:rsid w:val="00243985"/>
    <w:rsid w:val="00243DC3"/>
    <w:rsid w:val="00247CF0"/>
    <w:rsid w:val="00250706"/>
    <w:rsid w:val="00255DE3"/>
    <w:rsid w:val="0026451B"/>
    <w:rsid w:val="002650A8"/>
    <w:rsid w:val="00274015"/>
    <w:rsid w:val="00274AD9"/>
    <w:rsid w:val="00277008"/>
    <w:rsid w:val="002774C3"/>
    <w:rsid w:val="00280FE2"/>
    <w:rsid w:val="00295581"/>
    <w:rsid w:val="002A3B46"/>
    <w:rsid w:val="002B653F"/>
    <w:rsid w:val="002C2811"/>
    <w:rsid w:val="002C5BFF"/>
    <w:rsid w:val="002D21DC"/>
    <w:rsid w:val="002D2317"/>
    <w:rsid w:val="002D5B3A"/>
    <w:rsid w:val="002E0B2B"/>
    <w:rsid w:val="002E2760"/>
    <w:rsid w:val="002E5469"/>
    <w:rsid w:val="002E6882"/>
    <w:rsid w:val="002E6FE6"/>
    <w:rsid w:val="002F7409"/>
    <w:rsid w:val="00300B75"/>
    <w:rsid w:val="0030240E"/>
    <w:rsid w:val="00303257"/>
    <w:rsid w:val="0030336C"/>
    <w:rsid w:val="00305840"/>
    <w:rsid w:val="00307E03"/>
    <w:rsid w:val="00312808"/>
    <w:rsid w:val="003133C6"/>
    <w:rsid w:val="003244D5"/>
    <w:rsid w:val="00337AF0"/>
    <w:rsid w:val="00345377"/>
    <w:rsid w:val="00347827"/>
    <w:rsid w:val="00357D19"/>
    <w:rsid w:val="00373EB9"/>
    <w:rsid w:val="00377D2D"/>
    <w:rsid w:val="00380751"/>
    <w:rsid w:val="0038668D"/>
    <w:rsid w:val="00390838"/>
    <w:rsid w:val="003928C1"/>
    <w:rsid w:val="00393C5D"/>
    <w:rsid w:val="00397378"/>
    <w:rsid w:val="00397EF6"/>
    <w:rsid w:val="003A0D3D"/>
    <w:rsid w:val="003B0BB4"/>
    <w:rsid w:val="003B2F98"/>
    <w:rsid w:val="003B3EAD"/>
    <w:rsid w:val="003B423E"/>
    <w:rsid w:val="003B5524"/>
    <w:rsid w:val="003B6FA4"/>
    <w:rsid w:val="003C28DD"/>
    <w:rsid w:val="003C6089"/>
    <w:rsid w:val="003C7728"/>
    <w:rsid w:val="003D1488"/>
    <w:rsid w:val="003D2A93"/>
    <w:rsid w:val="003D4E19"/>
    <w:rsid w:val="003E5676"/>
    <w:rsid w:val="003F0D2E"/>
    <w:rsid w:val="003F26D6"/>
    <w:rsid w:val="003F3FDA"/>
    <w:rsid w:val="004010D0"/>
    <w:rsid w:val="00401944"/>
    <w:rsid w:val="0040599D"/>
    <w:rsid w:val="0040703C"/>
    <w:rsid w:val="004116F7"/>
    <w:rsid w:val="0042056E"/>
    <w:rsid w:val="00420A8D"/>
    <w:rsid w:val="00421B64"/>
    <w:rsid w:val="00422F19"/>
    <w:rsid w:val="00426D0C"/>
    <w:rsid w:val="00427B69"/>
    <w:rsid w:val="0043268E"/>
    <w:rsid w:val="00432A51"/>
    <w:rsid w:val="00436144"/>
    <w:rsid w:val="00440A06"/>
    <w:rsid w:val="00445DCA"/>
    <w:rsid w:val="004468DE"/>
    <w:rsid w:val="00454E97"/>
    <w:rsid w:val="00454F80"/>
    <w:rsid w:val="00457517"/>
    <w:rsid w:val="004617E2"/>
    <w:rsid w:val="00463364"/>
    <w:rsid w:val="00466AEC"/>
    <w:rsid w:val="0046780F"/>
    <w:rsid w:val="00467DAE"/>
    <w:rsid w:val="00476E57"/>
    <w:rsid w:val="00493B78"/>
    <w:rsid w:val="00495024"/>
    <w:rsid w:val="00496742"/>
    <w:rsid w:val="0049764C"/>
    <w:rsid w:val="004A1CD0"/>
    <w:rsid w:val="004A23DB"/>
    <w:rsid w:val="004A2F2F"/>
    <w:rsid w:val="004A49F8"/>
    <w:rsid w:val="004A552A"/>
    <w:rsid w:val="004A7CD5"/>
    <w:rsid w:val="004B415A"/>
    <w:rsid w:val="004B4165"/>
    <w:rsid w:val="004C610C"/>
    <w:rsid w:val="004C7786"/>
    <w:rsid w:val="004D0E03"/>
    <w:rsid w:val="004D200A"/>
    <w:rsid w:val="004D290E"/>
    <w:rsid w:val="004D34FF"/>
    <w:rsid w:val="004D42BE"/>
    <w:rsid w:val="004D5851"/>
    <w:rsid w:val="004E70D1"/>
    <w:rsid w:val="004F11B1"/>
    <w:rsid w:val="004F41BB"/>
    <w:rsid w:val="004F5D11"/>
    <w:rsid w:val="004F6331"/>
    <w:rsid w:val="004F76F6"/>
    <w:rsid w:val="004F7AAE"/>
    <w:rsid w:val="00506650"/>
    <w:rsid w:val="00506EA4"/>
    <w:rsid w:val="00510B85"/>
    <w:rsid w:val="005144F1"/>
    <w:rsid w:val="0051709A"/>
    <w:rsid w:val="00532376"/>
    <w:rsid w:val="00535A28"/>
    <w:rsid w:val="00536C8C"/>
    <w:rsid w:val="0054199A"/>
    <w:rsid w:val="00543C7A"/>
    <w:rsid w:val="005444C6"/>
    <w:rsid w:val="005463B3"/>
    <w:rsid w:val="00547651"/>
    <w:rsid w:val="00553E22"/>
    <w:rsid w:val="00560309"/>
    <w:rsid w:val="00563888"/>
    <w:rsid w:val="00565630"/>
    <w:rsid w:val="00565D7C"/>
    <w:rsid w:val="00575966"/>
    <w:rsid w:val="00575CD1"/>
    <w:rsid w:val="00582871"/>
    <w:rsid w:val="00583C42"/>
    <w:rsid w:val="00585DB7"/>
    <w:rsid w:val="00587CE4"/>
    <w:rsid w:val="00591E68"/>
    <w:rsid w:val="00596959"/>
    <w:rsid w:val="00596976"/>
    <w:rsid w:val="00596BB9"/>
    <w:rsid w:val="00597D0E"/>
    <w:rsid w:val="005A0D30"/>
    <w:rsid w:val="005A1FCB"/>
    <w:rsid w:val="005A4167"/>
    <w:rsid w:val="005B13AE"/>
    <w:rsid w:val="005B4D87"/>
    <w:rsid w:val="005B52D7"/>
    <w:rsid w:val="005B536A"/>
    <w:rsid w:val="005B65BA"/>
    <w:rsid w:val="005C0127"/>
    <w:rsid w:val="005C1B4C"/>
    <w:rsid w:val="005C6CB9"/>
    <w:rsid w:val="005C7698"/>
    <w:rsid w:val="005D016B"/>
    <w:rsid w:val="005D01BE"/>
    <w:rsid w:val="005D39D7"/>
    <w:rsid w:val="005D5EB5"/>
    <w:rsid w:val="005D7770"/>
    <w:rsid w:val="005F2D43"/>
    <w:rsid w:val="00600724"/>
    <w:rsid w:val="00605446"/>
    <w:rsid w:val="006165FB"/>
    <w:rsid w:val="00617963"/>
    <w:rsid w:val="00621723"/>
    <w:rsid w:val="00623FDE"/>
    <w:rsid w:val="00624EBB"/>
    <w:rsid w:val="00636C1A"/>
    <w:rsid w:val="00637E23"/>
    <w:rsid w:val="00647AAA"/>
    <w:rsid w:val="00651ABE"/>
    <w:rsid w:val="006527D3"/>
    <w:rsid w:val="00652D93"/>
    <w:rsid w:val="00653E4C"/>
    <w:rsid w:val="00660FD0"/>
    <w:rsid w:val="00664975"/>
    <w:rsid w:val="00666917"/>
    <w:rsid w:val="00676A54"/>
    <w:rsid w:val="0068132E"/>
    <w:rsid w:val="00682540"/>
    <w:rsid w:val="00687EF0"/>
    <w:rsid w:val="006948E7"/>
    <w:rsid w:val="00697499"/>
    <w:rsid w:val="0069753E"/>
    <w:rsid w:val="006A1429"/>
    <w:rsid w:val="006A1C14"/>
    <w:rsid w:val="006A1EED"/>
    <w:rsid w:val="006B050E"/>
    <w:rsid w:val="006B3442"/>
    <w:rsid w:val="006B351B"/>
    <w:rsid w:val="006B6B44"/>
    <w:rsid w:val="006C03E9"/>
    <w:rsid w:val="006C045E"/>
    <w:rsid w:val="006C2B54"/>
    <w:rsid w:val="006C634F"/>
    <w:rsid w:val="006D294B"/>
    <w:rsid w:val="006D32A3"/>
    <w:rsid w:val="006D7560"/>
    <w:rsid w:val="006E0641"/>
    <w:rsid w:val="006E1054"/>
    <w:rsid w:val="006E3697"/>
    <w:rsid w:val="006E57C6"/>
    <w:rsid w:val="006E6C9E"/>
    <w:rsid w:val="006E6E89"/>
    <w:rsid w:val="006F46BB"/>
    <w:rsid w:val="00701054"/>
    <w:rsid w:val="00703DD7"/>
    <w:rsid w:val="00704B1C"/>
    <w:rsid w:val="00713213"/>
    <w:rsid w:val="0071420B"/>
    <w:rsid w:val="00721152"/>
    <w:rsid w:val="0072440A"/>
    <w:rsid w:val="00725BAA"/>
    <w:rsid w:val="00733DE8"/>
    <w:rsid w:val="0073580E"/>
    <w:rsid w:val="00736840"/>
    <w:rsid w:val="00736A4C"/>
    <w:rsid w:val="0074168A"/>
    <w:rsid w:val="00745480"/>
    <w:rsid w:val="007459DE"/>
    <w:rsid w:val="00746CF9"/>
    <w:rsid w:val="00750ABC"/>
    <w:rsid w:val="00751375"/>
    <w:rsid w:val="00751C03"/>
    <w:rsid w:val="00752838"/>
    <w:rsid w:val="00754ECF"/>
    <w:rsid w:val="0075571D"/>
    <w:rsid w:val="007607A6"/>
    <w:rsid w:val="00761D69"/>
    <w:rsid w:val="00763990"/>
    <w:rsid w:val="0076610B"/>
    <w:rsid w:val="0076719A"/>
    <w:rsid w:val="007710AA"/>
    <w:rsid w:val="00772E2C"/>
    <w:rsid w:val="00773A87"/>
    <w:rsid w:val="00774A58"/>
    <w:rsid w:val="00776F85"/>
    <w:rsid w:val="00780F4C"/>
    <w:rsid w:val="0078105C"/>
    <w:rsid w:val="00783C49"/>
    <w:rsid w:val="00784BC8"/>
    <w:rsid w:val="00785B11"/>
    <w:rsid w:val="007865FC"/>
    <w:rsid w:val="00791CCB"/>
    <w:rsid w:val="00791DAF"/>
    <w:rsid w:val="00791F3A"/>
    <w:rsid w:val="007928CE"/>
    <w:rsid w:val="007A370A"/>
    <w:rsid w:val="007B142C"/>
    <w:rsid w:val="007B3C91"/>
    <w:rsid w:val="007B4745"/>
    <w:rsid w:val="007B5849"/>
    <w:rsid w:val="007B75C3"/>
    <w:rsid w:val="007C096D"/>
    <w:rsid w:val="007C0E54"/>
    <w:rsid w:val="007C2BB0"/>
    <w:rsid w:val="007C3E58"/>
    <w:rsid w:val="007C4DD8"/>
    <w:rsid w:val="007C6BD3"/>
    <w:rsid w:val="007D0834"/>
    <w:rsid w:val="007E2744"/>
    <w:rsid w:val="007E59E7"/>
    <w:rsid w:val="007F09D0"/>
    <w:rsid w:val="007F0DC0"/>
    <w:rsid w:val="007F1DE3"/>
    <w:rsid w:val="007F5C66"/>
    <w:rsid w:val="007F7423"/>
    <w:rsid w:val="007F7690"/>
    <w:rsid w:val="00800C9F"/>
    <w:rsid w:val="0080523D"/>
    <w:rsid w:val="008068C9"/>
    <w:rsid w:val="00806927"/>
    <w:rsid w:val="008153E6"/>
    <w:rsid w:val="00816679"/>
    <w:rsid w:val="0082261B"/>
    <w:rsid w:val="00824818"/>
    <w:rsid w:val="00827236"/>
    <w:rsid w:val="0083321B"/>
    <w:rsid w:val="00833F44"/>
    <w:rsid w:val="00834B93"/>
    <w:rsid w:val="0084211F"/>
    <w:rsid w:val="00846598"/>
    <w:rsid w:val="00846E72"/>
    <w:rsid w:val="00847640"/>
    <w:rsid w:val="00851783"/>
    <w:rsid w:val="0085699C"/>
    <w:rsid w:val="00861D3E"/>
    <w:rsid w:val="0086245A"/>
    <w:rsid w:val="00864206"/>
    <w:rsid w:val="008668ED"/>
    <w:rsid w:val="00867C8D"/>
    <w:rsid w:val="0087050F"/>
    <w:rsid w:val="008714D4"/>
    <w:rsid w:val="0087259D"/>
    <w:rsid w:val="00873DF4"/>
    <w:rsid w:val="0087406D"/>
    <w:rsid w:val="00875EE8"/>
    <w:rsid w:val="00877A05"/>
    <w:rsid w:val="00877EAD"/>
    <w:rsid w:val="00881C18"/>
    <w:rsid w:val="0088261E"/>
    <w:rsid w:val="00882D11"/>
    <w:rsid w:val="0088513A"/>
    <w:rsid w:val="00894B60"/>
    <w:rsid w:val="00894E3C"/>
    <w:rsid w:val="008A06F5"/>
    <w:rsid w:val="008A25E8"/>
    <w:rsid w:val="008A473B"/>
    <w:rsid w:val="008A50F3"/>
    <w:rsid w:val="008B440B"/>
    <w:rsid w:val="008B6AE7"/>
    <w:rsid w:val="008C15DB"/>
    <w:rsid w:val="008C1F20"/>
    <w:rsid w:val="008C5088"/>
    <w:rsid w:val="008E010A"/>
    <w:rsid w:val="008E1498"/>
    <w:rsid w:val="008E51FE"/>
    <w:rsid w:val="008E6F47"/>
    <w:rsid w:val="008E7725"/>
    <w:rsid w:val="008E773B"/>
    <w:rsid w:val="008F0695"/>
    <w:rsid w:val="008F22E4"/>
    <w:rsid w:val="008F336E"/>
    <w:rsid w:val="0090042F"/>
    <w:rsid w:val="00903EB7"/>
    <w:rsid w:val="00910851"/>
    <w:rsid w:val="00911641"/>
    <w:rsid w:val="009126FB"/>
    <w:rsid w:val="00912789"/>
    <w:rsid w:val="00916EE1"/>
    <w:rsid w:val="00917FDC"/>
    <w:rsid w:val="00925A09"/>
    <w:rsid w:val="00927EA6"/>
    <w:rsid w:val="009315C9"/>
    <w:rsid w:val="009357C0"/>
    <w:rsid w:val="00936326"/>
    <w:rsid w:val="009533F8"/>
    <w:rsid w:val="00957A25"/>
    <w:rsid w:val="0096046B"/>
    <w:rsid w:val="00960D65"/>
    <w:rsid w:val="0096751C"/>
    <w:rsid w:val="00970E07"/>
    <w:rsid w:val="00972AF5"/>
    <w:rsid w:val="00984914"/>
    <w:rsid w:val="009857B8"/>
    <w:rsid w:val="00993AB7"/>
    <w:rsid w:val="009965C4"/>
    <w:rsid w:val="00997580"/>
    <w:rsid w:val="009A165A"/>
    <w:rsid w:val="009A3933"/>
    <w:rsid w:val="009A654A"/>
    <w:rsid w:val="009B535D"/>
    <w:rsid w:val="009B5DEC"/>
    <w:rsid w:val="009C2158"/>
    <w:rsid w:val="009C239B"/>
    <w:rsid w:val="009C4917"/>
    <w:rsid w:val="009C4BEB"/>
    <w:rsid w:val="009C5F31"/>
    <w:rsid w:val="009D070B"/>
    <w:rsid w:val="009D27A3"/>
    <w:rsid w:val="009D4962"/>
    <w:rsid w:val="009F5554"/>
    <w:rsid w:val="00A1114D"/>
    <w:rsid w:val="00A1191E"/>
    <w:rsid w:val="00A1197A"/>
    <w:rsid w:val="00A15FA9"/>
    <w:rsid w:val="00A25A28"/>
    <w:rsid w:val="00A25F1C"/>
    <w:rsid w:val="00A2646E"/>
    <w:rsid w:val="00A271CC"/>
    <w:rsid w:val="00A27572"/>
    <w:rsid w:val="00A31285"/>
    <w:rsid w:val="00A3177A"/>
    <w:rsid w:val="00A35FC4"/>
    <w:rsid w:val="00A52545"/>
    <w:rsid w:val="00A55A75"/>
    <w:rsid w:val="00A56F84"/>
    <w:rsid w:val="00A572C3"/>
    <w:rsid w:val="00A57AD1"/>
    <w:rsid w:val="00A62A2C"/>
    <w:rsid w:val="00A642A2"/>
    <w:rsid w:val="00A6465B"/>
    <w:rsid w:val="00A660DD"/>
    <w:rsid w:val="00A67DB4"/>
    <w:rsid w:val="00A713F5"/>
    <w:rsid w:val="00A74D37"/>
    <w:rsid w:val="00A810BE"/>
    <w:rsid w:val="00A81410"/>
    <w:rsid w:val="00A8240C"/>
    <w:rsid w:val="00A86708"/>
    <w:rsid w:val="00A93FC8"/>
    <w:rsid w:val="00AA262E"/>
    <w:rsid w:val="00AA3121"/>
    <w:rsid w:val="00AA4FAB"/>
    <w:rsid w:val="00AB0055"/>
    <w:rsid w:val="00AB0F59"/>
    <w:rsid w:val="00AB1A59"/>
    <w:rsid w:val="00AB25E9"/>
    <w:rsid w:val="00AB379F"/>
    <w:rsid w:val="00AB4959"/>
    <w:rsid w:val="00AB5421"/>
    <w:rsid w:val="00AB7B85"/>
    <w:rsid w:val="00AC03C9"/>
    <w:rsid w:val="00AC243B"/>
    <w:rsid w:val="00AD0257"/>
    <w:rsid w:val="00AD078F"/>
    <w:rsid w:val="00AD5C4B"/>
    <w:rsid w:val="00AD7041"/>
    <w:rsid w:val="00AD7749"/>
    <w:rsid w:val="00AD7D5C"/>
    <w:rsid w:val="00AE0231"/>
    <w:rsid w:val="00AE1391"/>
    <w:rsid w:val="00AE322F"/>
    <w:rsid w:val="00AE4DCA"/>
    <w:rsid w:val="00AF0D00"/>
    <w:rsid w:val="00AF25A2"/>
    <w:rsid w:val="00AF7CD1"/>
    <w:rsid w:val="00B22F97"/>
    <w:rsid w:val="00B3721F"/>
    <w:rsid w:val="00B40DD4"/>
    <w:rsid w:val="00B4319F"/>
    <w:rsid w:val="00B43ADE"/>
    <w:rsid w:val="00B458DC"/>
    <w:rsid w:val="00B47EFD"/>
    <w:rsid w:val="00B47FDF"/>
    <w:rsid w:val="00B577E0"/>
    <w:rsid w:val="00B613F8"/>
    <w:rsid w:val="00B66E10"/>
    <w:rsid w:val="00B6751F"/>
    <w:rsid w:val="00B700E4"/>
    <w:rsid w:val="00B70FFC"/>
    <w:rsid w:val="00B7201A"/>
    <w:rsid w:val="00B81507"/>
    <w:rsid w:val="00B8155F"/>
    <w:rsid w:val="00B84132"/>
    <w:rsid w:val="00B848B4"/>
    <w:rsid w:val="00B85B36"/>
    <w:rsid w:val="00B8640B"/>
    <w:rsid w:val="00B876A7"/>
    <w:rsid w:val="00B911B0"/>
    <w:rsid w:val="00B9302B"/>
    <w:rsid w:val="00B93127"/>
    <w:rsid w:val="00B931D3"/>
    <w:rsid w:val="00B93331"/>
    <w:rsid w:val="00B9481C"/>
    <w:rsid w:val="00B967EA"/>
    <w:rsid w:val="00B96D9F"/>
    <w:rsid w:val="00B96E01"/>
    <w:rsid w:val="00B97EE9"/>
    <w:rsid w:val="00BA5A92"/>
    <w:rsid w:val="00BA628A"/>
    <w:rsid w:val="00BB41D2"/>
    <w:rsid w:val="00BB52C0"/>
    <w:rsid w:val="00BB7020"/>
    <w:rsid w:val="00BB7CFD"/>
    <w:rsid w:val="00BD42D1"/>
    <w:rsid w:val="00BD630F"/>
    <w:rsid w:val="00BF17F8"/>
    <w:rsid w:val="00BF3856"/>
    <w:rsid w:val="00BF4B40"/>
    <w:rsid w:val="00BF50EB"/>
    <w:rsid w:val="00BF6B17"/>
    <w:rsid w:val="00C005A7"/>
    <w:rsid w:val="00C14721"/>
    <w:rsid w:val="00C2417C"/>
    <w:rsid w:val="00C34442"/>
    <w:rsid w:val="00C35053"/>
    <w:rsid w:val="00C401C8"/>
    <w:rsid w:val="00C42222"/>
    <w:rsid w:val="00C4384C"/>
    <w:rsid w:val="00C43865"/>
    <w:rsid w:val="00C50867"/>
    <w:rsid w:val="00C52A62"/>
    <w:rsid w:val="00C53429"/>
    <w:rsid w:val="00C54C6C"/>
    <w:rsid w:val="00C62708"/>
    <w:rsid w:val="00C63ECB"/>
    <w:rsid w:val="00C7714C"/>
    <w:rsid w:val="00C809C3"/>
    <w:rsid w:val="00C8766F"/>
    <w:rsid w:val="00C87ACC"/>
    <w:rsid w:val="00C9743B"/>
    <w:rsid w:val="00CA2A95"/>
    <w:rsid w:val="00CA7A11"/>
    <w:rsid w:val="00CB0148"/>
    <w:rsid w:val="00CB3C9F"/>
    <w:rsid w:val="00CB41F0"/>
    <w:rsid w:val="00CC24FD"/>
    <w:rsid w:val="00CC32FE"/>
    <w:rsid w:val="00CC4957"/>
    <w:rsid w:val="00CC6C9B"/>
    <w:rsid w:val="00CD429B"/>
    <w:rsid w:val="00CE22E9"/>
    <w:rsid w:val="00CE5C89"/>
    <w:rsid w:val="00CE63F8"/>
    <w:rsid w:val="00CF54E2"/>
    <w:rsid w:val="00CF5DF7"/>
    <w:rsid w:val="00CF61E7"/>
    <w:rsid w:val="00CF6F19"/>
    <w:rsid w:val="00D03447"/>
    <w:rsid w:val="00D04726"/>
    <w:rsid w:val="00D04ECC"/>
    <w:rsid w:val="00D0525F"/>
    <w:rsid w:val="00D07E3C"/>
    <w:rsid w:val="00D11063"/>
    <w:rsid w:val="00D137AE"/>
    <w:rsid w:val="00D145AA"/>
    <w:rsid w:val="00D14820"/>
    <w:rsid w:val="00D1656F"/>
    <w:rsid w:val="00D212C4"/>
    <w:rsid w:val="00D22A66"/>
    <w:rsid w:val="00D26377"/>
    <w:rsid w:val="00D30728"/>
    <w:rsid w:val="00D310C3"/>
    <w:rsid w:val="00D31376"/>
    <w:rsid w:val="00D3160E"/>
    <w:rsid w:val="00D34663"/>
    <w:rsid w:val="00D34679"/>
    <w:rsid w:val="00D34F03"/>
    <w:rsid w:val="00D448DB"/>
    <w:rsid w:val="00D470B1"/>
    <w:rsid w:val="00D520C7"/>
    <w:rsid w:val="00D53B02"/>
    <w:rsid w:val="00D5686C"/>
    <w:rsid w:val="00D57CEC"/>
    <w:rsid w:val="00D6019C"/>
    <w:rsid w:val="00D62E70"/>
    <w:rsid w:val="00D63E27"/>
    <w:rsid w:val="00D70340"/>
    <w:rsid w:val="00D7104B"/>
    <w:rsid w:val="00D7399A"/>
    <w:rsid w:val="00D747E6"/>
    <w:rsid w:val="00D74E34"/>
    <w:rsid w:val="00D810D8"/>
    <w:rsid w:val="00D81EDA"/>
    <w:rsid w:val="00D90DF1"/>
    <w:rsid w:val="00D91A1D"/>
    <w:rsid w:val="00D9385D"/>
    <w:rsid w:val="00D96608"/>
    <w:rsid w:val="00DA1FF4"/>
    <w:rsid w:val="00DA71AA"/>
    <w:rsid w:val="00DB489A"/>
    <w:rsid w:val="00DC00E8"/>
    <w:rsid w:val="00DC41F1"/>
    <w:rsid w:val="00DC450F"/>
    <w:rsid w:val="00DC55FA"/>
    <w:rsid w:val="00DD3F1D"/>
    <w:rsid w:val="00DD6BF1"/>
    <w:rsid w:val="00DE391F"/>
    <w:rsid w:val="00DE47D4"/>
    <w:rsid w:val="00DE4B31"/>
    <w:rsid w:val="00DF0629"/>
    <w:rsid w:val="00DF0C31"/>
    <w:rsid w:val="00DF45CE"/>
    <w:rsid w:val="00DF57AF"/>
    <w:rsid w:val="00DF5CA7"/>
    <w:rsid w:val="00E0265C"/>
    <w:rsid w:val="00E036BD"/>
    <w:rsid w:val="00E051D9"/>
    <w:rsid w:val="00E121B1"/>
    <w:rsid w:val="00E12532"/>
    <w:rsid w:val="00E12CC3"/>
    <w:rsid w:val="00E13014"/>
    <w:rsid w:val="00E15047"/>
    <w:rsid w:val="00E2540F"/>
    <w:rsid w:val="00E311EF"/>
    <w:rsid w:val="00E32C78"/>
    <w:rsid w:val="00E41E63"/>
    <w:rsid w:val="00E4215F"/>
    <w:rsid w:val="00E46D52"/>
    <w:rsid w:val="00E50C3E"/>
    <w:rsid w:val="00E514A9"/>
    <w:rsid w:val="00E5153D"/>
    <w:rsid w:val="00E619B9"/>
    <w:rsid w:val="00E66EBB"/>
    <w:rsid w:val="00E70C84"/>
    <w:rsid w:val="00E70D94"/>
    <w:rsid w:val="00E9040F"/>
    <w:rsid w:val="00E91668"/>
    <w:rsid w:val="00EA4701"/>
    <w:rsid w:val="00EA702B"/>
    <w:rsid w:val="00EB2246"/>
    <w:rsid w:val="00EB33D7"/>
    <w:rsid w:val="00EB56C5"/>
    <w:rsid w:val="00EB6176"/>
    <w:rsid w:val="00EC2FAE"/>
    <w:rsid w:val="00EC41A3"/>
    <w:rsid w:val="00EC6D85"/>
    <w:rsid w:val="00EE49AB"/>
    <w:rsid w:val="00EE62DF"/>
    <w:rsid w:val="00EF0044"/>
    <w:rsid w:val="00EF0685"/>
    <w:rsid w:val="00EF0CA7"/>
    <w:rsid w:val="00EF3830"/>
    <w:rsid w:val="00EF3CE1"/>
    <w:rsid w:val="00EF4723"/>
    <w:rsid w:val="00F04838"/>
    <w:rsid w:val="00F23D11"/>
    <w:rsid w:val="00F35F4F"/>
    <w:rsid w:val="00F36410"/>
    <w:rsid w:val="00F42B32"/>
    <w:rsid w:val="00F4415E"/>
    <w:rsid w:val="00F5273D"/>
    <w:rsid w:val="00F55C0D"/>
    <w:rsid w:val="00F562C5"/>
    <w:rsid w:val="00F625E7"/>
    <w:rsid w:val="00F6301A"/>
    <w:rsid w:val="00F66755"/>
    <w:rsid w:val="00F6690B"/>
    <w:rsid w:val="00F67AEE"/>
    <w:rsid w:val="00F733F2"/>
    <w:rsid w:val="00F82110"/>
    <w:rsid w:val="00F833EF"/>
    <w:rsid w:val="00F950AF"/>
    <w:rsid w:val="00FB6B0D"/>
    <w:rsid w:val="00FC094A"/>
    <w:rsid w:val="00FC1798"/>
    <w:rsid w:val="00FC5A61"/>
    <w:rsid w:val="00FC7C30"/>
    <w:rsid w:val="00FE1506"/>
    <w:rsid w:val="00FE43C1"/>
    <w:rsid w:val="00FE654D"/>
    <w:rsid w:val="00FF1E3E"/>
    <w:rsid w:val="00FF2C4F"/>
    <w:rsid w:val="00FF63E7"/>
    <w:rsid w:val="00FF7E0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B87E9"/>
  <w15:chartTrackingRefBased/>
  <w15:docId w15:val="{05A7B61A-FC89-439E-A80B-AC4F065C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00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F1E3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044"/>
    <w:rPr>
      <w:rFonts w:asciiTheme="majorHAnsi" w:eastAsiaTheme="majorEastAsia" w:hAnsiTheme="majorHAnsi" w:cstheme="majorBidi"/>
      <w:color w:val="2F5496" w:themeColor="accent1" w:themeShade="BF"/>
      <w:sz w:val="32"/>
      <w:szCs w:val="32"/>
    </w:rPr>
  </w:style>
  <w:style w:type="character" w:customStyle="1" w:styleId="m-6898270701447070469gmail-fontstyle0">
    <w:name w:val="m_-6898270701447070469gmail-fontstyle0"/>
    <w:basedOn w:val="DefaultParagraphFont"/>
    <w:rsid w:val="006C634F"/>
  </w:style>
  <w:style w:type="paragraph" w:styleId="Caption">
    <w:name w:val="caption"/>
    <w:basedOn w:val="Normal"/>
    <w:next w:val="Normal"/>
    <w:uiPriority w:val="35"/>
    <w:unhideWhenUsed/>
    <w:qFormat/>
    <w:rsid w:val="009C2158"/>
    <w:pPr>
      <w:spacing w:after="200" w:line="240" w:lineRule="auto"/>
    </w:pPr>
    <w:rPr>
      <w:i/>
      <w:iCs/>
      <w:color w:val="44546A" w:themeColor="text2"/>
      <w:sz w:val="18"/>
      <w:szCs w:val="18"/>
    </w:rPr>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f"/>
    <w:basedOn w:val="Normal"/>
    <w:link w:val="FootnoteTextChar"/>
    <w:uiPriority w:val="99"/>
    <w:unhideWhenUsed/>
    <w:qFormat/>
    <w:rsid w:val="00725BAA"/>
    <w:pPr>
      <w:spacing w:after="0" w:line="240" w:lineRule="auto"/>
    </w:pPr>
    <w:rPr>
      <w:sz w:val="20"/>
      <w:szCs w:val="20"/>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basedOn w:val="DefaultParagraphFont"/>
    <w:link w:val="FootnoteText"/>
    <w:uiPriority w:val="99"/>
    <w:rsid w:val="00725BAA"/>
    <w:rPr>
      <w:sz w:val="20"/>
      <w:szCs w:val="20"/>
    </w:rPr>
  </w:style>
  <w:style w:type="character" w:styleId="FootnoteReference">
    <w:name w:val="footnote reference"/>
    <w:aliases w:val="referencia nota al pie,titulo 2,Fußnotenzeichen DISS,16 Point,Superscript 6 Point,ftref,BVI fnr,Знак сноски 1,Footnote Referencefra,FC,Style 24,pie pddes,Ref,de nota al pie,Ref. de nota al pie.,Footnote Reference.SES,Body Text 2 Char1"/>
    <w:basedOn w:val="DefaultParagraphFont"/>
    <w:uiPriority w:val="99"/>
    <w:unhideWhenUsed/>
    <w:qFormat/>
    <w:rsid w:val="00725BAA"/>
    <w:rPr>
      <w:vertAlign w:val="superscript"/>
    </w:rPr>
  </w:style>
  <w:style w:type="character" w:customStyle="1" w:styleId="fontstyle01">
    <w:name w:val="fontstyle01"/>
    <w:basedOn w:val="DefaultParagraphFont"/>
    <w:rsid w:val="0042056E"/>
    <w:rPr>
      <w:rFonts w:ascii="AdvOT4ebfadd1" w:hAnsi="AdvOT4ebfadd1" w:hint="default"/>
      <w:b w:val="0"/>
      <w:bCs w:val="0"/>
      <w:i w:val="0"/>
      <w:iCs w:val="0"/>
      <w:color w:val="242021"/>
      <w:sz w:val="20"/>
      <w:szCs w:val="20"/>
    </w:rPr>
  </w:style>
  <w:style w:type="character" w:customStyle="1" w:styleId="fontstyle21">
    <w:name w:val="fontstyle21"/>
    <w:basedOn w:val="DefaultParagraphFont"/>
    <w:rsid w:val="0042056E"/>
    <w:rPr>
      <w:rFonts w:ascii="AdvOT4ebfadd1+fb" w:hAnsi="AdvOT4ebfadd1+fb" w:hint="default"/>
      <w:b w:val="0"/>
      <w:bCs w:val="0"/>
      <w:i w:val="0"/>
      <w:iCs w:val="0"/>
      <w:color w:val="242021"/>
      <w:sz w:val="20"/>
      <w:szCs w:val="20"/>
    </w:rPr>
  </w:style>
  <w:style w:type="character" w:styleId="Hyperlink">
    <w:name w:val="Hyperlink"/>
    <w:basedOn w:val="DefaultParagraphFont"/>
    <w:uiPriority w:val="99"/>
    <w:unhideWhenUsed/>
    <w:rsid w:val="008B440B"/>
    <w:rPr>
      <w:color w:val="0563C1" w:themeColor="hyperlink"/>
      <w:u w:val="single"/>
    </w:rPr>
  </w:style>
  <w:style w:type="character" w:styleId="UnresolvedMention">
    <w:name w:val="Unresolved Mention"/>
    <w:basedOn w:val="DefaultParagraphFont"/>
    <w:uiPriority w:val="99"/>
    <w:semiHidden/>
    <w:unhideWhenUsed/>
    <w:rsid w:val="008B440B"/>
    <w:rPr>
      <w:color w:val="605E5C"/>
      <w:shd w:val="clear" w:color="auto" w:fill="E1DFDD"/>
    </w:rPr>
  </w:style>
  <w:style w:type="character" w:customStyle="1" w:styleId="Heading2Char">
    <w:name w:val="Heading 2 Char"/>
    <w:basedOn w:val="DefaultParagraphFont"/>
    <w:link w:val="Heading2"/>
    <w:uiPriority w:val="9"/>
    <w:rsid w:val="00FF1E3E"/>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C7C30"/>
    <w:pPr>
      <w:ind w:left="720"/>
      <w:contextualSpacing/>
    </w:pPr>
  </w:style>
  <w:style w:type="character" w:styleId="CommentReference">
    <w:name w:val="annotation reference"/>
    <w:basedOn w:val="DefaultParagraphFont"/>
    <w:uiPriority w:val="99"/>
    <w:semiHidden/>
    <w:unhideWhenUsed/>
    <w:rsid w:val="00AD0257"/>
    <w:rPr>
      <w:sz w:val="16"/>
      <w:szCs w:val="16"/>
    </w:rPr>
  </w:style>
  <w:style w:type="paragraph" w:styleId="CommentText">
    <w:name w:val="annotation text"/>
    <w:basedOn w:val="Normal"/>
    <w:link w:val="CommentTextChar"/>
    <w:uiPriority w:val="99"/>
    <w:unhideWhenUsed/>
    <w:rsid w:val="00AD0257"/>
    <w:pPr>
      <w:spacing w:line="240" w:lineRule="auto"/>
    </w:pPr>
    <w:rPr>
      <w:sz w:val="20"/>
      <w:szCs w:val="20"/>
    </w:rPr>
  </w:style>
  <w:style w:type="character" w:customStyle="1" w:styleId="CommentTextChar">
    <w:name w:val="Comment Text Char"/>
    <w:basedOn w:val="DefaultParagraphFont"/>
    <w:link w:val="CommentText"/>
    <w:uiPriority w:val="99"/>
    <w:rsid w:val="00AD0257"/>
    <w:rPr>
      <w:sz w:val="20"/>
      <w:szCs w:val="20"/>
    </w:rPr>
  </w:style>
  <w:style w:type="paragraph" w:styleId="CommentSubject">
    <w:name w:val="annotation subject"/>
    <w:basedOn w:val="CommentText"/>
    <w:next w:val="CommentText"/>
    <w:link w:val="CommentSubjectChar"/>
    <w:uiPriority w:val="99"/>
    <w:semiHidden/>
    <w:unhideWhenUsed/>
    <w:rsid w:val="00AD0257"/>
    <w:rPr>
      <w:b/>
      <w:bCs/>
    </w:rPr>
  </w:style>
  <w:style w:type="character" w:customStyle="1" w:styleId="CommentSubjectChar">
    <w:name w:val="Comment Subject Char"/>
    <w:basedOn w:val="CommentTextChar"/>
    <w:link w:val="CommentSubject"/>
    <w:uiPriority w:val="99"/>
    <w:semiHidden/>
    <w:rsid w:val="00AD0257"/>
    <w:rPr>
      <w:b/>
      <w:bCs/>
      <w:sz w:val="20"/>
      <w:szCs w:val="20"/>
    </w:rPr>
  </w:style>
  <w:style w:type="paragraph" w:styleId="BalloonText">
    <w:name w:val="Balloon Text"/>
    <w:basedOn w:val="Normal"/>
    <w:link w:val="BalloonTextChar"/>
    <w:uiPriority w:val="99"/>
    <w:semiHidden/>
    <w:unhideWhenUsed/>
    <w:rsid w:val="00AD02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257"/>
    <w:rPr>
      <w:rFonts w:ascii="Segoe UI" w:hAnsi="Segoe UI" w:cs="Segoe UI"/>
      <w:sz w:val="18"/>
      <w:szCs w:val="18"/>
    </w:rPr>
  </w:style>
  <w:style w:type="character" w:customStyle="1" w:styleId="fontstyle31">
    <w:name w:val="fontstyle31"/>
    <w:basedOn w:val="DefaultParagraphFont"/>
    <w:rsid w:val="006E0641"/>
    <w:rPr>
      <w:rFonts w:ascii="CMMI8" w:hAnsi="CMMI8" w:hint="default"/>
      <w:b w:val="0"/>
      <w:bCs w:val="0"/>
      <w:i/>
      <w:iCs/>
      <w:color w:val="000000"/>
      <w:sz w:val="16"/>
      <w:szCs w:val="16"/>
    </w:rPr>
  </w:style>
  <w:style w:type="character" w:customStyle="1" w:styleId="fontstyle41">
    <w:name w:val="fontstyle41"/>
    <w:basedOn w:val="DefaultParagraphFont"/>
    <w:rsid w:val="006E0641"/>
    <w:rPr>
      <w:rFonts w:ascii="CMR8" w:hAnsi="CMR8" w:hint="default"/>
      <w:b w:val="0"/>
      <w:bCs w:val="0"/>
      <w:i w:val="0"/>
      <w:iCs w:val="0"/>
      <w:color w:val="000000"/>
      <w:sz w:val="16"/>
      <w:szCs w:val="16"/>
    </w:rPr>
  </w:style>
  <w:style w:type="character" w:customStyle="1" w:styleId="fontstyle51">
    <w:name w:val="fontstyle51"/>
    <w:basedOn w:val="DefaultParagraphFont"/>
    <w:rsid w:val="006E0641"/>
    <w:rPr>
      <w:rFonts w:ascii="CMR6" w:hAnsi="CMR6" w:hint="default"/>
      <w:b w:val="0"/>
      <w:bCs w:val="0"/>
      <w:i w:val="0"/>
      <w:iCs w:val="0"/>
      <w:color w:val="000000"/>
      <w:sz w:val="12"/>
      <w:szCs w:val="12"/>
    </w:rPr>
  </w:style>
  <w:style w:type="character" w:customStyle="1" w:styleId="fontstyle61">
    <w:name w:val="fontstyle61"/>
    <w:basedOn w:val="DefaultParagraphFont"/>
    <w:rsid w:val="006E0641"/>
    <w:rPr>
      <w:rFonts w:ascii="CMSY10" w:hAnsi="CMSY10" w:hint="default"/>
      <w:b w:val="0"/>
      <w:bCs w:val="0"/>
      <w:i/>
      <w:iCs/>
      <w:color w:val="000000"/>
      <w:sz w:val="22"/>
      <w:szCs w:val="22"/>
    </w:rPr>
  </w:style>
  <w:style w:type="character" w:styleId="FollowedHyperlink">
    <w:name w:val="FollowedHyperlink"/>
    <w:basedOn w:val="DefaultParagraphFont"/>
    <w:uiPriority w:val="99"/>
    <w:semiHidden/>
    <w:unhideWhenUsed/>
    <w:rsid w:val="00D74E34"/>
    <w:rPr>
      <w:color w:val="954F72" w:themeColor="followedHyperlink"/>
      <w:u w:val="single"/>
    </w:rPr>
  </w:style>
  <w:style w:type="paragraph" w:styleId="Header">
    <w:name w:val="header"/>
    <w:basedOn w:val="Normal"/>
    <w:link w:val="HeaderChar"/>
    <w:uiPriority w:val="99"/>
    <w:rsid w:val="00596BB9"/>
    <w:pPr>
      <w:numPr>
        <w:numId w:val="3"/>
      </w:num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HeaderChar">
    <w:name w:val="Header Char"/>
    <w:basedOn w:val="DefaultParagraphFont"/>
    <w:link w:val="Header"/>
    <w:uiPriority w:val="99"/>
    <w:rsid w:val="00596BB9"/>
    <w:rPr>
      <w:rFonts w:ascii="Times New Roman" w:eastAsia="Times New Roman" w:hAnsi="Times New Roman" w:cs="Times New Roman"/>
      <w:sz w:val="24"/>
      <w:szCs w:val="24"/>
      <w:lang w:val="es-ES" w:eastAsia="es-ES"/>
    </w:rPr>
  </w:style>
  <w:style w:type="paragraph" w:styleId="BodyTextIndent">
    <w:name w:val="Body Text Indent"/>
    <w:basedOn w:val="Normal"/>
    <w:link w:val="BodyTextIndentChar"/>
    <w:uiPriority w:val="99"/>
    <w:rsid w:val="00596BB9"/>
    <w:pPr>
      <w:numPr>
        <w:ilvl w:val="1"/>
        <w:numId w:val="3"/>
      </w:numPr>
      <w:spacing w:after="120" w:line="240" w:lineRule="auto"/>
    </w:pPr>
    <w:rPr>
      <w:rFonts w:ascii="Times New Roman" w:eastAsia="Times New Roman" w:hAnsi="Times New Roman" w:cs="Times New Roman"/>
      <w:sz w:val="24"/>
      <w:szCs w:val="20"/>
      <w:lang w:val="es-ES_tradnl"/>
    </w:rPr>
  </w:style>
  <w:style w:type="character" w:customStyle="1" w:styleId="BodyTextIndentChar">
    <w:name w:val="Body Text Indent Char"/>
    <w:basedOn w:val="DefaultParagraphFont"/>
    <w:link w:val="BodyTextIndent"/>
    <w:uiPriority w:val="99"/>
    <w:rsid w:val="00596BB9"/>
    <w:rPr>
      <w:rFonts w:ascii="Times New Roman" w:eastAsia="Times New Roman" w:hAnsi="Times New Roman" w:cs="Times New Roman"/>
      <w:sz w:val="24"/>
      <w:szCs w:val="20"/>
      <w:lang w:val="es-ES_tradnl"/>
    </w:rPr>
  </w:style>
  <w:style w:type="paragraph" w:styleId="BodyTextIndent2">
    <w:name w:val="Body Text Indent 2"/>
    <w:basedOn w:val="Normal"/>
    <w:link w:val="BodyTextIndent2Char"/>
    <w:rsid w:val="00596BB9"/>
    <w:pPr>
      <w:numPr>
        <w:ilvl w:val="2"/>
        <w:numId w:val="3"/>
      </w:numPr>
      <w:spacing w:after="0" w:line="240" w:lineRule="auto"/>
    </w:pPr>
    <w:rPr>
      <w:rFonts w:ascii="Times New Roman" w:eastAsia="Times New Roman" w:hAnsi="Times New Roman" w:cs="Times New Roman"/>
      <w:sz w:val="24"/>
      <w:szCs w:val="20"/>
      <w:lang w:val="es-ES_tradnl"/>
    </w:rPr>
  </w:style>
  <w:style w:type="character" w:customStyle="1" w:styleId="BodyTextIndent2Char">
    <w:name w:val="Body Text Indent 2 Char"/>
    <w:basedOn w:val="DefaultParagraphFont"/>
    <w:link w:val="BodyTextIndent2"/>
    <w:rsid w:val="00596BB9"/>
    <w:rPr>
      <w:rFonts w:ascii="Times New Roman" w:eastAsia="Times New Roman" w:hAnsi="Times New Roman" w:cs="Times New Roman"/>
      <w:sz w:val="24"/>
      <w:szCs w:val="20"/>
      <w:lang w:val="es-ES_tradnl"/>
    </w:rPr>
  </w:style>
  <w:style w:type="paragraph" w:customStyle="1" w:styleId="Paragraph">
    <w:name w:val="Paragraph"/>
    <w:aliases w:val="paragraph,p,PARAGRAPH,PG,pa,at"/>
    <w:basedOn w:val="BodyTextIndent"/>
    <w:link w:val="ParagraphChar"/>
    <w:qFormat/>
    <w:rsid w:val="00596BB9"/>
    <w:pPr>
      <w:tabs>
        <w:tab w:val="num" w:pos="720"/>
      </w:tabs>
      <w:spacing w:before="120"/>
      <w:ind w:left="720" w:hanging="720"/>
      <w:jc w:val="both"/>
      <w:outlineLvl w:val="1"/>
    </w:pPr>
    <w:rPr>
      <w:lang w:eastAsia="es-PE"/>
    </w:rPr>
  </w:style>
  <w:style w:type="character" w:customStyle="1" w:styleId="ParagraphChar">
    <w:name w:val="Paragraph Char"/>
    <w:aliases w:val="p Char,PARAGRAPH Char,PG Char,pa Char,at Char,paragraph Char"/>
    <w:link w:val="Paragraph"/>
    <w:rsid w:val="00596BB9"/>
    <w:rPr>
      <w:rFonts w:ascii="Times New Roman" w:eastAsia="Times New Roman" w:hAnsi="Times New Roman" w:cs="Times New Roman"/>
      <w:sz w:val="24"/>
      <w:szCs w:val="20"/>
      <w:lang w:val="es-ES_tradnl" w:eastAsia="es-PE"/>
    </w:rPr>
  </w:style>
  <w:style w:type="paragraph" w:styleId="Footer">
    <w:name w:val="footer"/>
    <w:basedOn w:val="Normal"/>
    <w:link w:val="FooterChar"/>
    <w:uiPriority w:val="99"/>
    <w:unhideWhenUsed/>
    <w:rsid w:val="005C1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88778">
      <w:bodyDiv w:val="1"/>
      <w:marLeft w:val="0"/>
      <w:marRight w:val="0"/>
      <w:marTop w:val="0"/>
      <w:marBottom w:val="0"/>
      <w:divBdr>
        <w:top w:val="none" w:sz="0" w:space="0" w:color="auto"/>
        <w:left w:val="none" w:sz="0" w:space="0" w:color="auto"/>
        <w:bottom w:val="none" w:sz="0" w:space="0" w:color="auto"/>
        <w:right w:val="none" w:sz="0" w:space="0" w:color="auto"/>
      </w:divBdr>
    </w:div>
    <w:div w:id="362247410">
      <w:bodyDiv w:val="1"/>
      <w:marLeft w:val="0"/>
      <w:marRight w:val="0"/>
      <w:marTop w:val="0"/>
      <w:marBottom w:val="0"/>
      <w:divBdr>
        <w:top w:val="none" w:sz="0" w:space="0" w:color="auto"/>
        <w:left w:val="none" w:sz="0" w:space="0" w:color="auto"/>
        <w:bottom w:val="none" w:sz="0" w:space="0" w:color="auto"/>
        <w:right w:val="none" w:sz="0" w:space="0" w:color="auto"/>
      </w:divBdr>
    </w:div>
    <w:div w:id="499809168">
      <w:bodyDiv w:val="1"/>
      <w:marLeft w:val="0"/>
      <w:marRight w:val="0"/>
      <w:marTop w:val="0"/>
      <w:marBottom w:val="0"/>
      <w:divBdr>
        <w:top w:val="none" w:sz="0" w:space="0" w:color="auto"/>
        <w:left w:val="none" w:sz="0" w:space="0" w:color="auto"/>
        <w:bottom w:val="none" w:sz="0" w:space="0" w:color="auto"/>
        <w:right w:val="none" w:sz="0" w:space="0" w:color="auto"/>
      </w:divBdr>
    </w:div>
    <w:div w:id="667828058">
      <w:bodyDiv w:val="1"/>
      <w:marLeft w:val="0"/>
      <w:marRight w:val="0"/>
      <w:marTop w:val="0"/>
      <w:marBottom w:val="0"/>
      <w:divBdr>
        <w:top w:val="none" w:sz="0" w:space="0" w:color="auto"/>
        <w:left w:val="none" w:sz="0" w:space="0" w:color="auto"/>
        <w:bottom w:val="none" w:sz="0" w:space="0" w:color="auto"/>
        <w:right w:val="none" w:sz="0" w:space="0" w:color="auto"/>
      </w:divBdr>
    </w:div>
    <w:div w:id="1698046815">
      <w:bodyDiv w:val="1"/>
      <w:marLeft w:val="0"/>
      <w:marRight w:val="0"/>
      <w:marTop w:val="0"/>
      <w:marBottom w:val="0"/>
      <w:divBdr>
        <w:top w:val="none" w:sz="0" w:space="0" w:color="auto"/>
        <w:left w:val="none" w:sz="0" w:space="0" w:color="auto"/>
        <w:bottom w:val="none" w:sz="0" w:space="0" w:color="auto"/>
        <w:right w:val="none" w:sz="0" w:space="0" w:color="auto"/>
      </w:divBdr>
    </w:div>
    <w:div w:id="1811359580">
      <w:bodyDiv w:val="1"/>
      <w:marLeft w:val="0"/>
      <w:marRight w:val="0"/>
      <w:marTop w:val="0"/>
      <w:marBottom w:val="0"/>
      <w:divBdr>
        <w:top w:val="none" w:sz="0" w:space="0" w:color="auto"/>
        <w:left w:val="none" w:sz="0" w:space="0" w:color="auto"/>
        <w:bottom w:val="none" w:sz="0" w:space="0" w:color="auto"/>
        <w:right w:val="none" w:sz="0" w:space="0" w:color="auto"/>
      </w:divBdr>
    </w:div>
    <w:div w:id="1961112386">
      <w:bodyDiv w:val="1"/>
      <w:marLeft w:val="0"/>
      <w:marRight w:val="0"/>
      <w:marTop w:val="0"/>
      <w:marBottom w:val="0"/>
      <w:divBdr>
        <w:top w:val="none" w:sz="0" w:space="0" w:color="auto"/>
        <w:left w:val="none" w:sz="0" w:space="0" w:color="auto"/>
        <w:bottom w:val="none" w:sz="0" w:space="0" w:color="auto"/>
        <w:right w:val="none" w:sz="0" w:space="0" w:color="auto"/>
      </w:divBdr>
    </w:div>
    <w:div w:id="212804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2.emf"/><Relationship Id="rId26" Type="http://schemas.openxmlformats.org/officeDocument/2006/relationships/image" Target="media/image10.emf"/><Relationship Id="rId39" Type="http://schemas.openxmlformats.org/officeDocument/2006/relationships/image" Target="media/image17.emf"/><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image" Target="media/image12.emf"/><Relationship Id="rId42"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vtpi.org/tranben.pdf" TargetMode="External"/><Relationship Id="rId25" Type="http://schemas.openxmlformats.org/officeDocument/2006/relationships/image" Target="media/image9.emf"/><Relationship Id="rId33" Type="http://schemas.openxmlformats.org/officeDocument/2006/relationships/hyperlink" Target="https://academic.oup.com/jeea/article-abstract/16/3/894/4430618" TargetMode="External"/><Relationship Id="rId38" Type="http://schemas.openxmlformats.org/officeDocument/2006/relationships/image" Target="media/image16.emf"/><Relationship Id="rId2" Type="http://schemas.openxmlformats.org/officeDocument/2006/relationships/customXml" Target="../customXml/item2.xml"/><Relationship Id="rId16" Type="http://schemas.openxmlformats.org/officeDocument/2006/relationships/hyperlink" Target="https://www.researchgate.net/profile/Todd_Litman/publication/235360398_Transportation_Cost_and_Benefit_Analysis_Techniques_Estimates_and_Implications/links/544a94ca0cf2d6347f401152.pdf" TargetMode="External"/><Relationship Id="rId20" Type="http://schemas.openxmlformats.org/officeDocument/2006/relationships/image" Target="media/image4.png"/><Relationship Id="rId29" Type="http://schemas.openxmlformats.org/officeDocument/2006/relationships/hyperlink" Target="https://www.aacademica.org/agustin.salvia/324.pdf" TargetMode="External"/><Relationship Id="rId41"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8.png"/><Relationship Id="rId32" Type="http://schemas.openxmlformats.org/officeDocument/2006/relationships/hyperlink" Target="https://www.aacademica.org/agustin.salvia/324.pdf" TargetMode="External"/><Relationship Id="rId37" Type="http://schemas.openxmlformats.org/officeDocument/2006/relationships/image" Target="media/image15.emf"/><Relationship Id="rId40" Type="http://schemas.openxmlformats.org/officeDocument/2006/relationships/image" Target="media/image18.png"/><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cielo.conicyt.cl/scielo.php?pid=S0718-88702017000200065&amp;script=sci_arttext" TargetMode="External"/><Relationship Id="rId23" Type="http://schemas.openxmlformats.org/officeDocument/2006/relationships/image" Target="media/image7.png"/><Relationship Id="rId28" Type="http://schemas.openxmlformats.org/officeDocument/2006/relationships/hyperlink" Target="https://www.aacademica.org/agustin.salvia/324.pdf" TargetMode="External"/><Relationship Id="rId36" Type="http://schemas.openxmlformats.org/officeDocument/2006/relationships/image" Target="media/image14.emf"/><Relationship Id="rId10" Type="http://schemas.openxmlformats.org/officeDocument/2006/relationships/settings" Target="settings.xml"/><Relationship Id="rId19" Type="http://schemas.openxmlformats.org/officeDocument/2006/relationships/image" Target="media/image3.png"/><Relationship Id="rId31" Type="http://schemas.openxmlformats.org/officeDocument/2006/relationships/image" Target="media/image11.e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6.png"/><Relationship Id="rId27" Type="http://schemas.openxmlformats.org/officeDocument/2006/relationships/hyperlink" Target="https://eric.ed.gov/?id=ED431870" TargetMode="External"/><Relationship Id="rId30" Type="http://schemas.openxmlformats.org/officeDocument/2006/relationships/hyperlink" Target="https://www.aacademica.org/agustin.salvia/324.pdf" TargetMode="External"/><Relationship Id="rId35" Type="http://schemas.openxmlformats.org/officeDocument/2006/relationships/image" Target="media/image13.emf"/><Relationship Id="rId43"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ilo.org/wcmsp5/groups/public/---dgreports/---inst/documents/publication/wcms_577292.pdf" TargetMode="External"/><Relationship Id="rId2" Type="http://schemas.openxmlformats.org/officeDocument/2006/relationships/hyperlink" Target="https://www.jstor.org/stable/1937919?casa_token=QrVCKwLrgK0AAAAA:_MqYlMc4WgDNxjBdPr91BT9v5HGvTjCeDyDrHLBRHeHL4dBMNhKSvQFnrXiXa_b-1SF9LImedw_czGmJGfIGRAatxYrK_zFPm0PhP9DT5BUo8hFfCxRY&amp;seq=1" TargetMode="External"/><Relationship Id="rId1" Type="http://schemas.openxmlformats.org/officeDocument/2006/relationships/hyperlink" Target="https://www.degruyter.com/view/j/jbca.2012.3.issue-1/2152-2812.1085/2152-2812.1085.xml" TargetMode="External"/><Relationship Id="rId4" Type="http://schemas.openxmlformats.org/officeDocument/2006/relationships/hyperlink" Target="https://www.cambridge.org/core/journals/journal-of-benefit-cost-analysis/article/a-cost-benefit-framework-for-evaluating-conditional-cash-transfer-programs/78E80785743000CA762A92AC00E19B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566E56D4F40944D9B559334B536BA88" ma:contentTypeVersion="2994" ma:contentTypeDescription="A content type to manage public (operations) IDB documents" ma:contentTypeScope="" ma:versionID="5f6c10efb3a19593ae94d752d8be5c3c">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41</Value>
      <Value>5</Value>
      <Value>1</Value>
      <Value>308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AR-L1309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R0002819631</Record_x0020_Number>
    <_dlc_DocId xmlns="cdc7663a-08f0-4737-9e8c-148ce897a09c">EZSHARE-363285188-11</_dlc_DocId>
    <_dlc_DocIdUrl xmlns="cdc7663a-08f0-4737-9e8c-148ce897a09c">
      <Url>https://idbg.sharepoint.com/teams/EZ-AR-LON/AR-L1309/_layouts/15/DocIdRedir.aspx?ID=EZSHARE-363285188-11</Url>
      <Description>EZSHARE-363285188-11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C0CF9-4150-44A5-A815-654FC64E8FBD}"/>
</file>

<file path=customXml/itemProps2.xml><?xml version="1.0" encoding="utf-8"?>
<ds:datastoreItem xmlns:ds="http://schemas.openxmlformats.org/officeDocument/2006/customXml" ds:itemID="{D5489965-A003-4F52-B61E-C22FFBBD16FA}">
  <ds:schemaRefs>
    <ds:schemaRef ds:uri="http://schemas.microsoft.com/sharepoint/v3/contenttype/forms"/>
  </ds:schemaRefs>
</ds:datastoreItem>
</file>

<file path=customXml/itemProps3.xml><?xml version="1.0" encoding="utf-8"?>
<ds:datastoreItem xmlns:ds="http://schemas.openxmlformats.org/officeDocument/2006/customXml" ds:itemID="{C4AB2865-4967-4CF3-B785-55D68797D20C}"/>
</file>

<file path=customXml/itemProps4.xml><?xml version="1.0" encoding="utf-8"?>
<ds:datastoreItem xmlns:ds="http://schemas.openxmlformats.org/officeDocument/2006/customXml" ds:itemID="{3281CD9F-E473-4B13-B047-367750A271B5}"/>
</file>

<file path=customXml/itemProps5.xml><?xml version="1.0" encoding="utf-8"?>
<ds:datastoreItem xmlns:ds="http://schemas.openxmlformats.org/officeDocument/2006/customXml" ds:itemID="{9B3B1F98-7F9D-4CC8-9496-532261A61EF6}">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8EF30AC6-B60D-4F83-AF7E-A6AF704DCED9}">
  <ds:schemaRefs>
    <ds:schemaRef ds:uri="http://schemas.microsoft.com/sharepoint/events"/>
  </ds:schemaRefs>
</ds:datastoreItem>
</file>

<file path=customXml/itemProps7.xml><?xml version="1.0" encoding="utf-8"?>
<ds:datastoreItem xmlns:ds="http://schemas.openxmlformats.org/officeDocument/2006/customXml" ds:itemID="{3243303C-1DA8-445D-95FC-236E3403F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22</Pages>
  <Words>6078</Words>
  <Characters>34407</Characters>
  <Application>Microsoft Office Word</Application>
  <DocSecurity>0</DocSecurity>
  <Lines>905</Lines>
  <Paragraphs>449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dc:creator>
  <cp:keywords/>
  <dc:description/>
  <cp:lastModifiedBy>Silveira, Sheyla</cp:lastModifiedBy>
  <cp:revision>4</cp:revision>
  <dcterms:created xsi:type="dcterms:W3CDTF">2019-04-09T14:04:00Z</dcterms:created>
  <dcterms:modified xsi:type="dcterms:W3CDTF">2019-04-09T14:18:00Z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308;#POVERTY ALLEVIATION|c99b9e13-7d25-4ef5-800d-099d9545c397</vt:lpwstr>
  </property>
  <property fmtid="{D5CDD505-2E9C-101B-9397-08002B2CF9AE}" pid="6" name="Fund IDB">
    <vt:lpwstr/>
  </property>
  <property fmtid="{D5CDD505-2E9C-101B-9397-08002B2CF9AE}" pid="7" name="Country">
    <vt:lpwstr>5;#Argentina|eb1b705c-195f-4c3b-9661-b201f2fee3c5</vt:lpwstr>
  </property>
  <property fmtid="{D5CDD505-2E9C-101B-9397-08002B2CF9AE}" pid="8" name="Sector IDB">
    <vt:lpwstr>41;#SOCIAL INVESTMENT|3f908695-d5b5-49f6-941f-76876b39564f</vt:lpwstr>
  </property>
  <property fmtid="{D5CDD505-2E9C-101B-9397-08002B2CF9AE}" pid="9" name="Function Operations IDB">
    <vt:lpwstr>1;#Project Preparation, Planning and Design|29ca0c72-1fc4-435f-a09c-28585cb5eac9</vt:lpwstr>
  </property>
  <property fmtid="{D5CDD505-2E9C-101B-9397-08002B2CF9AE}" pid="10" name="_dlc_DocIdItemGuid">
    <vt:lpwstr>e75e6c8c-f534-47c8-9e9b-580634bf6eb2</vt:lpwstr>
  </property>
  <property fmtid="{D5CDD505-2E9C-101B-9397-08002B2CF9AE}" pid="11" name="Disclosure Activity">
    <vt:lpwstr>Loan Proposal</vt:lpwstr>
  </property>
  <property fmtid="{D5CDD505-2E9C-101B-9397-08002B2CF9AE}" pid="18" name="Disclosed">
    <vt:bool>false</vt:bool>
  </property>
  <property fmtid="{D5CDD505-2E9C-101B-9397-08002B2CF9AE}" pid="19" name="ContentTypeId">
    <vt:lpwstr>0x0101001A458A224826124E8B45B1D613300CFC002566E56D4F40944D9B559334B536BA88</vt:lpwstr>
  </property>
</Properties>
</file>