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578E3" w:rsidR="00F77237" w:rsidP="00876910" w:rsidRDefault="003B1A28" w14:paraId="73A3EFD9" w14:textId="0BD93319">
      <w:pPr>
        <w:pStyle w:val="Heading1"/>
        <w:jc w:val="center"/>
        <w:rPr>
          <w:rFonts w:ascii="Arial" w:hAnsi="Arial" w:cs="Arial"/>
          <w:b/>
          <w:smallCaps/>
          <w:sz w:val="24"/>
          <w:szCs w:val="24"/>
          <w:lang w:val="es-ES_tradnl"/>
        </w:rPr>
      </w:pPr>
      <w:r w:rsidRPr="006578E3">
        <w:rPr>
          <w:rFonts w:ascii="Arial" w:hAnsi="Arial" w:cs="Arial"/>
          <w:b/>
          <w:smallCaps/>
          <w:sz w:val="24"/>
          <w:szCs w:val="24"/>
          <w:lang w:val="es-ES_tradnl"/>
        </w:rPr>
        <w:t xml:space="preserve">Cambio </w:t>
      </w:r>
      <w:r w:rsidRPr="006578E3" w:rsidR="007E77F3">
        <w:rPr>
          <w:rFonts w:ascii="Arial" w:hAnsi="Arial" w:cs="Arial"/>
          <w:b/>
          <w:smallCaps/>
          <w:sz w:val="24"/>
          <w:szCs w:val="24"/>
          <w:lang w:val="es-ES_tradnl"/>
        </w:rPr>
        <w:t>Climático</w:t>
      </w:r>
    </w:p>
    <w:p w:rsidRPr="009172F2" w:rsidR="00511F16" w:rsidP="00511F16" w:rsidRDefault="00511F16" w14:paraId="5FA4ACD8" w14:textId="77777777">
      <w:pPr>
        <w:rPr>
          <w:rFonts w:ascii="Arial" w:hAnsi="Arial" w:cs="Arial"/>
          <w:lang w:val="es-ES_tradnl"/>
        </w:rPr>
      </w:pPr>
    </w:p>
    <w:p w:rsidRPr="009172F2" w:rsidR="00EC4F48" w:rsidP="00876910" w:rsidRDefault="00EC4F48" w14:paraId="320B7621" w14:textId="77777777">
      <w:pPr>
        <w:jc w:val="both"/>
        <w:rPr>
          <w:rFonts w:ascii="Arial" w:hAnsi="Arial" w:cs="Arial"/>
          <w:lang w:val="es-ES_tradnl"/>
        </w:rPr>
      </w:pPr>
      <w:r w:rsidRPr="009172F2">
        <w:rPr>
          <w:rFonts w:ascii="Arial" w:hAnsi="Arial" w:cs="Arial"/>
          <w:lang w:val="es-ES_tradnl"/>
        </w:rPr>
        <w:t>A partir del cambio de gobierno a fines de 2015, la temática de cambio climático fue reconocida como una dimensión estratégica, con un fuerte apoyo político, reflejado a través de la creación del Ministerio de Ambiente y Desarrollo Sustentable.</w:t>
      </w:r>
    </w:p>
    <w:p w:rsidRPr="009172F2" w:rsidR="00EC4F48" w:rsidP="00876910" w:rsidRDefault="00EC4F48" w14:paraId="7CBF9718" w14:textId="77777777">
      <w:pPr>
        <w:jc w:val="both"/>
        <w:rPr>
          <w:rFonts w:ascii="Arial" w:hAnsi="Arial" w:cs="Arial"/>
          <w:lang w:val="es-ES_tradnl"/>
        </w:rPr>
      </w:pPr>
      <w:r w:rsidRPr="009172F2">
        <w:rPr>
          <w:rFonts w:ascii="Arial" w:hAnsi="Arial" w:cs="Arial"/>
          <w:lang w:val="es-ES_tradnl"/>
        </w:rPr>
        <w:t xml:space="preserve">Dada su naturaleza transversal, en marzo de entró en funciones el Gabinete Nacional de Cambio Climático (Decreto 891/2016), un órgano cuyo objetivo es fomentar la “participación, revisión y validación política del más alto nivel para definir las medidas sobre las que se construye la Contribución Determinada a nivel Nacional” (CDN por sus siglas en ingles). La CDN representando el compromiso de Argentina ante el Acuerdo de Paris. </w:t>
      </w:r>
    </w:p>
    <w:p w:rsidRPr="009172F2" w:rsidR="00B14420" w:rsidP="00876910" w:rsidRDefault="00B14420" w14:paraId="5D145C04" w14:textId="77777777">
      <w:pPr>
        <w:jc w:val="both"/>
        <w:rPr>
          <w:rFonts w:ascii="Arial" w:hAnsi="Arial" w:cs="Arial"/>
          <w:lang w:val="es-ES_tradnl"/>
        </w:rPr>
      </w:pPr>
      <w:r w:rsidRPr="009172F2">
        <w:rPr>
          <w:rFonts w:ascii="Arial" w:hAnsi="Arial" w:cs="Arial"/>
          <w:lang w:val="es-ES_tradnl"/>
        </w:rPr>
        <w:t>Este anexo busca describir el</w:t>
      </w:r>
      <w:r w:rsidRPr="009172F2" w:rsidR="001D7DFF">
        <w:rPr>
          <w:rFonts w:ascii="Arial" w:hAnsi="Arial" w:cs="Arial"/>
          <w:lang w:val="es-ES_tradnl"/>
        </w:rPr>
        <w:t xml:space="preserve"> potencial de cambio climático de </w:t>
      </w:r>
      <w:r w:rsidRPr="009172F2">
        <w:rPr>
          <w:rFonts w:ascii="Arial" w:hAnsi="Arial" w:cs="Arial"/>
          <w:lang w:val="es-ES_tradnl"/>
        </w:rPr>
        <w:t xml:space="preserve">la operación </w:t>
      </w:r>
      <w:r w:rsidRPr="009172F2" w:rsidR="001D7DFF">
        <w:rPr>
          <w:rFonts w:ascii="Arial" w:hAnsi="Arial" w:cs="Arial"/>
          <w:lang w:val="es-ES_tradnl"/>
        </w:rPr>
        <w:t xml:space="preserve">AR-L1302 dadas </w:t>
      </w:r>
      <w:r w:rsidRPr="009172F2" w:rsidR="00EC4A74">
        <w:rPr>
          <w:rFonts w:ascii="Arial" w:hAnsi="Arial" w:cs="Arial"/>
          <w:lang w:val="es-ES_tradnl"/>
        </w:rPr>
        <w:t>las oportunidades de mitigación y adaptación</w:t>
      </w:r>
      <w:r w:rsidRPr="009172F2" w:rsidR="001D7DFF">
        <w:rPr>
          <w:rFonts w:ascii="Arial" w:hAnsi="Arial" w:cs="Arial"/>
          <w:lang w:val="es-ES_tradnl"/>
        </w:rPr>
        <w:t xml:space="preserve"> que se identificación en la implementación. </w:t>
      </w:r>
    </w:p>
    <w:p w:rsidRPr="009172F2" w:rsidR="003B1A28" w:rsidP="00057775" w:rsidRDefault="00564838" w14:paraId="711AFFA9" w14:textId="77777777">
      <w:pPr>
        <w:pStyle w:val="Heading2"/>
        <w:rPr>
          <w:rFonts w:ascii="Arial" w:hAnsi="Arial" w:cs="Arial"/>
          <w:sz w:val="22"/>
          <w:szCs w:val="22"/>
        </w:rPr>
      </w:pPr>
      <w:r w:rsidRPr="009172F2">
        <w:rPr>
          <w:rStyle w:val="Hyperlink"/>
          <w:rFonts w:ascii="Arial" w:hAnsi="Arial" w:cs="Arial"/>
          <w:color w:val="2F5496" w:themeColor="accent1" w:themeShade="BF"/>
          <w:sz w:val="22"/>
          <w:szCs w:val="22"/>
          <w:u w:val="none"/>
        </w:rPr>
        <w:t xml:space="preserve">La Contribución Determinada a Nivel Nacional de </w:t>
      </w:r>
      <w:r w:rsidRPr="009172F2" w:rsidR="001D7DFF">
        <w:rPr>
          <w:rStyle w:val="Hyperlink"/>
          <w:rFonts w:ascii="Arial" w:hAnsi="Arial" w:cs="Arial"/>
          <w:color w:val="2F5496" w:themeColor="accent1" w:themeShade="BF"/>
          <w:sz w:val="22"/>
          <w:szCs w:val="22"/>
          <w:u w:val="none"/>
        </w:rPr>
        <w:t>Argentina</w:t>
      </w:r>
      <w:r w:rsidRPr="009172F2" w:rsidR="00EC4F48">
        <w:rPr>
          <w:rStyle w:val="Hyperlink"/>
          <w:rFonts w:ascii="Arial" w:hAnsi="Arial" w:cs="Arial"/>
          <w:color w:val="2F5496" w:themeColor="accent1" w:themeShade="BF"/>
          <w:sz w:val="22"/>
          <w:szCs w:val="22"/>
          <w:u w:val="none"/>
        </w:rPr>
        <w:t xml:space="preserve"> (CDN)</w:t>
      </w:r>
    </w:p>
    <w:p w:rsidRPr="009172F2" w:rsidR="00EC4F48" w:rsidP="00876910" w:rsidRDefault="00EC4F48" w14:paraId="33CEDA0D" w14:textId="77777777">
      <w:pPr>
        <w:jc w:val="both"/>
        <w:rPr>
          <w:rFonts w:ascii="Arial" w:hAnsi="Arial" w:cs="Arial"/>
          <w:lang w:val="es-ES_tradnl"/>
        </w:rPr>
      </w:pPr>
      <w:r w:rsidRPr="009172F2">
        <w:rPr>
          <w:rFonts w:ascii="Arial" w:hAnsi="Arial" w:cs="Arial"/>
          <w:lang w:val="es-ES_tradnl"/>
        </w:rPr>
        <w:t xml:space="preserve">La </w:t>
      </w:r>
      <w:hyperlink w:history="1" r:id="rId14">
        <w:r w:rsidRPr="009172F2">
          <w:rPr>
            <w:rStyle w:val="Hyperlink"/>
            <w:rFonts w:ascii="Arial" w:hAnsi="Arial" w:cs="Arial"/>
            <w:lang w:val="es-ES_tradnl"/>
          </w:rPr>
          <w:t>CDN</w:t>
        </w:r>
      </w:hyperlink>
      <w:r w:rsidRPr="009172F2">
        <w:rPr>
          <w:rFonts w:ascii="Arial" w:hAnsi="Arial" w:cs="Arial"/>
          <w:lang w:val="es-ES_tradnl"/>
        </w:rPr>
        <w:t xml:space="preserve"> incorpora los resultados de la revisión realizada a las medidas de l</w:t>
      </w:r>
      <w:r w:rsidRPr="009172F2" w:rsidR="00057775">
        <w:rPr>
          <w:rFonts w:ascii="Arial" w:hAnsi="Arial" w:cs="Arial"/>
          <w:lang w:val="es-ES_tradnl"/>
        </w:rPr>
        <w:t>a</w:t>
      </w:r>
      <w:r w:rsidRPr="009172F2">
        <w:rPr>
          <w:rFonts w:ascii="Arial" w:hAnsi="Arial" w:cs="Arial"/>
          <w:lang w:val="es-ES_tradnl"/>
        </w:rPr>
        <w:t xml:space="preserve"> contribución nacional, así como los datos del Segundo Reporte Bienal de Actualización del inventario de GEI (BUR por sus siglas en inglés) al año 2014, </w:t>
      </w:r>
      <w:r w:rsidRPr="009172F2" w:rsidR="00057775">
        <w:rPr>
          <w:rFonts w:ascii="Arial" w:hAnsi="Arial" w:cs="Arial"/>
          <w:lang w:val="es-ES_tradnl"/>
        </w:rPr>
        <w:t>contando con mejoras metodológicas (</w:t>
      </w:r>
      <w:r w:rsidRPr="009172F2">
        <w:rPr>
          <w:rFonts w:ascii="Arial" w:hAnsi="Arial" w:cs="Arial"/>
          <w:lang w:val="es-ES_tradnl"/>
        </w:rPr>
        <w:t>entre otras, las particularidades propias de las prácticas agrícolas utilizadas en la Argentina</w:t>
      </w:r>
      <w:r w:rsidRPr="009172F2" w:rsidR="00057775">
        <w:rPr>
          <w:rFonts w:ascii="Arial" w:hAnsi="Arial" w:cs="Arial"/>
          <w:lang w:val="es-ES_tradnl"/>
        </w:rPr>
        <w:t>)</w:t>
      </w:r>
      <w:r w:rsidRPr="009172F2">
        <w:rPr>
          <w:rFonts w:ascii="Arial" w:hAnsi="Arial" w:cs="Arial"/>
          <w:lang w:val="es-ES_tradnl"/>
        </w:rPr>
        <w:t>.</w:t>
      </w:r>
    </w:p>
    <w:p w:rsidRPr="009172F2" w:rsidR="00D219B1" w:rsidP="00876910" w:rsidRDefault="00EC4F48" w14:paraId="218FEEAE" w14:textId="77777777">
      <w:pPr>
        <w:jc w:val="both"/>
        <w:rPr>
          <w:rFonts w:ascii="Arial" w:hAnsi="Arial" w:cs="Arial"/>
        </w:rPr>
      </w:pPr>
      <w:r w:rsidRPr="009172F2">
        <w:rPr>
          <w:rFonts w:ascii="Arial" w:hAnsi="Arial" w:cs="Arial"/>
        </w:rPr>
        <w:t>La meta no condicionada del país tiene por objetivo no exceder la emisión neta de 483 millones de toneladas de dióxido de carbono equivalente (tCO2eq) en el año 2030. Un hito que alcanzará a través de medidas de mitigación en los sectores de energía, agricultura, bosques, transporte, industria y residuos.</w:t>
      </w:r>
    </w:p>
    <w:p w:rsidRPr="009172F2" w:rsidR="00057775" w:rsidP="00876910" w:rsidRDefault="00057775" w14:paraId="29C44767" w14:textId="77777777">
      <w:pPr>
        <w:jc w:val="both"/>
        <w:rPr>
          <w:rFonts w:ascii="Arial" w:hAnsi="Arial" w:cs="Arial"/>
          <w:lang w:val="es-ES_tradnl"/>
        </w:rPr>
      </w:pPr>
      <w:r w:rsidRPr="009172F2">
        <w:rPr>
          <w:rFonts w:ascii="Arial" w:hAnsi="Arial" w:cs="Arial"/>
          <w:lang w:val="es-ES_tradnl"/>
        </w:rPr>
        <w:t xml:space="preserve">El compromiso del país en materia climática incluye transversalizar la temática, y en particular las oportunidades de incluir consideraciones de mitigación y adaptación al cambio climático de manera holística en cada uno de los sectores que permiten el crecimiento del país a nivel social y económico. </w:t>
      </w:r>
    </w:p>
    <w:p w:rsidRPr="009172F2" w:rsidR="00DF653A" w:rsidP="00876910" w:rsidRDefault="00EC4F48" w14:paraId="69F40B1D" w14:textId="77777777">
      <w:pPr>
        <w:pStyle w:val="Heading2"/>
        <w:jc w:val="both"/>
        <w:rPr>
          <w:rFonts w:ascii="Arial" w:hAnsi="Arial" w:cs="Arial"/>
          <w:sz w:val="22"/>
          <w:szCs w:val="22"/>
          <w:lang w:val="es-ES_tradnl"/>
        </w:rPr>
      </w:pPr>
      <w:r w:rsidRPr="009172F2">
        <w:rPr>
          <w:rFonts w:ascii="Arial" w:hAnsi="Arial" w:cs="Arial"/>
          <w:sz w:val="22"/>
          <w:szCs w:val="22"/>
          <w:lang w:val="es-ES_tradnl"/>
        </w:rPr>
        <w:t>AR-L130</w:t>
      </w:r>
      <w:r w:rsidRPr="009172F2" w:rsidR="00511F16">
        <w:rPr>
          <w:rFonts w:ascii="Arial" w:hAnsi="Arial" w:cs="Arial"/>
          <w:sz w:val="22"/>
          <w:szCs w:val="22"/>
          <w:lang w:val="es-ES_tradnl"/>
        </w:rPr>
        <w:t>9</w:t>
      </w:r>
    </w:p>
    <w:p w:rsidRPr="009172F2" w:rsidR="00DF653A" w:rsidP="00876910" w:rsidRDefault="00B41E86" w14:paraId="525B496D" w14:textId="77777777">
      <w:pPr>
        <w:jc w:val="both"/>
        <w:rPr>
          <w:rFonts w:ascii="Arial" w:hAnsi="Arial" w:cs="Arial"/>
          <w:lang w:val="es-ES_tradnl"/>
        </w:rPr>
      </w:pPr>
      <w:r w:rsidRPr="009172F2">
        <w:rPr>
          <w:rFonts w:ascii="Arial" w:hAnsi="Arial" w:cs="Arial"/>
        </w:rPr>
        <w:t>El Programa de apoyo a la equidad y efectividad del sistema de protección social en Argentina</w:t>
      </w:r>
      <w:r w:rsidRPr="009172F2">
        <w:rPr>
          <w:rFonts w:ascii="Arial" w:hAnsi="Arial" w:cs="Arial"/>
          <w:lang w:val="es-ES_tradnl"/>
        </w:rPr>
        <w:t xml:space="preserve"> (AR-L130</w:t>
      </w:r>
      <w:r w:rsidRPr="009172F2" w:rsidR="00511F16">
        <w:rPr>
          <w:rFonts w:ascii="Arial" w:hAnsi="Arial" w:cs="Arial"/>
          <w:lang w:val="es-ES_tradnl"/>
        </w:rPr>
        <w:t>9</w:t>
      </w:r>
      <w:r w:rsidRPr="009172F2">
        <w:rPr>
          <w:rFonts w:ascii="Arial" w:hAnsi="Arial" w:cs="Arial"/>
          <w:lang w:val="es-ES_tradnl"/>
        </w:rPr>
        <w:t>)</w:t>
      </w:r>
      <w:r w:rsidRPr="009172F2" w:rsidR="00844497">
        <w:rPr>
          <w:rFonts w:ascii="Arial" w:hAnsi="Arial" w:cs="Arial"/>
          <w:lang w:val="es-ES_tradnl"/>
        </w:rPr>
        <w:t xml:space="preserve"> es</w:t>
      </w:r>
      <w:r w:rsidRPr="009172F2" w:rsidR="00511F16">
        <w:rPr>
          <w:rFonts w:ascii="Arial" w:hAnsi="Arial" w:cs="Arial"/>
          <w:lang w:val="es-ES_tradnl"/>
        </w:rPr>
        <w:t xml:space="preserve"> la segunda fase del</w:t>
      </w:r>
      <w:r w:rsidRPr="009172F2" w:rsidR="00844497">
        <w:rPr>
          <w:rFonts w:ascii="Arial" w:hAnsi="Arial" w:cs="Arial"/>
          <w:lang w:val="es-ES_tradnl"/>
        </w:rPr>
        <w:t xml:space="preserve"> compromiso del BID </w:t>
      </w:r>
      <w:r w:rsidRPr="009172F2" w:rsidR="00511F16">
        <w:rPr>
          <w:rFonts w:ascii="Arial" w:hAnsi="Arial" w:cs="Arial"/>
          <w:lang w:val="es-ES_tradnl"/>
        </w:rPr>
        <w:t xml:space="preserve">con el país </w:t>
      </w:r>
      <w:r w:rsidRPr="009172F2" w:rsidR="00844497">
        <w:rPr>
          <w:rFonts w:ascii="Arial" w:hAnsi="Arial" w:cs="Arial"/>
          <w:lang w:val="es-ES_tradnl"/>
        </w:rPr>
        <w:t>para proteger el gasto social y promover la paridad de género, así como apoyar reformas pro-transparencia, eficiencia y crecimiento, en un contexto de crisis cambiaria y una situación macro fiscal compleja, con importantes nece</w:t>
      </w:r>
      <w:r w:rsidRPr="009172F2" w:rsidR="00A0519F">
        <w:rPr>
          <w:rFonts w:ascii="Arial" w:hAnsi="Arial" w:cs="Arial"/>
          <w:lang w:val="es-ES_tradnl"/>
        </w:rPr>
        <w:t>sidades de inversión.</w:t>
      </w:r>
    </w:p>
    <w:p w:rsidRPr="009172F2" w:rsidR="00511F16" w:rsidP="00876910" w:rsidRDefault="00A0519F" w14:paraId="131CB809" w14:textId="77777777">
      <w:pPr>
        <w:jc w:val="both"/>
        <w:rPr>
          <w:rFonts w:ascii="Arial" w:hAnsi="Arial" w:cs="Arial"/>
          <w:lang w:val="es-ES_tradnl"/>
        </w:rPr>
      </w:pPr>
      <w:r w:rsidRPr="009172F2">
        <w:rPr>
          <w:rFonts w:ascii="Arial" w:hAnsi="Arial" w:cs="Arial"/>
          <w:lang w:val="es-ES_tradnl"/>
        </w:rPr>
        <w:t>Las principales actividades que la operación estará apoyando son:</w:t>
      </w:r>
    </w:p>
    <w:p w:rsidRPr="009172F2" w:rsidR="00511F16" w:rsidP="00511F16" w:rsidRDefault="00511F16" w14:paraId="4FCCF827" w14:textId="77777777">
      <w:pPr>
        <w:pStyle w:val="ListParagraph"/>
        <w:numPr>
          <w:ilvl w:val="0"/>
          <w:numId w:val="7"/>
        </w:numPr>
        <w:jc w:val="both"/>
        <w:rPr>
          <w:rFonts w:ascii="Arial" w:hAnsi="Arial" w:cs="Arial"/>
          <w:lang w:val="es-ES_tradnl"/>
        </w:rPr>
      </w:pPr>
      <w:r w:rsidRPr="009172F2">
        <w:rPr>
          <w:rFonts w:ascii="Arial" w:hAnsi="Arial" w:cs="Arial"/>
          <w:lang w:val="es-ES_tradnl"/>
        </w:rPr>
        <w:t xml:space="preserve">El Componente 1: “Empleabilidad de beneficiarios de los programas de protección social” será ejecutado bajo la órbita del MSDS; el Componente 2: “Continuidad educativa de jóvenes de familias vulnerables” será ejecutado por el </w:t>
      </w:r>
      <w:proofErr w:type="spellStart"/>
      <w:r w:rsidRPr="009172F2">
        <w:rPr>
          <w:rFonts w:ascii="Arial" w:hAnsi="Arial" w:cs="Arial"/>
          <w:lang w:val="es-ES_tradnl"/>
        </w:rPr>
        <w:t>MECCyT</w:t>
      </w:r>
      <w:proofErr w:type="spellEnd"/>
      <w:r w:rsidRPr="009172F2">
        <w:rPr>
          <w:rFonts w:ascii="Arial" w:hAnsi="Arial" w:cs="Arial"/>
          <w:lang w:val="es-ES_tradnl"/>
        </w:rPr>
        <w:t xml:space="preserve">; y el Componente 3: “Accesibilidad al transporte público” lo ejecutará el MT de la Nación. </w:t>
      </w:r>
    </w:p>
    <w:p w:rsidRPr="009172F2" w:rsidR="00A0519F" w:rsidP="00511F16" w:rsidRDefault="00511F16" w14:paraId="0558C391" w14:textId="117C4EC7">
      <w:pPr>
        <w:pStyle w:val="ListParagraph"/>
        <w:numPr>
          <w:ilvl w:val="0"/>
          <w:numId w:val="7"/>
        </w:numPr>
        <w:jc w:val="both"/>
        <w:rPr>
          <w:rFonts w:ascii="Arial" w:hAnsi="Arial" w:cs="Arial"/>
          <w:lang w:val="es-ES_tradnl"/>
        </w:rPr>
      </w:pPr>
      <w:r w:rsidRPr="009172F2">
        <w:rPr>
          <w:rFonts w:ascii="Arial" w:hAnsi="Arial" w:cs="Arial"/>
          <w:lang w:val="es-ES_tradnl"/>
        </w:rPr>
        <w:t>En esta segunda fase los tres componentes tendrán una línea de apoyo que buscará fortalecer la gestión de la información de cada programa de protección social; y en el caso los componentes 1 y 3 contarán con un subcomponente que brindará apoyo financiero (transferencias) a diferentes beneficiarios y/o sujetos de derecho</w:t>
      </w:r>
      <w:r w:rsidR="009172F2">
        <w:rPr>
          <w:rFonts w:ascii="Arial" w:hAnsi="Arial" w:cs="Arial"/>
          <w:lang w:val="es-ES_tradnl"/>
        </w:rPr>
        <w:t>.</w:t>
      </w:r>
    </w:p>
    <w:p w:rsidRPr="009172F2" w:rsidR="00057775" w:rsidP="00876910" w:rsidRDefault="00057775" w14:paraId="39534B85" w14:textId="77777777">
      <w:pPr>
        <w:jc w:val="both"/>
        <w:rPr>
          <w:rFonts w:ascii="Arial" w:hAnsi="Arial" w:cs="Arial"/>
          <w:lang w:val="es-ES_tradnl"/>
        </w:rPr>
        <w:sectPr w:rsidRPr="009172F2" w:rsidR="00057775" w:rsidSect="00B9308F">
          <w:headerReference w:type="even" r:id="rId15"/>
          <w:headerReference w:type="default" r:id="rId16"/>
          <w:footerReference w:type="even" r:id="rId17"/>
          <w:footerReference w:type="default" r:id="rId18"/>
          <w:headerReference w:type="first" r:id="rId19"/>
          <w:footerReference w:type="first" r:id="rId20"/>
          <w:type w:val="continuous"/>
          <w:pgSz w:w="11906" w:h="16838" w:orient="portrait"/>
          <w:pgMar w:top="1417" w:right="1701" w:bottom="1417" w:left="1701" w:header="708" w:footer="708" w:gutter="0"/>
          <w:cols w:space="708"/>
          <w:docGrid w:linePitch="360"/>
        </w:sectPr>
      </w:pPr>
    </w:p>
    <w:p w:rsidRPr="009172F2" w:rsidR="002B217A" w:rsidP="00876910" w:rsidRDefault="00EC4F48" w14:paraId="4B850FD9" w14:textId="77777777">
      <w:pPr>
        <w:pStyle w:val="Heading2"/>
        <w:jc w:val="both"/>
        <w:rPr>
          <w:rFonts w:ascii="Arial" w:hAnsi="Arial" w:cs="Arial"/>
          <w:sz w:val="22"/>
          <w:szCs w:val="22"/>
          <w:u w:val="single"/>
          <w:lang w:val="es-ES_tradnl"/>
        </w:rPr>
      </w:pPr>
      <w:r w:rsidRPr="009172F2">
        <w:rPr>
          <w:rFonts w:ascii="Arial" w:hAnsi="Arial" w:cs="Arial"/>
          <w:sz w:val="22"/>
          <w:szCs w:val="22"/>
          <w:u w:val="single"/>
          <w:lang w:val="es-ES_tradnl"/>
        </w:rPr>
        <w:lastRenderedPageBreak/>
        <w:t xml:space="preserve">Oportunidades de </w:t>
      </w:r>
      <w:r w:rsidRPr="009172F2" w:rsidR="00A75CFD">
        <w:rPr>
          <w:rFonts w:ascii="Arial" w:hAnsi="Arial" w:cs="Arial"/>
          <w:sz w:val="22"/>
          <w:szCs w:val="22"/>
          <w:u w:val="single"/>
          <w:lang w:val="es-ES_tradnl"/>
        </w:rPr>
        <w:t xml:space="preserve">cambio climático </w:t>
      </w:r>
      <w:r w:rsidRPr="009172F2">
        <w:rPr>
          <w:rFonts w:ascii="Arial" w:hAnsi="Arial" w:cs="Arial"/>
          <w:sz w:val="22"/>
          <w:szCs w:val="22"/>
          <w:u w:val="single"/>
          <w:lang w:val="es-ES_tradnl"/>
        </w:rPr>
        <w:t>dentro del Proyecto</w:t>
      </w:r>
      <w:r w:rsidRPr="009172F2" w:rsidR="00057775">
        <w:rPr>
          <w:rFonts w:ascii="Arial" w:hAnsi="Arial" w:cs="Arial"/>
          <w:sz w:val="22"/>
          <w:szCs w:val="22"/>
          <w:u w:val="single"/>
          <w:lang w:val="es-ES_tradnl"/>
        </w:rPr>
        <w:t xml:space="preserve"> AR-L130</w:t>
      </w:r>
      <w:r w:rsidRPr="009172F2" w:rsidR="00511F16">
        <w:rPr>
          <w:rFonts w:ascii="Arial" w:hAnsi="Arial" w:cs="Arial"/>
          <w:sz w:val="22"/>
          <w:szCs w:val="22"/>
          <w:u w:val="single"/>
          <w:lang w:val="es-ES_tradnl"/>
        </w:rPr>
        <w:t>9</w:t>
      </w:r>
    </w:p>
    <w:p w:rsidRPr="009172F2" w:rsidR="00313BC5" w:rsidP="00876910" w:rsidRDefault="00313BC5" w14:paraId="4ABDCC33" w14:textId="77777777">
      <w:pPr>
        <w:jc w:val="both"/>
        <w:rPr>
          <w:rFonts w:ascii="Arial" w:hAnsi="Arial" w:cs="Arial"/>
        </w:rPr>
      </w:pPr>
      <w:r w:rsidRPr="009172F2">
        <w:rPr>
          <w:rFonts w:ascii="Arial" w:hAnsi="Arial" w:cs="Arial"/>
        </w:rPr>
        <w:t>En el marco de la operación AR-L130</w:t>
      </w:r>
      <w:r w:rsidRPr="009172F2" w:rsidR="00511F16">
        <w:rPr>
          <w:rFonts w:ascii="Arial" w:hAnsi="Arial" w:cs="Arial"/>
        </w:rPr>
        <w:t>9</w:t>
      </w:r>
      <w:r w:rsidRPr="009172F2">
        <w:rPr>
          <w:rFonts w:ascii="Arial" w:hAnsi="Arial" w:cs="Arial"/>
        </w:rPr>
        <w:t xml:space="preserve">, dos componentes cuentan con un potencial </w:t>
      </w:r>
      <w:r w:rsidRPr="009172F2" w:rsidR="001E43BF">
        <w:rPr>
          <w:rFonts w:ascii="Arial" w:hAnsi="Arial" w:cs="Arial"/>
        </w:rPr>
        <w:t>climático</w:t>
      </w:r>
      <w:r w:rsidRPr="009172F2">
        <w:rPr>
          <w:rFonts w:ascii="Arial" w:hAnsi="Arial" w:cs="Arial"/>
        </w:rPr>
        <w:t>.</w:t>
      </w:r>
    </w:p>
    <w:p w:rsidRPr="009172F2" w:rsidR="00313BC5" w:rsidP="00876910" w:rsidRDefault="00313BC5" w14:paraId="6E4FAE98" w14:textId="77777777">
      <w:pPr>
        <w:pStyle w:val="Heading3"/>
        <w:jc w:val="both"/>
        <w:rPr>
          <w:rFonts w:ascii="Arial" w:hAnsi="Arial" w:cs="Arial"/>
          <w:sz w:val="22"/>
          <w:szCs w:val="22"/>
        </w:rPr>
      </w:pPr>
      <w:r w:rsidRPr="009172F2">
        <w:rPr>
          <w:rFonts w:ascii="Arial" w:hAnsi="Arial" w:cs="Arial"/>
          <w:sz w:val="22"/>
          <w:szCs w:val="22"/>
        </w:rPr>
        <w:t>Capacitación en empleos verdes</w:t>
      </w:r>
    </w:p>
    <w:p w:rsidRPr="009172F2" w:rsidR="005850F9" w:rsidP="00876910" w:rsidRDefault="00511F16" w14:paraId="01E9F6E8" w14:textId="77777777">
      <w:pPr>
        <w:jc w:val="both"/>
        <w:rPr>
          <w:rFonts w:ascii="Arial" w:hAnsi="Arial" w:cs="Arial"/>
        </w:rPr>
      </w:pPr>
      <w:r w:rsidRPr="009172F2">
        <w:rPr>
          <w:rFonts w:ascii="Arial" w:hAnsi="Arial" w:cs="Arial"/>
        </w:rPr>
        <w:t xml:space="preserve">Mantener el apoyo a una </w:t>
      </w:r>
      <w:r w:rsidRPr="009172F2" w:rsidR="005850F9">
        <w:rPr>
          <w:rFonts w:ascii="Arial" w:hAnsi="Arial" w:cs="Arial"/>
        </w:rPr>
        <w:t xml:space="preserve">transición </w:t>
      </w:r>
      <w:r w:rsidRPr="009172F2" w:rsidR="00313BC5">
        <w:rPr>
          <w:rFonts w:ascii="Arial" w:hAnsi="Arial" w:cs="Arial"/>
        </w:rPr>
        <w:t xml:space="preserve">justa </w:t>
      </w:r>
      <w:r w:rsidRPr="009172F2" w:rsidR="005850F9">
        <w:rPr>
          <w:rFonts w:ascii="Arial" w:hAnsi="Arial" w:cs="Arial"/>
        </w:rPr>
        <w:t xml:space="preserve">hacia una economía que pondere su propio impacto en el ambiente representa un paso necesario para reducir la vulnerabilidad del país y consolidar su rol central tanto en el nivel regional </w:t>
      </w:r>
      <w:r w:rsidRPr="009172F2" w:rsidR="00313BC5">
        <w:rPr>
          <w:rFonts w:ascii="Arial" w:hAnsi="Arial" w:cs="Arial"/>
        </w:rPr>
        <w:t xml:space="preserve">a nivel </w:t>
      </w:r>
      <w:r w:rsidRPr="009172F2" w:rsidR="005850F9">
        <w:rPr>
          <w:rFonts w:ascii="Arial" w:hAnsi="Arial" w:cs="Arial"/>
        </w:rPr>
        <w:t>global. La preservación del ambiente constituye una oportunidad para lograr un crecimiento económico sostenible, productivo e inclusivo</w:t>
      </w:r>
      <w:r w:rsidRPr="009172F2" w:rsidR="00313BC5">
        <w:rPr>
          <w:rStyle w:val="FootnoteReference"/>
          <w:rFonts w:ascii="Arial" w:hAnsi="Arial" w:cs="Arial"/>
        </w:rPr>
        <w:footnoteReference w:id="1"/>
      </w:r>
      <w:r w:rsidRPr="009172F2" w:rsidR="00313BC5">
        <w:rPr>
          <w:rFonts w:ascii="Arial" w:hAnsi="Arial" w:cs="Arial"/>
        </w:rPr>
        <w:t>.</w:t>
      </w:r>
    </w:p>
    <w:p w:rsidRPr="009172F2" w:rsidR="00313BC5" w:rsidP="00876910" w:rsidRDefault="00313BC5" w14:paraId="07B1D529" w14:textId="77777777">
      <w:pPr>
        <w:jc w:val="both"/>
        <w:rPr>
          <w:rFonts w:ascii="Arial" w:hAnsi="Arial" w:cs="Arial"/>
        </w:rPr>
      </w:pPr>
      <w:r w:rsidRPr="009172F2">
        <w:rPr>
          <w:rFonts w:ascii="Arial" w:hAnsi="Arial" w:cs="Arial"/>
        </w:rPr>
        <w:t>Según el estudio de la Organización Internacional del Trabajo (OIT), en 2015, se estimaron 650.000 empleos verdes en Argentina, representando 7% de los asalariados registrados, concentrándose los sectores de i) la industria manufacturera (38%), ii) transporte (29%), iii) agricultura, ganadería, silvicultura y pesca (9%), y iv) agua y gestión de residuos (7%).</w:t>
      </w:r>
    </w:p>
    <w:p w:rsidRPr="009172F2" w:rsidR="003D0CDD" w:rsidP="00876910" w:rsidRDefault="00313BC5" w14:paraId="4C4B462F" w14:textId="77777777">
      <w:pPr>
        <w:jc w:val="both"/>
        <w:rPr>
          <w:rFonts w:ascii="Arial" w:hAnsi="Arial" w:cs="Arial"/>
        </w:rPr>
      </w:pPr>
      <w:r w:rsidRPr="009172F2">
        <w:rPr>
          <w:rFonts w:ascii="Arial" w:hAnsi="Arial" w:cs="Arial"/>
        </w:rPr>
        <w:t>Con esta premisa el Ministerio de Desarrollo Social cuenta con el programa “Hacemos Futuro”, el cual los</w:t>
      </w:r>
      <w:r w:rsidRPr="009172F2" w:rsidR="00057775">
        <w:rPr>
          <w:rFonts w:ascii="Arial" w:hAnsi="Arial" w:cs="Arial"/>
        </w:rPr>
        <w:t xml:space="preserve"> previos </w:t>
      </w:r>
      <w:r w:rsidRPr="009172F2">
        <w:rPr>
          <w:rFonts w:ascii="Arial" w:hAnsi="Arial" w:cs="Arial"/>
        </w:rPr>
        <w:t>programas Argentina Trabaja, Ellas Hacen y Desde el Barrio</w:t>
      </w:r>
      <w:r w:rsidRPr="009172F2" w:rsidR="00057775">
        <w:rPr>
          <w:rFonts w:ascii="Arial" w:hAnsi="Arial" w:cs="Arial"/>
        </w:rPr>
        <w:t xml:space="preserve"> desde febrero 2018</w:t>
      </w:r>
      <w:r w:rsidRPr="009172F2">
        <w:rPr>
          <w:rFonts w:ascii="Arial" w:hAnsi="Arial" w:cs="Arial"/>
        </w:rPr>
        <w:t xml:space="preserve">. </w:t>
      </w:r>
    </w:p>
    <w:p w:rsidRPr="009172F2" w:rsidR="00313BC5" w:rsidP="00876910" w:rsidRDefault="00E653A3" w14:paraId="7ED0640F" w14:textId="77777777">
      <w:pPr>
        <w:jc w:val="both"/>
        <w:rPr>
          <w:rFonts w:ascii="Arial" w:hAnsi="Arial" w:cs="Arial"/>
        </w:rPr>
      </w:pPr>
      <w:r w:rsidRPr="009172F2">
        <w:rPr>
          <w:rFonts w:ascii="Arial" w:hAnsi="Arial" w:cs="Arial"/>
        </w:rPr>
        <w:t xml:space="preserve">En particular, Hacemos Futuro, </w:t>
      </w:r>
      <w:r w:rsidRPr="009172F2" w:rsidR="003D0CDD">
        <w:rPr>
          <w:rFonts w:ascii="Arial" w:hAnsi="Arial" w:cs="Arial"/>
        </w:rPr>
        <w:t xml:space="preserve">cuenta con un </w:t>
      </w:r>
      <w:r w:rsidRPr="009172F2" w:rsidR="00891962">
        <w:rPr>
          <w:rFonts w:ascii="Arial" w:hAnsi="Arial" w:cs="Arial"/>
        </w:rPr>
        <w:t>p</w:t>
      </w:r>
      <w:r w:rsidRPr="009172F2" w:rsidR="003D0CDD">
        <w:rPr>
          <w:rFonts w:ascii="Arial" w:hAnsi="Arial" w:cs="Arial"/>
        </w:rPr>
        <w:t xml:space="preserve">ortafolio de </w:t>
      </w:r>
      <w:r w:rsidRPr="009172F2" w:rsidR="00891962">
        <w:rPr>
          <w:rFonts w:ascii="Arial" w:hAnsi="Arial" w:cs="Arial"/>
        </w:rPr>
        <w:t>entrenamientos</w:t>
      </w:r>
      <w:r w:rsidRPr="009172F2" w:rsidDel="00891962" w:rsidR="00891962">
        <w:rPr>
          <w:rFonts w:ascii="Arial" w:hAnsi="Arial" w:cs="Arial"/>
        </w:rPr>
        <w:t xml:space="preserve"> </w:t>
      </w:r>
      <w:r w:rsidRPr="009172F2" w:rsidR="003D0CDD">
        <w:rPr>
          <w:rFonts w:ascii="Arial" w:hAnsi="Arial" w:cs="Arial"/>
        </w:rPr>
        <w:t xml:space="preserve">en </w:t>
      </w:r>
      <w:bookmarkStart w:name="_Hlk523746859" w:id="1"/>
      <w:r w:rsidRPr="009172F2" w:rsidR="003D0CDD">
        <w:rPr>
          <w:rFonts w:ascii="Arial" w:hAnsi="Arial" w:cs="Arial"/>
        </w:rPr>
        <w:t>tecnologías innovadoras y sustentables</w:t>
      </w:r>
      <w:bookmarkEnd w:id="1"/>
      <w:r w:rsidRPr="009172F2" w:rsidR="00D91F23">
        <w:rPr>
          <w:rFonts w:ascii="Arial" w:hAnsi="Arial" w:cs="Arial"/>
        </w:rPr>
        <w:t>,</w:t>
      </w:r>
      <w:r w:rsidRPr="009172F2" w:rsidR="00891962">
        <w:rPr>
          <w:rFonts w:ascii="Arial" w:hAnsi="Arial" w:cs="Arial"/>
        </w:rPr>
        <w:t xml:space="preserve"> las cuales contribuyen a generar capacidades en actividades económicas que contribuyen a la mitigación al cambio climático. La demanda para este tipo de actividades es de </w:t>
      </w:r>
      <w:r w:rsidRPr="009172F2" w:rsidR="00D91F23">
        <w:rPr>
          <w:rFonts w:ascii="Arial" w:hAnsi="Arial" w:cs="Arial"/>
        </w:rPr>
        <w:t>un 3.5</w:t>
      </w:r>
      <w:r w:rsidRPr="009172F2" w:rsidR="00057775">
        <w:rPr>
          <w:rFonts w:ascii="Arial" w:hAnsi="Arial" w:cs="Arial"/>
        </w:rPr>
        <w:t xml:space="preserve">% </w:t>
      </w:r>
      <w:r w:rsidRPr="009172F2" w:rsidR="00D91F23">
        <w:rPr>
          <w:rFonts w:ascii="Arial" w:hAnsi="Arial" w:cs="Arial"/>
        </w:rPr>
        <w:t>de los beneficiarios del programa</w:t>
      </w:r>
      <w:r w:rsidRPr="009172F2" w:rsidR="003D0CDD">
        <w:rPr>
          <w:rFonts w:ascii="Arial" w:hAnsi="Arial" w:cs="Arial"/>
        </w:rPr>
        <w:t xml:space="preserve">, </w:t>
      </w:r>
      <w:r w:rsidRPr="009172F2" w:rsidR="00D91F23">
        <w:rPr>
          <w:rFonts w:ascii="Arial" w:hAnsi="Arial" w:cs="Arial"/>
        </w:rPr>
        <w:t xml:space="preserve">dando </w:t>
      </w:r>
      <w:r w:rsidRPr="009172F2" w:rsidR="003D0CDD">
        <w:rPr>
          <w:rFonts w:ascii="Arial" w:hAnsi="Arial" w:cs="Arial"/>
        </w:rPr>
        <w:t xml:space="preserve">acceso a los siguientes </w:t>
      </w:r>
      <w:r w:rsidRPr="009172F2" w:rsidR="00503F3D">
        <w:rPr>
          <w:rFonts w:ascii="Arial" w:hAnsi="Arial" w:cs="Arial"/>
        </w:rPr>
        <w:t>rubros de capacitación para instalación de tecnologías</w:t>
      </w:r>
      <w:r w:rsidRPr="009172F2" w:rsidR="003D0CDD">
        <w:rPr>
          <w:rFonts w:ascii="Arial" w:hAnsi="Arial" w:cs="Arial"/>
        </w:rPr>
        <w:t xml:space="preserve">: </w:t>
      </w:r>
    </w:p>
    <w:p w:rsidRPr="009172F2" w:rsidR="00503F3D" w:rsidP="00876910" w:rsidRDefault="00503F3D" w14:paraId="1B9B930E" w14:textId="77777777">
      <w:pPr>
        <w:pStyle w:val="ListParagraph"/>
        <w:numPr>
          <w:ilvl w:val="0"/>
          <w:numId w:val="5"/>
        </w:numPr>
        <w:jc w:val="both"/>
        <w:rPr>
          <w:rFonts w:ascii="Arial" w:hAnsi="Arial" w:cs="Arial"/>
        </w:rPr>
      </w:pPr>
      <w:r w:rsidRPr="009172F2">
        <w:rPr>
          <w:rFonts w:ascii="Arial" w:hAnsi="Arial" w:cs="Arial"/>
        </w:rPr>
        <w:t xml:space="preserve">Vivienda y </w:t>
      </w:r>
      <w:proofErr w:type="spellStart"/>
      <w:r w:rsidRPr="009172F2">
        <w:rPr>
          <w:rFonts w:ascii="Arial" w:hAnsi="Arial" w:cs="Arial"/>
        </w:rPr>
        <w:t>habitat</w:t>
      </w:r>
      <w:proofErr w:type="spellEnd"/>
    </w:p>
    <w:p w:rsidRPr="009172F2" w:rsidR="00503F3D" w:rsidP="00876910" w:rsidRDefault="00503F3D" w14:paraId="3A654073" w14:textId="77777777">
      <w:pPr>
        <w:pStyle w:val="ListParagraph"/>
        <w:numPr>
          <w:ilvl w:val="1"/>
          <w:numId w:val="5"/>
        </w:numPr>
        <w:jc w:val="both"/>
        <w:rPr>
          <w:rFonts w:ascii="Arial" w:hAnsi="Arial" w:cs="Arial"/>
        </w:rPr>
      </w:pPr>
      <w:r w:rsidRPr="009172F2">
        <w:rPr>
          <w:rFonts w:ascii="Arial" w:hAnsi="Arial" w:cs="Arial"/>
        </w:rPr>
        <w:t>Termotanque solar</w:t>
      </w:r>
    </w:p>
    <w:p w:rsidRPr="009172F2" w:rsidR="00503F3D" w:rsidP="00876910" w:rsidRDefault="00503F3D" w14:paraId="596656BD" w14:textId="77777777">
      <w:pPr>
        <w:pStyle w:val="ListParagraph"/>
        <w:numPr>
          <w:ilvl w:val="1"/>
          <w:numId w:val="5"/>
        </w:numPr>
        <w:jc w:val="both"/>
        <w:rPr>
          <w:rFonts w:ascii="Arial" w:hAnsi="Arial" w:cs="Arial"/>
        </w:rPr>
      </w:pPr>
      <w:r w:rsidRPr="009172F2">
        <w:rPr>
          <w:rFonts w:ascii="Arial" w:hAnsi="Arial" w:cs="Arial"/>
        </w:rPr>
        <w:t xml:space="preserve">Biodigestor domiciliario </w:t>
      </w:r>
    </w:p>
    <w:p w:rsidRPr="009172F2" w:rsidR="00503F3D" w:rsidP="00876910" w:rsidRDefault="00503F3D" w14:paraId="461A7E21" w14:textId="77777777">
      <w:pPr>
        <w:pStyle w:val="ListParagraph"/>
        <w:numPr>
          <w:ilvl w:val="1"/>
          <w:numId w:val="5"/>
        </w:numPr>
        <w:jc w:val="both"/>
        <w:rPr>
          <w:rFonts w:ascii="Arial" w:hAnsi="Arial" w:cs="Arial"/>
        </w:rPr>
      </w:pPr>
      <w:r w:rsidRPr="009172F2">
        <w:rPr>
          <w:rFonts w:ascii="Arial" w:hAnsi="Arial" w:cs="Arial"/>
        </w:rPr>
        <w:t>Estufa Sara</w:t>
      </w:r>
    </w:p>
    <w:p w:rsidRPr="009172F2" w:rsidR="00503F3D" w:rsidP="00876910" w:rsidRDefault="00503F3D" w14:paraId="0165A04B" w14:textId="77777777">
      <w:pPr>
        <w:pStyle w:val="ListParagraph"/>
        <w:numPr>
          <w:ilvl w:val="1"/>
          <w:numId w:val="5"/>
        </w:numPr>
        <w:jc w:val="both"/>
        <w:rPr>
          <w:rFonts w:ascii="Arial" w:hAnsi="Arial" w:cs="Arial"/>
        </w:rPr>
      </w:pPr>
      <w:r w:rsidRPr="009172F2">
        <w:rPr>
          <w:rFonts w:ascii="Arial" w:hAnsi="Arial" w:cs="Arial"/>
        </w:rPr>
        <w:t>Eso Estufa</w:t>
      </w:r>
    </w:p>
    <w:p w:rsidRPr="009172F2" w:rsidR="00503F3D" w:rsidP="00876910" w:rsidRDefault="00503F3D" w14:paraId="32C30ABB" w14:textId="77777777">
      <w:pPr>
        <w:pStyle w:val="ListParagraph"/>
        <w:numPr>
          <w:ilvl w:val="1"/>
          <w:numId w:val="5"/>
        </w:numPr>
        <w:jc w:val="both"/>
        <w:rPr>
          <w:rFonts w:ascii="Arial" w:hAnsi="Arial" w:cs="Arial"/>
        </w:rPr>
      </w:pPr>
      <w:r w:rsidRPr="009172F2">
        <w:rPr>
          <w:rFonts w:ascii="Arial" w:hAnsi="Arial" w:cs="Arial"/>
        </w:rPr>
        <w:t>Aislante para hogar hecho de fieltro</w:t>
      </w:r>
    </w:p>
    <w:p w:rsidRPr="009172F2" w:rsidR="00503F3D" w:rsidP="00876910" w:rsidRDefault="00503F3D" w14:paraId="7F7F6539" w14:textId="77777777">
      <w:pPr>
        <w:pStyle w:val="ListParagraph"/>
        <w:numPr>
          <w:ilvl w:val="1"/>
          <w:numId w:val="5"/>
        </w:numPr>
        <w:jc w:val="both"/>
        <w:rPr>
          <w:rFonts w:ascii="Arial" w:hAnsi="Arial" w:cs="Arial"/>
        </w:rPr>
      </w:pPr>
      <w:r w:rsidRPr="009172F2">
        <w:rPr>
          <w:rFonts w:ascii="Arial" w:hAnsi="Arial" w:cs="Arial"/>
        </w:rPr>
        <w:t>Cocina a leña</w:t>
      </w:r>
    </w:p>
    <w:p w:rsidRPr="009172F2" w:rsidR="00503F3D" w:rsidP="00876910" w:rsidRDefault="00503F3D" w14:paraId="555B3760" w14:textId="77777777">
      <w:pPr>
        <w:pStyle w:val="ListParagraph"/>
        <w:numPr>
          <w:ilvl w:val="1"/>
          <w:numId w:val="5"/>
        </w:numPr>
        <w:jc w:val="both"/>
        <w:rPr>
          <w:rFonts w:ascii="Arial" w:hAnsi="Arial" w:cs="Arial"/>
        </w:rPr>
      </w:pPr>
      <w:proofErr w:type="spellStart"/>
      <w:r w:rsidRPr="009172F2">
        <w:rPr>
          <w:rFonts w:ascii="Arial" w:hAnsi="Arial" w:cs="Arial"/>
        </w:rPr>
        <w:t>Bloquera</w:t>
      </w:r>
      <w:proofErr w:type="spellEnd"/>
      <w:r w:rsidRPr="009172F2">
        <w:rPr>
          <w:rFonts w:ascii="Arial" w:hAnsi="Arial" w:cs="Arial"/>
        </w:rPr>
        <w:t xml:space="preserve"> manual para bloques de tierra comprimida</w:t>
      </w:r>
    </w:p>
    <w:p w:rsidRPr="009172F2" w:rsidR="00503F3D" w:rsidP="00876910" w:rsidRDefault="00503F3D" w14:paraId="27684341" w14:textId="77777777">
      <w:pPr>
        <w:pStyle w:val="ListParagraph"/>
        <w:numPr>
          <w:ilvl w:val="0"/>
          <w:numId w:val="5"/>
        </w:numPr>
        <w:jc w:val="both"/>
        <w:rPr>
          <w:rFonts w:ascii="Arial" w:hAnsi="Arial" w:cs="Arial"/>
        </w:rPr>
      </w:pPr>
      <w:r w:rsidRPr="009172F2">
        <w:rPr>
          <w:rFonts w:ascii="Arial" w:hAnsi="Arial" w:cs="Arial"/>
        </w:rPr>
        <w:t>Acceso al Agua</w:t>
      </w:r>
    </w:p>
    <w:p w:rsidRPr="009172F2" w:rsidR="00503F3D" w:rsidP="00876910" w:rsidRDefault="00503F3D" w14:paraId="65E8E53C" w14:textId="77777777">
      <w:pPr>
        <w:pStyle w:val="ListParagraph"/>
        <w:numPr>
          <w:ilvl w:val="1"/>
          <w:numId w:val="5"/>
        </w:numPr>
        <w:jc w:val="both"/>
        <w:rPr>
          <w:rFonts w:ascii="Arial" w:hAnsi="Arial" w:cs="Arial"/>
        </w:rPr>
      </w:pPr>
      <w:r w:rsidRPr="009172F2">
        <w:rPr>
          <w:rFonts w:ascii="Arial" w:hAnsi="Arial" w:cs="Arial"/>
        </w:rPr>
        <w:t>Cisterna Placa 16ms3 (ASA)</w:t>
      </w:r>
    </w:p>
    <w:p w:rsidRPr="009172F2" w:rsidR="00503F3D" w:rsidP="00876910" w:rsidRDefault="00503F3D" w14:paraId="32AF19B8" w14:textId="77777777">
      <w:pPr>
        <w:pStyle w:val="ListParagraph"/>
        <w:numPr>
          <w:ilvl w:val="1"/>
          <w:numId w:val="5"/>
        </w:numPr>
        <w:jc w:val="both"/>
        <w:rPr>
          <w:rFonts w:ascii="Arial" w:hAnsi="Arial" w:cs="Arial"/>
        </w:rPr>
      </w:pPr>
      <w:r w:rsidRPr="009172F2">
        <w:rPr>
          <w:rFonts w:ascii="Arial" w:hAnsi="Arial" w:cs="Arial"/>
        </w:rPr>
        <w:t>Cisterna Placa 52 mts</w:t>
      </w:r>
      <w:r w:rsidRPr="009172F2">
        <w:rPr>
          <w:rFonts w:ascii="Arial" w:hAnsi="Arial" w:cs="Arial"/>
          <w:vertAlign w:val="superscript"/>
        </w:rPr>
        <w:t>3</w:t>
      </w:r>
    </w:p>
    <w:p w:rsidRPr="009172F2" w:rsidR="00503F3D" w:rsidP="00876910" w:rsidRDefault="00503F3D" w14:paraId="027A8968" w14:textId="77777777">
      <w:pPr>
        <w:pStyle w:val="ListParagraph"/>
        <w:numPr>
          <w:ilvl w:val="1"/>
          <w:numId w:val="5"/>
        </w:numPr>
        <w:jc w:val="both"/>
        <w:rPr>
          <w:rFonts w:ascii="Arial" w:hAnsi="Arial" w:cs="Arial"/>
        </w:rPr>
      </w:pPr>
      <w:r w:rsidRPr="009172F2">
        <w:rPr>
          <w:rFonts w:ascii="Arial" w:hAnsi="Arial" w:cs="Arial"/>
        </w:rPr>
        <w:t>Bomba manual tipo EMAS</w:t>
      </w:r>
    </w:p>
    <w:p w:rsidRPr="009172F2" w:rsidR="00503F3D" w:rsidP="00876910" w:rsidRDefault="00503F3D" w14:paraId="31F5FAED" w14:textId="77777777">
      <w:pPr>
        <w:pStyle w:val="ListParagraph"/>
        <w:numPr>
          <w:ilvl w:val="1"/>
          <w:numId w:val="5"/>
        </w:numPr>
        <w:jc w:val="both"/>
        <w:rPr>
          <w:rFonts w:ascii="Arial" w:hAnsi="Arial" w:cs="Arial"/>
          <w:lang w:val="pt-BR"/>
        </w:rPr>
      </w:pPr>
      <w:r w:rsidRPr="009172F2">
        <w:rPr>
          <w:rFonts w:ascii="Arial" w:hAnsi="Arial" w:cs="Arial"/>
          <w:lang w:val="pt-BR"/>
        </w:rPr>
        <w:t xml:space="preserve">Planta Modular </w:t>
      </w:r>
      <w:proofErr w:type="spellStart"/>
      <w:r w:rsidRPr="009172F2">
        <w:rPr>
          <w:rFonts w:ascii="Arial" w:hAnsi="Arial" w:cs="Arial"/>
          <w:lang w:val="pt-BR"/>
        </w:rPr>
        <w:t>inti-qpm</w:t>
      </w:r>
      <w:proofErr w:type="spellEnd"/>
      <w:r w:rsidRPr="009172F2">
        <w:rPr>
          <w:rFonts w:ascii="Arial" w:hAnsi="Arial" w:cs="Arial"/>
          <w:lang w:val="pt-BR"/>
        </w:rPr>
        <w:t xml:space="preserve"> </w:t>
      </w:r>
      <w:proofErr w:type="spellStart"/>
      <w:r w:rsidRPr="009172F2">
        <w:rPr>
          <w:rFonts w:ascii="Arial" w:hAnsi="Arial" w:cs="Arial"/>
          <w:lang w:val="pt-BR"/>
        </w:rPr>
        <w:t>pi</w:t>
      </w:r>
      <w:proofErr w:type="spellEnd"/>
      <w:r w:rsidRPr="009172F2">
        <w:rPr>
          <w:rFonts w:ascii="Arial" w:hAnsi="Arial" w:cs="Arial"/>
          <w:lang w:val="pt-BR"/>
        </w:rPr>
        <w:t xml:space="preserve"> EX 9732</w:t>
      </w:r>
    </w:p>
    <w:p w:rsidRPr="009172F2" w:rsidR="00503F3D" w:rsidP="00876910" w:rsidRDefault="00503F3D" w14:paraId="44A82D04" w14:textId="77777777">
      <w:pPr>
        <w:pStyle w:val="ListParagraph"/>
        <w:numPr>
          <w:ilvl w:val="0"/>
          <w:numId w:val="5"/>
        </w:numPr>
        <w:jc w:val="both"/>
        <w:rPr>
          <w:rFonts w:ascii="Arial" w:hAnsi="Arial" w:cs="Arial"/>
        </w:rPr>
      </w:pPr>
      <w:r w:rsidRPr="009172F2">
        <w:rPr>
          <w:rFonts w:ascii="Arial" w:hAnsi="Arial" w:cs="Arial"/>
        </w:rPr>
        <w:t>Herramientas productivas</w:t>
      </w:r>
    </w:p>
    <w:p w:rsidRPr="009172F2" w:rsidR="00503F3D" w:rsidP="00876910" w:rsidRDefault="00503F3D" w14:paraId="02D3D7E9" w14:textId="77777777">
      <w:pPr>
        <w:pStyle w:val="ListParagraph"/>
        <w:numPr>
          <w:ilvl w:val="1"/>
          <w:numId w:val="5"/>
        </w:numPr>
        <w:jc w:val="both"/>
        <w:rPr>
          <w:rFonts w:ascii="Arial" w:hAnsi="Arial" w:cs="Arial"/>
        </w:rPr>
      </w:pPr>
      <w:r w:rsidRPr="009172F2">
        <w:rPr>
          <w:rFonts w:ascii="Arial" w:hAnsi="Arial" w:cs="Arial"/>
        </w:rPr>
        <w:t>Deshidratador solar (INTI)</w:t>
      </w:r>
    </w:p>
    <w:p w:rsidRPr="009172F2" w:rsidR="00503F3D" w:rsidP="00876910" w:rsidRDefault="00503F3D" w14:paraId="140EB6E0" w14:textId="77777777">
      <w:pPr>
        <w:pStyle w:val="ListParagraph"/>
        <w:numPr>
          <w:ilvl w:val="1"/>
          <w:numId w:val="5"/>
        </w:numPr>
        <w:jc w:val="both"/>
        <w:rPr>
          <w:rFonts w:ascii="Arial" w:hAnsi="Arial" w:cs="Arial"/>
        </w:rPr>
      </w:pPr>
      <w:proofErr w:type="spellStart"/>
      <w:r w:rsidRPr="009172F2">
        <w:rPr>
          <w:rFonts w:ascii="Arial" w:hAnsi="Arial" w:cs="Arial"/>
        </w:rPr>
        <w:t>Bicipulverizador</w:t>
      </w:r>
      <w:proofErr w:type="spellEnd"/>
      <w:r w:rsidRPr="009172F2">
        <w:rPr>
          <w:rFonts w:ascii="Arial" w:hAnsi="Arial" w:cs="Arial"/>
        </w:rPr>
        <w:t xml:space="preserve"> para la agricultura familiar </w:t>
      </w:r>
    </w:p>
    <w:p w:rsidRPr="009172F2" w:rsidR="00503F3D" w:rsidP="00876910" w:rsidRDefault="00503F3D" w14:paraId="138A6FD2" w14:textId="77777777">
      <w:pPr>
        <w:pStyle w:val="ListParagraph"/>
        <w:numPr>
          <w:ilvl w:val="1"/>
          <w:numId w:val="5"/>
        </w:numPr>
        <w:jc w:val="both"/>
        <w:rPr>
          <w:rFonts w:ascii="Arial" w:hAnsi="Arial" w:cs="Arial"/>
        </w:rPr>
      </w:pPr>
      <w:r w:rsidRPr="009172F2">
        <w:rPr>
          <w:rFonts w:ascii="Arial" w:hAnsi="Arial" w:cs="Arial"/>
        </w:rPr>
        <w:t xml:space="preserve">Modulo acuapónico tipo </w:t>
      </w:r>
      <w:proofErr w:type="spellStart"/>
      <w:r w:rsidRPr="009172F2">
        <w:rPr>
          <w:rFonts w:ascii="Arial" w:hAnsi="Arial" w:cs="Arial"/>
        </w:rPr>
        <w:t>ibc</w:t>
      </w:r>
      <w:proofErr w:type="spellEnd"/>
    </w:p>
    <w:p w:rsidRPr="009172F2" w:rsidR="00057775" w:rsidRDefault="00057775" w14:paraId="40F0777F" w14:textId="77777777">
      <w:pPr>
        <w:rPr>
          <w:rFonts w:ascii="Arial" w:hAnsi="Arial" w:cs="Arial"/>
        </w:rPr>
      </w:pPr>
    </w:p>
    <w:p w:rsidRPr="009172F2" w:rsidR="0024781A" w:rsidRDefault="0024781A" w14:paraId="6425236B" w14:textId="77777777">
      <w:pPr>
        <w:rPr>
          <w:rFonts w:ascii="Arial" w:hAnsi="Arial" w:cs="Arial"/>
        </w:rPr>
      </w:pPr>
    </w:p>
    <w:p w:rsidRPr="009172F2" w:rsidR="00E653A3" w:rsidP="00AC236F" w:rsidRDefault="00503F3D" w14:paraId="7FCCA95E" w14:textId="77777777">
      <w:pPr>
        <w:pStyle w:val="Heading3"/>
        <w:jc w:val="both"/>
        <w:rPr>
          <w:rFonts w:ascii="Arial" w:hAnsi="Arial" w:cs="Arial"/>
          <w:sz w:val="22"/>
          <w:szCs w:val="22"/>
        </w:rPr>
      </w:pPr>
      <w:r w:rsidRPr="009172F2">
        <w:rPr>
          <w:rFonts w:ascii="Arial" w:hAnsi="Arial" w:cs="Arial"/>
          <w:sz w:val="22"/>
          <w:szCs w:val="22"/>
        </w:rPr>
        <w:lastRenderedPageBreak/>
        <w:t xml:space="preserve">Subsidio al transporte </w:t>
      </w:r>
      <w:r w:rsidRPr="009172F2" w:rsidR="00057775">
        <w:rPr>
          <w:rFonts w:ascii="Arial" w:hAnsi="Arial" w:cs="Arial"/>
          <w:sz w:val="22"/>
          <w:szCs w:val="22"/>
        </w:rPr>
        <w:t>público</w:t>
      </w:r>
      <w:r w:rsidRPr="009172F2">
        <w:rPr>
          <w:rFonts w:ascii="Arial" w:hAnsi="Arial" w:cs="Arial"/>
          <w:sz w:val="22"/>
          <w:szCs w:val="22"/>
        </w:rPr>
        <w:t xml:space="preserve"> para poblaciones vulnerables y estudios para gestión de la oferta</w:t>
      </w:r>
    </w:p>
    <w:p w:rsidRPr="009172F2" w:rsidR="00243549" w:rsidP="00243549" w:rsidRDefault="00243549" w14:paraId="698A71C2" w14:textId="77777777">
      <w:pPr>
        <w:jc w:val="both"/>
        <w:rPr>
          <w:rFonts w:ascii="Arial" w:hAnsi="Arial" w:cs="Arial"/>
        </w:rPr>
      </w:pPr>
      <w:r w:rsidRPr="009172F2">
        <w:rPr>
          <w:rFonts w:ascii="Arial" w:hAnsi="Arial" w:cs="Arial"/>
        </w:rPr>
        <w:t>Según la CEPAL, d</w:t>
      </w:r>
      <w:r w:rsidRPr="009172F2" w:rsidR="00E653A3">
        <w:rPr>
          <w:rFonts w:ascii="Arial" w:hAnsi="Arial" w:cs="Arial"/>
        </w:rPr>
        <w:t xml:space="preserve">ado el alto ritmo de crecimiento económico en América Latina el consumo de la gasolina implica un aumento de los Gases Efecto Invernadero (GEI), lo cual aunado a una baja elasticidad precio de la demanda de la gasolina refleja la </w:t>
      </w:r>
      <w:r w:rsidRPr="009172F2">
        <w:rPr>
          <w:rFonts w:ascii="Arial" w:hAnsi="Arial" w:cs="Arial"/>
        </w:rPr>
        <w:t xml:space="preserve">necesidad de aumentar la </w:t>
      </w:r>
      <w:r w:rsidRPr="009172F2" w:rsidR="00E653A3">
        <w:rPr>
          <w:rFonts w:ascii="Arial" w:hAnsi="Arial" w:cs="Arial"/>
        </w:rPr>
        <w:t xml:space="preserve">presencia de bienes substitutos al transporte </w:t>
      </w:r>
      <w:r w:rsidRPr="009172F2">
        <w:rPr>
          <w:rFonts w:ascii="Arial" w:hAnsi="Arial" w:cs="Arial"/>
        </w:rPr>
        <w:t>privado,</w:t>
      </w:r>
      <w:r w:rsidRPr="009172F2" w:rsidR="00E653A3">
        <w:rPr>
          <w:rFonts w:ascii="Arial" w:hAnsi="Arial" w:cs="Arial"/>
        </w:rPr>
        <w:t xml:space="preserve"> </w:t>
      </w:r>
      <w:r w:rsidRPr="009172F2">
        <w:rPr>
          <w:rFonts w:ascii="Arial" w:hAnsi="Arial" w:cs="Arial"/>
        </w:rPr>
        <w:t xml:space="preserve">así como la promoción de </w:t>
      </w:r>
      <w:r w:rsidRPr="009172F2" w:rsidR="00E653A3">
        <w:rPr>
          <w:rFonts w:ascii="Arial" w:hAnsi="Arial" w:cs="Arial"/>
        </w:rPr>
        <w:t>proceso</w:t>
      </w:r>
      <w:r w:rsidRPr="009172F2">
        <w:rPr>
          <w:rFonts w:ascii="Arial" w:hAnsi="Arial" w:cs="Arial"/>
        </w:rPr>
        <w:t>s</w:t>
      </w:r>
      <w:r w:rsidRPr="009172F2" w:rsidR="00E653A3">
        <w:rPr>
          <w:rFonts w:ascii="Arial" w:hAnsi="Arial" w:cs="Arial"/>
        </w:rPr>
        <w:t xml:space="preserve"> de innovación tecnológica </w:t>
      </w:r>
      <w:r w:rsidRPr="009172F2">
        <w:rPr>
          <w:rFonts w:ascii="Arial" w:hAnsi="Arial" w:cs="Arial"/>
        </w:rPr>
        <w:t>que permitan contar con transporte público masivo de calidad y sustentable</w:t>
      </w:r>
      <w:r w:rsidRPr="009172F2" w:rsidR="00E653A3">
        <w:rPr>
          <w:rFonts w:ascii="Arial" w:hAnsi="Arial" w:cs="Arial"/>
        </w:rPr>
        <w:t xml:space="preserve">. </w:t>
      </w:r>
      <w:r w:rsidRPr="009172F2">
        <w:rPr>
          <w:rFonts w:ascii="Arial" w:hAnsi="Arial" w:cs="Arial"/>
        </w:rPr>
        <w:t>Dicho estudio también recalca que l</w:t>
      </w:r>
      <w:r w:rsidRPr="009172F2" w:rsidR="00E653A3">
        <w:rPr>
          <w:rFonts w:ascii="Arial" w:hAnsi="Arial" w:cs="Arial"/>
        </w:rPr>
        <w:t xml:space="preserve">a baja sensibilidad de la demanda de gasolina al precio </w:t>
      </w:r>
      <w:r w:rsidRPr="009172F2">
        <w:rPr>
          <w:rFonts w:ascii="Arial" w:hAnsi="Arial" w:cs="Arial"/>
        </w:rPr>
        <w:t xml:space="preserve">no permite visualizar un impuesto a la gasolina como única opción para </w:t>
      </w:r>
      <w:r w:rsidRPr="009172F2" w:rsidR="00E653A3">
        <w:rPr>
          <w:rFonts w:ascii="Arial" w:hAnsi="Arial" w:cs="Arial"/>
        </w:rPr>
        <w:t>controlar el</w:t>
      </w:r>
      <w:r w:rsidRPr="009172F2">
        <w:rPr>
          <w:rFonts w:ascii="Arial" w:hAnsi="Arial" w:cs="Arial"/>
        </w:rPr>
        <w:t xml:space="preserve"> consumo de gasolina. (CEPAL, 2016)</w:t>
      </w:r>
      <w:r w:rsidRPr="009172F2">
        <w:rPr>
          <w:rStyle w:val="FootnoteReference"/>
          <w:rFonts w:ascii="Arial" w:hAnsi="Arial" w:cs="Arial"/>
        </w:rPr>
        <w:footnoteReference w:id="2"/>
      </w:r>
    </w:p>
    <w:p w:rsidRPr="009172F2" w:rsidR="00F81E63" w:rsidP="00E653A3" w:rsidRDefault="00F81E63" w14:paraId="7F3B0DFE" w14:textId="77777777">
      <w:pPr>
        <w:jc w:val="both"/>
        <w:rPr>
          <w:rFonts w:ascii="Arial" w:hAnsi="Arial" w:cs="Arial"/>
        </w:rPr>
      </w:pPr>
      <w:r w:rsidRPr="009172F2">
        <w:rPr>
          <w:rFonts w:ascii="Arial" w:hAnsi="Arial" w:cs="Arial"/>
        </w:rPr>
        <w:t>En Argentina, los hogares más pobres destinan en promedio una mayor proporción de sus ingresos al uso del transporte público. De acuerdo con la Encuesta Nacional de Gasto de los Hogares 2012-2013, el gasto en pasajes de tren y colectivo como porcentaje del gasto no alimentario de los hogares representar en promedio un 3,9% para todos los hogares del primer decil y 11,1% para los que utilizan los servicios.</w:t>
      </w:r>
    </w:p>
    <w:p w:rsidRPr="009172F2" w:rsidR="00F81E63" w:rsidP="00876910" w:rsidRDefault="00F81E63" w14:paraId="1794C668" w14:textId="77777777">
      <w:pPr>
        <w:jc w:val="both"/>
        <w:rPr>
          <w:rFonts w:ascii="Arial" w:hAnsi="Arial" w:cs="Arial"/>
        </w:rPr>
      </w:pPr>
      <w:r w:rsidRPr="009172F2">
        <w:rPr>
          <w:rFonts w:ascii="Arial" w:hAnsi="Arial" w:cs="Arial"/>
        </w:rPr>
        <w:t xml:space="preserve"> La cobertura de TSTP, entendida como el número de beneficiarios sobre la población que cumple con los criterios de elegibilidad, se ubica en torno al 25%, principalmente debido a la concentración del beneficio en el AMBA</w:t>
      </w:r>
      <w:bookmarkStart w:name="_Hlk523579287" w:id="2"/>
      <w:r w:rsidRPr="009172F2">
        <w:rPr>
          <w:rFonts w:ascii="Arial" w:hAnsi="Arial" w:cs="Arial"/>
        </w:rPr>
        <w:t>.</w:t>
      </w:r>
      <w:bookmarkEnd w:id="2"/>
    </w:p>
    <w:p w:rsidRPr="009172F2" w:rsidR="00B505CA" w:rsidP="00876910" w:rsidRDefault="00B505CA" w14:paraId="418C4472" w14:textId="77777777">
      <w:pPr>
        <w:jc w:val="both"/>
        <w:rPr>
          <w:rFonts w:ascii="Arial" w:hAnsi="Arial" w:cs="Arial"/>
        </w:rPr>
      </w:pPr>
      <w:r w:rsidRPr="009172F2">
        <w:rPr>
          <w:rFonts w:ascii="Arial" w:hAnsi="Arial" w:cs="Arial"/>
        </w:rPr>
        <w:t>En este contexto, subsidiar el acceso al transporte público</w:t>
      </w:r>
      <w:r w:rsidRPr="009172F2" w:rsidR="00243549">
        <w:rPr>
          <w:rFonts w:ascii="Arial" w:hAnsi="Arial" w:cs="Arial"/>
        </w:rPr>
        <w:t xml:space="preserve"> para poblaciones vulnerables se traduce en </w:t>
      </w:r>
      <w:r w:rsidRPr="009172F2">
        <w:rPr>
          <w:rFonts w:ascii="Arial" w:hAnsi="Arial" w:cs="Arial"/>
        </w:rPr>
        <w:t>un descuento de 50% sobre la tarifa vigente para los usuarios de SUBE</w:t>
      </w:r>
      <w:r w:rsidRPr="009172F2">
        <w:rPr>
          <w:rStyle w:val="FootnoteReference"/>
          <w:rFonts w:ascii="Arial" w:hAnsi="Arial" w:cs="Arial"/>
        </w:rPr>
        <w:footnoteReference w:id="3"/>
      </w:r>
      <w:r w:rsidRPr="009172F2">
        <w:rPr>
          <w:rFonts w:ascii="Arial" w:hAnsi="Arial" w:cs="Arial"/>
        </w:rPr>
        <w:t xml:space="preserve">, </w:t>
      </w:r>
      <w:r w:rsidRPr="009172F2" w:rsidR="00243549">
        <w:rPr>
          <w:rFonts w:ascii="Arial" w:hAnsi="Arial" w:cs="Arial"/>
        </w:rPr>
        <w:t xml:space="preserve">lo cual </w:t>
      </w:r>
      <w:r w:rsidRPr="009172F2">
        <w:rPr>
          <w:rFonts w:ascii="Arial" w:hAnsi="Arial" w:cs="Arial"/>
        </w:rPr>
        <w:t>permite fomentar el uso del transporte público y revisar su gestión para mayor calidad del servicio.</w:t>
      </w:r>
      <w:r w:rsidRPr="009172F2" w:rsidR="001C0865">
        <w:rPr>
          <w:rFonts w:ascii="Arial" w:hAnsi="Arial" w:cs="Arial"/>
        </w:rPr>
        <w:t xml:space="preserve"> Este incentivo al uso de transporte público es una medida de la gestión de demanda de transporte, la cual desempeña un rol importante en la reducción de emisiones del país. </w:t>
      </w:r>
    </w:p>
    <w:p w:rsidRPr="009172F2" w:rsidR="00057775" w:rsidP="40659634" w:rsidRDefault="00B505CA" w14:paraId="6584756E" w14:textId="502880C6">
      <w:pPr>
        <w:pStyle w:val="Normal"/>
        <w:jc w:val="both"/>
        <w:rPr>
          <w:rFonts w:ascii="Arial" w:hAnsi="Arial" w:cs="Arial"/>
          <w:color w:val="FF0000"/>
        </w:rPr>
      </w:pPr>
      <w:bookmarkStart w:name="_Hlk5275548" w:id="3"/>
      <w:r w:rsidRPr="009172F2">
        <w:rPr>
          <w:rFonts w:ascii="Arial" w:hAnsi="Arial" w:cs="Arial"/>
        </w:rPr>
        <w:t xml:space="preserve">Cabe notar, que este componente, también </w:t>
      </w:r>
      <w:r w:rsidRPr="009172F2" w:rsidR="00243549">
        <w:rPr>
          <w:rFonts w:ascii="Arial" w:hAnsi="Arial" w:cs="Arial"/>
        </w:rPr>
        <w:t>financiará</w:t>
      </w:r>
      <w:r w:rsidRPr="009172F2">
        <w:rPr>
          <w:rFonts w:ascii="Arial" w:hAnsi="Arial" w:cs="Arial"/>
        </w:rPr>
        <w:t xml:space="preserve"> el desarrollo de </w:t>
      </w:r>
      <w:r w:rsidRPr="009172F2" w:rsidR="009C64B0">
        <w:rPr>
          <w:rFonts w:ascii="Arial" w:hAnsi="Arial" w:cs="Arial"/>
        </w:rPr>
        <w:t xml:space="preserve">estudios</w:t>
      </w:r>
      <w:r w:rsidRPr="009172F2" w:rsidR="009C64B0">
        <w:rPr>
          <w:rFonts w:ascii="Arial" w:hAnsi="Arial" w:cs="Arial"/>
        </w:rPr>
        <w:t xml:space="preserve">:</w:t>
      </w:r>
      <w:r w:rsidRPr="40659634" w:rsidR="40659634">
        <w:rPr>
          <w:rFonts w:ascii="Arial" w:hAnsi="Arial" w:eastAsia="Arial" w:cs="Arial"/>
          <w:noProof w:val="0"/>
          <w:sz w:val="22"/>
          <w:szCs w:val="22"/>
          <w:lang w:val="es-AR"/>
        </w:rPr>
        <w:t xml:space="preserve"> (i) estudio de segmentación tarifaria para el transporte público, con el propósito de identificar áreas y horas de mayor y menor demanda del servicio y fortalecer </w:t>
      </w:r>
      <w:r w:rsidRPr="40659634" w:rsidR="40659634">
        <w:rPr>
          <w:rFonts w:ascii="Arial" w:hAnsi="Arial" w:eastAsia="Arial" w:cs="Arial"/>
          <w:noProof w:val="0"/>
          <w:sz w:val="22"/>
          <w:szCs w:val="22"/>
          <w:lang w:val="es-ES"/>
        </w:rPr>
        <w:t>el modelo sobre el cual se estiman los subsidios a la oferta que se les paga a las empresas de colectivos</w:t>
      </w:r>
      <w:r w:rsidRPr="40659634" w:rsidR="40659634">
        <w:rPr>
          <w:rFonts w:ascii="Arial" w:hAnsi="Arial" w:eastAsia="Arial" w:cs="Arial"/>
          <w:noProof w:val="0"/>
          <w:sz w:val="22"/>
          <w:szCs w:val="22"/>
          <w:lang w:val="es-AR"/>
        </w:rPr>
        <w:t>; y (ii) un proyecto de apoyo en el diseño de las tarifas técnicas a jurisdicciones que forman parte de la red SUBE y que financian con recursos propios descuentos sociales en sus tarifas de transporte público automotor.</w:t>
      </w:r>
    </w:p>
    <w:bookmarkEnd w:id="3"/>
    <w:p w:rsidR="40659634" w:rsidP="40659634" w:rsidRDefault="40659634" w14:paraId="230D7130">
      <w:pPr>
        <w:jc w:val="both"/>
        <w:rPr>
          <w:rFonts w:ascii="Arial" w:hAnsi="Arial" w:cs="Arial"/>
        </w:rPr>
      </w:pPr>
    </w:p>
    <w:p w:rsidRPr="009172F2" w:rsidR="00057775" w:rsidP="00057775" w:rsidRDefault="00057775" w14:paraId="265E7674" w14:textId="77777777">
      <w:pPr>
        <w:rPr>
          <w:rFonts w:ascii="Arial" w:hAnsi="Arial" w:cs="Arial"/>
        </w:rPr>
      </w:pPr>
      <w:r w:rsidRPr="009172F2">
        <w:rPr>
          <w:rFonts w:ascii="Arial" w:hAnsi="Arial" w:cs="Arial"/>
        </w:rPr>
        <w:br w:type="page"/>
      </w:r>
    </w:p>
    <w:p w:rsidRPr="009172F2" w:rsidR="004A0D16" w:rsidP="00057775" w:rsidRDefault="00F75634" w14:paraId="10F30394" w14:textId="77777777">
      <w:pPr>
        <w:pStyle w:val="Heading2"/>
        <w:rPr>
          <w:rFonts w:ascii="Arial" w:hAnsi="Arial" w:cs="Arial"/>
          <w:sz w:val="22"/>
          <w:szCs w:val="22"/>
        </w:rPr>
      </w:pPr>
      <w:r w:rsidRPr="009172F2">
        <w:rPr>
          <w:rFonts w:ascii="Arial" w:hAnsi="Arial" w:cs="Arial"/>
          <w:sz w:val="22"/>
          <w:szCs w:val="22"/>
        </w:rPr>
        <w:lastRenderedPageBreak/>
        <w:t>Cálculo</w:t>
      </w:r>
      <w:r w:rsidRPr="009172F2" w:rsidR="00057775">
        <w:rPr>
          <w:rFonts w:ascii="Arial" w:hAnsi="Arial" w:cs="Arial"/>
          <w:sz w:val="22"/>
          <w:szCs w:val="22"/>
        </w:rPr>
        <w:t xml:space="preserve"> del Financiamiento </w:t>
      </w:r>
      <w:r w:rsidRPr="009172F2">
        <w:rPr>
          <w:rFonts w:ascii="Arial" w:hAnsi="Arial" w:cs="Arial"/>
          <w:sz w:val="22"/>
          <w:szCs w:val="22"/>
        </w:rPr>
        <w:t>Climático</w:t>
      </w:r>
    </w:p>
    <w:p w:rsidRPr="009172F2" w:rsidR="00AC236F" w:rsidP="00F75634" w:rsidRDefault="00AC236F" w14:paraId="55DD0A86" w14:textId="77777777">
      <w:pPr>
        <w:rPr>
          <w:rFonts w:ascii="Arial" w:hAnsi="Arial" w:cs="Arial"/>
        </w:rPr>
      </w:pPr>
    </w:p>
    <w:p w:rsidRPr="009172F2" w:rsidR="00AC236F" w:rsidP="00F75634" w:rsidRDefault="00AC236F" w14:paraId="1BE994A4" w14:textId="77777777">
      <w:pPr>
        <w:rPr>
          <w:rFonts w:ascii="Arial" w:hAnsi="Arial" w:cs="Arial"/>
        </w:rPr>
      </w:pPr>
      <w:r w:rsidRPr="009172F2">
        <w:rPr>
          <w:rFonts w:ascii="Arial" w:hAnsi="Arial" w:cs="Arial"/>
        </w:rPr>
        <w:t>Como indica la lista positiva de mitigación en la metodología conjunta de los Bancos Multilaterales de estimación de financiamiento climático</w:t>
      </w:r>
      <w:r w:rsidRPr="009172F2">
        <w:rPr>
          <w:rStyle w:val="FootnoteReference"/>
          <w:rFonts w:ascii="Arial" w:hAnsi="Arial" w:cs="Arial"/>
        </w:rPr>
        <w:footnoteReference w:id="4"/>
      </w:r>
      <w:r w:rsidRPr="009172F2">
        <w:rPr>
          <w:rFonts w:ascii="Arial" w:hAnsi="Arial" w:cs="Arial"/>
        </w:rPr>
        <w:t xml:space="preserve"> se consideran los siguientes subcomponentes: </w:t>
      </w:r>
    </w:p>
    <w:tbl>
      <w:tblPr>
        <w:tblW w:w="9116" w:type="dxa"/>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3747"/>
        <w:gridCol w:w="1527"/>
        <w:gridCol w:w="1856"/>
        <w:gridCol w:w="1986"/>
      </w:tblGrid>
      <w:tr w:rsidRPr="00AF1124" w:rsidR="00AC236F" w:rsidTr="00AF1124" w14:paraId="1AD71394" w14:textId="77777777">
        <w:trPr>
          <w:trHeight w:val="387"/>
        </w:trPr>
        <w:tc>
          <w:tcPr>
            <w:tcW w:w="3747" w:type="dxa"/>
            <w:shd w:val="clear" w:color="auto" w:fill="D9D9D9" w:themeFill="background1" w:themeFillShade="D9"/>
            <w:tcMar>
              <w:top w:w="0" w:type="dxa"/>
              <w:left w:w="108" w:type="dxa"/>
              <w:bottom w:w="0" w:type="dxa"/>
              <w:right w:w="108" w:type="dxa"/>
            </w:tcMar>
            <w:vAlign w:val="center"/>
            <w:hideMark/>
          </w:tcPr>
          <w:p w:rsidRPr="00AF1124" w:rsidR="00AC236F" w:rsidP="00AC236F" w:rsidRDefault="00AC236F" w14:paraId="6AF828DF" w14:textId="77777777">
            <w:pPr>
              <w:spacing w:after="0" w:line="240" w:lineRule="auto"/>
              <w:jc w:val="center"/>
              <w:rPr>
                <w:rFonts w:ascii="Arial" w:hAnsi="Arial" w:cs="Arial"/>
                <w:b/>
                <w:color w:val="000000"/>
                <w:sz w:val="18"/>
                <w:szCs w:val="18"/>
              </w:rPr>
            </w:pPr>
            <w:r w:rsidRPr="00AF1124">
              <w:rPr>
                <w:rFonts w:ascii="Arial" w:hAnsi="Arial" w:cs="Arial"/>
                <w:b/>
                <w:color w:val="000000"/>
                <w:sz w:val="18"/>
                <w:szCs w:val="18"/>
              </w:rPr>
              <w:t>Componentes</w:t>
            </w:r>
          </w:p>
        </w:tc>
        <w:tc>
          <w:tcPr>
            <w:tcW w:w="1527" w:type="dxa"/>
            <w:shd w:val="clear" w:color="auto" w:fill="D9D9D9" w:themeFill="background1" w:themeFillShade="D9"/>
            <w:noWrap/>
            <w:tcMar>
              <w:top w:w="0" w:type="dxa"/>
              <w:left w:w="108" w:type="dxa"/>
              <w:bottom w:w="0" w:type="dxa"/>
              <w:right w:w="108" w:type="dxa"/>
            </w:tcMar>
            <w:vAlign w:val="center"/>
            <w:hideMark/>
          </w:tcPr>
          <w:p w:rsidRPr="00AF1124" w:rsidR="00AC236F" w:rsidP="00AC236F" w:rsidRDefault="00AC236F" w14:paraId="4D44F649" w14:textId="77777777">
            <w:pPr>
              <w:spacing w:after="0" w:line="240" w:lineRule="auto"/>
              <w:jc w:val="center"/>
              <w:rPr>
                <w:rFonts w:ascii="Arial" w:hAnsi="Arial" w:cs="Arial"/>
                <w:b/>
                <w:color w:val="000000"/>
                <w:sz w:val="18"/>
                <w:szCs w:val="18"/>
              </w:rPr>
            </w:pPr>
            <w:r w:rsidRPr="00AF1124">
              <w:rPr>
                <w:rFonts w:ascii="Arial" w:hAnsi="Arial" w:cs="Arial"/>
                <w:b/>
                <w:color w:val="000000"/>
                <w:sz w:val="18"/>
                <w:szCs w:val="18"/>
              </w:rPr>
              <w:t>Monto</w:t>
            </w:r>
          </w:p>
        </w:tc>
        <w:tc>
          <w:tcPr>
            <w:tcW w:w="3842" w:type="dxa"/>
            <w:gridSpan w:val="2"/>
            <w:shd w:val="clear" w:color="auto" w:fill="D9D9D9" w:themeFill="background1" w:themeFillShade="D9"/>
            <w:vAlign w:val="center"/>
            <w:hideMark/>
          </w:tcPr>
          <w:p w:rsidRPr="00AF1124" w:rsidR="00AC236F" w:rsidP="00AC236F" w:rsidRDefault="00AC236F" w14:paraId="69A93159" w14:textId="77777777">
            <w:pPr>
              <w:spacing w:after="0" w:line="240" w:lineRule="auto"/>
              <w:jc w:val="center"/>
              <w:rPr>
                <w:rFonts w:ascii="Arial" w:hAnsi="Arial" w:cs="Arial"/>
                <w:b/>
                <w:color w:val="000000"/>
                <w:sz w:val="18"/>
                <w:szCs w:val="18"/>
              </w:rPr>
            </w:pPr>
            <w:r w:rsidRPr="00AF1124">
              <w:rPr>
                <w:rFonts w:ascii="Arial" w:hAnsi="Arial" w:cs="Arial"/>
                <w:b/>
                <w:color w:val="000000"/>
                <w:sz w:val="18"/>
                <w:szCs w:val="18"/>
              </w:rPr>
              <w:t>Financiamiento climático</w:t>
            </w:r>
          </w:p>
        </w:tc>
      </w:tr>
      <w:tr w:rsidRPr="00AF1124" w:rsidR="00503F3D" w:rsidTr="00AF1124" w14:paraId="67A8CBC3" w14:textId="77777777">
        <w:trPr>
          <w:trHeight w:val="864"/>
        </w:trPr>
        <w:tc>
          <w:tcPr>
            <w:tcW w:w="3747" w:type="dxa"/>
            <w:tcMar>
              <w:top w:w="0" w:type="dxa"/>
              <w:left w:w="108" w:type="dxa"/>
              <w:bottom w:w="0" w:type="dxa"/>
              <w:right w:w="108" w:type="dxa"/>
            </w:tcMar>
            <w:vAlign w:val="center"/>
            <w:hideMark/>
          </w:tcPr>
          <w:p w:rsidRPr="00AF1124" w:rsidR="00503F3D" w:rsidP="00AC236F" w:rsidRDefault="00503F3D" w14:paraId="4816CBFD" w14:textId="77777777">
            <w:pPr>
              <w:spacing w:after="0" w:line="240" w:lineRule="auto"/>
              <w:rPr>
                <w:rFonts w:ascii="Arial" w:hAnsi="Arial" w:cs="Arial"/>
                <w:b/>
                <w:bCs/>
                <w:color w:val="000000"/>
                <w:sz w:val="18"/>
                <w:szCs w:val="18"/>
                <w:lang w:val="es-AR"/>
              </w:rPr>
            </w:pPr>
            <w:r w:rsidRPr="00AF1124">
              <w:rPr>
                <w:rFonts w:ascii="Arial" w:hAnsi="Arial" w:cs="Arial"/>
                <w:b/>
                <w:bCs/>
                <w:color w:val="000000"/>
                <w:sz w:val="18"/>
                <w:szCs w:val="18"/>
                <w:lang w:val="es-AR"/>
              </w:rPr>
              <w:t>Componente 1. Empleabilidad de beneficiarios de programas de protección social</w:t>
            </w:r>
          </w:p>
        </w:tc>
        <w:tc>
          <w:tcPr>
            <w:tcW w:w="1527" w:type="dxa"/>
            <w:noWrap/>
            <w:tcMar>
              <w:top w:w="0" w:type="dxa"/>
              <w:left w:w="108" w:type="dxa"/>
              <w:bottom w:w="0" w:type="dxa"/>
              <w:right w:w="108" w:type="dxa"/>
            </w:tcMar>
            <w:vAlign w:val="center"/>
            <w:hideMark/>
          </w:tcPr>
          <w:p w:rsidRPr="00AF1124" w:rsidR="00503F3D" w:rsidP="00AC236F" w:rsidRDefault="00F956DD" w14:paraId="2D9C7DBB" w14:textId="77777777">
            <w:pPr>
              <w:spacing w:after="0" w:line="240" w:lineRule="auto"/>
              <w:jc w:val="center"/>
              <w:rPr>
                <w:rFonts w:ascii="Arial" w:hAnsi="Arial" w:cs="Arial"/>
                <w:b/>
                <w:bCs/>
                <w:color w:val="000000"/>
                <w:sz w:val="18"/>
                <w:szCs w:val="18"/>
                <w:lang w:val="en-US"/>
              </w:rPr>
            </w:pPr>
            <w:r w:rsidRPr="00AF1124">
              <w:rPr>
                <w:rFonts w:ascii="Arial" w:hAnsi="Arial" w:cs="Arial"/>
                <w:b/>
                <w:bCs/>
                <w:color w:val="000000"/>
                <w:sz w:val="18"/>
                <w:szCs w:val="18"/>
              </w:rPr>
              <w:t>$ 395</w:t>
            </w:r>
            <w:r w:rsidRPr="00AF1124" w:rsidR="002D3F1E">
              <w:rPr>
                <w:rFonts w:ascii="Arial" w:hAnsi="Arial" w:cs="Arial"/>
                <w:b/>
                <w:bCs/>
                <w:color w:val="000000"/>
                <w:sz w:val="18"/>
                <w:szCs w:val="18"/>
              </w:rPr>
              <w:t>,</w:t>
            </w:r>
            <w:r w:rsidRPr="00AF1124">
              <w:rPr>
                <w:rFonts w:ascii="Arial" w:hAnsi="Arial" w:cs="Arial"/>
                <w:b/>
                <w:bCs/>
                <w:color w:val="000000"/>
                <w:sz w:val="18"/>
                <w:szCs w:val="18"/>
              </w:rPr>
              <w:t>500</w:t>
            </w:r>
            <w:r w:rsidRPr="00AF1124" w:rsidR="002D3F1E">
              <w:rPr>
                <w:rFonts w:ascii="Arial" w:hAnsi="Arial" w:cs="Arial"/>
                <w:b/>
                <w:bCs/>
                <w:color w:val="000000"/>
                <w:sz w:val="18"/>
                <w:szCs w:val="18"/>
              </w:rPr>
              <w:t>,</w:t>
            </w:r>
            <w:r w:rsidRPr="00AF1124">
              <w:rPr>
                <w:rFonts w:ascii="Arial" w:hAnsi="Arial" w:cs="Arial"/>
                <w:b/>
                <w:bCs/>
                <w:color w:val="000000"/>
                <w:sz w:val="18"/>
                <w:szCs w:val="18"/>
              </w:rPr>
              <w:t>000</w:t>
            </w:r>
          </w:p>
        </w:tc>
        <w:tc>
          <w:tcPr>
            <w:tcW w:w="1856" w:type="dxa"/>
            <w:vAlign w:val="center"/>
          </w:tcPr>
          <w:p w:rsidRPr="00AF1124" w:rsidR="00503F3D" w:rsidP="00AC236F" w:rsidRDefault="00D91F23" w14:paraId="67903A16" w14:textId="77777777">
            <w:pPr>
              <w:spacing w:after="0" w:line="240" w:lineRule="auto"/>
              <w:jc w:val="center"/>
              <w:rPr>
                <w:rFonts w:ascii="Arial" w:hAnsi="Arial" w:cs="Arial"/>
                <w:b/>
                <w:bCs/>
                <w:color w:val="000000"/>
                <w:sz w:val="18"/>
                <w:szCs w:val="18"/>
              </w:rPr>
            </w:pPr>
            <w:r w:rsidRPr="00AF1124">
              <w:rPr>
                <w:rFonts w:ascii="Arial" w:hAnsi="Arial" w:cs="Arial"/>
                <w:b/>
                <w:color w:val="000000"/>
                <w:sz w:val="18"/>
                <w:szCs w:val="18"/>
              </w:rPr>
              <w:t>$</w:t>
            </w:r>
            <w:r w:rsidRPr="00AF1124" w:rsidR="002D3F1E">
              <w:rPr>
                <w:rFonts w:ascii="Arial" w:hAnsi="Arial" w:cs="Arial"/>
                <w:b/>
                <w:color w:val="000000"/>
                <w:sz w:val="18"/>
                <w:szCs w:val="18"/>
              </w:rPr>
              <w:t>13,790,000</w:t>
            </w:r>
          </w:p>
        </w:tc>
        <w:tc>
          <w:tcPr>
            <w:tcW w:w="1986" w:type="dxa"/>
            <w:vAlign w:val="center"/>
          </w:tcPr>
          <w:p w:rsidRPr="00AF1124" w:rsidR="00503F3D" w:rsidP="00AC236F" w:rsidRDefault="00503F3D" w14:paraId="23113EF4" w14:textId="77777777">
            <w:pPr>
              <w:spacing w:after="0" w:line="240" w:lineRule="auto"/>
              <w:jc w:val="center"/>
              <w:rPr>
                <w:rFonts w:ascii="Arial" w:hAnsi="Arial" w:cs="Arial"/>
                <w:color w:val="000000"/>
                <w:sz w:val="18"/>
                <w:szCs w:val="18"/>
              </w:rPr>
            </w:pPr>
          </w:p>
        </w:tc>
      </w:tr>
      <w:tr w:rsidRPr="00AF1124" w:rsidR="00503F3D" w:rsidTr="00AF1124" w14:paraId="003ADABA" w14:textId="77777777">
        <w:trPr>
          <w:trHeight w:val="775"/>
        </w:trPr>
        <w:tc>
          <w:tcPr>
            <w:tcW w:w="3747" w:type="dxa"/>
            <w:shd w:val="clear" w:color="auto" w:fill="E2EFD9" w:themeFill="accent6" w:themeFillTint="33"/>
            <w:tcMar>
              <w:top w:w="0" w:type="dxa"/>
              <w:left w:w="108" w:type="dxa"/>
              <w:bottom w:w="0" w:type="dxa"/>
              <w:right w:w="108" w:type="dxa"/>
            </w:tcMar>
            <w:vAlign w:val="center"/>
            <w:hideMark/>
          </w:tcPr>
          <w:p w:rsidRPr="00AF1124" w:rsidR="00503F3D" w:rsidP="00AC236F" w:rsidRDefault="00503F3D" w14:paraId="519DEFB9" w14:textId="77777777">
            <w:pPr>
              <w:spacing w:after="0" w:line="240" w:lineRule="auto"/>
              <w:rPr>
                <w:rFonts w:ascii="Arial" w:hAnsi="Arial" w:cs="Arial"/>
                <w:color w:val="000000"/>
                <w:sz w:val="18"/>
                <w:szCs w:val="18"/>
                <w:lang w:val="es-AR"/>
              </w:rPr>
            </w:pPr>
            <w:r w:rsidRPr="00AF1124">
              <w:rPr>
                <w:rFonts w:ascii="Arial" w:hAnsi="Arial" w:cs="Arial"/>
                <w:color w:val="000000"/>
                <w:sz w:val="18"/>
                <w:szCs w:val="18"/>
                <w:lang w:val="es-AR"/>
              </w:rPr>
              <w:t>Subcomponente 1.1. Apoyo al ingreso con contraprestación en formación de capital humano</w:t>
            </w:r>
          </w:p>
        </w:tc>
        <w:tc>
          <w:tcPr>
            <w:tcW w:w="1527" w:type="dxa"/>
            <w:shd w:val="clear" w:color="auto" w:fill="E2EFD9" w:themeFill="accent6" w:themeFillTint="33"/>
            <w:noWrap/>
            <w:tcMar>
              <w:top w:w="0" w:type="dxa"/>
              <w:left w:w="108" w:type="dxa"/>
              <w:bottom w:w="0" w:type="dxa"/>
              <w:right w:w="108" w:type="dxa"/>
            </w:tcMar>
            <w:vAlign w:val="center"/>
            <w:hideMark/>
          </w:tcPr>
          <w:p w:rsidRPr="00AF1124" w:rsidR="00503F3D" w:rsidP="00AC236F" w:rsidRDefault="00503F3D" w14:paraId="33027E06" w14:textId="77777777">
            <w:pPr>
              <w:spacing w:after="0" w:line="240" w:lineRule="auto"/>
              <w:jc w:val="center"/>
              <w:rPr>
                <w:rFonts w:ascii="Arial" w:hAnsi="Arial" w:cs="Arial"/>
                <w:color w:val="000000"/>
                <w:sz w:val="18"/>
                <w:szCs w:val="18"/>
                <w:lang w:val="en-US"/>
              </w:rPr>
            </w:pPr>
            <w:r w:rsidRPr="00AF1124">
              <w:rPr>
                <w:rFonts w:ascii="Arial" w:hAnsi="Arial" w:cs="Arial"/>
                <w:color w:val="000000"/>
                <w:sz w:val="18"/>
                <w:szCs w:val="18"/>
              </w:rPr>
              <w:t>$ </w:t>
            </w:r>
            <w:r w:rsidRPr="00AF1124" w:rsidR="002D3F1E">
              <w:rPr>
                <w:rFonts w:ascii="Arial" w:hAnsi="Arial" w:cs="Arial"/>
                <w:color w:val="000000"/>
                <w:sz w:val="18"/>
                <w:szCs w:val="18"/>
              </w:rPr>
              <w:t>394,000,000</w:t>
            </w:r>
          </w:p>
        </w:tc>
        <w:tc>
          <w:tcPr>
            <w:tcW w:w="1856" w:type="dxa"/>
            <w:shd w:val="clear" w:color="auto" w:fill="E2EFD9" w:themeFill="accent6" w:themeFillTint="33"/>
            <w:vAlign w:val="center"/>
          </w:tcPr>
          <w:p w:rsidRPr="00AF1124" w:rsidR="00503F3D" w:rsidP="00AC236F" w:rsidRDefault="00503F3D" w14:paraId="01A982A7" w14:textId="77777777">
            <w:pPr>
              <w:spacing w:after="0" w:line="240" w:lineRule="auto"/>
              <w:jc w:val="center"/>
              <w:rPr>
                <w:rFonts w:ascii="Arial" w:hAnsi="Arial" w:cs="Arial"/>
                <w:color w:val="000000"/>
                <w:sz w:val="18"/>
                <w:szCs w:val="18"/>
              </w:rPr>
            </w:pPr>
            <w:r w:rsidRPr="00AF1124">
              <w:rPr>
                <w:rFonts w:ascii="Arial" w:hAnsi="Arial" w:cs="Arial"/>
                <w:color w:val="000000"/>
                <w:sz w:val="18"/>
                <w:szCs w:val="18"/>
              </w:rPr>
              <w:t>(</w:t>
            </w:r>
            <w:r w:rsidRPr="00AF1124" w:rsidR="002D3F1E">
              <w:rPr>
                <w:rFonts w:ascii="Arial" w:hAnsi="Arial" w:cs="Arial"/>
                <w:color w:val="000000"/>
                <w:sz w:val="18"/>
                <w:szCs w:val="18"/>
              </w:rPr>
              <w:t>$ 394,000,000</w:t>
            </w:r>
            <w:r w:rsidRPr="00AF1124">
              <w:rPr>
                <w:rFonts w:ascii="Arial" w:hAnsi="Arial" w:cs="Arial"/>
                <w:color w:val="000000"/>
                <w:sz w:val="18"/>
                <w:szCs w:val="18"/>
              </w:rPr>
              <w:t>*0.</w:t>
            </w:r>
            <w:r w:rsidRPr="00AF1124" w:rsidR="00D91F23">
              <w:rPr>
                <w:rFonts w:ascii="Arial" w:hAnsi="Arial" w:cs="Arial"/>
                <w:color w:val="000000"/>
                <w:sz w:val="18"/>
                <w:szCs w:val="18"/>
              </w:rPr>
              <w:t>035</w:t>
            </w:r>
            <w:r w:rsidRPr="00AF1124">
              <w:rPr>
                <w:rFonts w:ascii="Arial" w:hAnsi="Arial" w:cs="Arial"/>
                <w:color w:val="000000"/>
                <w:sz w:val="18"/>
                <w:szCs w:val="18"/>
              </w:rPr>
              <w:t xml:space="preserve">) = </w:t>
            </w:r>
            <w:r w:rsidRPr="00AF1124" w:rsidR="00D91F23">
              <w:rPr>
                <w:rFonts w:ascii="Arial" w:hAnsi="Arial" w:cs="Arial"/>
                <w:color w:val="000000"/>
                <w:sz w:val="18"/>
                <w:szCs w:val="18"/>
              </w:rPr>
              <w:t>$</w:t>
            </w:r>
            <w:r w:rsidRPr="00AF1124" w:rsidR="002D3F1E">
              <w:rPr>
                <w:rFonts w:ascii="Arial" w:hAnsi="Arial" w:cs="Arial"/>
                <w:color w:val="000000"/>
                <w:sz w:val="18"/>
                <w:szCs w:val="18"/>
              </w:rPr>
              <w:t>137,90,000</w:t>
            </w:r>
          </w:p>
        </w:tc>
        <w:tc>
          <w:tcPr>
            <w:tcW w:w="1986" w:type="dxa"/>
            <w:shd w:val="clear" w:color="auto" w:fill="E2EFD9" w:themeFill="accent6" w:themeFillTint="33"/>
            <w:vAlign w:val="center"/>
          </w:tcPr>
          <w:p w:rsidRPr="00AF1124" w:rsidR="00503F3D" w:rsidP="00AC236F" w:rsidRDefault="00503F3D" w14:paraId="5F05E54E" w14:textId="77777777">
            <w:pPr>
              <w:spacing w:after="0" w:line="240" w:lineRule="auto"/>
              <w:jc w:val="center"/>
              <w:rPr>
                <w:rFonts w:ascii="Arial" w:hAnsi="Arial" w:cs="Arial"/>
                <w:color w:val="000000"/>
                <w:sz w:val="18"/>
                <w:szCs w:val="18"/>
              </w:rPr>
            </w:pPr>
            <w:r w:rsidRPr="00AF1124">
              <w:rPr>
                <w:rFonts w:ascii="Arial" w:hAnsi="Arial" w:cs="Arial"/>
                <w:color w:val="000000"/>
                <w:sz w:val="18"/>
                <w:szCs w:val="18"/>
              </w:rPr>
              <w:t>100%</w:t>
            </w:r>
            <w:r w:rsidRPr="00AF1124" w:rsidR="006D0E11">
              <w:rPr>
                <w:rFonts w:ascii="Arial" w:hAnsi="Arial" w:cs="Arial"/>
                <w:color w:val="000000"/>
                <w:sz w:val="18"/>
                <w:szCs w:val="18"/>
              </w:rPr>
              <w:t xml:space="preserve"> </w:t>
            </w:r>
            <w:r w:rsidRPr="00AF1124">
              <w:rPr>
                <w:rFonts w:ascii="Arial" w:hAnsi="Arial" w:cs="Arial"/>
                <w:color w:val="000000"/>
                <w:sz w:val="18"/>
                <w:szCs w:val="18"/>
              </w:rPr>
              <w:t>Mitigación Capacitaciones en empleos verdes</w:t>
            </w:r>
          </w:p>
        </w:tc>
      </w:tr>
      <w:tr w:rsidRPr="00AF1124" w:rsidR="00503F3D" w:rsidTr="00AF1124" w14:paraId="0428DDC9" w14:textId="77777777">
        <w:trPr>
          <w:trHeight w:val="775"/>
        </w:trPr>
        <w:tc>
          <w:tcPr>
            <w:tcW w:w="3747" w:type="dxa"/>
            <w:tcMar>
              <w:top w:w="0" w:type="dxa"/>
              <w:left w:w="108" w:type="dxa"/>
              <w:bottom w:w="0" w:type="dxa"/>
              <w:right w:w="108" w:type="dxa"/>
            </w:tcMar>
            <w:hideMark/>
          </w:tcPr>
          <w:p w:rsidRPr="00AF1124" w:rsidR="00503F3D" w:rsidP="00AC236F" w:rsidRDefault="00503F3D" w14:paraId="6CE5B409" w14:textId="77777777">
            <w:pPr>
              <w:spacing w:after="0" w:line="240" w:lineRule="auto"/>
              <w:jc w:val="both"/>
              <w:rPr>
                <w:rFonts w:ascii="Arial" w:hAnsi="Arial" w:cs="Arial"/>
                <w:color w:val="000000"/>
                <w:sz w:val="18"/>
                <w:szCs w:val="18"/>
                <w:lang w:val="es-AR"/>
              </w:rPr>
            </w:pPr>
            <w:r w:rsidRPr="00AF1124">
              <w:rPr>
                <w:rFonts w:ascii="Arial" w:hAnsi="Arial" w:cs="Arial"/>
                <w:color w:val="000000"/>
                <w:sz w:val="18"/>
                <w:szCs w:val="18"/>
                <w:lang w:val="es-AR"/>
              </w:rPr>
              <w:t>Subcomponente 1.2. Gestión de la información de programas de ingreso con contraprestación en inversión en capital humano</w:t>
            </w:r>
          </w:p>
        </w:tc>
        <w:tc>
          <w:tcPr>
            <w:tcW w:w="1527" w:type="dxa"/>
            <w:noWrap/>
            <w:tcMar>
              <w:top w:w="0" w:type="dxa"/>
              <w:left w:w="108" w:type="dxa"/>
              <w:bottom w:w="0" w:type="dxa"/>
              <w:right w:w="108" w:type="dxa"/>
            </w:tcMar>
            <w:vAlign w:val="center"/>
            <w:hideMark/>
          </w:tcPr>
          <w:p w:rsidRPr="00AF1124" w:rsidR="00503F3D" w:rsidP="00AC236F" w:rsidRDefault="00503F3D" w14:paraId="4338AC64" w14:textId="77777777">
            <w:pPr>
              <w:spacing w:after="0" w:line="240" w:lineRule="auto"/>
              <w:jc w:val="center"/>
              <w:rPr>
                <w:rFonts w:ascii="Arial" w:hAnsi="Arial" w:cs="Arial"/>
                <w:color w:val="000000"/>
                <w:sz w:val="18"/>
                <w:szCs w:val="18"/>
                <w:lang w:val="en-US"/>
              </w:rPr>
            </w:pPr>
            <w:r w:rsidRPr="00AF1124">
              <w:rPr>
                <w:rFonts w:ascii="Arial" w:hAnsi="Arial" w:cs="Arial"/>
                <w:color w:val="000000"/>
                <w:sz w:val="18"/>
                <w:szCs w:val="18"/>
              </w:rPr>
              <w:t>$ </w:t>
            </w:r>
            <w:r w:rsidRPr="00AF1124" w:rsidR="002D3F1E">
              <w:rPr>
                <w:rFonts w:ascii="Arial" w:hAnsi="Arial" w:cs="Arial"/>
                <w:color w:val="000000"/>
                <w:sz w:val="18"/>
                <w:szCs w:val="18"/>
              </w:rPr>
              <w:t>1,500,000</w:t>
            </w:r>
          </w:p>
        </w:tc>
        <w:tc>
          <w:tcPr>
            <w:tcW w:w="1856" w:type="dxa"/>
            <w:vAlign w:val="center"/>
          </w:tcPr>
          <w:p w:rsidRPr="00AF1124" w:rsidR="00503F3D" w:rsidP="00AC236F" w:rsidRDefault="00503F3D" w14:paraId="703A4893" w14:textId="77777777">
            <w:pPr>
              <w:spacing w:after="0" w:line="240" w:lineRule="auto"/>
              <w:jc w:val="center"/>
              <w:rPr>
                <w:rFonts w:ascii="Arial" w:hAnsi="Arial" w:cs="Arial"/>
                <w:color w:val="000000"/>
                <w:sz w:val="18"/>
                <w:szCs w:val="18"/>
              </w:rPr>
            </w:pPr>
            <w:r w:rsidRPr="00AF1124">
              <w:rPr>
                <w:rFonts w:ascii="Arial" w:hAnsi="Arial" w:cs="Arial"/>
                <w:color w:val="000000"/>
                <w:sz w:val="18"/>
                <w:szCs w:val="18"/>
              </w:rPr>
              <w:t>0</w:t>
            </w:r>
          </w:p>
        </w:tc>
        <w:tc>
          <w:tcPr>
            <w:tcW w:w="1986" w:type="dxa"/>
            <w:vAlign w:val="center"/>
          </w:tcPr>
          <w:p w:rsidRPr="00AF1124" w:rsidR="00503F3D" w:rsidP="00AC236F" w:rsidRDefault="00503F3D" w14:paraId="06FF1DDA" w14:textId="77777777">
            <w:pPr>
              <w:spacing w:after="0" w:line="240" w:lineRule="auto"/>
              <w:jc w:val="center"/>
              <w:rPr>
                <w:rFonts w:ascii="Arial" w:hAnsi="Arial" w:cs="Arial"/>
                <w:color w:val="000000"/>
                <w:sz w:val="18"/>
                <w:szCs w:val="18"/>
              </w:rPr>
            </w:pPr>
          </w:p>
        </w:tc>
      </w:tr>
      <w:tr w:rsidRPr="00AF1124" w:rsidR="00503F3D" w:rsidTr="00AF1124" w14:paraId="45B653CE" w14:textId="77777777">
        <w:trPr>
          <w:trHeight w:val="631"/>
        </w:trPr>
        <w:tc>
          <w:tcPr>
            <w:tcW w:w="3747" w:type="dxa"/>
            <w:tcMar>
              <w:top w:w="0" w:type="dxa"/>
              <w:left w:w="108" w:type="dxa"/>
              <w:bottom w:w="0" w:type="dxa"/>
              <w:right w:w="108" w:type="dxa"/>
            </w:tcMar>
            <w:vAlign w:val="center"/>
            <w:hideMark/>
          </w:tcPr>
          <w:p w:rsidRPr="00AF1124" w:rsidR="00503F3D" w:rsidP="00AC236F" w:rsidRDefault="00503F3D" w14:paraId="2ED1143B" w14:textId="77777777">
            <w:pPr>
              <w:spacing w:after="0" w:line="240" w:lineRule="auto"/>
              <w:rPr>
                <w:rFonts w:ascii="Arial" w:hAnsi="Arial" w:cs="Arial"/>
                <w:b/>
                <w:bCs/>
                <w:color w:val="000000"/>
                <w:sz w:val="18"/>
                <w:szCs w:val="18"/>
                <w:lang w:val="es-AR"/>
              </w:rPr>
            </w:pPr>
            <w:r w:rsidRPr="00AF1124">
              <w:rPr>
                <w:rFonts w:ascii="Arial" w:hAnsi="Arial" w:cs="Arial"/>
                <w:b/>
                <w:bCs/>
                <w:color w:val="000000"/>
                <w:sz w:val="18"/>
                <w:szCs w:val="18"/>
                <w:lang w:val="es-AR"/>
              </w:rPr>
              <w:t xml:space="preserve">Componente 2. </w:t>
            </w:r>
            <w:proofErr w:type="spellStart"/>
            <w:r w:rsidRPr="00AF1124" w:rsidR="00F956DD">
              <w:rPr>
                <w:rFonts w:ascii="Arial" w:hAnsi="Arial" w:cs="Arial"/>
                <w:b/>
                <w:bCs/>
                <w:color w:val="000000"/>
                <w:sz w:val="18"/>
                <w:szCs w:val="18"/>
                <w:lang w:val="es-AR"/>
              </w:rPr>
              <w:t>Terminalidad</w:t>
            </w:r>
            <w:proofErr w:type="spellEnd"/>
            <w:r w:rsidRPr="00AF1124" w:rsidR="00F956DD">
              <w:rPr>
                <w:rFonts w:ascii="Arial" w:hAnsi="Arial" w:cs="Arial"/>
                <w:b/>
                <w:bCs/>
                <w:color w:val="000000"/>
                <w:sz w:val="18"/>
                <w:szCs w:val="18"/>
                <w:lang w:val="es-AR"/>
              </w:rPr>
              <w:t xml:space="preserve"> educativa de jóvenes de familias vulnerables</w:t>
            </w:r>
          </w:p>
        </w:tc>
        <w:tc>
          <w:tcPr>
            <w:tcW w:w="1527" w:type="dxa"/>
            <w:noWrap/>
            <w:tcMar>
              <w:top w:w="0" w:type="dxa"/>
              <w:left w:w="108" w:type="dxa"/>
              <w:bottom w:w="0" w:type="dxa"/>
              <w:right w:w="108" w:type="dxa"/>
            </w:tcMar>
            <w:vAlign w:val="center"/>
            <w:hideMark/>
          </w:tcPr>
          <w:p w:rsidRPr="00AF1124" w:rsidR="00503F3D" w:rsidP="00AC236F" w:rsidRDefault="00503F3D" w14:paraId="2601D55B" w14:textId="77777777">
            <w:pPr>
              <w:spacing w:after="0" w:line="240" w:lineRule="auto"/>
              <w:jc w:val="center"/>
              <w:rPr>
                <w:rFonts w:ascii="Arial" w:hAnsi="Arial" w:cs="Arial"/>
                <w:b/>
                <w:bCs/>
                <w:color w:val="000000"/>
                <w:sz w:val="18"/>
                <w:szCs w:val="18"/>
                <w:lang w:val="en-US"/>
              </w:rPr>
            </w:pPr>
            <w:r w:rsidRPr="00AF1124">
              <w:rPr>
                <w:rFonts w:ascii="Arial" w:hAnsi="Arial" w:cs="Arial"/>
                <w:b/>
                <w:bCs/>
                <w:color w:val="000000"/>
                <w:sz w:val="18"/>
                <w:szCs w:val="18"/>
              </w:rPr>
              <w:t>$ </w:t>
            </w:r>
            <w:r w:rsidRPr="00AF1124" w:rsidR="002D3F1E">
              <w:rPr>
                <w:rFonts w:ascii="Arial" w:hAnsi="Arial" w:cs="Arial"/>
                <w:b/>
                <w:bCs/>
                <w:color w:val="000000"/>
                <w:sz w:val="18"/>
                <w:szCs w:val="18"/>
              </w:rPr>
              <w:t>475,000</w:t>
            </w:r>
          </w:p>
        </w:tc>
        <w:tc>
          <w:tcPr>
            <w:tcW w:w="1856" w:type="dxa"/>
            <w:vAlign w:val="center"/>
          </w:tcPr>
          <w:p w:rsidRPr="00AF1124" w:rsidR="00503F3D" w:rsidP="00AC236F" w:rsidRDefault="00503F3D" w14:paraId="2F62C732" w14:textId="77777777">
            <w:pPr>
              <w:spacing w:after="0" w:line="240" w:lineRule="auto"/>
              <w:jc w:val="center"/>
              <w:rPr>
                <w:rFonts w:ascii="Arial" w:hAnsi="Arial" w:cs="Arial"/>
                <w:b/>
                <w:bCs/>
                <w:color w:val="000000"/>
                <w:sz w:val="18"/>
                <w:szCs w:val="18"/>
              </w:rPr>
            </w:pPr>
            <w:r w:rsidRPr="00AF1124">
              <w:rPr>
                <w:rFonts w:ascii="Arial" w:hAnsi="Arial" w:cs="Arial"/>
                <w:b/>
                <w:bCs/>
                <w:color w:val="000000"/>
                <w:sz w:val="18"/>
                <w:szCs w:val="18"/>
              </w:rPr>
              <w:t>0</w:t>
            </w:r>
          </w:p>
          <w:p w:rsidRPr="00AF1124" w:rsidR="00503F3D" w:rsidP="00AC236F" w:rsidRDefault="00503F3D" w14:paraId="7B809969" w14:textId="77777777">
            <w:pPr>
              <w:spacing w:after="0" w:line="240" w:lineRule="auto"/>
              <w:jc w:val="center"/>
              <w:rPr>
                <w:rFonts w:ascii="Arial" w:hAnsi="Arial" w:cs="Arial"/>
                <w:b/>
                <w:bCs/>
                <w:color w:val="000000"/>
                <w:sz w:val="18"/>
                <w:szCs w:val="18"/>
              </w:rPr>
            </w:pPr>
          </w:p>
        </w:tc>
        <w:tc>
          <w:tcPr>
            <w:tcW w:w="1986" w:type="dxa"/>
            <w:vAlign w:val="center"/>
          </w:tcPr>
          <w:p w:rsidRPr="00AF1124" w:rsidR="00503F3D" w:rsidP="00AC236F" w:rsidRDefault="00503F3D" w14:paraId="0F8A3F98" w14:textId="77777777">
            <w:pPr>
              <w:spacing w:after="0" w:line="240" w:lineRule="auto"/>
              <w:jc w:val="center"/>
              <w:rPr>
                <w:rFonts w:ascii="Arial" w:hAnsi="Arial" w:cs="Arial"/>
                <w:b/>
                <w:bCs/>
                <w:color w:val="000000"/>
                <w:sz w:val="18"/>
                <w:szCs w:val="18"/>
              </w:rPr>
            </w:pPr>
          </w:p>
        </w:tc>
      </w:tr>
      <w:tr w:rsidRPr="00AF1124" w:rsidR="00503F3D" w:rsidTr="00AF1124" w14:paraId="4E875509" w14:textId="77777777">
        <w:trPr>
          <w:trHeight w:val="864"/>
        </w:trPr>
        <w:tc>
          <w:tcPr>
            <w:tcW w:w="3747" w:type="dxa"/>
            <w:tcMar>
              <w:top w:w="0" w:type="dxa"/>
              <w:left w:w="108" w:type="dxa"/>
              <w:bottom w:w="0" w:type="dxa"/>
              <w:right w:w="108" w:type="dxa"/>
            </w:tcMar>
            <w:vAlign w:val="center"/>
            <w:hideMark/>
          </w:tcPr>
          <w:p w:rsidRPr="00AF1124" w:rsidR="00503F3D" w:rsidP="00F956DD" w:rsidRDefault="00503F3D" w14:paraId="7EB9D867" w14:textId="77777777">
            <w:pPr>
              <w:spacing w:after="0" w:line="240" w:lineRule="auto"/>
              <w:rPr>
                <w:rFonts w:ascii="Arial" w:hAnsi="Arial" w:cs="Arial"/>
                <w:b/>
                <w:bCs/>
                <w:color w:val="000000"/>
                <w:sz w:val="18"/>
                <w:szCs w:val="18"/>
                <w:lang w:val="es-AR"/>
              </w:rPr>
            </w:pPr>
            <w:r w:rsidRPr="00AF1124">
              <w:rPr>
                <w:rFonts w:ascii="Arial" w:hAnsi="Arial" w:cs="Arial"/>
                <w:b/>
                <w:bCs/>
                <w:color w:val="000000"/>
                <w:sz w:val="18"/>
                <w:szCs w:val="18"/>
                <w:lang w:val="es-AR"/>
              </w:rPr>
              <w:t>Componente 3. Accesibilidad al transporte público</w:t>
            </w:r>
          </w:p>
        </w:tc>
        <w:tc>
          <w:tcPr>
            <w:tcW w:w="1527" w:type="dxa"/>
            <w:noWrap/>
            <w:tcMar>
              <w:top w:w="0" w:type="dxa"/>
              <w:left w:w="108" w:type="dxa"/>
              <w:bottom w:w="0" w:type="dxa"/>
              <w:right w:w="108" w:type="dxa"/>
            </w:tcMar>
            <w:vAlign w:val="center"/>
            <w:hideMark/>
          </w:tcPr>
          <w:p w:rsidRPr="00AF1124" w:rsidR="00503F3D" w:rsidP="00AC236F" w:rsidRDefault="00503F3D" w14:paraId="3AAFEE11" w14:textId="77777777">
            <w:pPr>
              <w:spacing w:after="0" w:line="240" w:lineRule="auto"/>
              <w:jc w:val="center"/>
              <w:rPr>
                <w:rFonts w:ascii="Arial" w:hAnsi="Arial" w:cs="Arial"/>
                <w:b/>
                <w:bCs/>
                <w:color w:val="000000"/>
                <w:sz w:val="18"/>
                <w:szCs w:val="18"/>
                <w:lang w:val="en-US"/>
              </w:rPr>
            </w:pPr>
            <w:r w:rsidRPr="00AF1124">
              <w:rPr>
                <w:rFonts w:ascii="Arial" w:hAnsi="Arial" w:cs="Arial"/>
                <w:b/>
                <w:bCs/>
                <w:color w:val="000000"/>
                <w:sz w:val="18"/>
                <w:szCs w:val="18"/>
              </w:rPr>
              <w:t>$ </w:t>
            </w:r>
            <w:r w:rsidRPr="00AF1124" w:rsidR="002D3F1E">
              <w:rPr>
                <w:rFonts w:ascii="Arial" w:hAnsi="Arial" w:cs="Arial"/>
                <w:b/>
                <w:bCs/>
                <w:color w:val="000000"/>
                <w:sz w:val="18"/>
                <w:szCs w:val="18"/>
              </w:rPr>
              <w:t>203.500.000</w:t>
            </w:r>
          </w:p>
        </w:tc>
        <w:tc>
          <w:tcPr>
            <w:tcW w:w="1856" w:type="dxa"/>
            <w:vAlign w:val="center"/>
          </w:tcPr>
          <w:p w:rsidRPr="00AF1124" w:rsidR="00503F3D" w:rsidP="00AC236F" w:rsidRDefault="00503F3D" w14:paraId="0A4CC564" w14:textId="77777777">
            <w:pPr>
              <w:spacing w:after="0" w:line="240" w:lineRule="auto"/>
              <w:jc w:val="center"/>
              <w:rPr>
                <w:rFonts w:ascii="Arial" w:hAnsi="Arial" w:cs="Arial"/>
                <w:b/>
                <w:bCs/>
                <w:color w:val="000000"/>
                <w:sz w:val="18"/>
                <w:szCs w:val="18"/>
              </w:rPr>
            </w:pPr>
            <w:r w:rsidRPr="00AF1124">
              <w:rPr>
                <w:rFonts w:ascii="Arial" w:hAnsi="Arial" w:cs="Arial"/>
                <w:b/>
                <w:bCs/>
                <w:color w:val="000000"/>
                <w:sz w:val="18"/>
                <w:szCs w:val="18"/>
              </w:rPr>
              <w:t xml:space="preserve">$ </w:t>
            </w:r>
            <w:r w:rsidRPr="00AF1124" w:rsidR="002D3F1E">
              <w:rPr>
                <w:rFonts w:ascii="Arial" w:hAnsi="Arial" w:cs="Arial"/>
                <w:b/>
                <w:bCs/>
                <w:color w:val="000000"/>
                <w:sz w:val="18"/>
                <w:szCs w:val="18"/>
              </w:rPr>
              <w:t>203.500.000</w:t>
            </w:r>
          </w:p>
        </w:tc>
        <w:tc>
          <w:tcPr>
            <w:tcW w:w="1986" w:type="dxa"/>
            <w:vAlign w:val="center"/>
          </w:tcPr>
          <w:p w:rsidRPr="00AF1124" w:rsidR="00503F3D" w:rsidP="00AC236F" w:rsidRDefault="00503F3D" w14:paraId="3E3D3E2F" w14:textId="77777777">
            <w:pPr>
              <w:spacing w:after="0" w:line="240" w:lineRule="auto"/>
              <w:jc w:val="center"/>
              <w:rPr>
                <w:rFonts w:ascii="Arial" w:hAnsi="Arial" w:cs="Arial"/>
                <w:b/>
                <w:bCs/>
                <w:color w:val="000000"/>
                <w:sz w:val="18"/>
                <w:szCs w:val="18"/>
              </w:rPr>
            </w:pPr>
          </w:p>
        </w:tc>
      </w:tr>
      <w:tr w:rsidRPr="00AF1124" w:rsidR="00503F3D" w:rsidTr="00AF1124" w14:paraId="03A57709" w14:textId="77777777">
        <w:trPr>
          <w:trHeight w:val="739"/>
        </w:trPr>
        <w:tc>
          <w:tcPr>
            <w:tcW w:w="3747" w:type="dxa"/>
            <w:shd w:val="clear" w:color="auto" w:fill="E2EFD9" w:themeFill="accent6" w:themeFillTint="33"/>
            <w:tcMar>
              <w:top w:w="0" w:type="dxa"/>
              <w:left w:w="108" w:type="dxa"/>
              <w:bottom w:w="0" w:type="dxa"/>
              <w:right w:w="108" w:type="dxa"/>
            </w:tcMar>
            <w:hideMark/>
          </w:tcPr>
          <w:p w:rsidRPr="00AF1124" w:rsidR="00503F3D" w:rsidP="00AC236F" w:rsidRDefault="00503F3D" w14:paraId="38D60A72" w14:textId="77777777">
            <w:pPr>
              <w:spacing w:after="0" w:line="240" w:lineRule="auto"/>
              <w:jc w:val="both"/>
              <w:rPr>
                <w:rFonts w:ascii="Arial" w:hAnsi="Arial" w:cs="Arial"/>
                <w:color w:val="000000"/>
                <w:sz w:val="18"/>
                <w:szCs w:val="18"/>
                <w:lang w:val="es-AR"/>
              </w:rPr>
            </w:pPr>
            <w:r w:rsidRPr="00AF1124">
              <w:rPr>
                <w:rFonts w:ascii="Arial" w:hAnsi="Arial" w:cs="Arial"/>
                <w:color w:val="000000"/>
                <w:sz w:val="18"/>
                <w:szCs w:val="18"/>
                <w:lang w:val="es-AR"/>
              </w:rPr>
              <w:t>Subcomponente 3.1. Subsidio a la tarifa de transporte público focalizado en poblaciones vulnerables.</w:t>
            </w:r>
          </w:p>
        </w:tc>
        <w:tc>
          <w:tcPr>
            <w:tcW w:w="1527" w:type="dxa"/>
            <w:shd w:val="clear" w:color="auto" w:fill="E2EFD9" w:themeFill="accent6" w:themeFillTint="33"/>
            <w:noWrap/>
            <w:tcMar>
              <w:top w:w="0" w:type="dxa"/>
              <w:left w:w="108" w:type="dxa"/>
              <w:bottom w:w="0" w:type="dxa"/>
              <w:right w:w="108" w:type="dxa"/>
            </w:tcMar>
            <w:vAlign w:val="center"/>
            <w:hideMark/>
          </w:tcPr>
          <w:p w:rsidRPr="00AF1124" w:rsidR="00503F3D" w:rsidP="00AC236F" w:rsidRDefault="00503F3D" w14:paraId="065B7888" w14:textId="77777777">
            <w:pPr>
              <w:spacing w:after="0" w:line="240" w:lineRule="auto"/>
              <w:jc w:val="center"/>
              <w:rPr>
                <w:rFonts w:ascii="Arial" w:hAnsi="Arial" w:cs="Arial"/>
                <w:color w:val="000000"/>
                <w:sz w:val="18"/>
                <w:szCs w:val="18"/>
                <w:lang w:val="en-US"/>
              </w:rPr>
            </w:pPr>
            <w:r w:rsidRPr="00AF1124">
              <w:rPr>
                <w:rFonts w:ascii="Arial" w:hAnsi="Arial" w:cs="Arial"/>
                <w:color w:val="000000"/>
                <w:sz w:val="18"/>
                <w:szCs w:val="18"/>
              </w:rPr>
              <w:t>$ 2</w:t>
            </w:r>
            <w:r w:rsidRPr="00AF1124" w:rsidR="002D3F1E">
              <w:rPr>
                <w:rFonts w:ascii="Arial" w:hAnsi="Arial" w:cs="Arial"/>
                <w:color w:val="000000"/>
                <w:sz w:val="18"/>
                <w:szCs w:val="18"/>
              </w:rPr>
              <w:t>03</w:t>
            </w:r>
            <w:r w:rsidRPr="00AF1124">
              <w:rPr>
                <w:rFonts w:ascii="Arial" w:hAnsi="Arial" w:cs="Arial"/>
                <w:color w:val="000000"/>
                <w:sz w:val="18"/>
                <w:szCs w:val="18"/>
              </w:rPr>
              <w:t>,</w:t>
            </w:r>
            <w:r w:rsidRPr="00AF1124" w:rsidR="002D3F1E">
              <w:rPr>
                <w:rFonts w:ascii="Arial" w:hAnsi="Arial" w:cs="Arial"/>
                <w:color w:val="000000"/>
                <w:sz w:val="18"/>
                <w:szCs w:val="18"/>
              </w:rPr>
              <w:t>0</w:t>
            </w:r>
            <w:r w:rsidRPr="00AF1124">
              <w:rPr>
                <w:rFonts w:ascii="Arial" w:hAnsi="Arial" w:cs="Arial"/>
                <w:color w:val="000000"/>
                <w:sz w:val="18"/>
                <w:szCs w:val="18"/>
              </w:rPr>
              <w:t>00,000</w:t>
            </w:r>
          </w:p>
        </w:tc>
        <w:tc>
          <w:tcPr>
            <w:tcW w:w="1856" w:type="dxa"/>
            <w:shd w:val="clear" w:color="auto" w:fill="E2EFD9" w:themeFill="accent6" w:themeFillTint="33"/>
            <w:vAlign w:val="center"/>
          </w:tcPr>
          <w:p w:rsidRPr="00AF1124" w:rsidR="00503F3D" w:rsidP="00AC236F" w:rsidRDefault="00503F3D" w14:paraId="7E2BA6F6" w14:textId="77777777">
            <w:pPr>
              <w:spacing w:after="0" w:line="240" w:lineRule="auto"/>
              <w:jc w:val="center"/>
              <w:rPr>
                <w:rFonts w:ascii="Arial" w:hAnsi="Arial" w:cs="Arial"/>
                <w:color w:val="000000"/>
                <w:sz w:val="18"/>
                <w:szCs w:val="18"/>
                <w:lang w:val="en-US"/>
              </w:rPr>
            </w:pPr>
            <w:r w:rsidRPr="00AF1124">
              <w:rPr>
                <w:rFonts w:ascii="Arial" w:hAnsi="Arial" w:cs="Arial"/>
                <w:color w:val="000000"/>
                <w:sz w:val="18"/>
                <w:szCs w:val="18"/>
              </w:rPr>
              <w:t>$ 2</w:t>
            </w:r>
            <w:r w:rsidRPr="00AF1124" w:rsidR="002D3F1E">
              <w:rPr>
                <w:rFonts w:ascii="Arial" w:hAnsi="Arial" w:cs="Arial"/>
                <w:color w:val="000000"/>
                <w:sz w:val="18"/>
                <w:szCs w:val="18"/>
              </w:rPr>
              <w:t>03</w:t>
            </w:r>
            <w:r w:rsidRPr="00AF1124">
              <w:rPr>
                <w:rFonts w:ascii="Arial" w:hAnsi="Arial" w:cs="Arial"/>
                <w:color w:val="000000"/>
                <w:sz w:val="18"/>
                <w:szCs w:val="18"/>
              </w:rPr>
              <w:t>,</w:t>
            </w:r>
            <w:r w:rsidRPr="00AF1124" w:rsidR="002D3F1E">
              <w:rPr>
                <w:rFonts w:ascii="Arial" w:hAnsi="Arial" w:cs="Arial"/>
                <w:color w:val="000000"/>
                <w:sz w:val="18"/>
                <w:szCs w:val="18"/>
              </w:rPr>
              <w:t>0</w:t>
            </w:r>
            <w:r w:rsidRPr="00AF1124">
              <w:rPr>
                <w:rFonts w:ascii="Arial" w:hAnsi="Arial" w:cs="Arial"/>
                <w:color w:val="000000"/>
                <w:sz w:val="18"/>
                <w:szCs w:val="18"/>
              </w:rPr>
              <w:t>00,000</w:t>
            </w:r>
          </w:p>
        </w:tc>
        <w:tc>
          <w:tcPr>
            <w:tcW w:w="1986" w:type="dxa"/>
            <w:shd w:val="clear" w:color="auto" w:fill="E2EFD9" w:themeFill="accent6" w:themeFillTint="33"/>
            <w:vAlign w:val="center"/>
          </w:tcPr>
          <w:p w:rsidRPr="00AF1124" w:rsidR="00503F3D" w:rsidP="00AC236F" w:rsidRDefault="00503F3D" w14:paraId="6BB115FD" w14:textId="77777777">
            <w:pPr>
              <w:spacing w:after="0" w:line="240" w:lineRule="auto"/>
              <w:jc w:val="center"/>
              <w:rPr>
                <w:rFonts w:ascii="Arial" w:hAnsi="Arial" w:cs="Arial"/>
                <w:color w:val="000000"/>
                <w:sz w:val="18"/>
                <w:szCs w:val="18"/>
              </w:rPr>
            </w:pPr>
            <w:r w:rsidRPr="00AF1124">
              <w:rPr>
                <w:rFonts w:ascii="Arial" w:hAnsi="Arial" w:cs="Arial"/>
                <w:color w:val="000000"/>
                <w:sz w:val="18"/>
                <w:szCs w:val="18"/>
              </w:rPr>
              <w:t xml:space="preserve">100% </w:t>
            </w:r>
            <w:r w:rsidRPr="00AF1124" w:rsidR="00F75634">
              <w:rPr>
                <w:rFonts w:ascii="Arial" w:hAnsi="Arial" w:cs="Arial"/>
                <w:color w:val="000000"/>
                <w:sz w:val="18"/>
                <w:szCs w:val="18"/>
              </w:rPr>
              <w:t>Mitigación</w:t>
            </w:r>
          </w:p>
        </w:tc>
      </w:tr>
      <w:tr w:rsidRPr="00AF1124" w:rsidR="00503F3D" w:rsidTr="00AF1124" w14:paraId="529CAB13" w14:textId="77777777">
        <w:trPr>
          <w:trHeight w:val="775"/>
        </w:trPr>
        <w:tc>
          <w:tcPr>
            <w:tcW w:w="3747" w:type="dxa"/>
            <w:shd w:val="clear" w:color="auto" w:fill="E2EFD9" w:themeFill="accent6" w:themeFillTint="33"/>
            <w:tcMar>
              <w:top w:w="0" w:type="dxa"/>
              <w:left w:w="108" w:type="dxa"/>
              <w:bottom w:w="0" w:type="dxa"/>
              <w:right w:w="108" w:type="dxa"/>
            </w:tcMar>
            <w:hideMark/>
          </w:tcPr>
          <w:p w:rsidRPr="00AF1124" w:rsidR="00503F3D" w:rsidP="00AC236F" w:rsidRDefault="00503F3D" w14:paraId="7DD44BF0" w14:textId="77777777">
            <w:pPr>
              <w:spacing w:after="0" w:line="240" w:lineRule="auto"/>
              <w:jc w:val="both"/>
              <w:rPr>
                <w:rFonts w:ascii="Arial" w:hAnsi="Arial" w:cs="Arial"/>
                <w:color w:val="000000"/>
                <w:sz w:val="18"/>
                <w:szCs w:val="18"/>
                <w:lang w:val="es-AR"/>
              </w:rPr>
            </w:pPr>
            <w:bookmarkStart w:name="_Hlk5275632" w:id="4"/>
            <w:r w:rsidRPr="00AF1124">
              <w:rPr>
                <w:rFonts w:ascii="Arial" w:hAnsi="Arial" w:cs="Arial"/>
                <w:color w:val="000000"/>
                <w:sz w:val="18"/>
                <w:szCs w:val="18"/>
                <w:lang w:val="es-AR"/>
              </w:rPr>
              <w:t>Subcomponente 3.2. Gestión de la información del sistema de transporte público.</w:t>
            </w:r>
          </w:p>
        </w:tc>
        <w:tc>
          <w:tcPr>
            <w:tcW w:w="1527" w:type="dxa"/>
            <w:shd w:val="clear" w:color="auto" w:fill="E2EFD9" w:themeFill="accent6" w:themeFillTint="33"/>
            <w:noWrap/>
            <w:tcMar>
              <w:top w:w="0" w:type="dxa"/>
              <w:left w:w="108" w:type="dxa"/>
              <w:bottom w:w="0" w:type="dxa"/>
              <w:right w:w="108" w:type="dxa"/>
            </w:tcMar>
            <w:vAlign w:val="center"/>
            <w:hideMark/>
          </w:tcPr>
          <w:p w:rsidRPr="00AF1124" w:rsidR="00503F3D" w:rsidP="00AC236F" w:rsidRDefault="00503F3D" w14:paraId="547234D1" w14:textId="77777777">
            <w:pPr>
              <w:spacing w:after="0" w:line="240" w:lineRule="auto"/>
              <w:jc w:val="center"/>
              <w:rPr>
                <w:rFonts w:ascii="Arial" w:hAnsi="Arial" w:cs="Arial"/>
                <w:color w:val="000000"/>
                <w:sz w:val="18"/>
                <w:szCs w:val="18"/>
                <w:lang w:val="en-US"/>
              </w:rPr>
            </w:pPr>
            <w:r w:rsidRPr="00AF1124">
              <w:rPr>
                <w:rFonts w:ascii="Arial" w:hAnsi="Arial" w:cs="Arial"/>
                <w:color w:val="000000"/>
                <w:sz w:val="18"/>
                <w:szCs w:val="18"/>
              </w:rPr>
              <w:t>$ </w:t>
            </w:r>
            <w:r w:rsidRPr="00AF1124" w:rsidR="002D3F1E">
              <w:rPr>
                <w:rFonts w:ascii="Arial" w:hAnsi="Arial" w:cs="Arial"/>
                <w:color w:val="000000"/>
                <w:sz w:val="18"/>
                <w:szCs w:val="18"/>
              </w:rPr>
              <w:t>5</w:t>
            </w:r>
            <w:r w:rsidRPr="00AF1124">
              <w:rPr>
                <w:rFonts w:ascii="Arial" w:hAnsi="Arial" w:cs="Arial"/>
                <w:color w:val="000000"/>
                <w:sz w:val="18"/>
                <w:szCs w:val="18"/>
              </w:rPr>
              <w:t>00,000</w:t>
            </w:r>
          </w:p>
        </w:tc>
        <w:tc>
          <w:tcPr>
            <w:tcW w:w="1856" w:type="dxa"/>
            <w:shd w:val="clear" w:color="auto" w:fill="E2EFD9" w:themeFill="accent6" w:themeFillTint="33"/>
            <w:vAlign w:val="center"/>
          </w:tcPr>
          <w:p w:rsidRPr="00AF1124" w:rsidR="00503F3D" w:rsidP="00AC236F" w:rsidRDefault="00503F3D" w14:paraId="3C610EDE" w14:textId="77777777">
            <w:pPr>
              <w:spacing w:after="0" w:line="240" w:lineRule="auto"/>
              <w:jc w:val="center"/>
              <w:rPr>
                <w:rFonts w:ascii="Arial" w:hAnsi="Arial" w:cs="Arial"/>
                <w:color w:val="000000"/>
                <w:sz w:val="18"/>
                <w:szCs w:val="18"/>
                <w:lang w:val="en-US"/>
              </w:rPr>
            </w:pPr>
            <w:r w:rsidRPr="00AF1124">
              <w:rPr>
                <w:rFonts w:ascii="Arial" w:hAnsi="Arial" w:cs="Arial"/>
                <w:color w:val="000000"/>
                <w:sz w:val="18"/>
                <w:szCs w:val="18"/>
              </w:rPr>
              <w:t>$ </w:t>
            </w:r>
            <w:r w:rsidRPr="00AF1124" w:rsidR="002D3F1E">
              <w:rPr>
                <w:rFonts w:ascii="Arial" w:hAnsi="Arial" w:cs="Arial"/>
                <w:color w:val="000000"/>
                <w:sz w:val="18"/>
                <w:szCs w:val="18"/>
              </w:rPr>
              <w:t>5</w:t>
            </w:r>
            <w:r w:rsidRPr="00AF1124">
              <w:rPr>
                <w:rFonts w:ascii="Arial" w:hAnsi="Arial" w:cs="Arial"/>
                <w:color w:val="000000"/>
                <w:sz w:val="18"/>
                <w:szCs w:val="18"/>
              </w:rPr>
              <w:t>00,000</w:t>
            </w:r>
          </w:p>
        </w:tc>
        <w:tc>
          <w:tcPr>
            <w:tcW w:w="1986" w:type="dxa"/>
            <w:shd w:val="clear" w:color="auto" w:fill="E2EFD9" w:themeFill="accent6" w:themeFillTint="33"/>
            <w:vAlign w:val="center"/>
          </w:tcPr>
          <w:p w:rsidRPr="00AF1124" w:rsidR="00503F3D" w:rsidP="00AC236F" w:rsidRDefault="00503F3D" w14:paraId="7284256D" w14:textId="77777777">
            <w:pPr>
              <w:spacing w:after="0" w:line="240" w:lineRule="auto"/>
              <w:jc w:val="center"/>
              <w:rPr>
                <w:rFonts w:ascii="Arial" w:hAnsi="Arial" w:cs="Arial"/>
                <w:color w:val="000000"/>
                <w:sz w:val="18"/>
                <w:szCs w:val="18"/>
              </w:rPr>
            </w:pPr>
            <w:r w:rsidRPr="00AF1124">
              <w:rPr>
                <w:rFonts w:ascii="Arial" w:hAnsi="Arial" w:cs="Arial"/>
                <w:color w:val="000000"/>
                <w:sz w:val="18"/>
                <w:szCs w:val="18"/>
              </w:rPr>
              <w:t>100% Mitigación (estudio)</w:t>
            </w:r>
          </w:p>
        </w:tc>
      </w:tr>
      <w:bookmarkEnd w:id="4"/>
      <w:tr w:rsidRPr="00AF1124" w:rsidR="00503F3D" w:rsidTr="00AF1124" w14:paraId="27928C06" w14:textId="77777777">
        <w:trPr>
          <w:trHeight w:val="387"/>
        </w:trPr>
        <w:tc>
          <w:tcPr>
            <w:tcW w:w="3747" w:type="dxa"/>
            <w:shd w:val="clear" w:color="auto" w:fill="FFFFFF" w:themeFill="background1"/>
            <w:tcMar>
              <w:top w:w="0" w:type="dxa"/>
              <w:left w:w="108" w:type="dxa"/>
              <w:bottom w:w="0" w:type="dxa"/>
              <w:right w:w="108" w:type="dxa"/>
            </w:tcMar>
            <w:vAlign w:val="center"/>
            <w:hideMark/>
          </w:tcPr>
          <w:p w:rsidRPr="00AF1124" w:rsidR="00503F3D" w:rsidP="00AC236F" w:rsidRDefault="00503F3D" w14:paraId="5F5BE812" w14:textId="77777777">
            <w:pPr>
              <w:spacing w:after="0" w:line="240" w:lineRule="auto"/>
              <w:jc w:val="both"/>
              <w:rPr>
                <w:rFonts w:ascii="Arial" w:hAnsi="Arial" w:cs="Arial"/>
                <w:b/>
                <w:color w:val="000000"/>
                <w:sz w:val="18"/>
                <w:szCs w:val="18"/>
              </w:rPr>
            </w:pPr>
            <w:r w:rsidRPr="00AF1124">
              <w:rPr>
                <w:rFonts w:ascii="Arial" w:hAnsi="Arial" w:cs="Arial"/>
                <w:b/>
                <w:color w:val="000000"/>
                <w:sz w:val="18"/>
                <w:szCs w:val="18"/>
              </w:rPr>
              <w:t>TOTAL</w:t>
            </w:r>
          </w:p>
        </w:tc>
        <w:tc>
          <w:tcPr>
            <w:tcW w:w="1527" w:type="dxa"/>
            <w:shd w:val="clear" w:color="auto" w:fill="FFFFFF" w:themeFill="background1"/>
            <w:noWrap/>
            <w:tcMar>
              <w:top w:w="0" w:type="dxa"/>
              <w:left w:w="108" w:type="dxa"/>
              <w:bottom w:w="0" w:type="dxa"/>
              <w:right w:w="108" w:type="dxa"/>
            </w:tcMar>
            <w:vAlign w:val="center"/>
            <w:hideMark/>
          </w:tcPr>
          <w:p w:rsidRPr="00AF1124" w:rsidR="00503F3D" w:rsidP="00AC236F" w:rsidRDefault="00503F3D" w14:paraId="63E2D128" w14:textId="77777777">
            <w:pPr>
              <w:spacing w:after="0" w:line="240" w:lineRule="auto"/>
              <w:jc w:val="center"/>
              <w:rPr>
                <w:rFonts w:ascii="Arial" w:hAnsi="Arial" w:cs="Arial"/>
                <w:b/>
                <w:color w:val="000000"/>
                <w:sz w:val="18"/>
                <w:szCs w:val="18"/>
              </w:rPr>
            </w:pPr>
            <w:r w:rsidRPr="00AF1124">
              <w:rPr>
                <w:rFonts w:ascii="Arial" w:hAnsi="Arial" w:cs="Arial"/>
                <w:b/>
                <w:color w:val="000000"/>
                <w:sz w:val="18"/>
                <w:szCs w:val="18"/>
              </w:rPr>
              <w:t>$ </w:t>
            </w:r>
            <w:r w:rsidRPr="00AF1124" w:rsidR="002D3F1E">
              <w:rPr>
                <w:rFonts w:ascii="Arial" w:hAnsi="Arial" w:cs="Arial"/>
                <w:b/>
                <w:color w:val="000000"/>
                <w:sz w:val="18"/>
                <w:szCs w:val="18"/>
              </w:rPr>
              <w:t>6</w:t>
            </w:r>
            <w:r w:rsidRPr="00AF1124">
              <w:rPr>
                <w:rFonts w:ascii="Arial" w:hAnsi="Arial" w:cs="Arial"/>
                <w:b/>
                <w:color w:val="000000"/>
                <w:sz w:val="18"/>
                <w:szCs w:val="18"/>
              </w:rPr>
              <w:t>00,000,000</w:t>
            </w:r>
          </w:p>
        </w:tc>
        <w:tc>
          <w:tcPr>
            <w:tcW w:w="1856" w:type="dxa"/>
            <w:shd w:val="clear" w:color="auto" w:fill="FFFFFF" w:themeFill="background1"/>
            <w:vAlign w:val="center"/>
          </w:tcPr>
          <w:p w:rsidRPr="00AF1124" w:rsidR="00503F3D" w:rsidP="00AC236F" w:rsidRDefault="00C31343" w14:paraId="0F7EC479" w14:textId="77777777">
            <w:pPr>
              <w:spacing w:after="0" w:line="240" w:lineRule="auto"/>
              <w:jc w:val="center"/>
              <w:rPr>
                <w:rFonts w:ascii="Arial" w:hAnsi="Arial" w:cs="Arial"/>
                <w:b/>
                <w:color w:val="000000"/>
                <w:sz w:val="18"/>
                <w:szCs w:val="18"/>
              </w:rPr>
            </w:pPr>
            <w:r w:rsidRPr="00AF1124">
              <w:rPr>
                <w:rFonts w:ascii="Arial" w:hAnsi="Arial" w:cs="Arial"/>
                <w:b/>
                <w:color w:val="000000"/>
                <w:sz w:val="18"/>
                <w:szCs w:val="18"/>
              </w:rPr>
              <w:t>CF = $</w:t>
            </w:r>
            <w:r w:rsidRPr="00AF1124" w:rsidR="002D3F1E">
              <w:rPr>
                <w:rFonts w:ascii="Arial" w:hAnsi="Arial" w:cs="Arial"/>
                <w:b/>
                <w:color w:val="000000"/>
                <w:sz w:val="18"/>
                <w:szCs w:val="18"/>
              </w:rPr>
              <w:t>217,290,000</w:t>
            </w:r>
          </w:p>
          <w:p w:rsidRPr="00AF1124" w:rsidR="00C31343" w:rsidP="00AC236F" w:rsidRDefault="00C31343" w14:paraId="0D4420BD" w14:textId="77777777">
            <w:pPr>
              <w:spacing w:after="0" w:line="240" w:lineRule="auto"/>
              <w:jc w:val="center"/>
              <w:rPr>
                <w:rFonts w:ascii="Arial" w:hAnsi="Arial" w:cs="Arial"/>
                <w:b/>
                <w:color w:val="000000"/>
                <w:sz w:val="18"/>
                <w:szCs w:val="18"/>
              </w:rPr>
            </w:pPr>
            <w:r w:rsidRPr="00AF1124">
              <w:rPr>
                <w:rFonts w:ascii="Arial" w:hAnsi="Arial" w:cs="Arial"/>
                <w:b/>
                <w:color w:val="000000"/>
                <w:sz w:val="18"/>
                <w:szCs w:val="18"/>
              </w:rPr>
              <w:t xml:space="preserve">CF (%) = </w:t>
            </w:r>
            <w:r w:rsidRPr="00AF1124" w:rsidR="002D3F1E">
              <w:rPr>
                <w:rFonts w:ascii="Arial" w:hAnsi="Arial" w:cs="Arial"/>
                <w:b/>
                <w:color w:val="000000"/>
                <w:sz w:val="18"/>
                <w:szCs w:val="18"/>
              </w:rPr>
              <w:t>36.215</w:t>
            </w:r>
          </w:p>
        </w:tc>
        <w:tc>
          <w:tcPr>
            <w:tcW w:w="1986" w:type="dxa"/>
            <w:shd w:val="clear" w:color="auto" w:fill="FFFFFF" w:themeFill="background1"/>
            <w:vAlign w:val="center"/>
          </w:tcPr>
          <w:p w:rsidRPr="00AF1124" w:rsidR="00503F3D" w:rsidP="00AC236F" w:rsidRDefault="00503F3D" w14:paraId="09A8B0C8" w14:textId="77777777">
            <w:pPr>
              <w:spacing w:after="0" w:line="240" w:lineRule="auto"/>
              <w:jc w:val="center"/>
              <w:rPr>
                <w:rFonts w:ascii="Arial" w:hAnsi="Arial" w:cs="Arial"/>
                <w:b/>
                <w:color w:val="000000"/>
                <w:sz w:val="18"/>
                <w:szCs w:val="18"/>
              </w:rPr>
            </w:pPr>
          </w:p>
        </w:tc>
      </w:tr>
    </w:tbl>
    <w:p w:rsidRPr="00AF1124" w:rsidR="00B855FA" w:rsidP="00AF1124" w:rsidRDefault="00B855FA" w14:paraId="3C1291D4" w14:textId="77777777">
      <w:pPr>
        <w:pStyle w:val="Caption"/>
        <w:keepNext/>
        <w:spacing w:before="60"/>
        <w:jc w:val="both"/>
        <w:rPr>
          <w:rFonts w:ascii="Arial" w:hAnsi="Arial" w:cs="Arial"/>
          <w:i w:val="0"/>
          <w:color w:val="auto"/>
        </w:rPr>
      </w:pPr>
      <w:r w:rsidRPr="00AF1124">
        <w:rPr>
          <w:rFonts w:ascii="Arial" w:hAnsi="Arial" w:cs="Arial"/>
          <w:i w:val="0"/>
          <w:color w:val="auto"/>
        </w:rPr>
        <w:t xml:space="preserve">Tabla </w:t>
      </w:r>
      <w:r w:rsidRPr="00AF1124">
        <w:rPr>
          <w:rFonts w:ascii="Arial" w:hAnsi="Arial" w:cs="Arial"/>
          <w:i w:val="0"/>
          <w:noProof/>
          <w:color w:val="auto"/>
        </w:rPr>
        <w:fldChar w:fldCharType="begin"/>
      </w:r>
      <w:r w:rsidRPr="00AF1124">
        <w:rPr>
          <w:rFonts w:ascii="Arial" w:hAnsi="Arial" w:cs="Arial"/>
          <w:i w:val="0"/>
          <w:noProof/>
          <w:color w:val="auto"/>
        </w:rPr>
        <w:instrText xml:space="preserve"> SEQ Tabla \* ARABIC </w:instrText>
      </w:r>
      <w:r w:rsidRPr="00AF1124">
        <w:rPr>
          <w:rFonts w:ascii="Arial" w:hAnsi="Arial" w:cs="Arial"/>
          <w:i w:val="0"/>
          <w:noProof/>
          <w:color w:val="auto"/>
        </w:rPr>
        <w:fldChar w:fldCharType="separate"/>
      </w:r>
      <w:r w:rsidRPr="00AF1124">
        <w:rPr>
          <w:rFonts w:ascii="Arial" w:hAnsi="Arial" w:cs="Arial"/>
          <w:i w:val="0"/>
          <w:noProof/>
          <w:color w:val="auto"/>
        </w:rPr>
        <w:t>1</w:t>
      </w:r>
      <w:r w:rsidRPr="00AF1124">
        <w:rPr>
          <w:rFonts w:ascii="Arial" w:hAnsi="Arial" w:cs="Arial"/>
          <w:i w:val="0"/>
          <w:noProof/>
          <w:color w:val="auto"/>
        </w:rPr>
        <w:fldChar w:fldCharType="end"/>
      </w:r>
      <w:r w:rsidRPr="00AF1124">
        <w:rPr>
          <w:rFonts w:ascii="Arial" w:hAnsi="Arial" w:cs="Arial"/>
          <w:i w:val="0"/>
          <w:color w:val="auto"/>
        </w:rPr>
        <w:t xml:space="preserve">    AR-L130</w:t>
      </w:r>
      <w:r w:rsidRPr="00AF1124" w:rsidR="002D3F1E">
        <w:rPr>
          <w:rFonts w:ascii="Arial" w:hAnsi="Arial" w:cs="Arial"/>
          <w:i w:val="0"/>
          <w:color w:val="auto"/>
        </w:rPr>
        <w:t>9</w:t>
      </w:r>
      <w:r w:rsidRPr="00AF1124">
        <w:rPr>
          <w:rFonts w:ascii="Arial" w:hAnsi="Arial" w:cs="Arial"/>
          <w:i w:val="0"/>
          <w:color w:val="auto"/>
        </w:rPr>
        <w:t xml:space="preserve"> Cuantificación del Financiamiento Climatico</w:t>
      </w:r>
    </w:p>
    <w:p w:rsidRPr="009172F2" w:rsidR="00D91F23" w:rsidP="00876910" w:rsidRDefault="00D91F23" w14:paraId="28F37CAC" w14:textId="46248802">
      <w:pPr>
        <w:jc w:val="both"/>
        <w:rPr>
          <w:rFonts w:ascii="Arial" w:hAnsi="Arial" w:cs="Arial"/>
          <w:lang w:val="es-ES_tradnl"/>
        </w:rPr>
      </w:pPr>
      <w:r w:rsidRPr="009172F2">
        <w:rPr>
          <w:rFonts w:ascii="Arial" w:hAnsi="Arial" w:cs="Arial"/>
          <w:lang w:val="es-ES_tradnl"/>
        </w:rPr>
        <w:t>La operación AR-L130</w:t>
      </w:r>
      <w:r w:rsidRPr="009172F2" w:rsidR="000A1E19">
        <w:rPr>
          <w:rFonts w:ascii="Arial" w:hAnsi="Arial" w:cs="Arial"/>
          <w:lang w:val="es-ES_tradnl"/>
        </w:rPr>
        <w:t>9</w:t>
      </w:r>
      <w:r w:rsidRPr="009172F2">
        <w:rPr>
          <w:rFonts w:ascii="Arial" w:hAnsi="Arial" w:cs="Arial"/>
          <w:lang w:val="es-ES_tradnl"/>
        </w:rPr>
        <w:t xml:space="preserve"> cuenta por ende con un financiamiento climático de</w:t>
      </w:r>
      <w:r w:rsidRPr="009172F2" w:rsidR="00B855FA">
        <w:rPr>
          <w:rFonts w:ascii="Arial" w:hAnsi="Arial" w:cs="Arial"/>
          <w:lang w:val="es-ES_tradnl"/>
        </w:rPr>
        <w:t xml:space="preserve"> US</w:t>
      </w:r>
      <w:r w:rsidR="00E77A20">
        <w:rPr>
          <w:rFonts w:ascii="Arial" w:hAnsi="Arial" w:cs="Arial"/>
          <w:lang w:val="es-ES_tradnl"/>
        </w:rPr>
        <w:t>$</w:t>
      </w:r>
      <w:r w:rsidRPr="009172F2" w:rsidR="00B855FA">
        <w:rPr>
          <w:rFonts w:ascii="Arial" w:hAnsi="Arial" w:cs="Arial"/>
          <w:lang w:val="es-ES_tradnl"/>
        </w:rPr>
        <w:t>$</w:t>
      </w:r>
      <w:r w:rsidRPr="009172F2" w:rsidR="002D3F1E">
        <w:rPr>
          <w:rFonts w:ascii="Arial" w:hAnsi="Arial" w:cs="Arial"/>
          <w:lang w:val="es-ES_tradnl"/>
        </w:rPr>
        <w:t xml:space="preserve">217,290,000 </w:t>
      </w:r>
      <w:r w:rsidRPr="009172F2" w:rsidR="00F75634">
        <w:rPr>
          <w:rFonts w:ascii="Arial" w:hAnsi="Arial" w:cs="Arial"/>
          <w:lang w:val="es-ES_tradnl"/>
        </w:rPr>
        <w:t>e</w:t>
      </w:r>
      <w:r w:rsidRPr="009172F2">
        <w:rPr>
          <w:rFonts w:ascii="Arial" w:hAnsi="Arial" w:cs="Arial"/>
          <w:lang w:val="es-ES_tradnl"/>
        </w:rPr>
        <w:t xml:space="preserve">l cual equivale a un </w:t>
      </w:r>
      <w:r w:rsidRPr="009172F2" w:rsidR="00B855FA">
        <w:rPr>
          <w:rFonts w:ascii="Arial" w:hAnsi="Arial" w:cs="Arial"/>
          <w:lang w:val="es-ES_tradnl"/>
        </w:rPr>
        <w:t>3</w:t>
      </w:r>
      <w:r w:rsidRPr="009172F2" w:rsidR="002D3F1E">
        <w:rPr>
          <w:rFonts w:ascii="Arial" w:hAnsi="Arial" w:cs="Arial"/>
          <w:lang w:val="es-ES_tradnl"/>
        </w:rPr>
        <w:t>6</w:t>
      </w:r>
      <w:r w:rsidRPr="009172F2" w:rsidR="00B855FA">
        <w:rPr>
          <w:rFonts w:ascii="Arial" w:hAnsi="Arial" w:cs="Arial"/>
          <w:lang w:val="es-ES_tradnl"/>
        </w:rPr>
        <w:t>.</w:t>
      </w:r>
      <w:r w:rsidRPr="009172F2" w:rsidR="002D3F1E">
        <w:rPr>
          <w:rFonts w:ascii="Arial" w:hAnsi="Arial" w:cs="Arial"/>
          <w:lang w:val="es-ES_tradnl"/>
        </w:rPr>
        <w:t>215</w:t>
      </w:r>
      <w:r w:rsidRPr="009172F2" w:rsidR="00B855FA">
        <w:rPr>
          <w:rFonts w:ascii="Arial" w:hAnsi="Arial" w:cs="Arial"/>
          <w:lang w:val="es-ES_tradnl"/>
        </w:rPr>
        <w:t>%</w:t>
      </w:r>
      <w:r w:rsidRPr="009172F2">
        <w:rPr>
          <w:rFonts w:ascii="Arial" w:hAnsi="Arial" w:cs="Arial"/>
          <w:lang w:val="es-ES_tradnl"/>
        </w:rPr>
        <w:t xml:space="preserve"> de la operación </w:t>
      </w:r>
    </w:p>
    <w:p w:rsidRPr="009172F2" w:rsidR="00E87C68" w:rsidP="00876910" w:rsidRDefault="00E87C68" w14:paraId="20029420" w14:textId="77777777">
      <w:pPr>
        <w:jc w:val="both"/>
        <w:rPr>
          <w:rFonts w:ascii="Arial" w:hAnsi="Arial" w:cs="Arial"/>
        </w:rPr>
      </w:pPr>
    </w:p>
    <w:sectPr w:rsidRPr="009172F2" w:rsidR="00E87C68" w:rsidSect="00A23AF7">
      <w:type w:val="continuous"/>
      <w:pgSz w:w="11906" w:h="16838" w:orient="portrait"/>
      <w:pgMar w:top="1411" w:right="1699" w:bottom="1411" w:left="1699"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650F" w:rsidP="001A4366" w:rsidRDefault="00FC650F" w14:paraId="24700CA2" w14:textId="77777777">
      <w:pPr>
        <w:spacing w:after="0" w:line="240" w:lineRule="auto"/>
      </w:pPr>
      <w:r>
        <w:separator/>
      </w:r>
    </w:p>
  </w:endnote>
  <w:endnote w:type="continuationSeparator" w:id="0">
    <w:p w:rsidR="00FC650F" w:rsidP="001A4366" w:rsidRDefault="00FC650F" w14:paraId="3D88058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D20" w:rsidRDefault="00B32D20" w14:paraId="057B8C2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D20" w:rsidRDefault="00B32D20" w14:paraId="077982D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D20" w:rsidRDefault="00B32D20" w14:paraId="00B2EBD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650F" w:rsidP="001A4366" w:rsidRDefault="00FC650F" w14:paraId="3F91E3AF" w14:textId="77777777">
      <w:pPr>
        <w:spacing w:after="0" w:line="240" w:lineRule="auto"/>
      </w:pPr>
      <w:r>
        <w:separator/>
      </w:r>
    </w:p>
  </w:footnote>
  <w:footnote w:type="continuationSeparator" w:id="0">
    <w:p w:rsidR="00FC650F" w:rsidP="001A4366" w:rsidRDefault="00FC650F" w14:paraId="4017B81F" w14:textId="77777777">
      <w:pPr>
        <w:spacing w:after="0" w:line="240" w:lineRule="auto"/>
      </w:pPr>
      <w:r>
        <w:continuationSeparator/>
      </w:r>
    </w:p>
  </w:footnote>
  <w:footnote w:id="1">
    <w:p w:rsidRPr="00904F90" w:rsidR="00313BC5" w:rsidP="00313BC5" w:rsidRDefault="00313BC5" w14:paraId="1DF94799" w14:textId="77777777">
      <w:pPr>
        <w:pStyle w:val="FootnoteText"/>
        <w:rPr>
          <w:rFonts w:ascii="Arial" w:hAnsi="Arial" w:cs="Arial"/>
          <w:sz w:val="18"/>
          <w:szCs w:val="18"/>
        </w:rPr>
      </w:pPr>
      <w:r w:rsidRPr="00904F90">
        <w:rPr>
          <w:rStyle w:val="FootnoteReference"/>
          <w:rFonts w:ascii="Arial" w:hAnsi="Arial" w:cs="Arial"/>
          <w:sz w:val="18"/>
          <w:szCs w:val="18"/>
        </w:rPr>
        <w:footnoteRef/>
      </w:r>
      <w:r w:rsidRPr="00904F90">
        <w:rPr>
          <w:rFonts w:ascii="Arial" w:hAnsi="Arial" w:cs="Arial"/>
          <w:sz w:val="18"/>
          <w:szCs w:val="18"/>
        </w:rPr>
        <w:t xml:space="preserve"> Empleo verde en la Argentina, ILO, 2017 </w:t>
      </w:r>
    </w:p>
    <w:p w:rsidRPr="00904F90" w:rsidR="00313BC5" w:rsidP="00313BC5" w:rsidRDefault="00B32D20" w14:paraId="7F3C865B" w14:textId="77777777">
      <w:pPr>
        <w:pStyle w:val="FootnoteText"/>
        <w:rPr>
          <w:rFonts w:ascii="Arial" w:hAnsi="Arial" w:cs="Arial"/>
          <w:sz w:val="18"/>
          <w:szCs w:val="18"/>
        </w:rPr>
      </w:pPr>
      <w:hyperlink w:history="1" r:id="rId1">
        <w:r w:rsidRPr="00904F90" w:rsidR="00313BC5">
          <w:rPr>
            <w:rStyle w:val="Hyperlink"/>
            <w:rFonts w:ascii="Arial" w:hAnsi="Arial" w:cs="Arial"/>
            <w:sz w:val="18"/>
            <w:szCs w:val="18"/>
          </w:rPr>
          <w:t>https://www.ilo.org/wcmsp5/groups/public/---</w:t>
        </w:r>
        <w:proofErr w:type="spellStart"/>
        <w:r w:rsidRPr="00904F90" w:rsidR="00313BC5">
          <w:rPr>
            <w:rStyle w:val="Hyperlink"/>
            <w:rFonts w:ascii="Arial" w:hAnsi="Arial" w:cs="Arial"/>
            <w:sz w:val="18"/>
            <w:szCs w:val="18"/>
          </w:rPr>
          <w:t>americas</w:t>
        </w:r>
        <w:proofErr w:type="spellEnd"/>
        <w:r w:rsidRPr="00904F90" w:rsidR="00313BC5">
          <w:rPr>
            <w:rStyle w:val="Hyperlink"/>
            <w:rFonts w:ascii="Arial" w:hAnsi="Arial" w:cs="Arial"/>
            <w:sz w:val="18"/>
            <w:szCs w:val="18"/>
          </w:rPr>
          <w:t>/---ro-lima/---</w:t>
        </w:r>
        <w:proofErr w:type="spellStart"/>
        <w:r w:rsidRPr="00904F90" w:rsidR="00313BC5">
          <w:rPr>
            <w:rStyle w:val="Hyperlink"/>
            <w:rFonts w:ascii="Arial" w:hAnsi="Arial" w:cs="Arial"/>
            <w:sz w:val="18"/>
            <w:szCs w:val="18"/>
          </w:rPr>
          <w:t>ilo-buenos_aires</w:t>
        </w:r>
        <w:proofErr w:type="spellEnd"/>
        <w:r w:rsidRPr="00904F90" w:rsidR="00313BC5">
          <w:rPr>
            <w:rStyle w:val="Hyperlink"/>
            <w:rFonts w:ascii="Arial" w:hAnsi="Arial" w:cs="Arial"/>
            <w:sz w:val="18"/>
            <w:szCs w:val="18"/>
          </w:rPr>
          <w:t>/</w:t>
        </w:r>
        <w:proofErr w:type="spellStart"/>
        <w:r w:rsidRPr="00904F90" w:rsidR="00313BC5">
          <w:rPr>
            <w:rStyle w:val="Hyperlink"/>
            <w:rFonts w:ascii="Arial" w:hAnsi="Arial" w:cs="Arial"/>
            <w:sz w:val="18"/>
            <w:szCs w:val="18"/>
          </w:rPr>
          <w:t>documents</w:t>
        </w:r>
        <w:proofErr w:type="spellEnd"/>
        <w:r w:rsidRPr="00904F90" w:rsidR="00313BC5">
          <w:rPr>
            <w:rStyle w:val="Hyperlink"/>
            <w:rFonts w:ascii="Arial" w:hAnsi="Arial" w:cs="Arial"/>
            <w:sz w:val="18"/>
            <w:szCs w:val="18"/>
          </w:rPr>
          <w:t>/</w:t>
        </w:r>
        <w:proofErr w:type="spellStart"/>
        <w:r w:rsidRPr="00904F90" w:rsidR="00313BC5">
          <w:rPr>
            <w:rStyle w:val="Hyperlink"/>
            <w:rFonts w:ascii="Arial" w:hAnsi="Arial" w:cs="Arial"/>
            <w:sz w:val="18"/>
            <w:szCs w:val="18"/>
          </w:rPr>
          <w:t>publication</w:t>
        </w:r>
        <w:proofErr w:type="spellEnd"/>
        <w:r w:rsidRPr="00904F90" w:rsidR="00313BC5">
          <w:rPr>
            <w:rStyle w:val="Hyperlink"/>
            <w:rFonts w:ascii="Arial" w:hAnsi="Arial" w:cs="Arial"/>
            <w:sz w:val="18"/>
            <w:szCs w:val="18"/>
          </w:rPr>
          <w:t>/wcms_556477.pdf</w:t>
        </w:r>
      </w:hyperlink>
      <w:r w:rsidRPr="00904F90" w:rsidR="00313BC5">
        <w:rPr>
          <w:rFonts w:ascii="Arial" w:hAnsi="Arial" w:cs="Arial"/>
          <w:sz w:val="18"/>
          <w:szCs w:val="18"/>
        </w:rPr>
        <w:t xml:space="preserve">  </w:t>
      </w:r>
    </w:p>
  </w:footnote>
  <w:footnote w:id="2">
    <w:p w:rsidRPr="00904F90" w:rsidR="00243549" w:rsidRDefault="00243549" w14:paraId="4FFB3FBA" w14:textId="77777777">
      <w:pPr>
        <w:pStyle w:val="FootnoteText"/>
        <w:rPr>
          <w:rFonts w:ascii="Arial" w:hAnsi="Arial" w:cs="Arial"/>
          <w:sz w:val="18"/>
          <w:szCs w:val="18"/>
          <w:lang w:val="es-ES_tradnl"/>
        </w:rPr>
      </w:pPr>
      <w:r w:rsidRPr="00904F90">
        <w:rPr>
          <w:rStyle w:val="FootnoteReference"/>
          <w:rFonts w:ascii="Arial" w:hAnsi="Arial" w:cs="Arial"/>
          <w:sz w:val="18"/>
          <w:szCs w:val="18"/>
        </w:rPr>
        <w:footnoteRef/>
      </w:r>
      <w:r w:rsidRPr="00904F90">
        <w:rPr>
          <w:rFonts w:ascii="Arial" w:hAnsi="Arial" w:cs="Arial"/>
          <w:sz w:val="18"/>
          <w:szCs w:val="18"/>
        </w:rPr>
        <w:t xml:space="preserve"> Cambio climático, políticas públicas y demanda de energía y gasolinas en América Latina: un metaanálisis (CEPAL, 2018)</w:t>
      </w:r>
    </w:p>
  </w:footnote>
  <w:footnote w:id="3">
    <w:p w:rsidRPr="00904F90" w:rsidR="00B505CA" w:rsidRDefault="00B505CA" w14:paraId="74C8A759" w14:textId="77777777">
      <w:pPr>
        <w:pStyle w:val="FootnoteText"/>
        <w:rPr>
          <w:rFonts w:ascii="Arial" w:hAnsi="Arial" w:cs="Arial"/>
          <w:sz w:val="18"/>
          <w:szCs w:val="18"/>
          <w:lang w:val="es-ES_tradnl"/>
        </w:rPr>
      </w:pPr>
      <w:r w:rsidRPr="00904F90">
        <w:rPr>
          <w:rStyle w:val="FootnoteReference"/>
          <w:rFonts w:ascii="Arial" w:hAnsi="Arial" w:cs="Arial"/>
          <w:sz w:val="18"/>
          <w:szCs w:val="18"/>
        </w:rPr>
        <w:footnoteRef/>
      </w:r>
      <w:r w:rsidRPr="00904F90">
        <w:rPr>
          <w:rFonts w:ascii="Arial" w:hAnsi="Arial" w:cs="Arial"/>
          <w:sz w:val="18"/>
          <w:szCs w:val="18"/>
        </w:rPr>
        <w:t xml:space="preserve"> El Sistema Único de Boleto Electrónico (SUBE) se estableció en 2009 como medio exclusivo de pago de la tarifa de transporte automotor</w:t>
      </w:r>
    </w:p>
  </w:footnote>
  <w:footnote w:id="4">
    <w:p w:rsidRPr="00904F90" w:rsidR="00AC236F" w:rsidRDefault="00AC236F" w14:paraId="50C8E6EF" w14:textId="77777777">
      <w:pPr>
        <w:pStyle w:val="FootnoteText"/>
        <w:rPr>
          <w:rFonts w:ascii="Arial" w:hAnsi="Arial" w:cs="Arial"/>
          <w:sz w:val="18"/>
          <w:szCs w:val="18"/>
          <w:lang w:val="es-ES_tradnl"/>
        </w:rPr>
      </w:pPr>
      <w:r w:rsidRPr="00904F90">
        <w:rPr>
          <w:rStyle w:val="FootnoteReference"/>
          <w:rFonts w:ascii="Arial" w:hAnsi="Arial" w:cs="Arial"/>
          <w:sz w:val="18"/>
          <w:szCs w:val="18"/>
        </w:rPr>
        <w:footnoteRef/>
      </w:r>
      <w:r w:rsidRPr="00904F90">
        <w:rPr>
          <w:rFonts w:ascii="Arial" w:hAnsi="Arial" w:cs="Arial"/>
          <w:sz w:val="18"/>
          <w:szCs w:val="18"/>
        </w:rPr>
        <w:t xml:space="preserve"> </w:t>
      </w:r>
      <w:r w:rsidRPr="00904F90">
        <w:rPr>
          <w:rFonts w:ascii="Arial" w:hAnsi="Arial" w:cs="Arial"/>
          <w:sz w:val="18"/>
          <w:szCs w:val="18"/>
          <w:lang w:val="es-ES_tradnl"/>
        </w:rPr>
        <w:t xml:space="preserve">Ver Anexo C del Reporte Conjunto de Financiamiento Climático: </w:t>
      </w:r>
      <w:hyperlink w:history="1" r:id="rId2">
        <w:r w:rsidRPr="00904F90">
          <w:rPr>
            <w:rStyle w:val="Hyperlink"/>
            <w:rFonts w:ascii="Arial" w:hAnsi="Arial" w:cs="Arial"/>
            <w:sz w:val="18"/>
            <w:szCs w:val="18"/>
            <w:lang w:val="es-ES_tradnl"/>
          </w:rPr>
          <w:t>https://publications.iadb.org/handle/11319/9163</w:t>
        </w:r>
      </w:hyperlink>
      <w:r w:rsidRPr="00904F90">
        <w:rPr>
          <w:rFonts w:ascii="Arial" w:hAnsi="Arial" w:cs="Arial"/>
          <w:sz w:val="18"/>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9308F" w:rsidR="00B9308F" w:rsidP="00B9308F" w:rsidRDefault="00B9308F" w14:paraId="3F677E49" w14:textId="70A09D83">
    <w:pPr>
      <w:spacing w:after="0" w:line="240" w:lineRule="auto"/>
      <w:rPr>
        <w:rFonts w:ascii="Arial" w:hAnsi="Arial" w:eastAsia="Times New Roman" w:cs="Arial"/>
        <w:sz w:val="18"/>
        <w:szCs w:val="18"/>
        <w:lang w:val="pt-BR" w:eastAsia="es-ES_tradnl"/>
      </w:rPr>
    </w:pPr>
    <w:r w:rsidRPr="00B9308F">
      <w:rPr>
        <w:rFonts w:ascii="Arial" w:hAnsi="Arial" w:eastAsia="Times New Roman" w:cs="Arial"/>
        <w:sz w:val="18"/>
        <w:szCs w:val="18"/>
        <w:lang w:val="pt-BR" w:eastAsia="es-ES_tradnl"/>
      </w:rPr>
      <w:t>EER#</w:t>
    </w:r>
    <w:r w:rsidR="00B32D20">
      <w:rPr>
        <w:rFonts w:ascii="Arial" w:hAnsi="Arial" w:eastAsia="Times New Roman" w:cs="Arial"/>
        <w:sz w:val="18"/>
        <w:szCs w:val="18"/>
        <w:lang w:val="pt-BR" w:eastAsia="es-ES_tradnl"/>
      </w:rPr>
      <w:t>3</w:t>
    </w:r>
    <w:bookmarkStart w:name="_GoBack" w:id="0"/>
    <w:bookmarkEnd w:id="0"/>
    <w:r w:rsidRPr="00B9308F">
      <w:rPr>
        <w:rFonts w:ascii="Arial" w:hAnsi="Arial" w:eastAsia="Times New Roman" w:cs="Arial"/>
        <w:sz w:val="18"/>
        <w:szCs w:val="18"/>
        <w:lang w:val="pt-BR" w:eastAsia="es-ES_tradnl"/>
      </w:rPr>
      <w:t xml:space="preserve"> – AR-L1309</w:t>
    </w:r>
  </w:p>
  <w:p w:rsidRPr="00B9308F" w:rsidR="00B9308F" w:rsidP="00B9308F" w:rsidRDefault="00B9308F" w14:paraId="00648F64" w14:textId="77777777">
    <w:pPr>
      <w:tabs>
        <w:tab w:val="center" w:pos="4680"/>
        <w:tab w:val="right" w:pos="9360"/>
      </w:tabs>
      <w:spacing w:after="0" w:line="240" w:lineRule="auto"/>
      <w:rPr>
        <w:rFonts w:ascii="Arial" w:hAnsi="Arial" w:eastAsia="Times New Roman" w:cs="Arial"/>
        <w:sz w:val="18"/>
        <w:szCs w:val="18"/>
        <w:lang w:val="pt-BR" w:eastAsia="es-ES_tradnl"/>
      </w:rPr>
    </w:pPr>
    <w:r w:rsidRPr="00B9308F">
      <w:rPr>
        <w:rFonts w:ascii="Arial" w:hAnsi="Arial" w:eastAsia="Times New Roman" w:cs="Arial"/>
        <w:sz w:val="18"/>
        <w:szCs w:val="18"/>
        <w:lang w:val="pt-BR" w:eastAsia="es-ES_tradnl"/>
      </w:rPr>
      <w:t xml:space="preserve">Página </w:t>
    </w:r>
    <w:r w:rsidRPr="00B9308F">
      <w:rPr>
        <w:rFonts w:ascii="Arial" w:hAnsi="Arial" w:eastAsia="Times New Roman" w:cs="Arial"/>
        <w:bCs/>
        <w:sz w:val="18"/>
        <w:szCs w:val="18"/>
        <w:lang w:val="pt-BR" w:eastAsia="es-ES_tradnl"/>
      </w:rPr>
      <w:fldChar w:fldCharType="begin"/>
    </w:r>
    <w:r w:rsidRPr="00B9308F">
      <w:rPr>
        <w:rFonts w:ascii="Arial" w:hAnsi="Arial" w:eastAsia="Times New Roman" w:cs="Arial"/>
        <w:bCs/>
        <w:sz w:val="18"/>
        <w:szCs w:val="18"/>
        <w:lang w:val="pt-BR" w:eastAsia="es-ES_tradnl"/>
      </w:rPr>
      <w:instrText xml:space="preserve"> PAGE </w:instrText>
    </w:r>
    <w:r w:rsidRPr="00B9308F">
      <w:rPr>
        <w:rFonts w:ascii="Arial" w:hAnsi="Arial" w:eastAsia="Times New Roman" w:cs="Arial"/>
        <w:bCs/>
        <w:sz w:val="18"/>
        <w:szCs w:val="18"/>
        <w:lang w:val="pt-BR" w:eastAsia="es-ES_tradnl"/>
      </w:rPr>
      <w:fldChar w:fldCharType="separate"/>
    </w:r>
    <w:r w:rsidRPr="00B9308F">
      <w:rPr>
        <w:rFonts w:ascii="Arial" w:hAnsi="Arial" w:eastAsia="Times New Roman" w:cs="Arial"/>
        <w:bCs/>
        <w:sz w:val="18"/>
        <w:szCs w:val="18"/>
        <w:lang w:val="pt-BR" w:eastAsia="es-ES_tradnl"/>
      </w:rPr>
      <w:t>2</w:t>
    </w:r>
    <w:r w:rsidRPr="00B9308F">
      <w:rPr>
        <w:rFonts w:ascii="Arial" w:hAnsi="Arial" w:eastAsia="Times New Roman" w:cs="Arial"/>
        <w:bCs/>
        <w:sz w:val="18"/>
        <w:szCs w:val="18"/>
        <w:lang w:val="pt-BR" w:eastAsia="es-ES_tradnl"/>
      </w:rPr>
      <w:fldChar w:fldCharType="end"/>
    </w:r>
    <w:r w:rsidRPr="00B9308F">
      <w:rPr>
        <w:rFonts w:ascii="Arial" w:hAnsi="Arial" w:eastAsia="Times New Roman" w:cs="Arial"/>
        <w:sz w:val="18"/>
        <w:szCs w:val="18"/>
        <w:lang w:val="pt-BR" w:eastAsia="es-ES_tradnl"/>
      </w:rPr>
      <w:t xml:space="preserve"> de </w:t>
    </w:r>
    <w:r w:rsidRPr="00B9308F">
      <w:rPr>
        <w:rFonts w:ascii="Arial" w:hAnsi="Arial" w:eastAsia="Times New Roman" w:cs="Arial"/>
        <w:bCs/>
        <w:sz w:val="18"/>
        <w:szCs w:val="18"/>
        <w:lang w:val="pt-BR" w:eastAsia="es-ES_tradnl"/>
      </w:rPr>
      <w:fldChar w:fldCharType="begin"/>
    </w:r>
    <w:r w:rsidRPr="00B9308F">
      <w:rPr>
        <w:rFonts w:ascii="Arial" w:hAnsi="Arial" w:eastAsia="Times New Roman" w:cs="Arial"/>
        <w:bCs/>
        <w:sz w:val="18"/>
        <w:szCs w:val="18"/>
        <w:lang w:val="pt-BR" w:eastAsia="es-ES_tradnl"/>
      </w:rPr>
      <w:instrText xml:space="preserve"> NUMPAGES  </w:instrText>
    </w:r>
    <w:r w:rsidRPr="00B9308F">
      <w:rPr>
        <w:rFonts w:ascii="Arial" w:hAnsi="Arial" w:eastAsia="Times New Roman" w:cs="Arial"/>
        <w:bCs/>
        <w:sz w:val="18"/>
        <w:szCs w:val="18"/>
        <w:lang w:val="pt-BR" w:eastAsia="es-ES_tradnl"/>
      </w:rPr>
      <w:fldChar w:fldCharType="separate"/>
    </w:r>
    <w:r w:rsidRPr="00B9308F">
      <w:rPr>
        <w:rFonts w:ascii="Arial" w:hAnsi="Arial" w:eastAsia="Times New Roman" w:cs="Arial"/>
        <w:bCs/>
        <w:sz w:val="18"/>
        <w:szCs w:val="18"/>
        <w:lang w:val="pt-BR" w:eastAsia="es-ES_tradnl"/>
      </w:rPr>
      <w:t>21</w:t>
    </w:r>
    <w:r w:rsidRPr="00B9308F">
      <w:rPr>
        <w:rFonts w:ascii="Arial" w:hAnsi="Arial" w:eastAsia="Times New Roman" w:cs="Arial"/>
        <w:bCs/>
        <w:sz w:val="18"/>
        <w:szCs w:val="18"/>
        <w:lang w:val="pt-BR" w:eastAsia="es-ES_tradnl"/>
      </w:rPr>
      <w:fldChar w:fldCharType="end"/>
    </w:r>
  </w:p>
  <w:p w:rsidRPr="00B9308F" w:rsidR="00B9308F" w:rsidP="00B9308F" w:rsidRDefault="00B9308F" w14:paraId="76D9914E" w14:textId="77777777">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9308F" w:rsidR="00B9308F" w:rsidP="00B9308F" w:rsidRDefault="00B9308F" w14:paraId="691D7F03" w14:textId="0CA35280">
    <w:pPr>
      <w:spacing w:after="0" w:line="240" w:lineRule="auto"/>
      <w:jc w:val="right"/>
      <w:rPr>
        <w:rFonts w:ascii="Arial" w:hAnsi="Arial" w:eastAsia="Times New Roman" w:cs="Arial"/>
        <w:sz w:val="18"/>
        <w:szCs w:val="18"/>
        <w:lang w:val="pt-BR" w:eastAsia="es-ES_tradnl"/>
      </w:rPr>
    </w:pPr>
    <w:r w:rsidRPr="00B9308F">
      <w:rPr>
        <w:rFonts w:ascii="Arial" w:hAnsi="Arial" w:eastAsia="Times New Roman" w:cs="Arial"/>
        <w:sz w:val="18"/>
        <w:szCs w:val="18"/>
        <w:lang w:val="pt-BR" w:eastAsia="es-ES_tradnl"/>
      </w:rPr>
      <w:t>EE</w:t>
    </w:r>
    <w:r>
      <w:rPr>
        <w:rFonts w:ascii="Arial" w:hAnsi="Arial" w:eastAsia="Times New Roman" w:cs="Arial"/>
        <w:sz w:val="18"/>
        <w:szCs w:val="18"/>
        <w:lang w:val="pt-BR" w:eastAsia="es-ES_tradnl"/>
      </w:rPr>
      <w:t>O</w:t>
    </w:r>
    <w:r w:rsidRPr="00B9308F">
      <w:rPr>
        <w:rFonts w:ascii="Arial" w:hAnsi="Arial" w:eastAsia="Times New Roman" w:cs="Arial"/>
        <w:sz w:val="18"/>
        <w:szCs w:val="18"/>
        <w:lang w:val="pt-BR" w:eastAsia="es-ES_tradnl"/>
      </w:rPr>
      <w:t>#</w:t>
    </w:r>
    <w:r w:rsidR="00B32D20">
      <w:rPr>
        <w:rFonts w:ascii="Arial" w:hAnsi="Arial" w:eastAsia="Times New Roman" w:cs="Arial"/>
        <w:sz w:val="18"/>
        <w:szCs w:val="18"/>
        <w:lang w:val="pt-BR" w:eastAsia="es-ES_tradnl"/>
      </w:rPr>
      <w:t>3</w:t>
    </w:r>
    <w:r>
      <w:rPr>
        <w:rFonts w:ascii="Arial" w:hAnsi="Arial" w:eastAsia="Times New Roman" w:cs="Arial"/>
        <w:sz w:val="18"/>
        <w:szCs w:val="18"/>
        <w:lang w:val="pt-BR" w:eastAsia="es-ES_tradnl"/>
      </w:rPr>
      <w:t xml:space="preserve"> </w:t>
    </w:r>
    <w:r w:rsidRPr="00B9308F">
      <w:rPr>
        <w:rFonts w:ascii="Arial" w:hAnsi="Arial" w:eastAsia="Times New Roman" w:cs="Arial"/>
        <w:sz w:val="18"/>
        <w:szCs w:val="18"/>
        <w:lang w:val="pt-BR" w:eastAsia="es-ES_tradnl"/>
      </w:rPr>
      <w:t>– AR-L1309</w:t>
    </w:r>
  </w:p>
  <w:p w:rsidRPr="00B9308F" w:rsidR="00B9308F" w:rsidP="00B9308F" w:rsidRDefault="00B9308F" w14:paraId="2B9E83A3" w14:textId="77777777">
    <w:pPr>
      <w:tabs>
        <w:tab w:val="center" w:pos="4680"/>
        <w:tab w:val="right" w:pos="9360"/>
      </w:tabs>
      <w:spacing w:after="0" w:line="240" w:lineRule="auto"/>
      <w:jc w:val="right"/>
      <w:rPr>
        <w:rFonts w:ascii="Arial" w:hAnsi="Arial" w:eastAsia="Times New Roman" w:cs="Arial"/>
        <w:sz w:val="18"/>
        <w:szCs w:val="18"/>
        <w:lang w:val="pt-BR" w:eastAsia="es-ES_tradnl"/>
      </w:rPr>
    </w:pPr>
    <w:r w:rsidRPr="00B9308F">
      <w:rPr>
        <w:rFonts w:ascii="Arial" w:hAnsi="Arial" w:eastAsia="Times New Roman" w:cs="Arial"/>
        <w:sz w:val="18"/>
        <w:szCs w:val="18"/>
        <w:lang w:val="pt-BR" w:eastAsia="es-ES_tradnl"/>
      </w:rPr>
      <w:t xml:space="preserve">Página </w:t>
    </w:r>
    <w:r w:rsidRPr="00B9308F">
      <w:rPr>
        <w:rFonts w:ascii="Arial" w:hAnsi="Arial" w:eastAsia="Times New Roman" w:cs="Arial"/>
        <w:bCs/>
        <w:sz w:val="18"/>
        <w:szCs w:val="18"/>
        <w:lang w:val="pt-BR" w:eastAsia="es-ES_tradnl"/>
      </w:rPr>
      <w:fldChar w:fldCharType="begin"/>
    </w:r>
    <w:r w:rsidRPr="00B9308F">
      <w:rPr>
        <w:rFonts w:ascii="Arial" w:hAnsi="Arial" w:eastAsia="Times New Roman" w:cs="Arial"/>
        <w:bCs/>
        <w:sz w:val="18"/>
        <w:szCs w:val="18"/>
        <w:lang w:val="pt-BR" w:eastAsia="es-ES_tradnl"/>
      </w:rPr>
      <w:instrText xml:space="preserve"> PAGE </w:instrText>
    </w:r>
    <w:r w:rsidRPr="00B9308F">
      <w:rPr>
        <w:rFonts w:ascii="Arial" w:hAnsi="Arial" w:eastAsia="Times New Roman" w:cs="Arial"/>
        <w:bCs/>
        <w:sz w:val="18"/>
        <w:szCs w:val="18"/>
        <w:lang w:val="pt-BR" w:eastAsia="es-ES_tradnl"/>
      </w:rPr>
      <w:fldChar w:fldCharType="separate"/>
    </w:r>
    <w:r w:rsidRPr="00B9308F">
      <w:rPr>
        <w:rFonts w:ascii="Arial" w:hAnsi="Arial" w:eastAsia="Times New Roman" w:cs="Arial"/>
        <w:bCs/>
        <w:sz w:val="18"/>
        <w:szCs w:val="18"/>
        <w:lang w:val="pt-BR" w:eastAsia="es-ES_tradnl"/>
      </w:rPr>
      <w:t>2</w:t>
    </w:r>
    <w:r w:rsidRPr="00B9308F">
      <w:rPr>
        <w:rFonts w:ascii="Arial" w:hAnsi="Arial" w:eastAsia="Times New Roman" w:cs="Arial"/>
        <w:bCs/>
        <w:sz w:val="18"/>
        <w:szCs w:val="18"/>
        <w:lang w:val="pt-BR" w:eastAsia="es-ES_tradnl"/>
      </w:rPr>
      <w:fldChar w:fldCharType="end"/>
    </w:r>
    <w:r w:rsidRPr="00B9308F">
      <w:rPr>
        <w:rFonts w:ascii="Arial" w:hAnsi="Arial" w:eastAsia="Times New Roman" w:cs="Arial"/>
        <w:sz w:val="18"/>
        <w:szCs w:val="18"/>
        <w:lang w:val="pt-BR" w:eastAsia="es-ES_tradnl"/>
      </w:rPr>
      <w:t xml:space="preserve"> de </w:t>
    </w:r>
    <w:r w:rsidRPr="00B9308F">
      <w:rPr>
        <w:rFonts w:ascii="Arial" w:hAnsi="Arial" w:eastAsia="Times New Roman" w:cs="Arial"/>
        <w:bCs/>
        <w:sz w:val="18"/>
        <w:szCs w:val="18"/>
        <w:lang w:val="pt-BR" w:eastAsia="es-ES_tradnl"/>
      </w:rPr>
      <w:fldChar w:fldCharType="begin"/>
    </w:r>
    <w:r w:rsidRPr="00B9308F">
      <w:rPr>
        <w:rFonts w:ascii="Arial" w:hAnsi="Arial" w:eastAsia="Times New Roman" w:cs="Arial"/>
        <w:bCs/>
        <w:sz w:val="18"/>
        <w:szCs w:val="18"/>
        <w:lang w:val="pt-BR" w:eastAsia="es-ES_tradnl"/>
      </w:rPr>
      <w:instrText xml:space="preserve"> NUMPAGES  </w:instrText>
    </w:r>
    <w:r w:rsidRPr="00B9308F">
      <w:rPr>
        <w:rFonts w:ascii="Arial" w:hAnsi="Arial" w:eastAsia="Times New Roman" w:cs="Arial"/>
        <w:bCs/>
        <w:sz w:val="18"/>
        <w:szCs w:val="18"/>
        <w:lang w:val="pt-BR" w:eastAsia="es-ES_tradnl"/>
      </w:rPr>
      <w:fldChar w:fldCharType="separate"/>
    </w:r>
    <w:r w:rsidRPr="00B9308F">
      <w:rPr>
        <w:rFonts w:ascii="Arial" w:hAnsi="Arial" w:eastAsia="Times New Roman" w:cs="Arial"/>
        <w:bCs/>
        <w:sz w:val="18"/>
        <w:szCs w:val="18"/>
        <w:lang w:val="pt-BR" w:eastAsia="es-ES_tradnl"/>
      </w:rPr>
      <w:t>21</w:t>
    </w:r>
    <w:r w:rsidRPr="00B9308F">
      <w:rPr>
        <w:rFonts w:ascii="Arial" w:hAnsi="Arial" w:eastAsia="Times New Roman" w:cs="Arial"/>
        <w:bCs/>
        <w:sz w:val="18"/>
        <w:szCs w:val="18"/>
        <w:lang w:val="pt-BR" w:eastAsia="es-ES_tradnl"/>
      </w:rPr>
      <w:fldChar w:fldCharType="end"/>
    </w:r>
  </w:p>
  <w:p w:rsidRPr="00B9308F" w:rsidR="001A4366" w:rsidP="001A4366" w:rsidRDefault="001A4366" w14:paraId="4650445A" w14:textId="77777777">
    <w:pPr>
      <w:pStyle w:val="Heade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D20" w:rsidRDefault="00B32D20" w14:paraId="6578FC4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F08E6"/>
    <w:multiLevelType w:val="multilevel"/>
    <w:tmpl w:val="1F3A47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328D77CD"/>
    <w:multiLevelType w:val="hybridMultilevel"/>
    <w:tmpl w:val="299A44F4"/>
    <w:lvl w:ilvl="0" w:tplc="96E09E6C">
      <w:start w:val="1"/>
      <w:numFmt w:val="decimal"/>
      <w:lvlText w:val="%1."/>
      <w:lvlJc w:val="left"/>
      <w:pPr>
        <w:ind w:left="720" w:hanging="360"/>
      </w:pPr>
      <w:rPr>
        <w:rFonts w:hint="default"/>
        <w:color w:val="0563C1" w:themeColor="hyperlink"/>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75120"/>
    <w:multiLevelType w:val="multilevel"/>
    <w:tmpl w:val="EE8E4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8C4B33"/>
    <w:multiLevelType w:val="hybridMultilevel"/>
    <w:tmpl w:val="425C35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A67515"/>
    <w:multiLevelType w:val="hybridMultilevel"/>
    <w:tmpl w:val="35C429B4"/>
    <w:lvl w:ilvl="0" w:tplc="0C6E51D2">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A3F1994"/>
    <w:multiLevelType w:val="hybridMultilevel"/>
    <w:tmpl w:val="F29AB480"/>
    <w:lvl w:ilvl="0" w:tplc="6CACA4EE">
      <w:start w:val="1"/>
      <w:numFmt w:val="bullet"/>
      <w:lvlText w:val="-"/>
      <w:lvlJc w:val="left"/>
      <w:pPr>
        <w:ind w:left="720" w:hanging="360"/>
      </w:pPr>
      <w:rPr>
        <w:rFonts w:hint="default" w:ascii="Calibri" w:hAnsi="Calibri" w:cs="Calibri" w:eastAsiaTheme="minorHAns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6784533"/>
    <w:multiLevelType w:val="hybridMultilevel"/>
    <w:tmpl w:val="5134C012"/>
    <w:lvl w:ilvl="0" w:tplc="5F0CC814">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6"/>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366"/>
    <w:rsid w:val="00004A1A"/>
    <w:rsid w:val="00004BA9"/>
    <w:rsid w:val="00006872"/>
    <w:rsid w:val="00014A13"/>
    <w:rsid w:val="000224E7"/>
    <w:rsid w:val="0002462D"/>
    <w:rsid w:val="000262CF"/>
    <w:rsid w:val="0002765B"/>
    <w:rsid w:val="00033D31"/>
    <w:rsid w:val="00050494"/>
    <w:rsid w:val="00057775"/>
    <w:rsid w:val="00060BDB"/>
    <w:rsid w:val="00062B4E"/>
    <w:rsid w:val="00064E80"/>
    <w:rsid w:val="00064F85"/>
    <w:rsid w:val="000763D5"/>
    <w:rsid w:val="00076D6C"/>
    <w:rsid w:val="00076EAD"/>
    <w:rsid w:val="00085CC7"/>
    <w:rsid w:val="00087069"/>
    <w:rsid w:val="00087ED1"/>
    <w:rsid w:val="00094B61"/>
    <w:rsid w:val="000A1221"/>
    <w:rsid w:val="000A1E19"/>
    <w:rsid w:val="000A6196"/>
    <w:rsid w:val="000B0B8A"/>
    <w:rsid w:val="000B3598"/>
    <w:rsid w:val="000B5F9D"/>
    <w:rsid w:val="000B6998"/>
    <w:rsid w:val="000C76F3"/>
    <w:rsid w:val="000D4E2E"/>
    <w:rsid w:val="000D721C"/>
    <w:rsid w:val="000E0E8E"/>
    <w:rsid w:val="000E1C7B"/>
    <w:rsid w:val="000E6B7C"/>
    <w:rsid w:val="00103873"/>
    <w:rsid w:val="00105846"/>
    <w:rsid w:val="0011023D"/>
    <w:rsid w:val="001133C1"/>
    <w:rsid w:val="00117DC6"/>
    <w:rsid w:val="001425EF"/>
    <w:rsid w:val="001445BA"/>
    <w:rsid w:val="0015691D"/>
    <w:rsid w:val="00161476"/>
    <w:rsid w:val="0016154E"/>
    <w:rsid w:val="00166020"/>
    <w:rsid w:val="00166ACF"/>
    <w:rsid w:val="001700B3"/>
    <w:rsid w:val="00176AF3"/>
    <w:rsid w:val="00177F68"/>
    <w:rsid w:val="00193601"/>
    <w:rsid w:val="00194908"/>
    <w:rsid w:val="00196444"/>
    <w:rsid w:val="001A3F75"/>
    <w:rsid w:val="001A4366"/>
    <w:rsid w:val="001A5C58"/>
    <w:rsid w:val="001A5FDE"/>
    <w:rsid w:val="001A727E"/>
    <w:rsid w:val="001B34EA"/>
    <w:rsid w:val="001C0865"/>
    <w:rsid w:val="001C0E6E"/>
    <w:rsid w:val="001D01D8"/>
    <w:rsid w:val="001D40D6"/>
    <w:rsid w:val="001D7DFF"/>
    <w:rsid w:val="001E020A"/>
    <w:rsid w:val="001E43BF"/>
    <w:rsid w:val="001E5503"/>
    <w:rsid w:val="001E7670"/>
    <w:rsid w:val="001F1061"/>
    <w:rsid w:val="0020085B"/>
    <w:rsid w:val="00203A3E"/>
    <w:rsid w:val="00203F0A"/>
    <w:rsid w:val="002075C0"/>
    <w:rsid w:val="002079D7"/>
    <w:rsid w:val="0021309D"/>
    <w:rsid w:val="002158F3"/>
    <w:rsid w:val="0021708C"/>
    <w:rsid w:val="00220D8B"/>
    <w:rsid w:val="0022140B"/>
    <w:rsid w:val="00223D46"/>
    <w:rsid w:val="00226314"/>
    <w:rsid w:val="002324AB"/>
    <w:rsid w:val="00232F5C"/>
    <w:rsid w:val="002364C4"/>
    <w:rsid w:val="00236786"/>
    <w:rsid w:val="002401F1"/>
    <w:rsid w:val="00243549"/>
    <w:rsid w:val="0024569B"/>
    <w:rsid w:val="0024781A"/>
    <w:rsid w:val="00250CDB"/>
    <w:rsid w:val="00251016"/>
    <w:rsid w:val="00257C03"/>
    <w:rsid w:val="00260F40"/>
    <w:rsid w:val="00263018"/>
    <w:rsid w:val="00266142"/>
    <w:rsid w:val="00267699"/>
    <w:rsid w:val="002679BB"/>
    <w:rsid w:val="00270D98"/>
    <w:rsid w:val="00270E49"/>
    <w:rsid w:val="00286BC7"/>
    <w:rsid w:val="00287609"/>
    <w:rsid w:val="002913CF"/>
    <w:rsid w:val="0029275E"/>
    <w:rsid w:val="00297740"/>
    <w:rsid w:val="002B1111"/>
    <w:rsid w:val="002B217A"/>
    <w:rsid w:val="002B5B78"/>
    <w:rsid w:val="002B62A3"/>
    <w:rsid w:val="002D2C5E"/>
    <w:rsid w:val="002D3F1E"/>
    <w:rsid w:val="002E01E8"/>
    <w:rsid w:val="002E3DB6"/>
    <w:rsid w:val="002F0121"/>
    <w:rsid w:val="002F6891"/>
    <w:rsid w:val="00302A65"/>
    <w:rsid w:val="00313BC5"/>
    <w:rsid w:val="00313FBA"/>
    <w:rsid w:val="00314F82"/>
    <w:rsid w:val="00316539"/>
    <w:rsid w:val="00326218"/>
    <w:rsid w:val="00333A41"/>
    <w:rsid w:val="0033671C"/>
    <w:rsid w:val="003403E5"/>
    <w:rsid w:val="00343412"/>
    <w:rsid w:val="00346A26"/>
    <w:rsid w:val="00351022"/>
    <w:rsid w:val="00351658"/>
    <w:rsid w:val="00351A25"/>
    <w:rsid w:val="0035289B"/>
    <w:rsid w:val="00356D42"/>
    <w:rsid w:val="00360C47"/>
    <w:rsid w:val="00365448"/>
    <w:rsid w:val="00372D8F"/>
    <w:rsid w:val="003746BA"/>
    <w:rsid w:val="00384E28"/>
    <w:rsid w:val="003869E4"/>
    <w:rsid w:val="0039490F"/>
    <w:rsid w:val="00395B11"/>
    <w:rsid w:val="00397325"/>
    <w:rsid w:val="003A1B22"/>
    <w:rsid w:val="003A21BA"/>
    <w:rsid w:val="003A6780"/>
    <w:rsid w:val="003A77D6"/>
    <w:rsid w:val="003B1A28"/>
    <w:rsid w:val="003C0436"/>
    <w:rsid w:val="003C69D8"/>
    <w:rsid w:val="003D0CDD"/>
    <w:rsid w:val="003D1AAC"/>
    <w:rsid w:val="003D3012"/>
    <w:rsid w:val="003D574A"/>
    <w:rsid w:val="003D63D6"/>
    <w:rsid w:val="003E00E1"/>
    <w:rsid w:val="003E0E56"/>
    <w:rsid w:val="003E23A8"/>
    <w:rsid w:val="003F14AA"/>
    <w:rsid w:val="003F374D"/>
    <w:rsid w:val="003F6826"/>
    <w:rsid w:val="00401655"/>
    <w:rsid w:val="00403B21"/>
    <w:rsid w:val="004130C4"/>
    <w:rsid w:val="004145B6"/>
    <w:rsid w:val="0041493D"/>
    <w:rsid w:val="004220DA"/>
    <w:rsid w:val="0042420F"/>
    <w:rsid w:val="004325D9"/>
    <w:rsid w:val="004350D8"/>
    <w:rsid w:val="0043620D"/>
    <w:rsid w:val="004400C1"/>
    <w:rsid w:val="00441065"/>
    <w:rsid w:val="00441B30"/>
    <w:rsid w:val="004438EB"/>
    <w:rsid w:val="0044610B"/>
    <w:rsid w:val="00452C5C"/>
    <w:rsid w:val="004611AE"/>
    <w:rsid w:val="00461970"/>
    <w:rsid w:val="00463A97"/>
    <w:rsid w:val="0046664C"/>
    <w:rsid w:val="00484C4E"/>
    <w:rsid w:val="00491266"/>
    <w:rsid w:val="00492C35"/>
    <w:rsid w:val="0049453C"/>
    <w:rsid w:val="004A0D16"/>
    <w:rsid w:val="004A14CD"/>
    <w:rsid w:val="004A49E0"/>
    <w:rsid w:val="004A4D53"/>
    <w:rsid w:val="004B3C65"/>
    <w:rsid w:val="004B4895"/>
    <w:rsid w:val="004B6047"/>
    <w:rsid w:val="004B7311"/>
    <w:rsid w:val="004C4994"/>
    <w:rsid w:val="004C4B86"/>
    <w:rsid w:val="004C56A5"/>
    <w:rsid w:val="004D2CCF"/>
    <w:rsid w:val="004E0CA6"/>
    <w:rsid w:val="004E5662"/>
    <w:rsid w:val="004E69A1"/>
    <w:rsid w:val="004F4B22"/>
    <w:rsid w:val="004F5102"/>
    <w:rsid w:val="004F75CB"/>
    <w:rsid w:val="00503F3D"/>
    <w:rsid w:val="0050584C"/>
    <w:rsid w:val="00506C74"/>
    <w:rsid w:val="00511F16"/>
    <w:rsid w:val="005216A9"/>
    <w:rsid w:val="005277AF"/>
    <w:rsid w:val="00533550"/>
    <w:rsid w:val="00533846"/>
    <w:rsid w:val="00535556"/>
    <w:rsid w:val="0053762F"/>
    <w:rsid w:val="00542312"/>
    <w:rsid w:val="0054592F"/>
    <w:rsid w:val="00555094"/>
    <w:rsid w:val="00562D05"/>
    <w:rsid w:val="00564838"/>
    <w:rsid w:val="00564B4E"/>
    <w:rsid w:val="005725CF"/>
    <w:rsid w:val="00572882"/>
    <w:rsid w:val="00572C28"/>
    <w:rsid w:val="00576582"/>
    <w:rsid w:val="00577030"/>
    <w:rsid w:val="005850F9"/>
    <w:rsid w:val="00594980"/>
    <w:rsid w:val="00596594"/>
    <w:rsid w:val="00597D12"/>
    <w:rsid w:val="00597E95"/>
    <w:rsid w:val="005A1A44"/>
    <w:rsid w:val="005A1F94"/>
    <w:rsid w:val="005B11CE"/>
    <w:rsid w:val="005B12DD"/>
    <w:rsid w:val="005B182A"/>
    <w:rsid w:val="005B2442"/>
    <w:rsid w:val="005B24B0"/>
    <w:rsid w:val="005B3BF4"/>
    <w:rsid w:val="005B6823"/>
    <w:rsid w:val="005C1BB0"/>
    <w:rsid w:val="005C6C47"/>
    <w:rsid w:val="005D1AD9"/>
    <w:rsid w:val="005D1B6F"/>
    <w:rsid w:val="005E1C28"/>
    <w:rsid w:val="005E2685"/>
    <w:rsid w:val="005E54BE"/>
    <w:rsid w:val="005E760B"/>
    <w:rsid w:val="005F17F3"/>
    <w:rsid w:val="005F271D"/>
    <w:rsid w:val="005F48C6"/>
    <w:rsid w:val="005F6FF8"/>
    <w:rsid w:val="005F7D30"/>
    <w:rsid w:val="00600D5C"/>
    <w:rsid w:val="00604476"/>
    <w:rsid w:val="00610054"/>
    <w:rsid w:val="006124ED"/>
    <w:rsid w:val="00613D85"/>
    <w:rsid w:val="00620FB2"/>
    <w:rsid w:val="00621B1C"/>
    <w:rsid w:val="0063248D"/>
    <w:rsid w:val="00641535"/>
    <w:rsid w:val="00646D58"/>
    <w:rsid w:val="00647746"/>
    <w:rsid w:val="006578E3"/>
    <w:rsid w:val="0066051E"/>
    <w:rsid w:val="00663703"/>
    <w:rsid w:val="006640CC"/>
    <w:rsid w:val="006646AD"/>
    <w:rsid w:val="0066536A"/>
    <w:rsid w:val="00671E8C"/>
    <w:rsid w:val="00672F2D"/>
    <w:rsid w:val="00673778"/>
    <w:rsid w:val="00675A2D"/>
    <w:rsid w:val="006811AA"/>
    <w:rsid w:val="0068380B"/>
    <w:rsid w:val="0069021F"/>
    <w:rsid w:val="006971F6"/>
    <w:rsid w:val="006A00BE"/>
    <w:rsid w:val="006A1952"/>
    <w:rsid w:val="006C174E"/>
    <w:rsid w:val="006C2D50"/>
    <w:rsid w:val="006C4445"/>
    <w:rsid w:val="006D003F"/>
    <w:rsid w:val="006D0E11"/>
    <w:rsid w:val="006E5835"/>
    <w:rsid w:val="006F23DC"/>
    <w:rsid w:val="006F5086"/>
    <w:rsid w:val="006F63A1"/>
    <w:rsid w:val="006F7F93"/>
    <w:rsid w:val="007021BA"/>
    <w:rsid w:val="007021CB"/>
    <w:rsid w:val="0070487F"/>
    <w:rsid w:val="00705CB1"/>
    <w:rsid w:val="00712EEE"/>
    <w:rsid w:val="00713DF5"/>
    <w:rsid w:val="00713FE5"/>
    <w:rsid w:val="007277C9"/>
    <w:rsid w:val="00731D9F"/>
    <w:rsid w:val="007329B0"/>
    <w:rsid w:val="00733EE8"/>
    <w:rsid w:val="007400AC"/>
    <w:rsid w:val="00743CF7"/>
    <w:rsid w:val="00745460"/>
    <w:rsid w:val="0075091A"/>
    <w:rsid w:val="00752445"/>
    <w:rsid w:val="007559A9"/>
    <w:rsid w:val="00757A09"/>
    <w:rsid w:val="00764BC3"/>
    <w:rsid w:val="00771F43"/>
    <w:rsid w:val="00775F25"/>
    <w:rsid w:val="00775FF5"/>
    <w:rsid w:val="0077665F"/>
    <w:rsid w:val="0078389F"/>
    <w:rsid w:val="00785656"/>
    <w:rsid w:val="00785BF7"/>
    <w:rsid w:val="007862E9"/>
    <w:rsid w:val="007976A4"/>
    <w:rsid w:val="007B363C"/>
    <w:rsid w:val="007C4E6B"/>
    <w:rsid w:val="007D5405"/>
    <w:rsid w:val="007E1502"/>
    <w:rsid w:val="007E77F3"/>
    <w:rsid w:val="007F0226"/>
    <w:rsid w:val="007F2822"/>
    <w:rsid w:val="007F543C"/>
    <w:rsid w:val="008015A5"/>
    <w:rsid w:val="00804B4E"/>
    <w:rsid w:val="00807B04"/>
    <w:rsid w:val="00807F1A"/>
    <w:rsid w:val="008132A7"/>
    <w:rsid w:val="00813BCB"/>
    <w:rsid w:val="00815562"/>
    <w:rsid w:val="00817C81"/>
    <w:rsid w:val="00817F09"/>
    <w:rsid w:val="0082212B"/>
    <w:rsid w:val="0082246F"/>
    <w:rsid w:val="00823983"/>
    <w:rsid w:val="00825B20"/>
    <w:rsid w:val="0082662A"/>
    <w:rsid w:val="00826C67"/>
    <w:rsid w:val="008320D8"/>
    <w:rsid w:val="008323B1"/>
    <w:rsid w:val="0083594F"/>
    <w:rsid w:val="00840203"/>
    <w:rsid w:val="008432CE"/>
    <w:rsid w:val="00844497"/>
    <w:rsid w:val="008467A2"/>
    <w:rsid w:val="0085337B"/>
    <w:rsid w:val="00855656"/>
    <w:rsid w:val="00862526"/>
    <w:rsid w:val="008658EE"/>
    <w:rsid w:val="00866A89"/>
    <w:rsid w:val="0087364D"/>
    <w:rsid w:val="00874DC0"/>
    <w:rsid w:val="00876910"/>
    <w:rsid w:val="008817E9"/>
    <w:rsid w:val="00883D1D"/>
    <w:rsid w:val="008849C4"/>
    <w:rsid w:val="00885205"/>
    <w:rsid w:val="00891962"/>
    <w:rsid w:val="008A1680"/>
    <w:rsid w:val="008A4618"/>
    <w:rsid w:val="008A5B13"/>
    <w:rsid w:val="008A5B45"/>
    <w:rsid w:val="008B1141"/>
    <w:rsid w:val="008B1BC9"/>
    <w:rsid w:val="008B2765"/>
    <w:rsid w:val="008B35CB"/>
    <w:rsid w:val="008B7D01"/>
    <w:rsid w:val="008C56F7"/>
    <w:rsid w:val="008D0C5F"/>
    <w:rsid w:val="008D16A4"/>
    <w:rsid w:val="008D1932"/>
    <w:rsid w:val="008E0694"/>
    <w:rsid w:val="008E0A79"/>
    <w:rsid w:val="008E0FE6"/>
    <w:rsid w:val="008E1B27"/>
    <w:rsid w:val="008E461F"/>
    <w:rsid w:val="008E529E"/>
    <w:rsid w:val="008E5B6F"/>
    <w:rsid w:val="008E6780"/>
    <w:rsid w:val="008E7366"/>
    <w:rsid w:val="008E7F8C"/>
    <w:rsid w:val="008F1529"/>
    <w:rsid w:val="008F23D0"/>
    <w:rsid w:val="008F36FA"/>
    <w:rsid w:val="008F3ED8"/>
    <w:rsid w:val="00902510"/>
    <w:rsid w:val="00904B30"/>
    <w:rsid w:val="00904F90"/>
    <w:rsid w:val="0090606A"/>
    <w:rsid w:val="009103C3"/>
    <w:rsid w:val="009104B4"/>
    <w:rsid w:val="009172F2"/>
    <w:rsid w:val="00917DDC"/>
    <w:rsid w:val="00932538"/>
    <w:rsid w:val="00932652"/>
    <w:rsid w:val="00935969"/>
    <w:rsid w:val="00942BD5"/>
    <w:rsid w:val="00946B83"/>
    <w:rsid w:val="00955D26"/>
    <w:rsid w:val="009601DB"/>
    <w:rsid w:val="009618DA"/>
    <w:rsid w:val="009619C4"/>
    <w:rsid w:val="00961F04"/>
    <w:rsid w:val="009652A9"/>
    <w:rsid w:val="009655F3"/>
    <w:rsid w:val="009743DF"/>
    <w:rsid w:val="0098619D"/>
    <w:rsid w:val="00987967"/>
    <w:rsid w:val="00991309"/>
    <w:rsid w:val="0099152D"/>
    <w:rsid w:val="00994986"/>
    <w:rsid w:val="009A1A27"/>
    <w:rsid w:val="009A2C02"/>
    <w:rsid w:val="009A4C06"/>
    <w:rsid w:val="009A6920"/>
    <w:rsid w:val="009A795F"/>
    <w:rsid w:val="009B2A7A"/>
    <w:rsid w:val="009B6A9E"/>
    <w:rsid w:val="009C097B"/>
    <w:rsid w:val="009C0ED7"/>
    <w:rsid w:val="009C64B0"/>
    <w:rsid w:val="009C7360"/>
    <w:rsid w:val="009D5232"/>
    <w:rsid w:val="009D65D8"/>
    <w:rsid w:val="009D7B44"/>
    <w:rsid w:val="009E1A55"/>
    <w:rsid w:val="009E3E00"/>
    <w:rsid w:val="009E60CC"/>
    <w:rsid w:val="009F19F4"/>
    <w:rsid w:val="00A01CC2"/>
    <w:rsid w:val="00A02D80"/>
    <w:rsid w:val="00A0519F"/>
    <w:rsid w:val="00A054D8"/>
    <w:rsid w:val="00A110B0"/>
    <w:rsid w:val="00A13D54"/>
    <w:rsid w:val="00A23AF7"/>
    <w:rsid w:val="00A400DE"/>
    <w:rsid w:val="00A41819"/>
    <w:rsid w:val="00A42A64"/>
    <w:rsid w:val="00A44757"/>
    <w:rsid w:val="00A5075E"/>
    <w:rsid w:val="00A55827"/>
    <w:rsid w:val="00A55ED2"/>
    <w:rsid w:val="00A6414E"/>
    <w:rsid w:val="00A65655"/>
    <w:rsid w:val="00A66434"/>
    <w:rsid w:val="00A703E5"/>
    <w:rsid w:val="00A70862"/>
    <w:rsid w:val="00A7228A"/>
    <w:rsid w:val="00A7257F"/>
    <w:rsid w:val="00A7494C"/>
    <w:rsid w:val="00A75CFD"/>
    <w:rsid w:val="00A771BE"/>
    <w:rsid w:val="00A80FD3"/>
    <w:rsid w:val="00A817B0"/>
    <w:rsid w:val="00A81D34"/>
    <w:rsid w:val="00A826A7"/>
    <w:rsid w:val="00A83E13"/>
    <w:rsid w:val="00A86CB4"/>
    <w:rsid w:val="00A87020"/>
    <w:rsid w:val="00A949B2"/>
    <w:rsid w:val="00A97A87"/>
    <w:rsid w:val="00AA53BF"/>
    <w:rsid w:val="00AB2447"/>
    <w:rsid w:val="00AB3AB9"/>
    <w:rsid w:val="00AB7F9C"/>
    <w:rsid w:val="00AC236F"/>
    <w:rsid w:val="00AC3CB9"/>
    <w:rsid w:val="00AC43A5"/>
    <w:rsid w:val="00AC5668"/>
    <w:rsid w:val="00AC5BBE"/>
    <w:rsid w:val="00AC5F62"/>
    <w:rsid w:val="00AC6302"/>
    <w:rsid w:val="00AD3482"/>
    <w:rsid w:val="00AD6525"/>
    <w:rsid w:val="00AE6C2A"/>
    <w:rsid w:val="00AF1124"/>
    <w:rsid w:val="00AF1CBA"/>
    <w:rsid w:val="00AF245D"/>
    <w:rsid w:val="00AF6D35"/>
    <w:rsid w:val="00B0185A"/>
    <w:rsid w:val="00B02ED4"/>
    <w:rsid w:val="00B13A49"/>
    <w:rsid w:val="00B14420"/>
    <w:rsid w:val="00B14838"/>
    <w:rsid w:val="00B160CA"/>
    <w:rsid w:val="00B170E7"/>
    <w:rsid w:val="00B225A2"/>
    <w:rsid w:val="00B2658E"/>
    <w:rsid w:val="00B31B29"/>
    <w:rsid w:val="00B32D20"/>
    <w:rsid w:val="00B344A4"/>
    <w:rsid w:val="00B35682"/>
    <w:rsid w:val="00B36A95"/>
    <w:rsid w:val="00B41E86"/>
    <w:rsid w:val="00B505CA"/>
    <w:rsid w:val="00B50D8C"/>
    <w:rsid w:val="00B62831"/>
    <w:rsid w:val="00B7310B"/>
    <w:rsid w:val="00B737F3"/>
    <w:rsid w:val="00B744AD"/>
    <w:rsid w:val="00B8030D"/>
    <w:rsid w:val="00B855FA"/>
    <w:rsid w:val="00B9308F"/>
    <w:rsid w:val="00B94447"/>
    <w:rsid w:val="00B96119"/>
    <w:rsid w:val="00B967C8"/>
    <w:rsid w:val="00BA15A2"/>
    <w:rsid w:val="00BA2726"/>
    <w:rsid w:val="00BA36E5"/>
    <w:rsid w:val="00BB1805"/>
    <w:rsid w:val="00BC3638"/>
    <w:rsid w:val="00BC3C43"/>
    <w:rsid w:val="00BC3D30"/>
    <w:rsid w:val="00BD05BA"/>
    <w:rsid w:val="00BD1DEA"/>
    <w:rsid w:val="00BD2812"/>
    <w:rsid w:val="00BD7670"/>
    <w:rsid w:val="00BE464D"/>
    <w:rsid w:val="00BE538B"/>
    <w:rsid w:val="00BE79F7"/>
    <w:rsid w:val="00BF6041"/>
    <w:rsid w:val="00C0278B"/>
    <w:rsid w:val="00C04890"/>
    <w:rsid w:val="00C12759"/>
    <w:rsid w:val="00C226B0"/>
    <w:rsid w:val="00C26BAA"/>
    <w:rsid w:val="00C31343"/>
    <w:rsid w:val="00C33E20"/>
    <w:rsid w:val="00C40C9C"/>
    <w:rsid w:val="00C417E9"/>
    <w:rsid w:val="00C47B17"/>
    <w:rsid w:val="00C60E24"/>
    <w:rsid w:val="00C61C4C"/>
    <w:rsid w:val="00C748AA"/>
    <w:rsid w:val="00C80189"/>
    <w:rsid w:val="00C807F6"/>
    <w:rsid w:val="00C80B17"/>
    <w:rsid w:val="00C85993"/>
    <w:rsid w:val="00C86DAA"/>
    <w:rsid w:val="00C91710"/>
    <w:rsid w:val="00C93260"/>
    <w:rsid w:val="00C93BCC"/>
    <w:rsid w:val="00C95A2F"/>
    <w:rsid w:val="00CA4821"/>
    <w:rsid w:val="00CB7A18"/>
    <w:rsid w:val="00CC1F09"/>
    <w:rsid w:val="00CD04A1"/>
    <w:rsid w:val="00CD0CF9"/>
    <w:rsid w:val="00CD1A36"/>
    <w:rsid w:val="00CD72C2"/>
    <w:rsid w:val="00CD7FC1"/>
    <w:rsid w:val="00CE3D1D"/>
    <w:rsid w:val="00CE6543"/>
    <w:rsid w:val="00CE6AA7"/>
    <w:rsid w:val="00CF2EF5"/>
    <w:rsid w:val="00CF6871"/>
    <w:rsid w:val="00D0144B"/>
    <w:rsid w:val="00D030C7"/>
    <w:rsid w:val="00D10D67"/>
    <w:rsid w:val="00D1257E"/>
    <w:rsid w:val="00D143EB"/>
    <w:rsid w:val="00D14B7F"/>
    <w:rsid w:val="00D219B1"/>
    <w:rsid w:val="00D2258F"/>
    <w:rsid w:val="00D240A5"/>
    <w:rsid w:val="00D24CE4"/>
    <w:rsid w:val="00D26017"/>
    <w:rsid w:val="00D27386"/>
    <w:rsid w:val="00D32565"/>
    <w:rsid w:val="00D4129B"/>
    <w:rsid w:val="00D45E30"/>
    <w:rsid w:val="00D51BDF"/>
    <w:rsid w:val="00D60944"/>
    <w:rsid w:val="00D652A9"/>
    <w:rsid w:val="00D73C2F"/>
    <w:rsid w:val="00D75CC9"/>
    <w:rsid w:val="00D76176"/>
    <w:rsid w:val="00D85FB0"/>
    <w:rsid w:val="00D874D6"/>
    <w:rsid w:val="00D909FF"/>
    <w:rsid w:val="00D91AA4"/>
    <w:rsid w:val="00D91F23"/>
    <w:rsid w:val="00DA1007"/>
    <w:rsid w:val="00DA43AF"/>
    <w:rsid w:val="00DA4658"/>
    <w:rsid w:val="00DA737D"/>
    <w:rsid w:val="00DB2588"/>
    <w:rsid w:val="00DC159C"/>
    <w:rsid w:val="00DC19A2"/>
    <w:rsid w:val="00DC48FD"/>
    <w:rsid w:val="00DC4E38"/>
    <w:rsid w:val="00DD2E91"/>
    <w:rsid w:val="00DE5160"/>
    <w:rsid w:val="00DE6984"/>
    <w:rsid w:val="00DF3A5C"/>
    <w:rsid w:val="00DF653A"/>
    <w:rsid w:val="00E07726"/>
    <w:rsid w:val="00E07955"/>
    <w:rsid w:val="00E07CB5"/>
    <w:rsid w:val="00E1165D"/>
    <w:rsid w:val="00E143DB"/>
    <w:rsid w:val="00E15251"/>
    <w:rsid w:val="00E31E69"/>
    <w:rsid w:val="00E3329A"/>
    <w:rsid w:val="00E45FE3"/>
    <w:rsid w:val="00E46A6B"/>
    <w:rsid w:val="00E52DDE"/>
    <w:rsid w:val="00E57EB8"/>
    <w:rsid w:val="00E632A9"/>
    <w:rsid w:val="00E653A3"/>
    <w:rsid w:val="00E66F65"/>
    <w:rsid w:val="00E73F4C"/>
    <w:rsid w:val="00E748C5"/>
    <w:rsid w:val="00E74EEF"/>
    <w:rsid w:val="00E77A20"/>
    <w:rsid w:val="00E77FC1"/>
    <w:rsid w:val="00E87C68"/>
    <w:rsid w:val="00E87FB5"/>
    <w:rsid w:val="00E92CC9"/>
    <w:rsid w:val="00E97FF6"/>
    <w:rsid w:val="00EA3A65"/>
    <w:rsid w:val="00EA4A93"/>
    <w:rsid w:val="00EA702C"/>
    <w:rsid w:val="00EB1866"/>
    <w:rsid w:val="00EB4CF1"/>
    <w:rsid w:val="00EB64C8"/>
    <w:rsid w:val="00EB707C"/>
    <w:rsid w:val="00EC10DA"/>
    <w:rsid w:val="00EC4A74"/>
    <w:rsid w:val="00EC4F48"/>
    <w:rsid w:val="00ED7C13"/>
    <w:rsid w:val="00EF2EF0"/>
    <w:rsid w:val="00EF5362"/>
    <w:rsid w:val="00EF5CF2"/>
    <w:rsid w:val="00F10DF9"/>
    <w:rsid w:val="00F158AD"/>
    <w:rsid w:val="00F20A30"/>
    <w:rsid w:val="00F22645"/>
    <w:rsid w:val="00F2418C"/>
    <w:rsid w:val="00F41EC9"/>
    <w:rsid w:val="00F422AE"/>
    <w:rsid w:val="00F468D0"/>
    <w:rsid w:val="00F554E9"/>
    <w:rsid w:val="00F63F14"/>
    <w:rsid w:val="00F64B7E"/>
    <w:rsid w:val="00F66EED"/>
    <w:rsid w:val="00F71917"/>
    <w:rsid w:val="00F75634"/>
    <w:rsid w:val="00F7634B"/>
    <w:rsid w:val="00F76991"/>
    <w:rsid w:val="00F77237"/>
    <w:rsid w:val="00F81E63"/>
    <w:rsid w:val="00F826BC"/>
    <w:rsid w:val="00F924D3"/>
    <w:rsid w:val="00F949B0"/>
    <w:rsid w:val="00F953E3"/>
    <w:rsid w:val="00F956DD"/>
    <w:rsid w:val="00F974D3"/>
    <w:rsid w:val="00FA0530"/>
    <w:rsid w:val="00FA09D9"/>
    <w:rsid w:val="00FB05B4"/>
    <w:rsid w:val="00FB086C"/>
    <w:rsid w:val="00FB3237"/>
    <w:rsid w:val="00FB4B3D"/>
    <w:rsid w:val="00FB5AE5"/>
    <w:rsid w:val="00FB6E6B"/>
    <w:rsid w:val="00FC2354"/>
    <w:rsid w:val="00FC650F"/>
    <w:rsid w:val="00FD0022"/>
    <w:rsid w:val="00FD0B01"/>
    <w:rsid w:val="00FD3BF8"/>
    <w:rsid w:val="00FE04CF"/>
    <w:rsid w:val="00FE499A"/>
    <w:rsid w:val="00FE555D"/>
    <w:rsid w:val="00FF14DE"/>
    <w:rsid w:val="00FF2867"/>
    <w:rsid w:val="00FF4162"/>
    <w:rsid w:val="00FF5E2C"/>
    <w:rsid w:val="00FF6D48"/>
    <w:rsid w:val="00FF7631"/>
    <w:rsid w:val="406596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29A3F0"/>
  <w15:docId w15:val="{CEFA69A9-60A9-4338-B12C-4884204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B1A2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1A28"/>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7DF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A4366"/>
    <w:pPr>
      <w:tabs>
        <w:tab w:val="center" w:pos="4252"/>
        <w:tab w:val="right" w:pos="8504"/>
      </w:tabs>
      <w:spacing w:after="0" w:line="240" w:lineRule="auto"/>
    </w:pPr>
  </w:style>
  <w:style w:type="character" w:styleId="HeaderChar" w:customStyle="1">
    <w:name w:val="Header Char"/>
    <w:basedOn w:val="DefaultParagraphFont"/>
    <w:link w:val="Header"/>
    <w:uiPriority w:val="99"/>
    <w:rsid w:val="001A4366"/>
  </w:style>
  <w:style w:type="paragraph" w:styleId="Footer">
    <w:name w:val="footer"/>
    <w:basedOn w:val="Normal"/>
    <w:link w:val="FooterChar"/>
    <w:uiPriority w:val="99"/>
    <w:unhideWhenUsed/>
    <w:rsid w:val="001A4366"/>
    <w:pPr>
      <w:tabs>
        <w:tab w:val="center" w:pos="4252"/>
        <w:tab w:val="right" w:pos="8504"/>
      </w:tabs>
      <w:spacing w:after="0" w:line="240" w:lineRule="auto"/>
    </w:pPr>
  </w:style>
  <w:style w:type="character" w:styleId="FooterChar" w:customStyle="1">
    <w:name w:val="Footer Char"/>
    <w:basedOn w:val="DefaultParagraphFont"/>
    <w:link w:val="Footer"/>
    <w:uiPriority w:val="99"/>
    <w:rsid w:val="001A4366"/>
  </w:style>
  <w:style w:type="paragraph" w:styleId="BalloonText">
    <w:name w:val="Balloon Text"/>
    <w:basedOn w:val="Normal"/>
    <w:link w:val="BalloonTextChar"/>
    <w:uiPriority w:val="99"/>
    <w:semiHidden/>
    <w:unhideWhenUsed/>
    <w:rsid w:val="0021309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1309D"/>
    <w:rPr>
      <w:rFonts w:ascii="Tahoma" w:hAnsi="Tahoma" w:cs="Tahoma"/>
      <w:sz w:val="16"/>
      <w:szCs w:val="16"/>
    </w:rPr>
  </w:style>
  <w:style w:type="table" w:styleId="TableGrid">
    <w:name w:val="Table Grid"/>
    <w:basedOn w:val="TableNormal"/>
    <w:uiPriority w:val="39"/>
    <w:rsid w:val="00F7723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3B1A28"/>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3B1A28"/>
    <w:rPr>
      <w:rFonts w:asciiTheme="majorHAnsi" w:hAnsiTheme="majorHAnsi" w:eastAsiaTheme="majorEastAsia" w:cstheme="majorBidi"/>
      <w:color w:val="2F5496" w:themeColor="accent1" w:themeShade="BF"/>
      <w:sz w:val="26"/>
      <w:szCs w:val="26"/>
    </w:rPr>
  </w:style>
  <w:style w:type="paragraph" w:styleId="NormalWeb">
    <w:name w:val="Normal (Web)"/>
    <w:basedOn w:val="Normal"/>
    <w:uiPriority w:val="99"/>
    <w:semiHidden/>
    <w:unhideWhenUsed/>
    <w:rsid w:val="003B1A28"/>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Hyperlink">
    <w:name w:val="Hyperlink"/>
    <w:basedOn w:val="DefaultParagraphFont"/>
    <w:uiPriority w:val="99"/>
    <w:unhideWhenUsed/>
    <w:rsid w:val="00564838"/>
    <w:rPr>
      <w:color w:val="0563C1" w:themeColor="hyperlink"/>
      <w:u w:val="single"/>
    </w:rPr>
  </w:style>
  <w:style w:type="character" w:styleId="UnresolvedMention">
    <w:name w:val="Unresolved Mention"/>
    <w:basedOn w:val="DefaultParagraphFont"/>
    <w:uiPriority w:val="99"/>
    <w:semiHidden/>
    <w:unhideWhenUsed/>
    <w:rsid w:val="00564838"/>
    <w:rPr>
      <w:color w:val="605E5C"/>
      <w:shd w:val="clear" w:color="auto" w:fill="E1DFDD"/>
    </w:rPr>
  </w:style>
  <w:style w:type="paragraph" w:styleId="FootnoteText">
    <w:name w:val="footnote text"/>
    <w:aliases w:val="fn,foottextfra,footnote,F,Texto nota pie Car Car,Texto de rodapé,nota_rodapé,nota de rodapé,FOOTNOTES,single space,footnote text,Footnote Text Char Char,ADB,texto de nota al pie,Nota a pie/Bibliog,Texto nota pie Car Car Car,f,ft,foottextf"/>
    <w:basedOn w:val="Normal"/>
    <w:link w:val="FootnoteTextChar"/>
    <w:uiPriority w:val="99"/>
    <w:unhideWhenUsed/>
    <w:qFormat/>
    <w:rsid w:val="007E77F3"/>
    <w:pPr>
      <w:spacing w:after="0" w:line="240" w:lineRule="auto"/>
    </w:pPr>
    <w:rPr>
      <w:sz w:val="20"/>
      <w:szCs w:val="20"/>
    </w:rPr>
  </w:style>
  <w:style w:type="character" w:styleId="FootnoteTextChar" w:customStyle="1">
    <w:name w:val="Footnote Text Char"/>
    <w:aliases w:val="fn Char,foottextfra Char,footnote Char,F Char,Texto nota pie Car Car Char,Texto de rodapé Char,nota_rodapé Char,nota de rodapé Char,FOOTNOTES Char,single space Char,footnote text Char,Footnote Text Char Char Char,ADB Char,f Char"/>
    <w:basedOn w:val="DefaultParagraphFont"/>
    <w:link w:val="FootnoteText"/>
    <w:uiPriority w:val="99"/>
    <w:rsid w:val="007E77F3"/>
    <w:rPr>
      <w:sz w:val="20"/>
      <w:szCs w:val="20"/>
    </w:rPr>
  </w:style>
  <w:style w:type="character" w:styleId="FootnoteReference">
    <w:name w:val="footnote reference"/>
    <w:aliases w:val="titulo 2,Style 24,pie pddes,referencia nota al pie,Fußnotenzeichen DISS,16 Point,Superscript 6 Point,ftref,FC,BVI fnr, BVI fnr,Знак сноски 1,Footnote Referencefra,Ref. de nota al pie.,Footnote Reference.SES,Ref. de nota al pie EDEP,fr"/>
    <w:basedOn w:val="DefaultParagraphFont"/>
    <w:uiPriority w:val="99"/>
    <w:unhideWhenUsed/>
    <w:qFormat/>
    <w:rsid w:val="007E77F3"/>
    <w:rPr>
      <w:vertAlign w:val="superscript"/>
    </w:rPr>
  </w:style>
  <w:style w:type="paragraph" w:styleId="Caption">
    <w:name w:val="caption"/>
    <w:basedOn w:val="Normal"/>
    <w:next w:val="Normal"/>
    <w:uiPriority w:val="35"/>
    <w:unhideWhenUsed/>
    <w:qFormat/>
    <w:rsid w:val="00161476"/>
    <w:pPr>
      <w:spacing w:after="200" w:line="240" w:lineRule="auto"/>
    </w:pPr>
    <w:rPr>
      <w:i/>
      <w:iCs/>
      <w:color w:val="44546A" w:themeColor="text2"/>
      <w:sz w:val="18"/>
      <w:szCs w:val="18"/>
    </w:rPr>
  </w:style>
  <w:style w:type="paragraph" w:styleId="ListParagraph">
    <w:name w:val="List Paragraph"/>
    <w:basedOn w:val="Normal"/>
    <w:uiPriority w:val="34"/>
    <w:qFormat/>
    <w:rsid w:val="00E87C68"/>
    <w:pPr>
      <w:ind w:left="720"/>
      <w:contextualSpacing/>
    </w:pPr>
  </w:style>
  <w:style w:type="character" w:styleId="Heading3Char" w:customStyle="1">
    <w:name w:val="Heading 3 Char"/>
    <w:basedOn w:val="DefaultParagraphFont"/>
    <w:link w:val="Heading3"/>
    <w:uiPriority w:val="9"/>
    <w:rsid w:val="001D7DFF"/>
    <w:rPr>
      <w:rFonts w:asciiTheme="majorHAnsi" w:hAnsiTheme="majorHAnsi" w:eastAsiaTheme="majorEastAsia" w:cstheme="majorBidi"/>
      <w:color w:val="1F3763" w:themeColor="accent1" w:themeShade="7F"/>
      <w:sz w:val="24"/>
      <w:szCs w:val="24"/>
    </w:rPr>
  </w:style>
  <w:style w:type="character" w:styleId="Strong">
    <w:name w:val="Strong"/>
    <w:basedOn w:val="DefaultParagraphFont"/>
    <w:uiPriority w:val="22"/>
    <w:qFormat/>
    <w:rsid w:val="00313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1013">
      <w:bodyDiv w:val="1"/>
      <w:marLeft w:val="0"/>
      <w:marRight w:val="0"/>
      <w:marTop w:val="0"/>
      <w:marBottom w:val="0"/>
      <w:divBdr>
        <w:top w:val="none" w:sz="0" w:space="0" w:color="auto"/>
        <w:left w:val="none" w:sz="0" w:space="0" w:color="auto"/>
        <w:bottom w:val="none" w:sz="0" w:space="0" w:color="auto"/>
        <w:right w:val="none" w:sz="0" w:space="0" w:color="auto"/>
      </w:divBdr>
    </w:div>
    <w:div w:id="13003680">
      <w:bodyDiv w:val="1"/>
      <w:marLeft w:val="0"/>
      <w:marRight w:val="0"/>
      <w:marTop w:val="0"/>
      <w:marBottom w:val="0"/>
      <w:divBdr>
        <w:top w:val="none" w:sz="0" w:space="0" w:color="auto"/>
        <w:left w:val="none" w:sz="0" w:space="0" w:color="auto"/>
        <w:bottom w:val="none" w:sz="0" w:space="0" w:color="auto"/>
        <w:right w:val="none" w:sz="0" w:space="0" w:color="auto"/>
      </w:divBdr>
    </w:div>
    <w:div w:id="32779196">
      <w:bodyDiv w:val="1"/>
      <w:marLeft w:val="0"/>
      <w:marRight w:val="0"/>
      <w:marTop w:val="0"/>
      <w:marBottom w:val="0"/>
      <w:divBdr>
        <w:top w:val="none" w:sz="0" w:space="0" w:color="auto"/>
        <w:left w:val="none" w:sz="0" w:space="0" w:color="auto"/>
        <w:bottom w:val="none" w:sz="0" w:space="0" w:color="auto"/>
        <w:right w:val="none" w:sz="0" w:space="0" w:color="auto"/>
      </w:divBdr>
    </w:div>
    <w:div w:id="68430937">
      <w:bodyDiv w:val="1"/>
      <w:marLeft w:val="0"/>
      <w:marRight w:val="0"/>
      <w:marTop w:val="0"/>
      <w:marBottom w:val="0"/>
      <w:divBdr>
        <w:top w:val="none" w:sz="0" w:space="0" w:color="auto"/>
        <w:left w:val="none" w:sz="0" w:space="0" w:color="auto"/>
        <w:bottom w:val="none" w:sz="0" w:space="0" w:color="auto"/>
        <w:right w:val="none" w:sz="0" w:space="0" w:color="auto"/>
      </w:divBdr>
    </w:div>
    <w:div w:id="248127696">
      <w:bodyDiv w:val="1"/>
      <w:marLeft w:val="0"/>
      <w:marRight w:val="0"/>
      <w:marTop w:val="0"/>
      <w:marBottom w:val="0"/>
      <w:divBdr>
        <w:top w:val="none" w:sz="0" w:space="0" w:color="auto"/>
        <w:left w:val="none" w:sz="0" w:space="0" w:color="auto"/>
        <w:bottom w:val="none" w:sz="0" w:space="0" w:color="auto"/>
        <w:right w:val="none" w:sz="0" w:space="0" w:color="auto"/>
      </w:divBdr>
    </w:div>
    <w:div w:id="553539156">
      <w:bodyDiv w:val="1"/>
      <w:marLeft w:val="0"/>
      <w:marRight w:val="0"/>
      <w:marTop w:val="0"/>
      <w:marBottom w:val="0"/>
      <w:divBdr>
        <w:top w:val="none" w:sz="0" w:space="0" w:color="auto"/>
        <w:left w:val="none" w:sz="0" w:space="0" w:color="auto"/>
        <w:bottom w:val="none" w:sz="0" w:space="0" w:color="auto"/>
        <w:right w:val="none" w:sz="0" w:space="0" w:color="auto"/>
      </w:divBdr>
    </w:div>
    <w:div w:id="594555070">
      <w:bodyDiv w:val="1"/>
      <w:marLeft w:val="0"/>
      <w:marRight w:val="0"/>
      <w:marTop w:val="0"/>
      <w:marBottom w:val="0"/>
      <w:divBdr>
        <w:top w:val="none" w:sz="0" w:space="0" w:color="auto"/>
        <w:left w:val="none" w:sz="0" w:space="0" w:color="auto"/>
        <w:bottom w:val="none" w:sz="0" w:space="0" w:color="auto"/>
        <w:right w:val="none" w:sz="0" w:space="0" w:color="auto"/>
      </w:divBdr>
    </w:div>
    <w:div w:id="636684383">
      <w:bodyDiv w:val="1"/>
      <w:marLeft w:val="0"/>
      <w:marRight w:val="0"/>
      <w:marTop w:val="0"/>
      <w:marBottom w:val="0"/>
      <w:divBdr>
        <w:top w:val="none" w:sz="0" w:space="0" w:color="auto"/>
        <w:left w:val="none" w:sz="0" w:space="0" w:color="auto"/>
        <w:bottom w:val="none" w:sz="0" w:space="0" w:color="auto"/>
        <w:right w:val="none" w:sz="0" w:space="0" w:color="auto"/>
      </w:divBdr>
    </w:div>
    <w:div w:id="661080991">
      <w:bodyDiv w:val="1"/>
      <w:marLeft w:val="0"/>
      <w:marRight w:val="0"/>
      <w:marTop w:val="0"/>
      <w:marBottom w:val="0"/>
      <w:divBdr>
        <w:top w:val="none" w:sz="0" w:space="0" w:color="auto"/>
        <w:left w:val="none" w:sz="0" w:space="0" w:color="auto"/>
        <w:bottom w:val="none" w:sz="0" w:space="0" w:color="auto"/>
        <w:right w:val="none" w:sz="0" w:space="0" w:color="auto"/>
      </w:divBdr>
    </w:div>
    <w:div w:id="722214358">
      <w:bodyDiv w:val="1"/>
      <w:marLeft w:val="0"/>
      <w:marRight w:val="0"/>
      <w:marTop w:val="0"/>
      <w:marBottom w:val="0"/>
      <w:divBdr>
        <w:top w:val="none" w:sz="0" w:space="0" w:color="auto"/>
        <w:left w:val="none" w:sz="0" w:space="0" w:color="auto"/>
        <w:bottom w:val="none" w:sz="0" w:space="0" w:color="auto"/>
        <w:right w:val="none" w:sz="0" w:space="0" w:color="auto"/>
      </w:divBdr>
    </w:div>
    <w:div w:id="1140151144">
      <w:bodyDiv w:val="1"/>
      <w:marLeft w:val="0"/>
      <w:marRight w:val="0"/>
      <w:marTop w:val="0"/>
      <w:marBottom w:val="0"/>
      <w:divBdr>
        <w:top w:val="none" w:sz="0" w:space="0" w:color="auto"/>
        <w:left w:val="none" w:sz="0" w:space="0" w:color="auto"/>
        <w:bottom w:val="none" w:sz="0" w:space="0" w:color="auto"/>
        <w:right w:val="none" w:sz="0" w:space="0" w:color="auto"/>
      </w:divBdr>
    </w:div>
    <w:div w:id="1419399659">
      <w:bodyDiv w:val="1"/>
      <w:marLeft w:val="0"/>
      <w:marRight w:val="0"/>
      <w:marTop w:val="0"/>
      <w:marBottom w:val="0"/>
      <w:divBdr>
        <w:top w:val="none" w:sz="0" w:space="0" w:color="auto"/>
        <w:left w:val="none" w:sz="0" w:space="0" w:color="auto"/>
        <w:bottom w:val="none" w:sz="0" w:space="0" w:color="auto"/>
        <w:right w:val="none" w:sz="0" w:space="0" w:color="auto"/>
      </w:divBdr>
    </w:div>
    <w:div w:id="1484466422">
      <w:bodyDiv w:val="1"/>
      <w:marLeft w:val="0"/>
      <w:marRight w:val="0"/>
      <w:marTop w:val="0"/>
      <w:marBottom w:val="0"/>
      <w:divBdr>
        <w:top w:val="none" w:sz="0" w:space="0" w:color="auto"/>
        <w:left w:val="none" w:sz="0" w:space="0" w:color="auto"/>
        <w:bottom w:val="none" w:sz="0" w:space="0" w:color="auto"/>
        <w:right w:val="none" w:sz="0" w:space="0" w:color="auto"/>
      </w:divBdr>
    </w:div>
    <w:div w:id="19416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header" Target="header1.xml" Id="rId15" /><Relationship Type="http://schemas.openxmlformats.org/officeDocument/2006/relationships/customXml" Target="../customXml/item8.xml" Id="rId23" /><Relationship Type="http://schemas.openxmlformats.org/officeDocument/2006/relationships/settings" Target="setting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yperlink" Target="http://www4.unfccc.int/ndcregistry/PublishedDocuments/Argentina%20First/17112016%20NDC%20Revisada%202016.pdf"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2" Type="http://schemas.openxmlformats.org/officeDocument/2006/relationships/hyperlink" Target="https://publications.iadb.org/handle/11319/9163" TargetMode="External"/><Relationship Id="rId1" Type="http://schemas.openxmlformats.org/officeDocument/2006/relationships/hyperlink" Target="https://www.ilo.org/wcmsp5/groups/public/---americas/---ro-lima/---ilo-buenos_aires/documents/publication/wcms_556477.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66E56D4F40944D9B559334B536BA88" ma:contentTypeVersion="2994" ma:contentTypeDescription="A content type to manage public (operations) IDB documents" ma:contentTypeScope="" ma:versionID="5f6c10efb3a19593ae94d752d8be5c3c">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803C5304F0009346B86F3612B8120927" ma:contentTypeVersion="2259" ma:contentTypeDescription="The base project type from which other project content types inherit their information." ma:contentTypeScope="" ma:versionID="db2dc0ad9a902bb202d5dd3f2179b0ff">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41</Value>
      <Value>5</Value>
      <Value>4</Value>
      <Value>1</Value>
      <Value>308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EZSHARE-363285188-7</_dlc_DocId>
    <_dlc_DocIdUrl xmlns="cdc7663a-08f0-4737-9e8c-148ce897a09c">
      <Url>https://idbg.sharepoint.com/teams/EZ-AR-LON/AR-L1309/_layouts/15/DocIdRedir.aspx?ID=EZSHARE-363285188-7</Url>
      <Description>EZSHARE-363285188-7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058BBF8-43C2-4627-ADEC-6984F67A02AF}">
  <ds:schemaRefs>
    <ds:schemaRef ds:uri="http://schemas.microsoft.com/sharepoint/v3/contenttype/forms"/>
  </ds:schemaRefs>
</ds:datastoreItem>
</file>

<file path=customXml/itemProps2.xml><?xml version="1.0" encoding="utf-8"?>
<ds:datastoreItem xmlns:ds="http://schemas.openxmlformats.org/officeDocument/2006/customXml" ds:itemID="{3A2F99A7-3561-46E1-89AC-FE056AFB609E}">
  <ds:schemaRefs>
    <ds:schemaRef ds:uri="http://schemas.microsoft.com/sharepoint/events"/>
  </ds:schemaRefs>
</ds:datastoreItem>
</file>

<file path=customXml/itemProps3.xml><?xml version="1.0" encoding="utf-8"?>
<ds:datastoreItem xmlns:ds="http://schemas.openxmlformats.org/officeDocument/2006/customXml" ds:itemID="{BC8656B2-14F7-4AD2-A23A-D1E115200ACC}"/>
</file>

<file path=customXml/itemProps4.xml><?xml version="1.0" encoding="utf-8"?>
<ds:datastoreItem xmlns:ds="http://schemas.openxmlformats.org/officeDocument/2006/customXml" ds:itemID="{4A826592-0B02-48ED-AB33-6C6B05C92E0E}"/>
</file>

<file path=customXml/itemProps5.xml><?xml version="1.0" encoding="utf-8"?>
<ds:datastoreItem xmlns:ds="http://schemas.openxmlformats.org/officeDocument/2006/customXml" ds:itemID="{DF8E8D56-5DA0-42CF-ACF9-96DE1316D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7E8F9A-842B-4F85-8DB5-886DB56225E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20CF5F9B-1153-4AFF-BE03-BA299635D602}">
  <ds:schemaRefs>
    <ds:schemaRef ds:uri="http://schemas.openxmlformats.org/officeDocument/2006/bibliography"/>
  </ds:schemaRefs>
</ds:datastoreItem>
</file>

<file path=customXml/itemProps8.xml><?xml version="1.0" encoding="utf-8"?>
<ds:datastoreItem xmlns:ds="http://schemas.openxmlformats.org/officeDocument/2006/customXml" ds:itemID="{BC2ECFA2-0D8B-43C3-B926-A222CBDFF1A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Doherty-Bigara, Jennifer Victoria</dc:creator>
  <cp:keywords/>
  <dc:description/>
  <cp:lastModifiedBy>Silveira, Sheyla</cp:lastModifiedBy>
  <cp:revision>9</cp:revision>
  <dcterms:created xsi:type="dcterms:W3CDTF">2019-04-08T21:10:00Z</dcterms:created>
  <dcterms:modified xsi:type="dcterms:W3CDTF">2019-04-12T20:26:00Z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308;#POVERTY ALLEVIATION|c99b9e13-7d25-4ef5-800d-099d9545c397</vt:lpwstr>
  </property>
  <property fmtid="{D5CDD505-2E9C-101B-9397-08002B2CF9AE}" pid="7" name="Fund IDB">
    <vt:lpwstr>4;#ORC|c028a4b2-ad8b-4cf4-9cac-a2ae6a778e23</vt:lpwstr>
  </property>
  <property fmtid="{D5CDD505-2E9C-101B-9397-08002B2CF9AE}" pid="8" name="Country">
    <vt:lpwstr>5;#Argentina|eb1b705c-195f-4c3b-9661-b201f2fee3c5</vt:lpwstr>
  </property>
  <property fmtid="{D5CDD505-2E9C-101B-9397-08002B2CF9AE}" pid="9" name="Sector IDB">
    <vt:lpwstr>41;#SOCIAL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c09256f3-d6d4-40d6-8cee-5a90d72eb668</vt:lpwstr>
  </property>
  <property fmtid="{D5CDD505-2E9C-101B-9397-08002B2CF9AE}" pid="12" name="AuthorIds_UIVersion_2">
    <vt:lpwstr>690</vt:lpwstr>
  </property>
  <property fmtid="{D5CDD505-2E9C-101B-9397-08002B2CF9AE}" pid="13" name="AuthorIds_UIVersion_4">
    <vt:lpwstr>690</vt:lpwstr>
  </property>
  <property fmtid="{D5CDD505-2E9C-101B-9397-08002B2CF9AE}" pid="14" name="ContentTypeId">
    <vt:lpwstr>0x0101001A458A224826124E8B45B1D613300CFC002566E56D4F40944D9B559334B536BA88</vt:lpwstr>
  </property>
</Properties>
</file>