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CC" w:rsidRPr="00435BE9" w:rsidRDefault="00435BE9" w:rsidP="00A478CC">
      <w:pPr>
        <w:pStyle w:val="Chapter"/>
        <w:numPr>
          <w:ilvl w:val="0"/>
          <w:numId w:val="0"/>
        </w:numPr>
        <w:tabs>
          <w:tab w:val="clear" w:pos="1440"/>
          <w:tab w:val="left" w:pos="720"/>
        </w:tabs>
        <w:spacing w:after="120"/>
        <w:rPr>
          <w:smallCaps w:val="0"/>
          <w:sz w:val="18"/>
          <w:szCs w:val="18"/>
          <w:u w:val="single"/>
          <w:lang w:val="es-PE"/>
        </w:rPr>
      </w:pPr>
      <w:r>
        <w:rPr>
          <w:smallCaps w:val="0"/>
          <w:sz w:val="18"/>
          <w:szCs w:val="18"/>
          <w:u w:val="single"/>
          <w:lang w:val="es-PE"/>
        </w:rPr>
        <w:t>Actividades con Financiamiento Actual y P</w:t>
      </w:r>
      <w:r w:rsidR="00A478CC" w:rsidRPr="00435BE9">
        <w:rPr>
          <w:smallCaps w:val="0"/>
          <w:sz w:val="18"/>
          <w:szCs w:val="18"/>
          <w:u w:val="single"/>
          <w:lang w:val="es-PE"/>
        </w:rPr>
        <w:t>royectado</w:t>
      </w:r>
    </w:p>
    <w:tbl>
      <w:tblPr>
        <w:tblW w:w="10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1350"/>
        <w:gridCol w:w="2160"/>
        <w:gridCol w:w="1170"/>
        <w:gridCol w:w="3600"/>
        <w:gridCol w:w="886"/>
      </w:tblGrid>
      <w:tr w:rsidR="00A478CC" w:rsidRPr="00A478CC" w:rsidTr="004D304A">
        <w:trPr>
          <w:jc w:val="center"/>
        </w:trPr>
        <w:tc>
          <w:tcPr>
            <w:tcW w:w="10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CC" w:rsidRPr="00A478CC" w:rsidRDefault="00A478CC" w:rsidP="00A17E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País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CC" w:rsidRPr="00A478CC" w:rsidRDefault="00A478CC" w:rsidP="00A17E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Ciudad ICES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CC" w:rsidRPr="00A478CC" w:rsidRDefault="00A478CC" w:rsidP="00A17EB9">
            <w:pPr>
              <w:jc w:val="center"/>
              <w:rPr>
                <w:sz w:val="18"/>
                <w:szCs w:val="18"/>
                <w:lang w:val="en-US"/>
              </w:rPr>
            </w:pPr>
            <w:r w:rsidRPr="00A478CC">
              <w:rPr>
                <w:sz w:val="18"/>
                <w:szCs w:val="18"/>
                <w:lang w:val="en-US"/>
              </w:rPr>
              <w:t>Estudios/Acciones concluídas</w:t>
            </w:r>
          </w:p>
          <w:p w:rsidR="00A478CC" w:rsidRPr="00A478CC" w:rsidRDefault="00A478CC" w:rsidP="00A17EB9">
            <w:pPr>
              <w:jc w:val="center"/>
              <w:rPr>
                <w:rFonts w:eastAsiaTheme="minorHAnsi"/>
                <w:sz w:val="18"/>
                <w:szCs w:val="18"/>
                <w:lang w:val="en-US"/>
              </w:rPr>
            </w:pPr>
            <w:r w:rsidRPr="00A478CC">
              <w:rPr>
                <w:sz w:val="18"/>
                <w:szCs w:val="18"/>
                <w:lang w:val="en-US"/>
              </w:rPr>
              <w:t>2012-2014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CC" w:rsidRPr="00A478CC" w:rsidRDefault="00A478CC" w:rsidP="00A17E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A478CC">
              <w:rPr>
                <w:rFonts w:eastAsiaTheme="minorHAnsi"/>
                <w:sz w:val="18"/>
                <w:szCs w:val="18"/>
              </w:rPr>
              <w:t>Recursos ICES/Socio estratégico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CC" w:rsidRPr="00400EB8" w:rsidRDefault="00A478CC" w:rsidP="00A17EB9">
            <w:pPr>
              <w:jc w:val="center"/>
              <w:rPr>
                <w:sz w:val="18"/>
                <w:szCs w:val="18"/>
                <w:lang w:val="en-US"/>
              </w:rPr>
            </w:pPr>
            <w:r w:rsidRPr="00400EB8">
              <w:rPr>
                <w:sz w:val="18"/>
                <w:szCs w:val="18"/>
                <w:lang w:val="en-US"/>
              </w:rPr>
              <w:t>Estudios/Acciones complementarias</w:t>
            </w:r>
          </w:p>
          <w:p w:rsidR="00A478CC" w:rsidRPr="00A478CC" w:rsidRDefault="00A478CC" w:rsidP="00A17EB9">
            <w:pPr>
              <w:jc w:val="center"/>
              <w:rPr>
                <w:rFonts w:eastAsiaTheme="minorHAnsi"/>
                <w:sz w:val="18"/>
                <w:szCs w:val="18"/>
                <w:lang w:val="en-US"/>
              </w:rPr>
            </w:pPr>
            <w:r w:rsidRPr="00400EB8">
              <w:rPr>
                <w:sz w:val="18"/>
                <w:szCs w:val="18"/>
                <w:lang w:val="en-US"/>
              </w:rPr>
              <w:t>2015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CC" w:rsidRPr="00A478CC" w:rsidRDefault="00A478CC" w:rsidP="00A17E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RG-T2552 (US$)</w:t>
            </w:r>
          </w:p>
        </w:tc>
      </w:tr>
      <w:tr w:rsidR="00A478CC" w:rsidRPr="00A478CC" w:rsidTr="004D304A">
        <w:trPr>
          <w:trHeight w:val="641"/>
          <w:jc w:val="center"/>
        </w:trPr>
        <w:tc>
          <w:tcPr>
            <w:tcW w:w="10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ind w:right="113"/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Brasil 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Florianópolis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Palmas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Vitória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1B2C4C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Instrumentación de metodología, Estudios base: cambio climático, vulnerabilidad y huella urbana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RG-T2307/ Caixa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1B2C4C" w:rsidP="001B2C4C">
            <w:pPr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Complementarios estudios y a</w:t>
            </w:r>
            <w:r w:rsidR="00995FA3">
              <w:rPr>
                <w:sz w:val="18"/>
                <w:szCs w:val="18"/>
              </w:rPr>
              <w:t>ctividades de revisión, acompañamiento y elaboración de los Planes de acción, p</w:t>
            </w:r>
            <w:r w:rsidR="00A478CC" w:rsidRPr="00A478CC">
              <w:rPr>
                <w:sz w:val="18"/>
                <w:szCs w:val="18"/>
              </w:rPr>
              <w:t>rofundizar diagnósticos en temas priorizado</w:t>
            </w:r>
            <w:r w:rsidR="003C0F6E">
              <w:rPr>
                <w:sz w:val="18"/>
                <w:szCs w:val="18"/>
              </w:rPr>
              <w:t xml:space="preserve">s </w:t>
            </w:r>
            <w:r w:rsidR="00995FA3">
              <w:rPr>
                <w:sz w:val="18"/>
                <w:szCs w:val="18"/>
              </w:rPr>
              <w:t>en el Plan</w:t>
            </w:r>
            <w:r w:rsidR="00A478CC" w:rsidRPr="00A478CC">
              <w:rPr>
                <w:sz w:val="18"/>
                <w:szCs w:val="18"/>
              </w:rPr>
              <w:t xml:space="preserve"> de Acción, </w:t>
            </w:r>
            <w:r w:rsidR="003C0F6E">
              <w:rPr>
                <w:sz w:val="18"/>
                <w:szCs w:val="18"/>
              </w:rPr>
              <w:t>desarrollar propuestas de intervención con evaluación de costos</w:t>
            </w:r>
            <w:r w:rsidR="00A478CC" w:rsidRPr="00A478CC">
              <w:rPr>
                <w:sz w:val="18"/>
                <w:szCs w:val="18"/>
              </w:rPr>
              <w:t>,</w:t>
            </w:r>
            <w:r w:rsidR="003C0F6E">
              <w:rPr>
                <w:sz w:val="18"/>
                <w:szCs w:val="18"/>
              </w:rPr>
              <w:t xml:space="preserve"> apoyar</w:t>
            </w:r>
            <w:r w:rsidR="00A478CC" w:rsidRPr="00A478CC">
              <w:rPr>
                <w:sz w:val="18"/>
                <w:szCs w:val="18"/>
              </w:rPr>
              <w:t xml:space="preserve"> </w:t>
            </w:r>
            <w:r w:rsidR="003C0F6E">
              <w:rPr>
                <w:sz w:val="18"/>
                <w:szCs w:val="18"/>
              </w:rPr>
              <w:t xml:space="preserve"> </w:t>
            </w:r>
            <w:r w:rsidR="00A478CC" w:rsidRPr="00A478CC">
              <w:rPr>
                <w:sz w:val="18"/>
                <w:szCs w:val="18"/>
              </w:rPr>
              <w:t>la creación de sistemas de monitoreo ciudadano</w:t>
            </w:r>
            <w:r w:rsidR="00203BB7">
              <w:rPr>
                <w:sz w:val="18"/>
                <w:szCs w:val="18"/>
              </w:rPr>
              <w:t xml:space="preserve"> y actividades de c</w:t>
            </w:r>
            <w:r w:rsidR="00203BB7" w:rsidRPr="00A478CC">
              <w:rPr>
                <w:sz w:val="18"/>
                <w:szCs w:val="18"/>
              </w:rPr>
              <w:t xml:space="preserve">apacitación </w:t>
            </w:r>
            <w:r w:rsidR="00203BB7">
              <w:rPr>
                <w:sz w:val="18"/>
                <w:szCs w:val="18"/>
              </w:rPr>
              <w:t xml:space="preserve">para </w:t>
            </w:r>
            <w:r w:rsidR="00203BB7" w:rsidRPr="00A478CC">
              <w:rPr>
                <w:sz w:val="18"/>
                <w:szCs w:val="18"/>
              </w:rPr>
              <w:t>instrumentar la metodología</w:t>
            </w:r>
            <w:r w:rsidR="00203BB7">
              <w:rPr>
                <w:sz w:val="18"/>
                <w:szCs w:val="18"/>
              </w:rPr>
              <w:t xml:space="preserve"> en nuevas ciudades adicionales.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140,000</w:t>
            </w:r>
          </w:p>
        </w:tc>
      </w:tr>
      <w:tr w:rsidR="00A478CC" w:rsidRPr="00A478CC" w:rsidTr="004D304A">
        <w:trPr>
          <w:trHeight w:val="2375"/>
          <w:jc w:val="center"/>
        </w:trPr>
        <w:tc>
          <w:tcPr>
            <w:tcW w:w="10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ind w:right="113"/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Colombia 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Montería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Pasto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rFonts w:eastAsiaTheme="minorHAnsi"/>
                <w:sz w:val="18"/>
                <w:szCs w:val="18"/>
              </w:rPr>
              <w:t>Cartagena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rFonts w:eastAsiaTheme="minorHAnsi"/>
                <w:sz w:val="18"/>
                <w:szCs w:val="18"/>
              </w:rPr>
              <w:t>Valledupar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Instrumentación de metodología, estudios base  concluidos y en proceso de elaboración y  proyectos/ estudios  urbanos   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CO-T1317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rFonts w:eastAsiaTheme="minorHAnsi"/>
                <w:sz w:val="18"/>
                <w:szCs w:val="18"/>
              </w:rPr>
              <w:t>RG-T2312/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rFonts w:eastAsiaTheme="minorHAnsi"/>
                <w:sz w:val="18"/>
                <w:szCs w:val="18"/>
              </w:rPr>
              <w:t>FINDETER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C4C" w:rsidRPr="001B2C4C" w:rsidRDefault="001B2C4C" w:rsidP="001B2C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 las ciudades de </w:t>
            </w:r>
            <w:r w:rsidRPr="001B2C4C">
              <w:rPr>
                <w:sz w:val="18"/>
                <w:szCs w:val="18"/>
              </w:rPr>
              <w:t>Montería</w:t>
            </w:r>
            <w:r>
              <w:rPr>
                <w:sz w:val="18"/>
                <w:szCs w:val="18"/>
              </w:rPr>
              <w:t>,</w:t>
            </w:r>
          </w:p>
          <w:p w:rsidR="00A478CC" w:rsidRPr="001B2C4C" w:rsidRDefault="001B2C4C" w:rsidP="001B2C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Pasto y </w:t>
            </w:r>
            <w:r w:rsidRPr="001B2C4C">
              <w:rPr>
                <w:sz w:val="18"/>
                <w:szCs w:val="18"/>
              </w:rPr>
              <w:t>Cartagena</w:t>
            </w:r>
            <w:r>
              <w:rPr>
                <w:sz w:val="18"/>
                <w:szCs w:val="18"/>
              </w:rPr>
              <w:t xml:space="preserve"> se desarollaran </w:t>
            </w:r>
            <w:r w:rsidRPr="001B2C4C">
              <w:rPr>
                <w:sz w:val="18"/>
                <w:szCs w:val="18"/>
              </w:rPr>
              <w:t>complimentarios</w:t>
            </w:r>
            <w:r>
              <w:t xml:space="preserve"> </w:t>
            </w:r>
            <w:r w:rsidRPr="001B2C4C">
              <w:rPr>
                <w:sz w:val="18"/>
                <w:szCs w:val="18"/>
              </w:rPr>
              <w:t>estudios</w:t>
            </w:r>
            <w:r>
              <w:rPr>
                <w:sz w:val="18"/>
                <w:szCs w:val="18"/>
              </w:rPr>
              <w:t xml:space="preserve"> y a</w:t>
            </w:r>
            <w:r w:rsidR="00995FA3">
              <w:rPr>
                <w:sz w:val="18"/>
                <w:szCs w:val="18"/>
              </w:rPr>
              <w:t>ctividades de revisión, acompañamiento y elaboración de los Planes de acción</w:t>
            </w:r>
            <w:r w:rsidR="00B61D24">
              <w:rPr>
                <w:sz w:val="18"/>
                <w:szCs w:val="18"/>
              </w:rPr>
              <w:t>, p</w:t>
            </w:r>
            <w:r w:rsidR="00A478CC" w:rsidRPr="00A478CC">
              <w:rPr>
                <w:sz w:val="18"/>
                <w:szCs w:val="18"/>
              </w:rPr>
              <w:t>rofundizar diagnósticos</w:t>
            </w:r>
            <w:r w:rsidR="003C0F6E">
              <w:rPr>
                <w:sz w:val="18"/>
                <w:szCs w:val="18"/>
              </w:rPr>
              <w:t xml:space="preserve"> y desarrollar</w:t>
            </w:r>
            <w:r w:rsidR="00B61D24">
              <w:rPr>
                <w:sz w:val="18"/>
                <w:szCs w:val="18"/>
              </w:rPr>
              <w:t xml:space="preserve">/actualizar </w:t>
            </w:r>
            <w:r w:rsidR="003C0F6E">
              <w:rPr>
                <w:sz w:val="18"/>
                <w:szCs w:val="18"/>
              </w:rPr>
              <w:t>planes maestros en temas priorizados, elaborar</w:t>
            </w:r>
            <w:r w:rsidR="0009626F">
              <w:rPr>
                <w:sz w:val="18"/>
                <w:szCs w:val="18"/>
              </w:rPr>
              <w:t xml:space="preserve"> y </w:t>
            </w:r>
            <w:r w:rsidR="00A478CC" w:rsidRPr="00A478CC">
              <w:rPr>
                <w:sz w:val="18"/>
                <w:szCs w:val="18"/>
              </w:rPr>
              <w:t>publica</w:t>
            </w:r>
            <w:r w:rsidR="003C0F6E">
              <w:rPr>
                <w:sz w:val="18"/>
                <w:szCs w:val="18"/>
              </w:rPr>
              <w:t xml:space="preserve">r </w:t>
            </w:r>
            <w:r w:rsidR="00A478CC" w:rsidRPr="00A478CC">
              <w:rPr>
                <w:sz w:val="18"/>
                <w:szCs w:val="18"/>
              </w:rPr>
              <w:t xml:space="preserve">el Plan de Acción, </w:t>
            </w:r>
            <w:r w:rsidR="003C0F6E">
              <w:rPr>
                <w:sz w:val="18"/>
                <w:szCs w:val="18"/>
              </w:rPr>
              <w:t>desarrollar propuestas de intervención con evaluación de costos, apoyar</w:t>
            </w:r>
            <w:r w:rsidR="00A478CC" w:rsidRPr="00A478CC">
              <w:rPr>
                <w:sz w:val="18"/>
                <w:szCs w:val="18"/>
              </w:rPr>
              <w:t xml:space="preserve"> en la creación de sistemas de monitoreo ciudadano</w:t>
            </w:r>
            <w:r>
              <w:rPr>
                <w:sz w:val="18"/>
                <w:szCs w:val="18"/>
              </w:rPr>
              <w:t>, mientras que en la ciudad de</w:t>
            </w:r>
            <w:r>
              <w:t xml:space="preserve"> </w:t>
            </w:r>
            <w:r w:rsidRPr="001B2C4C">
              <w:rPr>
                <w:sz w:val="18"/>
                <w:szCs w:val="18"/>
              </w:rPr>
              <w:t>Valledupar</w:t>
            </w:r>
            <w:r>
              <w:rPr>
                <w:sz w:val="18"/>
                <w:szCs w:val="18"/>
              </w:rPr>
              <w:t xml:space="preserve"> se empezaran estos mismos estudios y actividades.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</w:t>
            </w: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140,000</w:t>
            </w:r>
          </w:p>
        </w:tc>
      </w:tr>
      <w:tr w:rsidR="00A478CC" w:rsidRPr="00A478CC" w:rsidTr="004D304A">
        <w:trPr>
          <w:jc w:val="center"/>
        </w:trPr>
        <w:tc>
          <w:tcPr>
            <w:tcW w:w="10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ind w:right="113"/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Chile 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Valdivia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Instrumentación de metodología, Estudios base: cambio climático, vulnerabilidad y huella urbana 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Subria de Desarrollo Regional del Ministerio del Interior Chile</w:t>
            </w:r>
          </w:p>
          <w:p w:rsidR="001B2C4C" w:rsidRPr="00A478CC" w:rsidRDefault="001B2C4C" w:rsidP="00A17EB9">
            <w:pPr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RG-T2173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1B2C4C" w:rsidP="001B2C4C">
            <w:pPr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Estudio complementario</w:t>
            </w:r>
            <w:r w:rsidRPr="001B2C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para la profundización</w:t>
            </w:r>
            <w:r w:rsidR="00A478CC" w:rsidRPr="00A478CC">
              <w:rPr>
                <w:sz w:val="18"/>
                <w:szCs w:val="18"/>
              </w:rPr>
              <w:t xml:space="preserve"> diagnósticos </w:t>
            </w:r>
            <w:r w:rsidR="003C0F6E">
              <w:rPr>
                <w:sz w:val="18"/>
                <w:szCs w:val="18"/>
              </w:rPr>
              <w:t>y desarrollar</w:t>
            </w:r>
            <w:r w:rsidR="00676B0B">
              <w:rPr>
                <w:sz w:val="18"/>
                <w:szCs w:val="18"/>
              </w:rPr>
              <w:t>/actualizar</w:t>
            </w:r>
            <w:r w:rsidR="003C0F6E">
              <w:rPr>
                <w:sz w:val="18"/>
                <w:szCs w:val="18"/>
              </w:rPr>
              <w:t xml:space="preserve"> planes maestros en temas priorizados</w:t>
            </w:r>
            <w:r w:rsidR="00A478CC" w:rsidRPr="00A478CC">
              <w:rPr>
                <w:sz w:val="18"/>
                <w:szCs w:val="18"/>
              </w:rPr>
              <w:t xml:space="preserve">, </w:t>
            </w:r>
            <w:r w:rsidR="00676B0B">
              <w:rPr>
                <w:sz w:val="18"/>
                <w:szCs w:val="18"/>
              </w:rPr>
              <w:t xml:space="preserve">preparación del Plan de Acción y </w:t>
            </w:r>
            <w:r w:rsidR="003C0F6E">
              <w:rPr>
                <w:sz w:val="18"/>
                <w:szCs w:val="18"/>
              </w:rPr>
              <w:t>desarrollar propuestas de intervención con evaluación de costos</w:t>
            </w:r>
            <w:r w:rsidR="003C0F6E" w:rsidRPr="00A478CC">
              <w:rPr>
                <w:sz w:val="18"/>
                <w:szCs w:val="18"/>
              </w:rPr>
              <w:t xml:space="preserve"> </w:t>
            </w:r>
            <w:r w:rsidR="00A478CC" w:rsidRPr="00A478CC">
              <w:rPr>
                <w:sz w:val="18"/>
                <w:szCs w:val="18"/>
              </w:rPr>
              <w:t>y apoyo en la creación de sistemas de monitoreo ciudadano</w:t>
            </w:r>
            <w:r w:rsidR="00A478CC">
              <w:rPr>
                <w:sz w:val="18"/>
                <w:szCs w:val="18"/>
              </w:rPr>
              <w:t>.</w:t>
            </w:r>
            <w:r w:rsidR="00A478CC" w:rsidRPr="00A478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140,000</w:t>
            </w:r>
          </w:p>
        </w:tc>
      </w:tr>
      <w:tr w:rsidR="00A478CC" w:rsidRPr="00A478CC" w:rsidTr="004D304A">
        <w:trPr>
          <w:trHeight w:val="1160"/>
          <w:jc w:val="center"/>
        </w:trPr>
        <w:tc>
          <w:tcPr>
            <w:tcW w:w="10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México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La Paz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Instrumentación de metodología, estudios de vulnerabilidad y huella urbana, movilidad, agua y energía, sistema de monitoreo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18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RG-T2227 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Fundación FEMSA y ICF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Desarrollo del Plan de Resiliencia e  implementación de medidas del Plan de acción.</w:t>
            </w:r>
          </w:p>
        </w:tc>
        <w:tc>
          <w:tcPr>
            <w:tcW w:w="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 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140,000</w:t>
            </w:r>
          </w:p>
        </w:tc>
      </w:tr>
      <w:tr w:rsidR="00A478CC" w:rsidRPr="00A478CC" w:rsidTr="004D304A">
        <w:trPr>
          <w:jc w:val="center"/>
        </w:trPr>
        <w:tc>
          <w:tcPr>
            <w:tcW w:w="10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Campeche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 xml:space="preserve">Instrumentación de la metodología, 3 estudios base. </w:t>
            </w:r>
          </w:p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RG-T2312/ Banobras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203BB7" w:rsidP="003C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3C0F6E">
              <w:rPr>
                <w:sz w:val="18"/>
                <w:szCs w:val="18"/>
              </w:rPr>
              <w:t>esarrollar</w:t>
            </w:r>
            <w:r w:rsidR="00676B0B">
              <w:rPr>
                <w:sz w:val="18"/>
                <w:szCs w:val="18"/>
              </w:rPr>
              <w:t>/actualizar</w:t>
            </w:r>
            <w:r w:rsidR="003C0F6E">
              <w:rPr>
                <w:sz w:val="18"/>
                <w:szCs w:val="18"/>
              </w:rPr>
              <w:t xml:space="preserve"> planes maestros </w:t>
            </w:r>
            <w:r w:rsidR="00435BE9">
              <w:rPr>
                <w:sz w:val="18"/>
                <w:szCs w:val="18"/>
              </w:rPr>
              <w:t xml:space="preserve">complimentarios </w:t>
            </w:r>
            <w:r w:rsidR="00A478CC" w:rsidRPr="00A478CC">
              <w:rPr>
                <w:sz w:val="18"/>
                <w:szCs w:val="18"/>
              </w:rPr>
              <w:t xml:space="preserve">en temas priorizados por la metodología, </w:t>
            </w:r>
            <w:r w:rsidR="003C0F6E">
              <w:rPr>
                <w:sz w:val="18"/>
                <w:szCs w:val="18"/>
              </w:rPr>
              <w:t>desarrollar propuestas de intervención con evaluación de costos</w:t>
            </w:r>
            <w:r w:rsidR="003C0F6E" w:rsidRPr="00A478CC">
              <w:rPr>
                <w:sz w:val="18"/>
                <w:szCs w:val="18"/>
              </w:rPr>
              <w:t xml:space="preserve"> </w:t>
            </w:r>
            <w:r w:rsidR="00A478CC" w:rsidRPr="00A478CC">
              <w:rPr>
                <w:sz w:val="18"/>
                <w:szCs w:val="18"/>
              </w:rPr>
              <w:t>y apoyo en la creación de sistemas de monitoreo ciudadano</w:t>
            </w:r>
          </w:p>
        </w:tc>
        <w:tc>
          <w:tcPr>
            <w:tcW w:w="8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</w:tc>
      </w:tr>
      <w:tr w:rsidR="00A478CC" w:rsidRPr="00A478CC" w:rsidTr="004D304A">
        <w:trPr>
          <w:jc w:val="center"/>
        </w:trPr>
        <w:tc>
          <w:tcPr>
            <w:tcW w:w="10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Aguascalientes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León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Puebla</w:t>
            </w:r>
          </w:p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Toluca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Priorización de ciudades adicionales, talleres de capacitación, diagnóstico inicial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RG-T2310/ Banobras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435BE9" w:rsidP="00435B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802A0">
              <w:rPr>
                <w:sz w:val="18"/>
                <w:szCs w:val="18"/>
              </w:rPr>
              <w:t>ctividades de c</w:t>
            </w:r>
            <w:r w:rsidR="00A478CC" w:rsidRPr="00A478CC">
              <w:rPr>
                <w:sz w:val="18"/>
                <w:szCs w:val="18"/>
              </w:rPr>
              <w:t xml:space="preserve">apacitación </w:t>
            </w:r>
            <w:r w:rsidR="003C0F6E">
              <w:rPr>
                <w:sz w:val="18"/>
                <w:szCs w:val="18"/>
              </w:rPr>
              <w:t xml:space="preserve">para </w:t>
            </w:r>
            <w:r w:rsidR="00A478CC" w:rsidRPr="00A478CC">
              <w:rPr>
                <w:sz w:val="18"/>
                <w:szCs w:val="18"/>
              </w:rPr>
              <w:t xml:space="preserve">instrumentar la metodología, evaluar los indicadores, realizar los estudios base y elaborar el plan de acción. </w:t>
            </w:r>
          </w:p>
        </w:tc>
        <w:tc>
          <w:tcPr>
            <w:tcW w:w="8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</w:tc>
      </w:tr>
      <w:tr w:rsidR="009802A0" w:rsidRPr="00A478CC" w:rsidTr="004D304A">
        <w:trPr>
          <w:jc w:val="center"/>
        </w:trPr>
        <w:tc>
          <w:tcPr>
            <w:tcW w:w="10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A0" w:rsidRPr="00A478CC" w:rsidRDefault="009802A0" w:rsidP="00A17EB9">
            <w:pPr>
              <w:jc w:val="both"/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Argentina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A0" w:rsidRPr="00A478CC" w:rsidRDefault="009802A0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Paraná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A0" w:rsidRPr="00A478CC" w:rsidRDefault="009802A0" w:rsidP="00A17EB9">
            <w:pPr>
              <w:jc w:val="both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Instrumentación de la metodología, estudios base de huella urbana y vulnerabilidad</w:t>
            </w:r>
            <w:r w:rsidR="003C0F6E">
              <w:rPr>
                <w:sz w:val="18"/>
                <w:szCs w:val="18"/>
              </w:rPr>
              <w:t>, encuestas de opinión pública</w:t>
            </w:r>
            <w:r w:rsidRPr="00A478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A0" w:rsidRPr="00A478CC" w:rsidRDefault="009802A0" w:rsidP="00A17EB9">
            <w:pPr>
              <w:rPr>
                <w:rFonts w:eastAsiaTheme="minorHAnsi"/>
                <w:sz w:val="18"/>
                <w:szCs w:val="18"/>
              </w:rPr>
            </w:pPr>
          </w:p>
          <w:p w:rsidR="009802A0" w:rsidRPr="00A478CC" w:rsidRDefault="009802A0" w:rsidP="00A17EB9">
            <w:pPr>
              <w:rPr>
                <w:rFonts w:eastAsiaTheme="minorHAnsi"/>
                <w:sz w:val="18"/>
                <w:szCs w:val="18"/>
              </w:rPr>
            </w:pPr>
            <w:r w:rsidRPr="00A478CC">
              <w:rPr>
                <w:rFonts w:eastAsiaTheme="minorHAnsi"/>
                <w:sz w:val="18"/>
                <w:szCs w:val="18"/>
              </w:rPr>
              <w:t>AR-T1122</w:t>
            </w:r>
          </w:p>
        </w:tc>
        <w:tc>
          <w:tcPr>
            <w:tcW w:w="36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A0" w:rsidRPr="00A478CC" w:rsidRDefault="008834C2" w:rsidP="003C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9802A0" w:rsidRPr="00A478CC">
              <w:rPr>
                <w:sz w:val="18"/>
                <w:szCs w:val="18"/>
              </w:rPr>
              <w:t>rofundizar di</w:t>
            </w:r>
            <w:r w:rsidR="009802A0">
              <w:rPr>
                <w:sz w:val="18"/>
                <w:szCs w:val="18"/>
              </w:rPr>
              <w:t>agnósticos</w:t>
            </w:r>
            <w:r w:rsidR="003C0F6E">
              <w:rPr>
                <w:sz w:val="18"/>
                <w:szCs w:val="18"/>
              </w:rPr>
              <w:t xml:space="preserve"> y desarrollar</w:t>
            </w:r>
            <w:r w:rsidR="00676B0B">
              <w:rPr>
                <w:sz w:val="18"/>
                <w:szCs w:val="18"/>
              </w:rPr>
              <w:t>/actualizar</w:t>
            </w:r>
            <w:r w:rsidR="003C0F6E">
              <w:rPr>
                <w:sz w:val="18"/>
                <w:szCs w:val="18"/>
              </w:rPr>
              <w:t xml:space="preserve"> planes maestros en temas, p</w:t>
            </w:r>
            <w:r w:rsidR="009802A0" w:rsidRPr="00A478CC">
              <w:rPr>
                <w:sz w:val="18"/>
                <w:szCs w:val="18"/>
              </w:rPr>
              <w:t xml:space="preserve">ublicación y difusión de los planes de acción, </w:t>
            </w:r>
            <w:r w:rsidR="003C0F6E">
              <w:rPr>
                <w:sz w:val="18"/>
                <w:szCs w:val="18"/>
              </w:rPr>
              <w:t>desarrollar propuestas de intervención con evaluación de costos</w:t>
            </w:r>
            <w:r w:rsidR="009802A0" w:rsidRPr="00A478CC">
              <w:rPr>
                <w:sz w:val="18"/>
                <w:szCs w:val="18"/>
              </w:rPr>
              <w:t xml:space="preserve">, apoyo en la instrumentación del sistema de monitoreo. </w:t>
            </w:r>
          </w:p>
        </w:tc>
        <w:tc>
          <w:tcPr>
            <w:tcW w:w="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A0" w:rsidRPr="00A478CC" w:rsidRDefault="009802A0" w:rsidP="00A17EB9">
            <w:pPr>
              <w:jc w:val="center"/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jc w:val="center"/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jc w:val="center"/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jc w:val="center"/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jc w:val="center"/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140,000</w:t>
            </w:r>
          </w:p>
        </w:tc>
      </w:tr>
      <w:tr w:rsidR="009802A0" w:rsidRPr="00A478CC" w:rsidTr="004D304A">
        <w:trPr>
          <w:jc w:val="center"/>
        </w:trPr>
        <w:tc>
          <w:tcPr>
            <w:tcW w:w="10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2A0" w:rsidRPr="00A478CC" w:rsidRDefault="009802A0" w:rsidP="00A17EB9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2A0" w:rsidRPr="00A478CC" w:rsidRDefault="009802A0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Salta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2A0" w:rsidRPr="00A478CC" w:rsidRDefault="009802A0" w:rsidP="00A17EB9">
            <w:pPr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Instrumentación de la metodología,</w:t>
            </w:r>
            <w:r w:rsidR="003C0F6E">
              <w:rPr>
                <w:sz w:val="18"/>
                <w:szCs w:val="18"/>
              </w:rPr>
              <w:t xml:space="preserve"> estudio base de huella urbana, encuestas de opinión pública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2A0" w:rsidRPr="00A478CC" w:rsidRDefault="009802A0" w:rsidP="00A17EB9">
            <w:pPr>
              <w:rPr>
                <w:sz w:val="18"/>
                <w:szCs w:val="18"/>
              </w:rPr>
            </w:pPr>
          </w:p>
          <w:p w:rsidR="009802A0" w:rsidRPr="00A478CC" w:rsidRDefault="009802A0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RG-T2227</w:t>
            </w:r>
          </w:p>
        </w:tc>
        <w:tc>
          <w:tcPr>
            <w:tcW w:w="36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2A0" w:rsidRPr="00A478CC" w:rsidRDefault="009802A0" w:rsidP="0009626F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2A0" w:rsidRPr="00A478CC" w:rsidRDefault="009802A0" w:rsidP="00A17EB9">
            <w:pPr>
              <w:rPr>
                <w:sz w:val="18"/>
                <w:szCs w:val="18"/>
              </w:rPr>
            </w:pPr>
          </w:p>
        </w:tc>
      </w:tr>
      <w:tr w:rsidR="00A478CC" w:rsidRPr="00A478CC" w:rsidTr="004D304A">
        <w:trPr>
          <w:jc w:val="center"/>
        </w:trPr>
        <w:tc>
          <w:tcPr>
            <w:tcW w:w="10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Añelo</w:t>
            </w:r>
            <w:r>
              <w:rPr>
                <w:sz w:val="18"/>
                <w:szCs w:val="18"/>
              </w:rPr>
              <w:t xml:space="preserve"> y Las Heras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jc w:val="both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Instrumentación de la metodología, estudios de vulnerabilidad y huella urbana; planes de gestión de residuos; de agua potable, alcantarillado y drenaje; diagnóstico de conectividad y situación fiscal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  <w:p w:rsidR="00A478CC" w:rsidRPr="00A478CC" w:rsidRDefault="00A478CC" w:rsidP="00A17EB9">
            <w:pPr>
              <w:jc w:val="center"/>
              <w:rPr>
                <w:sz w:val="18"/>
                <w:szCs w:val="18"/>
              </w:rPr>
            </w:pPr>
            <w:r w:rsidRPr="00A478CC">
              <w:rPr>
                <w:sz w:val="18"/>
                <w:szCs w:val="18"/>
              </w:rPr>
              <w:t>YPF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3C0F6E" w:rsidP="003C0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Desarrollar propuestas de intervención con evaluación de costos y</w:t>
            </w:r>
            <w:r w:rsidR="0009626F" w:rsidRPr="00A478CC">
              <w:rPr>
                <w:sz w:val="18"/>
                <w:szCs w:val="18"/>
              </w:rPr>
              <w:t xml:space="preserve"> apoyo en la instrumentación del sistema de monitoreo.</w:t>
            </w:r>
          </w:p>
        </w:tc>
        <w:tc>
          <w:tcPr>
            <w:tcW w:w="8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8CC" w:rsidRPr="00A478CC" w:rsidRDefault="00A478CC" w:rsidP="00A17EB9">
            <w:pPr>
              <w:rPr>
                <w:sz w:val="18"/>
                <w:szCs w:val="18"/>
              </w:rPr>
            </w:pPr>
          </w:p>
        </w:tc>
      </w:tr>
    </w:tbl>
    <w:p w:rsidR="008110A6" w:rsidRPr="00A478CC" w:rsidRDefault="008110A6">
      <w:pPr>
        <w:rPr>
          <w:sz w:val="18"/>
          <w:szCs w:val="18"/>
        </w:rPr>
      </w:pPr>
    </w:p>
    <w:sectPr w:rsidR="008110A6" w:rsidRPr="00A478CC" w:rsidSect="004D30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BE9" w:rsidRDefault="00435BE9" w:rsidP="00435BE9">
      <w:r>
        <w:separator/>
      </w:r>
    </w:p>
  </w:endnote>
  <w:endnote w:type="continuationSeparator" w:id="0">
    <w:p w:rsidR="00435BE9" w:rsidRDefault="00435BE9" w:rsidP="0043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8C" w:rsidRDefault="00B078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8C" w:rsidRDefault="00B078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8C" w:rsidRDefault="00B078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BE9" w:rsidRDefault="00435BE9" w:rsidP="00435BE9">
      <w:r>
        <w:separator/>
      </w:r>
    </w:p>
  </w:footnote>
  <w:footnote w:type="continuationSeparator" w:id="0">
    <w:p w:rsidR="00435BE9" w:rsidRDefault="00435BE9" w:rsidP="00435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8C" w:rsidRDefault="00B078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id w:val="1168209085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4D304A" w:rsidRPr="004D304A" w:rsidRDefault="004D304A" w:rsidP="004D304A">
        <w:pPr>
          <w:pStyle w:val="Header"/>
          <w:jc w:val="right"/>
          <w:rPr>
            <w:sz w:val="18"/>
            <w:szCs w:val="18"/>
          </w:rPr>
        </w:pPr>
        <w:r w:rsidRPr="004D304A">
          <w:rPr>
            <w:sz w:val="18"/>
            <w:szCs w:val="18"/>
          </w:rPr>
          <w:t>RG-T2552</w:t>
        </w:r>
      </w:p>
      <w:bookmarkEnd w:id="0"/>
      <w:p w:rsidR="004D304A" w:rsidRPr="004D304A" w:rsidRDefault="00B0788C" w:rsidP="004D304A">
        <w:pPr>
          <w:pStyle w:val="Header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>Pá</w:t>
        </w:r>
        <w:r w:rsidR="004D304A" w:rsidRPr="004D304A">
          <w:rPr>
            <w:sz w:val="18"/>
            <w:szCs w:val="18"/>
          </w:rPr>
          <w:t>g</w:t>
        </w:r>
        <w:r>
          <w:rPr>
            <w:sz w:val="18"/>
            <w:szCs w:val="18"/>
          </w:rPr>
          <w:t>ina</w:t>
        </w:r>
        <w:r w:rsidR="004D304A" w:rsidRPr="004D304A">
          <w:rPr>
            <w:sz w:val="18"/>
            <w:szCs w:val="18"/>
          </w:rPr>
          <w:t xml:space="preserve"> </w:t>
        </w:r>
        <w:r w:rsidR="004D304A" w:rsidRPr="004D304A">
          <w:rPr>
            <w:b/>
            <w:bCs/>
            <w:sz w:val="18"/>
            <w:szCs w:val="18"/>
          </w:rPr>
          <w:fldChar w:fldCharType="begin"/>
        </w:r>
        <w:r w:rsidR="004D304A" w:rsidRPr="004D304A">
          <w:rPr>
            <w:b/>
            <w:bCs/>
            <w:sz w:val="18"/>
            <w:szCs w:val="18"/>
          </w:rPr>
          <w:instrText xml:space="preserve"> PAGE </w:instrText>
        </w:r>
        <w:r w:rsidR="004D304A" w:rsidRPr="004D304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1</w:t>
        </w:r>
        <w:r w:rsidR="004D304A" w:rsidRPr="004D304A"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de</w:t>
        </w:r>
        <w:r w:rsidR="004D304A" w:rsidRPr="004D304A">
          <w:rPr>
            <w:sz w:val="18"/>
            <w:szCs w:val="18"/>
          </w:rPr>
          <w:t xml:space="preserve"> </w:t>
        </w:r>
        <w:r w:rsidR="004D304A" w:rsidRPr="004D304A">
          <w:rPr>
            <w:b/>
            <w:bCs/>
            <w:sz w:val="18"/>
            <w:szCs w:val="18"/>
          </w:rPr>
          <w:fldChar w:fldCharType="begin"/>
        </w:r>
        <w:r w:rsidR="004D304A" w:rsidRPr="004D304A">
          <w:rPr>
            <w:b/>
            <w:bCs/>
            <w:sz w:val="18"/>
            <w:szCs w:val="18"/>
          </w:rPr>
          <w:instrText xml:space="preserve"> NUMPAGES  </w:instrText>
        </w:r>
        <w:r w:rsidR="004D304A" w:rsidRPr="004D304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2</w:t>
        </w:r>
        <w:r w:rsidR="004D304A" w:rsidRPr="004D304A">
          <w:rPr>
            <w:b/>
            <w:bCs/>
            <w:sz w:val="18"/>
            <w:szCs w:val="1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8C" w:rsidRDefault="00B078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710E7"/>
    <w:multiLevelType w:val="multilevel"/>
    <w:tmpl w:val="AE3828F0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CC"/>
    <w:rsid w:val="0009626F"/>
    <w:rsid w:val="001B2C4C"/>
    <w:rsid w:val="00203BB7"/>
    <w:rsid w:val="003C0F6E"/>
    <w:rsid w:val="00400EB8"/>
    <w:rsid w:val="00435BE9"/>
    <w:rsid w:val="004D304A"/>
    <w:rsid w:val="00676B0B"/>
    <w:rsid w:val="008110A6"/>
    <w:rsid w:val="008834C2"/>
    <w:rsid w:val="008B2C35"/>
    <w:rsid w:val="00930DB5"/>
    <w:rsid w:val="009802A0"/>
    <w:rsid w:val="00995FA3"/>
    <w:rsid w:val="00A478CC"/>
    <w:rsid w:val="00B0788C"/>
    <w:rsid w:val="00B61D24"/>
    <w:rsid w:val="00CD56B0"/>
    <w:rsid w:val="00D24218"/>
    <w:rsid w:val="00DC3F35"/>
    <w:rsid w:val="00ED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uiPriority w:val="99"/>
    <w:rsid w:val="00A478CC"/>
    <w:pPr>
      <w:keepNext/>
      <w:numPr>
        <w:numId w:val="1"/>
      </w:numPr>
      <w:tabs>
        <w:tab w:val="clear" w:pos="2088"/>
        <w:tab w:val="num" w:pos="648"/>
        <w:tab w:val="left" w:pos="1440"/>
      </w:tabs>
      <w:spacing w:before="240" w:after="240"/>
      <w:ind w:left="0"/>
      <w:jc w:val="center"/>
    </w:pPr>
    <w:rPr>
      <w:b/>
      <w:smallCaps/>
    </w:rPr>
  </w:style>
  <w:style w:type="paragraph" w:customStyle="1" w:styleId="Paragraph">
    <w:name w:val="Paragraph"/>
    <w:basedOn w:val="BodyTextIndent"/>
    <w:uiPriority w:val="99"/>
    <w:rsid w:val="00A478CC"/>
    <w:pPr>
      <w:numPr>
        <w:ilvl w:val="1"/>
        <w:numId w:val="1"/>
      </w:numPr>
      <w:tabs>
        <w:tab w:val="clear" w:pos="2736"/>
        <w:tab w:val="num" w:pos="360"/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uiPriority w:val="99"/>
    <w:rsid w:val="00A478CC"/>
    <w:pPr>
      <w:numPr>
        <w:ilvl w:val="2"/>
        <w:numId w:val="1"/>
      </w:numPr>
      <w:tabs>
        <w:tab w:val="clear" w:pos="2592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uiPriority w:val="99"/>
    <w:rsid w:val="00A478CC"/>
    <w:pPr>
      <w:numPr>
        <w:ilvl w:val="3"/>
      </w:numPr>
      <w:tabs>
        <w:tab w:val="clear" w:pos="3024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78C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78CC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478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78CC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435B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5BE9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435B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BE9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uiPriority w:val="99"/>
    <w:rsid w:val="00A478CC"/>
    <w:pPr>
      <w:keepNext/>
      <w:numPr>
        <w:numId w:val="1"/>
      </w:numPr>
      <w:tabs>
        <w:tab w:val="clear" w:pos="2088"/>
        <w:tab w:val="num" w:pos="648"/>
        <w:tab w:val="left" w:pos="1440"/>
      </w:tabs>
      <w:spacing w:before="240" w:after="240"/>
      <w:ind w:left="0"/>
      <w:jc w:val="center"/>
    </w:pPr>
    <w:rPr>
      <w:b/>
      <w:smallCaps/>
    </w:rPr>
  </w:style>
  <w:style w:type="paragraph" w:customStyle="1" w:styleId="Paragraph">
    <w:name w:val="Paragraph"/>
    <w:basedOn w:val="BodyTextIndent"/>
    <w:uiPriority w:val="99"/>
    <w:rsid w:val="00A478CC"/>
    <w:pPr>
      <w:numPr>
        <w:ilvl w:val="1"/>
        <w:numId w:val="1"/>
      </w:numPr>
      <w:tabs>
        <w:tab w:val="clear" w:pos="2736"/>
        <w:tab w:val="num" w:pos="360"/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uiPriority w:val="99"/>
    <w:rsid w:val="00A478CC"/>
    <w:pPr>
      <w:numPr>
        <w:ilvl w:val="2"/>
        <w:numId w:val="1"/>
      </w:numPr>
      <w:tabs>
        <w:tab w:val="clear" w:pos="2592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uiPriority w:val="99"/>
    <w:rsid w:val="00A478CC"/>
    <w:pPr>
      <w:numPr>
        <w:ilvl w:val="3"/>
      </w:numPr>
      <w:tabs>
        <w:tab w:val="clear" w:pos="3024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78C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78CC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478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78CC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435B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5BE9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435B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BE9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A6820CB9EA5DB4AADC60D9148999E99" ma:contentTypeVersion="0" ma:contentTypeDescription="A content type to manage public (operations) IDB documents" ma:contentTypeScope="" ma:versionID="f00e3c6b3ed508fd55d3864eb9e327c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39258472</IDBDocs_x0020_Number>
    <Document_x0020_Author xmlns="9c571b2f-e523-4ab2-ba2e-09e151a03ef4">Terraza, Horacio Cristian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RG-T2552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OS-ASU</Webtopic>
    <Identifier xmlns="9c571b2f-e523-4ab2-ba2e-09e151a03ef4">ICES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38A07877-B8AC-4638-85C4-1F7A8F1620F6}"/>
</file>

<file path=customXml/itemProps2.xml><?xml version="1.0" encoding="utf-8"?>
<ds:datastoreItem xmlns:ds="http://schemas.openxmlformats.org/officeDocument/2006/customXml" ds:itemID="{91C4247C-BBE5-4ADF-BE6B-4FA0BF6007FA}"/>
</file>

<file path=customXml/itemProps3.xml><?xml version="1.0" encoding="utf-8"?>
<ds:datastoreItem xmlns:ds="http://schemas.openxmlformats.org/officeDocument/2006/customXml" ds:itemID="{41821508-D8C7-41CB-B454-E4488D765549}"/>
</file>

<file path=customXml/itemProps4.xml><?xml version="1.0" encoding="utf-8"?>
<ds:datastoreItem xmlns:ds="http://schemas.openxmlformats.org/officeDocument/2006/customXml" ds:itemID="{7A0F9DD5-4FAC-4003-935B-CA9E9D5B3EC8}"/>
</file>

<file path=customXml/itemProps5.xml><?xml version="1.0" encoding="utf-8"?>
<ds:datastoreItem xmlns:ds="http://schemas.openxmlformats.org/officeDocument/2006/customXml" ds:itemID="{B5B88CBE-4978-4741-B4FB-27E12AA8C0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Actividades con financiamiento actual y proyectado</dc:title>
  <dc:creator>IADB</dc:creator>
  <cp:lastModifiedBy>Test</cp:lastModifiedBy>
  <cp:revision>9</cp:revision>
  <cp:lastPrinted>2014-12-16T20:50:00Z</cp:lastPrinted>
  <dcterms:created xsi:type="dcterms:W3CDTF">2014-12-05T21:30:00Z</dcterms:created>
  <dcterms:modified xsi:type="dcterms:W3CDTF">2014-12-16T21:04:00Z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0x01010046CF21643EE8D14686A648AA6DAD089200EA6820CB9EA5DB4AADC60D9148999E99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