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39"/>
        <w:tblW w:w="12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8"/>
        <w:gridCol w:w="1380"/>
        <w:gridCol w:w="1342"/>
        <w:gridCol w:w="1253"/>
        <w:gridCol w:w="5547"/>
      </w:tblGrid>
      <w:tr w:rsidR="006D551A" w:rsidRPr="00E929DC" w:rsidTr="00881677">
        <w:trPr>
          <w:trHeight w:val="569"/>
        </w:trPr>
        <w:tc>
          <w:tcPr>
            <w:tcW w:w="128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551A" w:rsidRPr="00114D99" w:rsidRDefault="00114D99" w:rsidP="00114D99">
            <w:pPr>
              <w:widowControl/>
              <w:tabs>
                <w:tab w:val="left" w:pos="90"/>
              </w:tabs>
              <w:adjustRightInd/>
              <w:spacing w:line="240" w:lineRule="auto"/>
              <w:jc w:val="center"/>
              <w:textAlignment w:val="auto"/>
              <w:rPr>
                <w:rFonts w:eastAsia="Times New Roman" w:cs="Arial"/>
                <w:b/>
                <w:bCs/>
                <w:smallCaps/>
                <w:color w:val="auto"/>
                <w:sz w:val="28"/>
                <w:szCs w:val="28"/>
              </w:rPr>
            </w:pPr>
            <w:proofErr w:type="spellStart"/>
            <w:r w:rsidRPr="00114D99">
              <w:rPr>
                <w:b/>
                <w:smallCaps/>
                <w:color w:val="auto"/>
                <w:sz w:val="28"/>
                <w:szCs w:val="28"/>
              </w:rPr>
              <w:t>Matriz</w:t>
            </w:r>
            <w:proofErr w:type="spellEnd"/>
            <w:r w:rsidRPr="00114D99">
              <w:rPr>
                <w:b/>
                <w:smallCaps/>
                <w:color w:val="auto"/>
                <w:sz w:val="28"/>
                <w:szCs w:val="28"/>
              </w:rPr>
              <w:t xml:space="preserve"> de </w:t>
            </w:r>
            <w:proofErr w:type="spellStart"/>
            <w:r w:rsidRPr="00114D99">
              <w:rPr>
                <w:b/>
                <w:smallCaps/>
                <w:color w:val="auto"/>
                <w:sz w:val="28"/>
                <w:szCs w:val="28"/>
              </w:rPr>
              <w:t>Resultados</w:t>
            </w:r>
            <w:proofErr w:type="spellEnd"/>
          </w:p>
        </w:tc>
      </w:tr>
      <w:tr w:rsidR="006D551A" w:rsidRPr="00A76D38" w:rsidTr="00881677">
        <w:trPr>
          <w:trHeight w:val="255"/>
        </w:trPr>
        <w:tc>
          <w:tcPr>
            <w:tcW w:w="3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551A" w:rsidRPr="00E929DC" w:rsidRDefault="006D551A" w:rsidP="006D551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 w:cs="Arial"/>
                <w:b/>
                <w:bCs/>
                <w:color w:val="auto"/>
                <w:sz w:val="22"/>
                <w:lang w:val="es-ES"/>
              </w:rPr>
            </w:pPr>
            <w:r w:rsidRPr="00E929DC">
              <w:rPr>
                <w:rFonts w:eastAsia="Times New Roman" w:cs="Arial"/>
                <w:b/>
                <w:bCs/>
                <w:color w:val="auto"/>
                <w:sz w:val="22"/>
                <w:lang w:val="es-ES"/>
              </w:rPr>
              <w:t>Objetivo del Proyecto</w:t>
            </w:r>
          </w:p>
        </w:tc>
        <w:tc>
          <w:tcPr>
            <w:tcW w:w="95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2E83" w:rsidRPr="00E12E83" w:rsidRDefault="00E12E83" w:rsidP="00E12E83">
            <w:pPr>
              <w:spacing w:line="240" w:lineRule="auto"/>
              <w:rPr>
                <w:rFonts w:eastAsia="Calibri"/>
                <w:color w:val="auto"/>
                <w:lang w:val="es-ES_tradnl"/>
              </w:rPr>
            </w:pPr>
            <w:r w:rsidRPr="00E12E83">
              <w:rPr>
                <w:rFonts w:eastAsia="Calibri"/>
                <w:color w:val="auto"/>
                <w:lang w:val="es-ES"/>
              </w:rPr>
              <w:t>M</w:t>
            </w:r>
            <w:proofErr w:type="spellStart"/>
            <w:r w:rsidRPr="00E12E83">
              <w:rPr>
                <w:rFonts w:eastAsia="Calibri"/>
                <w:color w:val="auto"/>
                <w:lang w:val="es-ES_tradnl"/>
              </w:rPr>
              <w:t>ejorar</w:t>
            </w:r>
            <w:proofErr w:type="spellEnd"/>
            <w:r w:rsidRPr="00E12E83">
              <w:rPr>
                <w:rFonts w:eastAsia="Calibri"/>
                <w:color w:val="auto"/>
                <w:lang w:val="es-ES_tradnl"/>
              </w:rPr>
              <w:t xml:space="preserve"> la gobernabilidad  y capacidad financiera del país para la GRD, a través del fortalecimiento y modernización  del marco normativo, institucional y presupuestal de política pública para </w:t>
            </w:r>
            <w:r w:rsidRPr="00E12E83">
              <w:rPr>
                <w:rFonts w:eastAsia="Calibri"/>
                <w:color w:val="auto"/>
                <w:lang w:val="es-ES"/>
              </w:rPr>
              <w:t xml:space="preserve">la </w:t>
            </w:r>
            <w:r w:rsidR="00A454B8">
              <w:rPr>
                <w:rFonts w:eastAsia="Calibri"/>
                <w:color w:val="auto"/>
                <w:lang w:val="es-ES"/>
              </w:rPr>
              <w:t>gestión integral del riesgo de desastres.</w:t>
            </w:r>
          </w:p>
          <w:p w:rsidR="006D551A" w:rsidRPr="00E12E83" w:rsidRDefault="006D551A" w:rsidP="00E12E83">
            <w:pPr>
              <w:spacing w:line="240" w:lineRule="auto"/>
              <w:rPr>
                <w:rFonts w:eastAsia="Calibri"/>
                <w:color w:val="auto"/>
                <w:lang w:val="es-ES_tradnl"/>
              </w:rPr>
            </w:pPr>
          </w:p>
        </w:tc>
      </w:tr>
      <w:tr w:rsidR="006D551A" w:rsidRPr="00A76D38" w:rsidTr="00881677">
        <w:trPr>
          <w:trHeight w:val="255"/>
        </w:trPr>
        <w:tc>
          <w:tcPr>
            <w:tcW w:w="3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51A" w:rsidRPr="00E929DC" w:rsidRDefault="006D551A" w:rsidP="006D551A">
            <w:pPr>
              <w:widowControl/>
              <w:adjustRightInd/>
              <w:spacing w:line="240" w:lineRule="auto"/>
              <w:ind w:right="165"/>
              <w:jc w:val="left"/>
              <w:textAlignment w:val="auto"/>
              <w:rPr>
                <w:rFonts w:eastAsia="Arial Unicode MS"/>
                <w:b/>
                <w:color w:val="auto"/>
                <w:sz w:val="22"/>
                <w:lang w:val="es-ES"/>
              </w:rPr>
            </w:pPr>
          </w:p>
        </w:tc>
        <w:tc>
          <w:tcPr>
            <w:tcW w:w="95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551A" w:rsidRPr="00E929DC" w:rsidRDefault="006D551A" w:rsidP="006D551A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Arial Unicode MS"/>
                <w:i/>
                <w:color w:val="auto"/>
                <w:sz w:val="22"/>
                <w:lang w:val="es-ES"/>
              </w:rPr>
            </w:pPr>
          </w:p>
        </w:tc>
      </w:tr>
      <w:tr w:rsidR="006D551A" w:rsidRPr="00A76D38" w:rsidTr="00881677">
        <w:trPr>
          <w:trHeight w:val="129"/>
        </w:trPr>
        <w:tc>
          <w:tcPr>
            <w:tcW w:w="128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551A" w:rsidRPr="00E929DC" w:rsidRDefault="006D551A" w:rsidP="006D551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Arial Unicode MS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 </w:t>
            </w:r>
          </w:p>
        </w:tc>
      </w:tr>
      <w:tr w:rsidR="006D551A" w:rsidRPr="00E929DC" w:rsidTr="00881677">
        <w:trPr>
          <w:trHeight w:val="236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551A" w:rsidRPr="006510A9" w:rsidRDefault="006D551A" w:rsidP="006D551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Arial Unicode MS"/>
                <w:b/>
                <w:color w:val="auto"/>
                <w:sz w:val="22"/>
                <w:lang w:val="es-ES"/>
              </w:rPr>
            </w:pPr>
            <w:r w:rsidRPr="006510A9">
              <w:rPr>
                <w:rFonts w:eastAsia="Times New Roman"/>
                <w:b/>
                <w:color w:val="auto"/>
                <w:sz w:val="22"/>
                <w:lang w:val="es-ES"/>
              </w:rPr>
              <w:t>Fin/Indicadores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34A" w:rsidRPr="006510A9" w:rsidRDefault="00915536" w:rsidP="00E12E83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Línea Base </w:t>
            </w:r>
            <w:r w:rsidR="00C74798">
              <w:rPr>
                <w:rFonts w:eastAsia="Times New Roman"/>
                <w:b/>
                <w:color w:val="auto"/>
                <w:sz w:val="22"/>
                <w:lang w:val="es-ES"/>
              </w:rPr>
              <w:t>(2015</w:t>
            </w:r>
            <w:r w:rsidR="00E12E83">
              <w:rPr>
                <w:rFonts w:eastAsia="Times New Roman"/>
                <w:b/>
                <w:color w:val="auto"/>
                <w:sz w:val="22"/>
                <w:lang w:val="es-ES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6D551A" w:rsidRPr="006510A9" w:rsidRDefault="00C74798" w:rsidP="006D551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Meta Final (2017</w:t>
            </w:r>
            <w:r w:rsidR="006D551A" w:rsidRPr="006510A9">
              <w:rPr>
                <w:rFonts w:eastAsia="Times New Roman"/>
                <w:b/>
                <w:color w:val="auto"/>
                <w:sz w:val="22"/>
                <w:lang w:val="es-ES"/>
              </w:rPr>
              <w:t>)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551A" w:rsidRPr="006510A9" w:rsidRDefault="006D551A" w:rsidP="006D551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6510A9">
              <w:rPr>
                <w:rFonts w:eastAsia="Times New Roman"/>
                <w:b/>
                <w:color w:val="auto"/>
                <w:sz w:val="22"/>
                <w:lang w:val="es-ES"/>
              </w:rPr>
              <w:t>Comentarios/Supuestos</w:t>
            </w:r>
          </w:p>
        </w:tc>
      </w:tr>
      <w:tr w:rsidR="00D80E15" w:rsidRPr="00A76D38" w:rsidTr="00A76D38">
        <w:trPr>
          <w:trHeight w:val="3201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E15" w:rsidRPr="003B0A72" w:rsidRDefault="003B0A72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b/>
                <w:i/>
                <w:sz w:val="22"/>
                <w:szCs w:val="22"/>
                <w:lang w:val="es-ES"/>
              </w:rPr>
            </w:pPr>
            <w:r w:rsidRPr="003B0A72">
              <w:rPr>
                <w:b/>
                <w:sz w:val="22"/>
                <w:szCs w:val="22"/>
                <w:lang w:val="es-ES"/>
              </w:rPr>
              <w:t>Impacto 1:</w:t>
            </w:r>
            <w:r>
              <w:rPr>
                <w:b/>
                <w:i/>
                <w:sz w:val="22"/>
                <w:szCs w:val="22"/>
                <w:lang w:val="es-ES"/>
              </w:rPr>
              <w:t xml:space="preserve"> </w:t>
            </w:r>
            <w:r w:rsidR="00D80E15">
              <w:rPr>
                <w:b/>
                <w:sz w:val="22"/>
                <w:szCs w:val="22"/>
                <w:lang w:val="es-ES"/>
              </w:rPr>
              <w:t>Mejorar las condiciones de Gobernabilidad para la GRD</w:t>
            </w:r>
          </w:p>
          <w:p w:rsidR="00D80E15" w:rsidRPr="00233025" w:rsidRDefault="00D80E15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 w:rsidRPr="006C54C0">
              <w:rPr>
                <w:rFonts w:eastAsia="Times New Roman"/>
                <w:i/>
                <w:color w:val="auto"/>
                <w:sz w:val="22"/>
                <w:lang w:val="es-ES"/>
              </w:rPr>
              <w:t>Indicador</w:t>
            </w:r>
            <w:r w:rsidR="00881677">
              <w:rPr>
                <w:rFonts w:eastAsia="Times New Roman"/>
                <w:i/>
                <w:color w:val="auto"/>
                <w:sz w:val="22"/>
                <w:lang w:val="es-ES"/>
              </w:rPr>
              <w:t>1.1</w:t>
            </w:r>
            <w:r w:rsidRPr="006C54C0">
              <w:rPr>
                <w:rFonts w:eastAsia="Times New Roman"/>
                <w:i/>
                <w:color w:val="auto"/>
                <w:sz w:val="22"/>
                <w:lang w:val="es-ES"/>
              </w:rPr>
              <w:t>:</w:t>
            </w:r>
            <w:r w:rsidRPr="00233025">
              <w:rPr>
                <w:rFonts w:eastAsia="Times New Roman"/>
                <w:color w:val="auto"/>
                <w:sz w:val="22"/>
                <w:lang w:val="es-ES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lang w:val="es-ES"/>
              </w:rPr>
              <w:t>Índice de Gobernabilidad y Políticas Públicas para la Gestión de Riesgos (</w:t>
            </w:r>
            <w:proofErr w:type="spellStart"/>
            <w:r>
              <w:rPr>
                <w:rFonts w:eastAsia="Times New Roman"/>
                <w:color w:val="auto"/>
                <w:sz w:val="22"/>
                <w:lang w:val="es-ES"/>
              </w:rPr>
              <w:t>iGOPP</w:t>
            </w:r>
            <w:proofErr w:type="spellEnd"/>
            <w:r>
              <w:rPr>
                <w:rFonts w:eastAsia="Times New Roman"/>
                <w:color w:val="auto"/>
                <w:sz w:val="22"/>
                <w:lang w:val="es-ES"/>
              </w:rPr>
              <w:t>)</w:t>
            </w:r>
          </w:p>
          <w:p w:rsidR="00D80E15" w:rsidRPr="002C0207" w:rsidRDefault="00D80E15" w:rsidP="00D80E15">
            <w:pPr>
              <w:spacing w:before="120" w:after="120" w:line="240" w:lineRule="auto"/>
              <w:ind w:right="165"/>
              <w:jc w:val="left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E15" w:rsidRPr="00E929DC" w:rsidRDefault="002F5C56" w:rsidP="00D80E15">
            <w:pPr>
              <w:spacing w:before="120" w:after="120" w:line="240" w:lineRule="auto"/>
              <w:ind w:right="186"/>
              <w:jc w:val="center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35</w:t>
            </w:r>
            <w:r w:rsidR="00BF344C">
              <w:rPr>
                <w:rFonts w:eastAsia="Times New Roman"/>
                <w:color w:val="auto"/>
                <w:sz w:val="22"/>
                <w:lang w:val="es-ES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E15" w:rsidRPr="00E929DC" w:rsidRDefault="002F5C56" w:rsidP="00D80E15">
            <w:pPr>
              <w:spacing w:before="120" w:after="120" w:line="240" w:lineRule="auto"/>
              <w:ind w:right="172"/>
              <w:jc w:val="center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54.04</w:t>
            </w:r>
            <w:r w:rsidR="00BF344C">
              <w:rPr>
                <w:rFonts w:eastAsia="Times New Roman"/>
                <w:color w:val="auto"/>
                <w:sz w:val="22"/>
                <w:lang w:val="es-ES"/>
              </w:rPr>
              <w:t>%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0A72" w:rsidRDefault="003B0A72" w:rsidP="00D80E15">
            <w:pPr>
              <w:pStyle w:val="NoSpacing"/>
              <w:rPr>
                <w:b/>
                <w:i/>
                <w:sz w:val="20"/>
                <w:szCs w:val="20"/>
                <w:lang w:val="es-ES_tradnl"/>
              </w:rPr>
            </w:pPr>
          </w:p>
          <w:p w:rsidR="00D80E15" w:rsidRDefault="00D80E15" w:rsidP="00D80E15">
            <w:pPr>
              <w:pStyle w:val="NoSpacing"/>
              <w:rPr>
                <w:bCs/>
                <w:sz w:val="20"/>
                <w:szCs w:val="20"/>
                <w:lang w:val="es-ES"/>
              </w:rPr>
            </w:pPr>
            <w:r w:rsidRPr="00CE7D82">
              <w:rPr>
                <w:b/>
                <w:i/>
                <w:sz w:val="20"/>
                <w:szCs w:val="20"/>
                <w:lang w:val="es-ES_tradnl"/>
              </w:rPr>
              <w:t>Observaciones: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CE7D82">
              <w:rPr>
                <w:sz w:val="20"/>
                <w:szCs w:val="20"/>
                <w:lang w:val="es-ES_tradnl"/>
              </w:rPr>
              <w:t>El Índice de Gobern</w:t>
            </w:r>
            <w:r w:rsidR="00E12E83">
              <w:rPr>
                <w:sz w:val="20"/>
                <w:szCs w:val="20"/>
                <w:lang w:val="es-ES_tradnl"/>
              </w:rPr>
              <w:t>abilidad y Políticas Públicas (</w:t>
            </w:r>
            <w:proofErr w:type="spellStart"/>
            <w:r w:rsidR="00E12E83">
              <w:rPr>
                <w:sz w:val="20"/>
                <w:szCs w:val="20"/>
                <w:lang w:val="es-ES_tradnl"/>
              </w:rPr>
              <w:t>i</w:t>
            </w:r>
            <w:r w:rsidRPr="00CE7D82">
              <w:rPr>
                <w:sz w:val="20"/>
                <w:szCs w:val="20"/>
                <w:lang w:val="es-ES_tradnl"/>
              </w:rPr>
              <w:t>GOPP</w:t>
            </w:r>
            <w:proofErr w:type="spellEnd"/>
            <w:r w:rsidRPr="00CE7D82">
              <w:rPr>
                <w:sz w:val="20"/>
                <w:szCs w:val="20"/>
                <w:lang w:val="es-ES_tradnl"/>
              </w:rPr>
              <w:t>) ha sido diseñado para evaluar</w:t>
            </w:r>
            <w:r>
              <w:rPr>
                <w:sz w:val="20"/>
                <w:szCs w:val="20"/>
                <w:lang w:val="es-ES_tradnl"/>
              </w:rPr>
              <w:t xml:space="preserve"> la gobernabilidad de un país</w:t>
            </w:r>
            <w:r w:rsidRPr="00CE7D82">
              <w:rPr>
                <w:sz w:val="20"/>
                <w:szCs w:val="20"/>
                <w:lang w:val="es-ES_tradnl"/>
              </w:rPr>
              <w:t xml:space="preserve"> en gestión del riesgo de desastres (GRD)</w:t>
            </w:r>
            <w:r>
              <w:rPr>
                <w:sz w:val="20"/>
                <w:szCs w:val="20"/>
                <w:lang w:val="es-ES_tradnl"/>
              </w:rPr>
              <w:t xml:space="preserve"> a través de</w:t>
            </w:r>
            <w:r w:rsidRPr="00CE7D82">
              <w:rPr>
                <w:sz w:val="20"/>
                <w:szCs w:val="20"/>
                <w:lang w:val="es-ES_tradnl"/>
              </w:rPr>
              <w:t xml:space="preserve"> la existencia formal de un número </w:t>
            </w:r>
            <w:r>
              <w:rPr>
                <w:sz w:val="20"/>
                <w:szCs w:val="20"/>
                <w:lang w:val="es-ES_tradnl"/>
              </w:rPr>
              <w:t xml:space="preserve">de </w:t>
            </w:r>
            <w:r w:rsidRPr="00CE7D82">
              <w:rPr>
                <w:sz w:val="20"/>
                <w:szCs w:val="20"/>
                <w:lang w:val="es-ES_tradnl"/>
              </w:rPr>
              <w:t>condiciones legales, institucionales y presupuestarias que se consideran fundamentales para</w:t>
            </w:r>
            <w:r>
              <w:rPr>
                <w:sz w:val="20"/>
                <w:szCs w:val="20"/>
                <w:lang w:val="es-ES_tradnl"/>
              </w:rPr>
              <w:t xml:space="preserve"> la implementación de</w:t>
            </w:r>
            <w:r w:rsidRPr="00CE7D82">
              <w:rPr>
                <w:sz w:val="20"/>
                <w:szCs w:val="20"/>
                <w:lang w:val="es-ES_tradnl"/>
              </w:rPr>
              <w:t xml:space="preserve"> los procesos de la gestión del riesgo de desastres</w:t>
            </w:r>
            <w:r>
              <w:rPr>
                <w:sz w:val="20"/>
                <w:szCs w:val="20"/>
                <w:lang w:val="es-ES_tradnl"/>
              </w:rPr>
              <w:t xml:space="preserve"> en un país</w:t>
            </w:r>
            <w:r w:rsidRPr="00CE7D82">
              <w:rPr>
                <w:sz w:val="20"/>
                <w:szCs w:val="20"/>
                <w:lang w:val="es-ES_tradnl"/>
              </w:rPr>
              <w:t>. Para la medición de dicho indicador se requiere el cumplimiento de un número predeterm</w:t>
            </w:r>
            <w:r>
              <w:rPr>
                <w:sz w:val="20"/>
                <w:szCs w:val="20"/>
                <w:lang w:val="es-ES_tradnl"/>
              </w:rPr>
              <w:t>inado de requisitos que al ser verificados</w:t>
            </w:r>
            <w:r w:rsidRPr="00CE7D82">
              <w:rPr>
                <w:sz w:val="20"/>
                <w:szCs w:val="20"/>
                <w:lang w:val="es-ES_tradnl"/>
              </w:rPr>
              <w:t xml:space="preserve"> otorgan un puntaje en seis dimensiones que componen el indicador: (i) Marco General de la GRD (MG); (ii) Identificación del Riesgo (IR); </w:t>
            </w:r>
            <w:r>
              <w:rPr>
                <w:sz w:val="20"/>
                <w:szCs w:val="20"/>
                <w:lang w:val="es-ES_tradnl"/>
              </w:rPr>
              <w:t xml:space="preserve">(iii) </w:t>
            </w:r>
            <w:r w:rsidRPr="00CE7D82">
              <w:rPr>
                <w:sz w:val="20"/>
                <w:szCs w:val="20"/>
                <w:lang w:val="es-ES_tradnl"/>
              </w:rPr>
              <w:t xml:space="preserve">Reducción del Riesgo (RR); </w:t>
            </w:r>
            <w:r>
              <w:rPr>
                <w:sz w:val="20"/>
                <w:szCs w:val="20"/>
                <w:lang w:val="es-ES_tradnl"/>
              </w:rPr>
              <w:t xml:space="preserve">(iv) </w:t>
            </w:r>
            <w:r w:rsidRPr="00CE7D82">
              <w:rPr>
                <w:sz w:val="20"/>
                <w:szCs w:val="20"/>
                <w:lang w:val="es-ES_tradnl"/>
              </w:rPr>
              <w:t xml:space="preserve">Preparativos de Respuesta (PR); </w:t>
            </w:r>
            <w:r>
              <w:rPr>
                <w:sz w:val="20"/>
                <w:szCs w:val="20"/>
                <w:lang w:val="es-ES_tradnl"/>
              </w:rPr>
              <w:t xml:space="preserve">(v) </w:t>
            </w:r>
            <w:r w:rsidRPr="00CE7D82">
              <w:rPr>
                <w:sz w:val="20"/>
                <w:szCs w:val="20"/>
                <w:lang w:val="es-ES_tradnl"/>
              </w:rPr>
              <w:t xml:space="preserve">Planificación de la Recuperación post-desastre (RC); </w:t>
            </w:r>
            <w:r w:rsidR="00C11B54">
              <w:rPr>
                <w:sz w:val="20"/>
                <w:szCs w:val="20"/>
                <w:lang w:val="es-ES_tradnl"/>
              </w:rPr>
              <w:t xml:space="preserve">y </w:t>
            </w:r>
            <w:r w:rsidRPr="00CE7D82">
              <w:rPr>
                <w:sz w:val="20"/>
                <w:szCs w:val="20"/>
                <w:lang w:val="es-ES_tradnl"/>
              </w:rPr>
              <w:t>(vi) Protección Financiera (PF)</w:t>
            </w:r>
            <w:r w:rsidR="00841EA5">
              <w:rPr>
                <w:sz w:val="20"/>
                <w:szCs w:val="20"/>
                <w:lang w:val="es-ES_tradnl"/>
              </w:rPr>
              <w:t>.</w:t>
            </w:r>
            <w:r w:rsidR="00357991">
              <w:rPr>
                <w:sz w:val="20"/>
                <w:szCs w:val="20"/>
                <w:lang w:val="es-ES_tradnl"/>
              </w:rPr>
              <w:t xml:space="preserve"> </w:t>
            </w:r>
            <w:r w:rsidR="00357991">
              <w:rPr>
                <w:bCs/>
                <w:sz w:val="20"/>
                <w:szCs w:val="20"/>
                <w:lang w:val="es-ES"/>
              </w:rPr>
              <w:t xml:space="preserve"> El porcentaje corresponde al número de indicadores que se han cumplido para todos los procesos de la gestión de riesgos</w:t>
            </w:r>
          </w:p>
          <w:p w:rsidR="00357991" w:rsidRPr="00CE7D82" w:rsidRDefault="00357991" w:rsidP="00D80E15">
            <w:pPr>
              <w:pStyle w:val="NoSpacing"/>
              <w:rPr>
                <w:lang w:val="es-ES_tradnl"/>
              </w:rPr>
            </w:pPr>
          </w:p>
        </w:tc>
      </w:tr>
      <w:tr w:rsidR="00A76D38" w:rsidRPr="00A76D38" w:rsidTr="00A76D38">
        <w:trPr>
          <w:trHeight w:val="2045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i/>
                <w:sz w:val="22"/>
                <w:szCs w:val="22"/>
                <w:lang w:val="es-ES"/>
              </w:rPr>
            </w:pPr>
          </w:p>
          <w:p w:rsid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i/>
                <w:sz w:val="22"/>
                <w:szCs w:val="22"/>
                <w:lang w:val="es-ES"/>
              </w:rPr>
            </w:pPr>
          </w:p>
          <w:p w:rsid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szCs w:val="22"/>
                <w:lang w:val="es-ES"/>
              </w:rPr>
            </w:pPr>
            <w:r w:rsidRPr="00A76D38">
              <w:rPr>
                <w:i/>
                <w:sz w:val="22"/>
                <w:szCs w:val="22"/>
                <w:lang w:val="es-ES"/>
              </w:rPr>
              <w:t>Indicador 1.2:</w:t>
            </w:r>
            <w:r w:rsidRPr="00A76D38">
              <w:rPr>
                <w:rFonts w:eastAsia="Times New Roman"/>
                <w:i/>
                <w:color w:val="auto"/>
                <w:sz w:val="22"/>
                <w:szCs w:val="22"/>
                <w:lang w:val="es-ES"/>
              </w:rPr>
              <w:t xml:space="preserve"> </w:t>
            </w:r>
            <w:r w:rsidRPr="00A76D38">
              <w:rPr>
                <w:rFonts w:eastAsia="Times New Roman"/>
                <w:i/>
                <w:color w:val="auto"/>
                <w:sz w:val="22"/>
                <w:szCs w:val="22"/>
                <w:lang w:val="es-ES"/>
              </w:rPr>
              <w:t>N° de Beneficiarios de una mejor gestión y uso sostenible del capital natural</w:t>
            </w:r>
          </w:p>
          <w:p w:rsid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szCs w:val="22"/>
                <w:lang w:val="es-ES"/>
              </w:rPr>
            </w:pPr>
          </w:p>
          <w:p w:rsid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szCs w:val="22"/>
                <w:lang w:val="es-ES"/>
              </w:rPr>
            </w:pPr>
          </w:p>
          <w:p w:rsidR="00A76D38" w:rsidRPr="00A76D38" w:rsidRDefault="00A76D38" w:rsidP="00D80E1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6D38" w:rsidRDefault="00A76D38" w:rsidP="00D80E15">
            <w:pPr>
              <w:spacing w:before="120" w:after="120" w:line="240" w:lineRule="auto"/>
              <w:ind w:right="186"/>
              <w:jc w:val="center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38" w:rsidRDefault="00A76D38" w:rsidP="00D80E15">
            <w:pPr>
              <w:spacing w:before="120" w:after="120" w:line="240" w:lineRule="auto"/>
              <w:ind w:right="172"/>
              <w:jc w:val="center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2,000,000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6D38" w:rsidRPr="00A76D38" w:rsidRDefault="00A76D38" w:rsidP="00A76D38">
            <w:pPr>
              <w:pStyle w:val="NoSpacing"/>
              <w:rPr>
                <w:bCs/>
                <w:sz w:val="20"/>
                <w:szCs w:val="20"/>
                <w:lang w:val="es-ES"/>
              </w:rPr>
            </w:pPr>
            <w:r w:rsidRPr="00A76D38">
              <w:rPr>
                <w:bCs/>
                <w:sz w:val="20"/>
                <w:szCs w:val="20"/>
                <w:lang w:val="es-ES"/>
              </w:rPr>
              <w:t xml:space="preserve">Al tratarse de un  programa en gestión del riesgo de desastres de cobertura nacional, se beneficiará a la población más vulnerable y expuesta ante amenazas naturales, estimada en 2 millones de personas (BM 2014). </w:t>
            </w:r>
          </w:p>
          <w:p w:rsidR="00A76D38" w:rsidRDefault="00A76D38" w:rsidP="00D80E15">
            <w:pPr>
              <w:pStyle w:val="NoSpacing"/>
              <w:rPr>
                <w:b/>
                <w:i/>
                <w:sz w:val="20"/>
                <w:szCs w:val="20"/>
                <w:lang w:val="es-ES"/>
              </w:rPr>
            </w:pPr>
            <w:bookmarkStart w:id="0" w:name="_GoBack"/>
            <w:bookmarkEnd w:id="0"/>
          </w:p>
          <w:p w:rsidR="00A76D38" w:rsidRPr="00A76D38" w:rsidRDefault="00A76D38" w:rsidP="00D80E15">
            <w:pPr>
              <w:pStyle w:val="NoSpacing"/>
              <w:rPr>
                <w:b/>
                <w:i/>
                <w:sz w:val="20"/>
                <w:szCs w:val="20"/>
                <w:lang w:val="es-ES"/>
              </w:rPr>
            </w:pPr>
          </w:p>
        </w:tc>
      </w:tr>
      <w:tr w:rsidR="00F67F8A" w:rsidRPr="00A76D38" w:rsidTr="00A76D38">
        <w:trPr>
          <w:trHeight w:val="236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Pr="00994C0A" w:rsidRDefault="00F67F8A" w:rsidP="00650607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highlight w:val="yellow"/>
                <w:lang w:val="es-ES"/>
              </w:rPr>
            </w:pPr>
            <w:r w:rsidRPr="003B0A72">
              <w:rPr>
                <w:rFonts w:eastAsia="Times New Roman"/>
                <w:b/>
                <w:bCs/>
                <w:color w:val="auto"/>
                <w:sz w:val="22"/>
                <w:lang w:val="es-ES"/>
              </w:rPr>
              <w:t>Impacto 2: Incrementar la capacidad Financiera del país para la GRD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Pr="00D508AC" w:rsidRDefault="00F67F8A" w:rsidP="009E2E41">
            <w:pPr>
              <w:spacing w:before="120" w:after="120" w:line="240" w:lineRule="auto"/>
              <w:ind w:right="187"/>
              <w:rPr>
                <w:rFonts w:eastAsia="Times New Roman"/>
                <w:sz w:val="22"/>
                <w:szCs w:val="22"/>
                <w:lang w:val="es-ES"/>
              </w:rPr>
            </w:pPr>
            <w:r w:rsidRPr="00D508AC">
              <w:rPr>
                <w:rFonts w:eastAsia="Times New Roman"/>
                <w:sz w:val="22"/>
                <w:szCs w:val="22"/>
                <w:lang w:val="es-ES"/>
              </w:rPr>
              <w:t xml:space="preserve">a. 470 </w:t>
            </w:r>
          </w:p>
          <w:p w:rsidR="00F67F8A" w:rsidRPr="00D508AC" w:rsidRDefault="00F67F8A" w:rsidP="009E2E41">
            <w:pPr>
              <w:spacing w:before="120" w:after="120" w:line="240" w:lineRule="auto"/>
              <w:ind w:right="187"/>
              <w:rPr>
                <w:rFonts w:eastAsia="Times New Roman"/>
                <w:sz w:val="22"/>
                <w:szCs w:val="22"/>
                <w:lang w:val="es-ES"/>
              </w:rPr>
            </w:pPr>
            <w:r w:rsidRPr="00D508AC">
              <w:rPr>
                <w:rFonts w:eastAsia="Times New Roman"/>
                <w:sz w:val="22"/>
                <w:szCs w:val="22"/>
                <w:lang w:val="es-ES"/>
              </w:rPr>
              <w:t>b. 841</w:t>
            </w:r>
          </w:p>
          <w:p w:rsidR="00F67F8A" w:rsidRPr="00D508AC" w:rsidRDefault="00F67F8A" w:rsidP="009E2E41">
            <w:pPr>
              <w:spacing w:before="120" w:after="120" w:line="240" w:lineRule="auto"/>
              <w:ind w:right="187"/>
              <w:rPr>
                <w:rFonts w:eastAsia="Times New Roman"/>
                <w:color w:val="auto"/>
                <w:sz w:val="22"/>
                <w:szCs w:val="22"/>
                <w:highlight w:val="yellow"/>
                <w:lang w:val="es-ES"/>
              </w:rPr>
            </w:pPr>
            <w:r w:rsidRPr="00D508AC">
              <w:rPr>
                <w:rFonts w:eastAsia="Times New Roman"/>
                <w:sz w:val="22"/>
                <w:szCs w:val="22"/>
                <w:lang w:val="es-ES"/>
              </w:rPr>
              <w:t>c.4,666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F8A" w:rsidRPr="00D508AC" w:rsidRDefault="00F67F8A" w:rsidP="00D508AC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D508AC">
              <w:rPr>
                <w:rFonts w:eastAsia="Times New Roman"/>
                <w:color w:val="auto"/>
                <w:sz w:val="22"/>
                <w:szCs w:val="22"/>
                <w:lang w:val="es-ES"/>
              </w:rPr>
              <w:t>a. 387</w:t>
            </w:r>
          </w:p>
          <w:p w:rsidR="00D508AC" w:rsidRPr="00D508AC" w:rsidRDefault="00F67F8A" w:rsidP="00D508AC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D508AC">
              <w:rPr>
                <w:rFonts w:eastAsia="Times New Roman"/>
                <w:color w:val="auto"/>
                <w:sz w:val="22"/>
                <w:szCs w:val="22"/>
                <w:lang w:val="es-ES"/>
              </w:rPr>
              <w:t>b.758</w:t>
            </w:r>
          </w:p>
          <w:p w:rsidR="00F67F8A" w:rsidRPr="00D508AC" w:rsidRDefault="00F67F8A" w:rsidP="00D508AC">
            <w:pPr>
              <w:spacing w:before="120" w:after="120" w:line="240" w:lineRule="auto"/>
              <w:ind w:right="172"/>
              <w:jc w:val="left"/>
              <w:rPr>
                <w:rFonts w:eastAsia="Times New Roman"/>
                <w:color w:val="auto"/>
                <w:sz w:val="22"/>
                <w:szCs w:val="22"/>
                <w:highlight w:val="yellow"/>
                <w:lang w:val="es-ES"/>
              </w:rPr>
            </w:pPr>
            <w:r w:rsidRPr="00D508AC">
              <w:rPr>
                <w:rFonts w:eastAsia="Times New Roman"/>
                <w:color w:val="auto"/>
                <w:sz w:val="22"/>
                <w:szCs w:val="22"/>
                <w:lang w:val="es-ES"/>
              </w:rPr>
              <w:t>c.4,583</w:t>
            </w:r>
          </w:p>
        </w:tc>
        <w:tc>
          <w:tcPr>
            <w:tcW w:w="5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Pr="00D508AC" w:rsidRDefault="00F67F8A" w:rsidP="00D508AC">
            <w:pPr>
              <w:widowControl/>
              <w:adjustRightInd/>
              <w:spacing w:before="120" w:after="120" w:line="240" w:lineRule="auto"/>
              <w:ind w:right="14"/>
              <w:textAlignment w:val="auto"/>
              <w:rPr>
                <w:rFonts w:eastAsia="Times New Roman" w:cs="Arial"/>
                <w:color w:val="auto"/>
                <w:sz w:val="20"/>
                <w:szCs w:val="20"/>
                <w:lang w:val="es-ES"/>
              </w:rPr>
            </w:pPr>
            <w:r w:rsidRPr="00D508AC">
              <w:rPr>
                <w:rFonts w:eastAsia="Times New Roman" w:cs="Arial"/>
                <w:b/>
                <w:i/>
                <w:color w:val="auto"/>
                <w:sz w:val="20"/>
                <w:szCs w:val="20"/>
                <w:lang w:val="es-ES"/>
              </w:rPr>
              <w:t xml:space="preserve">Observaciones: </w:t>
            </w:r>
            <w:r w:rsidRPr="00D508AC">
              <w:rPr>
                <w:rFonts w:eastAsia="Times New Roman" w:cs="Arial"/>
                <w:color w:val="auto"/>
                <w:sz w:val="20"/>
                <w:szCs w:val="20"/>
                <w:lang w:val="es-ES"/>
              </w:rPr>
              <w:t>Los valores de línea de base y meta para este indicador salen del documento de evaluación económica donde se simula el financiamiento de los procesos de atención a la emergencia, rehabilitación y reconstrucción ante la ocurrencia de desastres de diferentes magnitudes (a. Probabilidad de ocurrencia del 18%;</w:t>
            </w:r>
            <w:r w:rsidRPr="00D508AC">
              <w:rPr>
                <w:rFonts w:eastAsia="Times New Roman" w:cs="Arial"/>
                <w:b/>
                <w:i/>
                <w:color w:val="auto"/>
                <w:sz w:val="20"/>
                <w:szCs w:val="20"/>
                <w:lang w:val="es-ES"/>
              </w:rPr>
              <w:t xml:space="preserve"> </w:t>
            </w:r>
            <w:r w:rsidRPr="00D508AC">
              <w:rPr>
                <w:rFonts w:eastAsia="Times New Roman" w:cs="Arial"/>
                <w:color w:val="auto"/>
                <w:sz w:val="20"/>
                <w:szCs w:val="20"/>
                <w:lang w:val="es-ES"/>
              </w:rPr>
              <w:t>b. Probabilidad de ocurrencia del 10%; y c. Probabilidad de ocurrencia del 2% en los próximos 10 años) en una situación sin PBP y con PBP.</w:t>
            </w:r>
            <w:r w:rsidR="00D508AC" w:rsidRPr="00D508AC">
              <w:rPr>
                <w:rFonts w:eastAsia="Times New Roman" w:cs="Arial"/>
                <w:color w:val="auto"/>
                <w:sz w:val="20"/>
                <w:szCs w:val="20"/>
                <w:lang w:val="es-ES"/>
              </w:rPr>
              <w:t xml:space="preserve"> </w:t>
            </w:r>
          </w:p>
          <w:p w:rsidR="00D508AC" w:rsidRPr="00D508AC" w:rsidRDefault="00D508AC" w:rsidP="00D508AC">
            <w:pPr>
              <w:spacing w:line="240" w:lineRule="auto"/>
              <w:rPr>
                <w:rFonts w:eastAsia="Times New Roman" w:cs="Arial"/>
                <w:color w:val="auto"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F67F8A" w:rsidRPr="00A76D38" w:rsidTr="00881677">
        <w:trPr>
          <w:trHeight w:val="236"/>
        </w:trPr>
        <w:tc>
          <w:tcPr>
            <w:tcW w:w="466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Default="00F67F8A" w:rsidP="006A6E19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lang w:val="es-ES"/>
              </w:rPr>
            </w:pPr>
            <w:r w:rsidRPr="006C54C0">
              <w:rPr>
                <w:rFonts w:eastAsia="Times New Roman"/>
                <w:i/>
                <w:color w:val="auto"/>
                <w:sz w:val="22"/>
                <w:lang w:val="es-ES"/>
              </w:rPr>
              <w:t>Indicador</w:t>
            </w:r>
            <w:r w:rsidR="00881677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2.1</w:t>
            </w:r>
            <w:r w:rsidRPr="006C54C0">
              <w:rPr>
                <w:rFonts w:eastAsia="Times New Roman"/>
                <w:i/>
                <w:color w:val="auto"/>
                <w:sz w:val="22"/>
                <w:lang w:val="es-ES"/>
              </w:rPr>
              <w:t>:</w:t>
            </w:r>
            <w:r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Total requerimiento de recursos para </w:t>
            </w:r>
            <w:r w:rsidR="00111D73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atender la </w:t>
            </w:r>
            <w:r>
              <w:rPr>
                <w:rFonts w:eastAsia="Times New Roman"/>
                <w:i/>
                <w:color w:val="auto"/>
                <w:sz w:val="22"/>
                <w:lang w:val="es-ES"/>
              </w:rPr>
              <w:t>emergencia, rehabilitación y reconstrucción (millones US$)</w:t>
            </w:r>
          </w:p>
          <w:p w:rsidR="00F67F8A" w:rsidRDefault="00F67F8A" w:rsidP="006A6E19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lang w:val="es-ES"/>
              </w:rPr>
            </w:pPr>
          </w:p>
          <w:p w:rsidR="00F67F8A" w:rsidRPr="004601C3" w:rsidRDefault="00F67F8A" w:rsidP="006A6E19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Pr="00183D42" w:rsidRDefault="00F67F8A" w:rsidP="00980C2F">
            <w:pPr>
              <w:spacing w:before="120" w:after="120"/>
              <w:ind w:right="186"/>
              <w:rPr>
                <w:rFonts w:eastAsia="Times New Roman"/>
                <w:sz w:val="22"/>
                <w:lang w:val="es-ES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F8A" w:rsidRPr="00B70E64" w:rsidRDefault="00F67F8A" w:rsidP="00650E96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highlight w:val="yellow"/>
                <w:lang w:val="es-ES"/>
              </w:rPr>
            </w:pPr>
          </w:p>
        </w:tc>
        <w:tc>
          <w:tcPr>
            <w:tcW w:w="554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7F8A" w:rsidRPr="00E929DC" w:rsidRDefault="00F67F8A" w:rsidP="00832148">
            <w:pPr>
              <w:widowControl/>
              <w:adjustRightInd/>
              <w:spacing w:before="120" w:after="120" w:line="240" w:lineRule="auto"/>
              <w:ind w:right="14"/>
              <w:jc w:val="left"/>
              <w:textAlignment w:val="auto"/>
              <w:rPr>
                <w:rFonts w:eastAsia="Times New Roman" w:cs="Arial"/>
                <w:b/>
                <w:i/>
                <w:color w:val="auto"/>
                <w:sz w:val="22"/>
                <w:lang w:val="es-ES"/>
              </w:rPr>
            </w:pPr>
          </w:p>
        </w:tc>
      </w:tr>
      <w:tr w:rsidR="00FB72A5" w:rsidRPr="00A76D38" w:rsidTr="00881677">
        <w:trPr>
          <w:trHeight w:val="253"/>
        </w:trPr>
        <w:tc>
          <w:tcPr>
            <w:tcW w:w="4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72A5" w:rsidRDefault="00FB72A5" w:rsidP="00FB72A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lang w:val="es-ES"/>
              </w:rPr>
            </w:pPr>
          </w:p>
          <w:p w:rsidR="00FB72A5" w:rsidRDefault="00FB72A5" w:rsidP="00FB72A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lang w:val="es-ES"/>
              </w:rPr>
            </w:pPr>
            <w:r>
              <w:rPr>
                <w:rFonts w:eastAsia="Times New Roman"/>
                <w:i/>
                <w:color w:val="auto"/>
                <w:sz w:val="22"/>
                <w:lang w:val="es-ES"/>
              </w:rPr>
              <w:t>Indicador</w:t>
            </w:r>
            <w:r w:rsidR="00881677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2.2</w:t>
            </w:r>
            <w:r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: </w:t>
            </w:r>
            <w:r w:rsidR="00DA12CF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Nueva deuda ex post </w:t>
            </w:r>
            <w:r w:rsidR="00FB62DF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incurrida ante la ocurrencia de un desastre </w:t>
            </w:r>
            <w:r w:rsidR="00DA12CF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como porcentaje del PIB (US$ </w:t>
            </w:r>
            <w:r w:rsidR="00D508AC">
              <w:rPr>
                <w:rFonts w:eastAsia="Times New Roman"/>
                <w:i/>
                <w:color w:val="auto"/>
                <w:sz w:val="22"/>
                <w:lang w:val="es-ES"/>
              </w:rPr>
              <w:t>millones</w:t>
            </w:r>
            <w:r w:rsidR="00DA12CF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deuda/ US$</w:t>
            </w:r>
            <w:r w:rsidR="00D508AC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millones</w:t>
            </w:r>
            <w:r w:rsidR="00DA12CF"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PIB).</w:t>
            </w:r>
          </w:p>
          <w:p w:rsidR="00FB72A5" w:rsidRPr="006C54C0" w:rsidRDefault="00FB72A5" w:rsidP="00FB72A5">
            <w:pPr>
              <w:widowControl/>
              <w:adjustRightInd/>
              <w:spacing w:before="120" w:after="120" w:line="240" w:lineRule="auto"/>
              <w:ind w:right="165"/>
              <w:jc w:val="left"/>
              <w:textAlignment w:val="auto"/>
              <w:rPr>
                <w:rFonts w:eastAsia="Times New Roman"/>
                <w:i/>
                <w:color w:val="auto"/>
                <w:sz w:val="22"/>
                <w:lang w:val="es-ES"/>
              </w:rPr>
            </w:pP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72A5" w:rsidRDefault="00DA12CF" w:rsidP="009E2E41">
            <w:pPr>
              <w:spacing w:before="120" w:after="120" w:line="240" w:lineRule="auto"/>
              <w:ind w:right="187"/>
              <w:rPr>
                <w:rFonts w:eastAsia="Times New Roman"/>
                <w:sz w:val="22"/>
                <w:lang w:val="es-ES"/>
              </w:rPr>
            </w:pPr>
            <w:r>
              <w:rPr>
                <w:rFonts w:eastAsia="Times New Roman"/>
                <w:sz w:val="22"/>
                <w:lang w:val="es-ES"/>
              </w:rPr>
              <w:t>a.0.47%</w:t>
            </w:r>
          </w:p>
          <w:p w:rsidR="00FB72A5" w:rsidRDefault="00DA12CF" w:rsidP="009E2E41">
            <w:pPr>
              <w:spacing w:before="120" w:after="120" w:line="240" w:lineRule="auto"/>
              <w:ind w:right="187"/>
              <w:rPr>
                <w:rFonts w:eastAsia="Times New Roman"/>
                <w:sz w:val="22"/>
                <w:lang w:val="es-ES"/>
              </w:rPr>
            </w:pPr>
            <w:r>
              <w:rPr>
                <w:rFonts w:eastAsia="Times New Roman"/>
                <w:sz w:val="22"/>
                <w:lang w:val="es-ES"/>
              </w:rPr>
              <w:t>b.1.62%</w:t>
            </w:r>
          </w:p>
          <w:p w:rsidR="00FB72A5" w:rsidRDefault="00DA12CF" w:rsidP="009E2E41">
            <w:pPr>
              <w:spacing w:before="120" w:after="120" w:line="240" w:lineRule="auto"/>
              <w:ind w:right="187"/>
              <w:rPr>
                <w:rFonts w:eastAsia="Times New Roman"/>
                <w:sz w:val="22"/>
                <w:lang w:val="es-ES"/>
              </w:rPr>
            </w:pPr>
            <w:r>
              <w:rPr>
                <w:rFonts w:eastAsia="Times New Roman"/>
                <w:sz w:val="22"/>
                <w:lang w:val="es-ES"/>
              </w:rPr>
              <w:t>c.13.</w:t>
            </w:r>
            <w:r w:rsidR="00FA0D17">
              <w:rPr>
                <w:rFonts w:eastAsia="Times New Roman"/>
                <w:sz w:val="22"/>
                <w:lang w:val="es-ES"/>
              </w:rPr>
              <w:t>48</w:t>
            </w:r>
            <w:r w:rsidR="00530D4F" w:rsidDel="00530D4F">
              <w:rPr>
                <w:rFonts w:eastAsia="Times New Roman"/>
                <w:sz w:val="22"/>
                <w:lang w:val="es-ES"/>
              </w:rPr>
              <w:t xml:space="preserve"> </w:t>
            </w:r>
            <w:r>
              <w:rPr>
                <w:rFonts w:eastAsia="Times New Roman"/>
                <w:sz w:val="22"/>
                <w:lang w:val="es-ES"/>
              </w:rPr>
              <w:t>%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A5" w:rsidRDefault="00DA12CF" w:rsidP="00650E96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a. 0.11%</w:t>
            </w:r>
          </w:p>
          <w:p w:rsidR="009E2E41" w:rsidRDefault="00DA12CF" w:rsidP="00650E96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b.0.79%</w:t>
            </w:r>
          </w:p>
          <w:p w:rsidR="00FB72A5" w:rsidRDefault="00FB72A5" w:rsidP="00FA0D17">
            <w:pPr>
              <w:widowControl/>
              <w:adjustRightInd/>
              <w:spacing w:before="120" w:after="120" w:line="240" w:lineRule="auto"/>
              <w:ind w:right="172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c.</w:t>
            </w:r>
            <w:r w:rsidR="00DA12CF">
              <w:rPr>
                <w:rFonts w:eastAsia="Times New Roman"/>
                <w:color w:val="auto"/>
                <w:sz w:val="22"/>
                <w:lang w:val="es-ES"/>
              </w:rPr>
              <w:t>12.</w:t>
            </w:r>
            <w:r w:rsidR="00FA0D17">
              <w:rPr>
                <w:rFonts w:eastAsia="Times New Roman"/>
                <w:color w:val="auto"/>
                <w:sz w:val="22"/>
                <w:lang w:val="es-ES"/>
              </w:rPr>
              <w:t>65</w:t>
            </w:r>
            <w:r w:rsidR="00530D4F" w:rsidDel="00530D4F">
              <w:rPr>
                <w:rFonts w:eastAsia="Times New Roman"/>
                <w:color w:val="auto"/>
                <w:sz w:val="22"/>
                <w:lang w:val="es-ES"/>
              </w:rPr>
              <w:t xml:space="preserve"> </w:t>
            </w:r>
            <w:r w:rsidR="00DA12CF">
              <w:rPr>
                <w:rFonts w:eastAsia="Times New Roman"/>
                <w:color w:val="auto"/>
                <w:sz w:val="22"/>
                <w:lang w:val="es-ES"/>
              </w:rPr>
              <w:t>%</w:t>
            </w:r>
          </w:p>
        </w:tc>
        <w:tc>
          <w:tcPr>
            <w:tcW w:w="5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08AC" w:rsidRPr="00D508AC" w:rsidRDefault="00D508AC" w:rsidP="00D508AC">
            <w:pPr>
              <w:spacing w:line="240" w:lineRule="auto"/>
              <w:rPr>
                <w:bCs/>
                <w:sz w:val="20"/>
                <w:szCs w:val="20"/>
                <w:lang w:val="es-ES_tradnl"/>
              </w:rPr>
            </w:pPr>
            <w:r w:rsidRPr="00D508AC">
              <w:rPr>
                <w:rFonts w:eastAsia="Times New Roman" w:cs="Arial"/>
                <w:color w:val="auto"/>
                <w:sz w:val="20"/>
                <w:szCs w:val="20"/>
                <w:lang w:val="es-ES"/>
              </w:rPr>
              <w:t xml:space="preserve">En el caso del indicador de nueva deuda ex post como porcentaje del PIB, se asume que </w:t>
            </w:r>
            <w:r w:rsidRPr="00D508AC">
              <w:rPr>
                <w:bCs/>
                <w:sz w:val="20"/>
                <w:szCs w:val="20"/>
                <w:lang w:val="es-ES_tradnl"/>
              </w:rPr>
              <w:t xml:space="preserve"> el país gestiona todos los recursos requeridos para cubrir la emergencia, rehabilitación y reconstrucción,  y que tenga acceda sin ningún problema al mercado de capitales. Asimismo, también se asume que el monto de recursos de endeudamiento ex post a gestionar no afecta el costo del endeudamiento.</w:t>
            </w:r>
          </w:p>
          <w:p w:rsidR="00FB72A5" w:rsidRPr="00D508AC" w:rsidRDefault="00FB72A5" w:rsidP="00832148">
            <w:pPr>
              <w:widowControl/>
              <w:adjustRightInd/>
              <w:spacing w:before="120" w:after="120" w:line="240" w:lineRule="auto"/>
              <w:ind w:right="14"/>
              <w:jc w:val="left"/>
              <w:textAlignment w:val="auto"/>
              <w:rPr>
                <w:rFonts w:eastAsia="Times New Roman" w:cs="Arial"/>
                <w:b/>
                <w:i/>
                <w:color w:val="auto"/>
                <w:sz w:val="22"/>
                <w:lang w:val="es-ES_tradnl"/>
              </w:rPr>
            </w:pPr>
          </w:p>
        </w:tc>
      </w:tr>
    </w:tbl>
    <w:p w:rsidR="005B4B72" w:rsidRDefault="005B4B72" w:rsidP="008E5A5E">
      <w:pPr>
        <w:rPr>
          <w:lang w:val="es-ES"/>
        </w:rPr>
      </w:pPr>
    </w:p>
    <w:tbl>
      <w:tblPr>
        <w:tblW w:w="130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1"/>
        <w:gridCol w:w="988"/>
        <w:gridCol w:w="969"/>
        <w:gridCol w:w="1063"/>
        <w:gridCol w:w="1097"/>
        <w:gridCol w:w="3846"/>
      </w:tblGrid>
      <w:tr w:rsidR="001F0448" w:rsidRPr="00E929DC" w:rsidTr="001F0448">
        <w:trPr>
          <w:trHeight w:val="315"/>
          <w:tblHeader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br w:type="page"/>
              <w:t xml:space="preserve">Componente </w:t>
            </w:r>
            <w:r w:rsidR="00C74798">
              <w:rPr>
                <w:rFonts w:eastAsia="Times New Roman"/>
                <w:b/>
                <w:color w:val="auto"/>
                <w:sz w:val="22"/>
                <w:lang w:val="es-ES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Base </w:t>
            </w:r>
            <w:r w:rsidR="00C74798">
              <w:rPr>
                <w:rFonts w:eastAsia="Times New Roman"/>
                <w:b/>
                <w:color w:val="auto"/>
                <w:sz w:val="18"/>
                <w:lang w:val="es-ES"/>
              </w:rPr>
              <w:t>(2015</w:t>
            </w:r>
            <w:r w:rsidRPr="00E929DC">
              <w:rPr>
                <w:rFonts w:eastAsia="Times New Roman"/>
                <w:b/>
                <w:color w:val="auto"/>
                <w:sz w:val="18"/>
                <w:lang w:val="es-ES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448" w:rsidRDefault="001F044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Meta</w:t>
            </w:r>
          </w:p>
          <w:p w:rsidR="001F0448" w:rsidRPr="00E929DC" w:rsidRDefault="00C7479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(2017</w:t>
            </w:r>
            <w:r w:rsidR="001F0448">
              <w:rPr>
                <w:rFonts w:eastAsia="Times New Roman"/>
                <w:b/>
                <w:color w:val="auto"/>
                <w:sz w:val="22"/>
                <w:lang w:val="es-ES"/>
              </w:rPr>
              <w:t>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C74798" w:rsidP="00CF63F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Observaciones</w:t>
            </w:r>
          </w:p>
        </w:tc>
      </w:tr>
      <w:tr w:rsidR="001F0448" w:rsidRPr="009350AA" w:rsidTr="001F0448">
        <w:trPr>
          <w:trHeight w:val="315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CE7D82" w:rsidRDefault="001F044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 w:rsidRPr="00CE7D82">
              <w:rPr>
                <w:rFonts w:eastAsia="Times New Roman"/>
                <w:color w:val="auto"/>
                <w:sz w:val="22"/>
                <w:lang w:val="es-ES"/>
              </w:rPr>
              <w:t>Mantener un marco macroeconómico estable.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No Aplica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Pr="00E438FF" w:rsidRDefault="001F044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No Aplica</w:t>
            </w:r>
          </w:p>
        </w:tc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CE7D82" w:rsidRDefault="001F0448" w:rsidP="00CE7D82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color w:val="FF0000"/>
                <w:sz w:val="22"/>
                <w:lang w:val="es-ES"/>
              </w:rPr>
            </w:pPr>
            <w:r w:rsidRPr="00542226">
              <w:rPr>
                <w:rFonts w:eastAsia="Times New Roman"/>
                <w:color w:val="auto"/>
                <w:sz w:val="22"/>
                <w:lang w:val="es-ES"/>
              </w:rPr>
              <w:t>No Aplica</w:t>
            </w:r>
          </w:p>
        </w:tc>
      </w:tr>
    </w:tbl>
    <w:p w:rsidR="003252C6" w:rsidRPr="00E929DC" w:rsidRDefault="003252C6" w:rsidP="008E5A5E">
      <w:pPr>
        <w:rPr>
          <w:lang w:val="es-ES"/>
        </w:rPr>
      </w:pPr>
    </w:p>
    <w:tbl>
      <w:tblPr>
        <w:tblW w:w="13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0"/>
        <w:gridCol w:w="1003"/>
        <w:gridCol w:w="1003"/>
        <w:gridCol w:w="1094"/>
        <w:gridCol w:w="1094"/>
        <w:gridCol w:w="3782"/>
      </w:tblGrid>
      <w:tr w:rsidR="001F0448" w:rsidRPr="00E929DC" w:rsidTr="00C74798">
        <w:trPr>
          <w:trHeight w:val="137"/>
          <w:tblHeader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br w:type="page"/>
              <w:t xml:space="preserve">Componente 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C7479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Base (2015</w:t>
            </w:r>
            <w:r w:rsidR="001F0448"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1F044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448" w:rsidRDefault="001F044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Meta</w:t>
            </w:r>
          </w:p>
          <w:p w:rsidR="001F0448" w:rsidRPr="00E929DC" w:rsidRDefault="001F0448" w:rsidP="00C7479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(201</w:t>
            </w:r>
            <w:r w:rsidR="00C74798">
              <w:rPr>
                <w:rFonts w:eastAsia="Times New Roman"/>
                <w:b/>
                <w:color w:val="auto"/>
                <w:sz w:val="22"/>
                <w:lang w:val="es-ES"/>
              </w:rPr>
              <w:t>7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)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929DC" w:rsidRDefault="00C74798" w:rsidP="00D34B15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Observaciones</w:t>
            </w:r>
          </w:p>
        </w:tc>
      </w:tr>
      <w:tr w:rsidR="001F0448" w:rsidRPr="00A76D38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E12E83" w:rsidRDefault="001F0448" w:rsidP="00E12E83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Resultado 1: </w:t>
            </w:r>
            <w:r>
              <w:rPr>
                <w:b/>
                <w:bCs/>
                <w:sz w:val="22"/>
                <w:szCs w:val="22"/>
                <w:lang w:val="es-ES_tradnl"/>
              </w:rPr>
              <w:t>Desarrollar y fortalecer el marco general de la gobernabilidad para la GRD</w:t>
            </w:r>
          </w:p>
          <w:p w:rsidR="001F0448" w:rsidRDefault="001F0448" w:rsidP="00277988">
            <w:pPr>
              <w:pStyle w:val="Default"/>
              <w:rPr>
                <w:bCs/>
                <w:i/>
                <w:sz w:val="22"/>
                <w:szCs w:val="22"/>
                <w:lang w:val="es-ES"/>
              </w:rPr>
            </w:pPr>
          </w:p>
          <w:p w:rsidR="001F0448" w:rsidRPr="00DD76D4" w:rsidRDefault="001F0448" w:rsidP="00277988">
            <w:pPr>
              <w:pStyle w:val="Default"/>
              <w:rPr>
                <w:bCs/>
                <w:sz w:val="22"/>
                <w:szCs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MG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 w:rsidRPr="00DD76D4">
              <w:rPr>
                <w:bCs/>
                <w:sz w:val="22"/>
                <w:szCs w:val="22"/>
                <w:lang w:val="es-ES"/>
              </w:rPr>
              <w:t xml:space="preserve"> (Marco General)  es un subíndice del iGOPP</w:t>
            </w:r>
            <w:r>
              <w:rPr>
                <w:bCs/>
                <w:sz w:val="22"/>
                <w:szCs w:val="22"/>
                <w:lang w:val="es-ES"/>
              </w:rPr>
              <w:t xml:space="preserve"> (Porcentaje)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51%</w:t>
            </w: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85%</w:t>
            </w: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000FB4" w:rsidRDefault="001F044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Arial Unicode MS"/>
                <w:b/>
                <w:i/>
                <w:color w:val="auto"/>
                <w:sz w:val="20"/>
                <w:szCs w:val="20"/>
                <w:lang w:val="es-ES"/>
              </w:rPr>
            </w:pPr>
            <w:r w:rsidRPr="002C0207">
              <w:rPr>
                <w:b/>
                <w:i/>
                <w:sz w:val="20"/>
                <w:szCs w:val="20"/>
                <w:lang w:val="es-ES_tradnl"/>
              </w:rPr>
              <w:t>Observaciones: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auto"/>
                      <w:sz w:val="22"/>
                      <w:lang w:val="es-E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auto"/>
                      <w:sz w:val="22"/>
                      <w:lang w:val="es-ES"/>
                    </w:rPr>
                    <m:t>MG</m:t>
                  </m:r>
                </m:e>
                <m:sub>
                  <m:r>
                    <w:rPr>
                      <w:rFonts w:ascii="Cambria Math" w:eastAsia="Times New Roman" w:hAnsi="Cambria Math"/>
                      <w:color w:val="auto"/>
                      <w:sz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_tradnl"/>
              </w:rPr>
              <w:t xml:space="preserve">(Marco General de la GRD) del </w:t>
            </w:r>
            <w:proofErr w:type="spellStart"/>
            <w:r>
              <w:rPr>
                <w:sz w:val="20"/>
                <w:szCs w:val="20"/>
                <w:lang w:val="es-ES_tradnl"/>
              </w:rPr>
              <w:t>iGOPP</w:t>
            </w:r>
            <w:proofErr w:type="spellEnd"/>
            <w:r>
              <w:rPr>
                <w:sz w:val="20"/>
                <w:szCs w:val="20"/>
                <w:lang w:val="es-ES_tradnl"/>
              </w:rPr>
              <w:t xml:space="preserve"> mide</w:t>
            </w:r>
            <w:r w:rsidRPr="002C0207">
              <w:rPr>
                <w:sz w:val="20"/>
                <w:szCs w:val="20"/>
                <w:lang w:val="es-ES_tradnl"/>
              </w:rPr>
              <w:t xml:space="preserve"> </w:t>
            </w:r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a través de un </w:t>
            </w:r>
            <w:proofErr w:type="spellStart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checklist</w:t>
            </w:r>
            <w:proofErr w:type="spellEnd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, </w:t>
            </w:r>
            <w:r w:rsidRPr="002C0207">
              <w:rPr>
                <w:sz w:val="20"/>
                <w:szCs w:val="20"/>
                <w:lang w:val="es-ES_tradnl"/>
              </w:rPr>
              <w:t>la existencia de una base normativa adecuada para la organización y coordinación de la GRD en cada país, la cual incluye la normativa básica territorial y sectorial que garantice su viabilidad, y que disponga los recursos para la implementación de los procesos de la GRD, y que establezca mecanismos de monitoreo, evaluación y seguimiento de los mismos.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1F0448" w:rsidRPr="00FB62DF" w:rsidTr="00C74798">
        <w:trPr>
          <w:trHeight w:val="506"/>
        </w:trPr>
        <w:tc>
          <w:tcPr>
            <w:tcW w:w="13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sz w:val="22"/>
                <w:szCs w:val="22"/>
                <w:lang w:val="es-ES_tradnl"/>
              </w:rPr>
            </w:pPr>
            <w:r w:rsidRPr="001F0448">
              <w:rPr>
                <w:b/>
                <w:sz w:val="22"/>
                <w:szCs w:val="22"/>
                <w:lang w:val="es-ES_tradnl"/>
              </w:rPr>
              <w:t>Productos</w:t>
            </w:r>
          </w:p>
        </w:tc>
      </w:tr>
      <w:tr w:rsidR="001F0448" w:rsidRPr="00A76D38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37523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37523">
              <w:rPr>
                <w:rFonts w:eastAsia="Times New Roman"/>
                <w:sz w:val="22"/>
                <w:szCs w:val="22"/>
                <w:lang w:val="es-PA" w:eastAsia="es-ES"/>
              </w:rPr>
              <w:lastRenderedPageBreak/>
              <w:t>Reglamentación de un fondo para el financiamiento de actividades de Gestión del Riesgo de Desastres (GRD)</w:t>
            </w:r>
            <w:r w:rsidR="001F0448"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. 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  <w:p w:rsidR="001F0448" w:rsidRPr="001F0448" w:rsidRDefault="001F0448" w:rsidP="001F0448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_tradnl"/>
              </w:rPr>
            </w:pPr>
            <w:r>
              <w:rPr>
                <w:rFonts w:eastAsia="Times New Roman"/>
                <w:color w:val="auto"/>
                <w:sz w:val="22"/>
                <w:lang w:val="es-ES_tradnl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C74798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 xml:space="preserve">Responsable: </w:t>
            </w:r>
            <w:r w:rsidRPr="00C74798"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Ministerio de Defensa (MD) y Ministerio de Planificación del Desarrollo (MPD).</w:t>
            </w:r>
          </w:p>
        </w:tc>
      </w:tr>
      <w:tr w:rsidR="001F0448" w:rsidRPr="00A76D38" w:rsidTr="00C74798">
        <w:trPr>
          <w:trHeight w:val="242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Elaboración de una propuesta de reglamentos internos para la habilitación de un Fondo para mitigación y adaptación al cambio climático.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1F0448" w:rsidRPr="001F0448" w:rsidRDefault="001F0448" w:rsidP="001F0448">
            <w:pPr>
              <w:spacing w:line="240" w:lineRule="auto"/>
              <w:rPr>
                <w:i/>
                <w:sz w:val="22"/>
                <w:szCs w:val="22"/>
                <w:lang w:val="es-ES_tradnl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Informe Técnico con la propuesta  preliminar de los reglamentos internos para la habilitación del Fondo Plurinacional de la Madre Tierra con el visto bueno del Director de la APMT </w:t>
            </w:r>
          </w:p>
          <w:p w:rsidR="001F0448" w:rsidRPr="001F0448" w:rsidRDefault="001F0448" w:rsidP="001F0448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C74798" w:rsidRDefault="00C74798" w:rsidP="00C74798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 xml:space="preserve">Responsable: </w:t>
            </w:r>
            <w:r w:rsidRPr="00C74798"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Autoridad Plurinacional de la Madre Tierra (APMT).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>Preparación del Plan de Desarrollo Quinquenal que incorpora criterios de GRD</w:t>
            </w:r>
            <w:r w:rsidR="001435C8">
              <w:rPr>
                <w:rFonts w:eastAsia="Times New Roman"/>
                <w:sz w:val="22"/>
                <w:szCs w:val="22"/>
                <w:lang w:val="es-ES_tradnl" w:eastAsia="es-ES"/>
              </w:rPr>
              <w:t>.</w:t>
            </w: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1F0448" w:rsidRPr="001F0448" w:rsidRDefault="001F0448" w:rsidP="001F0448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Borrador de Plan de Desarrollo Quinquenal puesto a consideración del Sr. Ministro de Planificación del Desarrollo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74798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Responsable: MPD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37523" w:rsidRDefault="00137523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PA" w:eastAsia="es-ES"/>
              </w:rPr>
            </w:pPr>
            <w:r w:rsidRPr="00137523">
              <w:rPr>
                <w:rFonts w:eastAsia="Times New Roman"/>
                <w:sz w:val="22"/>
                <w:szCs w:val="22"/>
                <w:lang w:val="es-PA" w:eastAsia="es-ES"/>
              </w:rPr>
              <w:t>Formulación de lineamientos para incorporar el enfoque de GRD y Adaptación al Cambio Climático (ACC) en el Sistema de Inversión Pública, con un clasificador que permita identificar las acciones de GRD y ACC</w:t>
            </w:r>
            <w:r w:rsidR="001435C8">
              <w:rPr>
                <w:rFonts w:eastAsia="Times New Roman"/>
                <w:sz w:val="22"/>
                <w:szCs w:val="22"/>
                <w:lang w:val="es-PA" w:eastAsia="es-ES"/>
              </w:rPr>
              <w:t>.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Documento de lineamientos con visto bueno del  Viceministro de Inversión Pública y Financiamiento Externo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Responsable: MPD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>que identifique las responsabilidades específicas de los ministerios que conforman el CONARADE respecto a la GRD en el marco de sus competencias.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Responsable: MPD y MD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>que establece que la GRD debe ser objeto de monitoreo y evaluación por parte de las entidades de fiscalización del Estado</w:t>
            </w:r>
            <w:r w:rsidR="001435C8">
              <w:rPr>
                <w:rFonts w:eastAsia="Times New Roman"/>
                <w:sz w:val="22"/>
                <w:szCs w:val="22"/>
                <w:lang w:val="es-ES_tradnl" w:eastAsia="es-ES"/>
              </w:rPr>
              <w:t>.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Decreto Supremo que aprueba el Reglamento Ley 602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Responsable: MPD y MD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>que establece que el FORADE debe ser objeto de supervisión, seguimiento y evaluación por parte de las entidades de fiscalización del Estado.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Decreto Supremo que aprueba el Reglamento Ley 602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Responsable: MPD y MD</w:t>
            </w:r>
          </w:p>
        </w:tc>
      </w:tr>
      <w:tr w:rsidR="001F0448" w:rsidRPr="00FB62DF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>Inicio de un estudio que analice la combinación óptima de instrumentos de reducción, retención y transferencia del riesgo para Bolivia con base en estudios probabilistas de riesgo.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Plan de Trabajo del estudio con el Visto Bueno de MPD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74798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 xml:space="preserve">Responsable: MPD </w:t>
            </w:r>
          </w:p>
        </w:tc>
      </w:tr>
      <w:tr w:rsidR="001F0448" w:rsidRPr="00A76D38" w:rsidTr="00C74798">
        <w:trPr>
          <w:trHeight w:val="506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0448" w:rsidRPr="001F0448" w:rsidRDefault="00E3179D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>
              <w:rPr>
                <w:rFonts w:eastAsia="Times New Roman"/>
                <w:sz w:val="22"/>
                <w:szCs w:val="22"/>
                <w:lang w:val="es-ES_tradnl" w:eastAsia="es-ES"/>
              </w:rPr>
              <w:t>Preparación de</w:t>
            </w:r>
            <w:r w:rsidR="001F0448" w:rsidRPr="001F0448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 al menos uno de los principales instrumentos estratégicos de cambio climático que incorpora consideraciones de gestión de riesgo de desastres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1F0448" w:rsidRPr="001F0448" w:rsidRDefault="001F0448" w:rsidP="001F0448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Borrador del documento de la Política Plurinacional de Cambio Climático remitido al </w:t>
            </w:r>
            <w:proofErr w:type="spellStart"/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MMAyA</w:t>
            </w:r>
            <w:proofErr w:type="spellEnd"/>
            <w:r w:rsidRPr="001F0448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por la APMT para revisión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E438FF" w:rsidRDefault="001F044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4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0448" w:rsidRPr="002C0207" w:rsidRDefault="00C74798" w:rsidP="00C563BC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 xml:space="preserve">Responsable: </w:t>
            </w:r>
            <w:r w:rsidRPr="00C74798">
              <w:rPr>
                <w:rFonts w:eastAsia="Times New Roman"/>
                <w:i/>
                <w:sz w:val="20"/>
                <w:szCs w:val="20"/>
                <w:lang w:val="es-ES_tradnl" w:eastAsia="es-ES"/>
              </w:rPr>
              <w:t>Autoridad Plurinacional de la Madre Tierra (APMT).</w:t>
            </w:r>
          </w:p>
        </w:tc>
      </w:tr>
    </w:tbl>
    <w:p w:rsidR="00CE7D82" w:rsidRDefault="00CE7D82" w:rsidP="008E5A5E">
      <w:pPr>
        <w:widowControl/>
        <w:adjustRightInd/>
        <w:spacing w:line="240" w:lineRule="auto"/>
        <w:jc w:val="left"/>
        <w:textAlignment w:val="auto"/>
        <w:rPr>
          <w:rFonts w:eastAsia="Times New Roman"/>
          <w:color w:val="auto"/>
          <w:sz w:val="22"/>
          <w:lang w:val="es-ES"/>
        </w:rPr>
      </w:pPr>
    </w:p>
    <w:tbl>
      <w:tblPr>
        <w:tblW w:w="13014" w:type="dxa"/>
        <w:jc w:val="center"/>
        <w:tblInd w:w="-10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4"/>
        <w:gridCol w:w="990"/>
        <w:gridCol w:w="900"/>
        <w:gridCol w:w="1080"/>
        <w:gridCol w:w="1080"/>
        <w:gridCol w:w="3708"/>
        <w:gridCol w:w="32"/>
      </w:tblGrid>
      <w:tr w:rsidR="00C74798" w:rsidRPr="00E929DC" w:rsidTr="00881677">
        <w:trPr>
          <w:gridAfter w:val="1"/>
          <w:wAfter w:w="32" w:type="dxa"/>
          <w:trHeight w:val="270"/>
          <w:tblHeader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8E5A5E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br w:type="page"/>
              <w:t xml:space="preserve">Componente 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C74798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Base </w:t>
            </w:r>
            <w:r>
              <w:rPr>
                <w:rFonts w:eastAsia="Times New Roman"/>
                <w:b/>
                <w:color w:val="auto"/>
                <w:sz w:val="18"/>
                <w:lang w:val="es-ES"/>
              </w:rPr>
              <w:t>(2015</w:t>
            </w:r>
            <w:r w:rsidRPr="00E929DC">
              <w:rPr>
                <w:rFonts w:eastAsia="Times New Roman"/>
                <w:b/>
                <w:color w:val="auto"/>
                <w:sz w:val="18"/>
                <w:lang w:val="es-ES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6E5331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6E5331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Año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74798" w:rsidRDefault="00C74798" w:rsidP="004B116E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Meta</w:t>
            </w:r>
          </w:p>
          <w:p w:rsidR="00C74798" w:rsidRPr="00E929DC" w:rsidRDefault="00C74798" w:rsidP="00F67F8A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(2017)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6E5331">
            <w:pPr>
              <w:widowControl/>
              <w:adjustRightInd/>
              <w:spacing w:line="240" w:lineRule="auto"/>
              <w:ind w:right="165"/>
              <w:jc w:val="center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E929DC">
              <w:rPr>
                <w:rFonts w:eastAsia="Times New Roman"/>
                <w:b/>
                <w:color w:val="auto"/>
                <w:sz w:val="22"/>
                <w:lang w:val="es-ES"/>
              </w:rPr>
              <w:t>Verificación/Supuestos</w:t>
            </w:r>
          </w:p>
        </w:tc>
      </w:tr>
      <w:tr w:rsidR="00C74798" w:rsidRPr="00FB62DF" w:rsidTr="00C74798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C74798" w:rsidRDefault="00C74798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Eje 1. IDENTIFICACIÓN DEL RIESGO</w:t>
            </w:r>
          </w:p>
        </w:tc>
      </w:tr>
      <w:tr w:rsidR="00C74798" w:rsidRPr="00A76D38" w:rsidTr="00881677">
        <w:trPr>
          <w:trHeight w:val="2738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645A05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Resultado 2: </w:t>
            </w:r>
            <w:r w:rsidRPr="00645A05">
              <w:rPr>
                <w:rFonts w:eastAsia="Times New Roman"/>
                <w:b/>
                <w:color w:val="auto"/>
                <w:sz w:val="22"/>
                <w:lang w:val="es-ES"/>
              </w:rPr>
              <w:t>Mejora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r las condiciones de política pública para la identificación del riesgo. </w:t>
            </w:r>
          </w:p>
          <w:p w:rsidR="00C74798" w:rsidRDefault="00C7479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bCs/>
                <w:i/>
                <w:sz w:val="22"/>
                <w:szCs w:val="22"/>
                <w:lang w:val="es-ES"/>
              </w:rPr>
            </w:pPr>
          </w:p>
          <w:p w:rsidR="00C74798" w:rsidRDefault="00C7479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 w:rsidRPr="00DD76D4">
              <w:rPr>
                <w:bCs/>
                <w:sz w:val="22"/>
                <w:szCs w:val="22"/>
                <w:lang w:val="es-ES"/>
              </w:rPr>
              <w:t xml:space="preserve"> (</w:t>
            </w:r>
            <w:r>
              <w:rPr>
                <w:bCs/>
                <w:sz w:val="22"/>
                <w:szCs w:val="22"/>
                <w:lang w:val="es-ES"/>
              </w:rPr>
              <w:t xml:space="preserve">Identificación de Riesgos) 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es un subíndice del </w:t>
            </w:r>
            <w:proofErr w:type="spellStart"/>
            <w:r w:rsidRPr="00DD76D4">
              <w:rPr>
                <w:bCs/>
                <w:sz w:val="22"/>
                <w:szCs w:val="22"/>
                <w:lang w:val="es-ES"/>
              </w:rPr>
              <w:t>iGOPP</w:t>
            </w:r>
            <w:proofErr w:type="spellEnd"/>
            <w:r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 </w:t>
            </w:r>
            <w:r w:rsidRPr="00BF344C">
              <w:rPr>
                <w:rFonts w:eastAsia="Times New Roman"/>
                <w:color w:val="auto"/>
                <w:sz w:val="22"/>
                <w:lang w:val="es-ES"/>
              </w:rPr>
              <w:t>(Porcentaje)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Default="00C7479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45%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59%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4E4C5C" w:rsidRDefault="00C74798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i/>
                <w:color w:val="auto"/>
                <w:sz w:val="20"/>
                <w:szCs w:val="20"/>
                <w:lang w:val="es-ES"/>
              </w:rPr>
            </w:pPr>
            <w:r w:rsidRPr="006C59C0">
              <w:rPr>
                <w:rFonts w:eastAsia="Times New Roman"/>
                <w:b/>
                <w:i/>
                <w:color w:val="auto"/>
                <w:sz w:val="20"/>
                <w:szCs w:val="20"/>
                <w:lang w:val="es-ES"/>
              </w:rPr>
              <w:t>Observaciones:</w:t>
            </w:r>
            <w:r>
              <w:rPr>
                <w:rFonts w:eastAsia="Times New Roman"/>
                <w:color w:val="auto"/>
                <w:sz w:val="20"/>
                <w:szCs w:val="20"/>
                <w:lang w:val="es-ES"/>
              </w:rPr>
              <w:t xml:space="preserve"> El</w:t>
            </w:r>
            <w:r>
              <w:rPr>
                <w:rFonts w:eastAsia="Times New Roman"/>
                <w:i/>
                <w:color w:val="auto"/>
                <w:sz w:val="22"/>
                <w:lang w:val="es-E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auto"/>
                      <w:sz w:val="22"/>
                      <w:lang w:val="es-E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auto"/>
                      <w:sz w:val="22"/>
                      <w:lang w:val="es-ES"/>
                    </w:rPr>
                    <m:t>IR</m:t>
                  </m:r>
                </m:e>
                <m:sub>
                  <m:r>
                    <w:rPr>
                      <w:rFonts w:ascii="Cambria Math" w:eastAsia="Times New Roman" w:hAnsi="Cambria Math"/>
                      <w:color w:val="auto"/>
                      <w:sz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rFonts w:eastAsia="Times New Roman"/>
                <w:color w:val="auto"/>
                <w:sz w:val="20"/>
                <w:szCs w:val="20"/>
                <w:lang w:val="es-ES"/>
              </w:rPr>
              <w:t xml:space="preserve"> (Identificación y conocimiento del Riesgo) del iGOPP mide </w:t>
            </w:r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a través de un </w:t>
            </w:r>
            <w:proofErr w:type="spellStart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checklist</w:t>
            </w:r>
            <w:proofErr w:type="spellEnd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, el </w:t>
            </w:r>
            <w:r w:rsidRPr="009A24BA">
              <w:rPr>
                <w:rFonts w:eastAsia="Times New Roman"/>
                <w:color w:val="auto"/>
                <w:sz w:val="20"/>
                <w:szCs w:val="20"/>
                <w:lang w:val="es-ES"/>
              </w:rPr>
              <w:t>desarrollo continuo de análisis de riesgos, herramienta que permite la identificación y evaluación de los probables daños y pérdidas ocasionadas por eventos naturales o condiciones sociales, económicas y geográficas.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C74798" w:rsidRPr="00FB62DF" w:rsidTr="00C74798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C74798" w:rsidRDefault="00C74798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  <w:t xml:space="preserve">Productos </w:t>
            </w:r>
          </w:p>
        </w:tc>
      </w:tr>
      <w:tr w:rsidR="00C74798" w:rsidRPr="007C4DE1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7C4DE1" w:rsidRDefault="00E40C54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>
              <w:rPr>
                <w:rFonts w:eastAsia="Times New Roman"/>
                <w:sz w:val="22"/>
                <w:szCs w:val="22"/>
                <w:lang w:val="es-ES_tradnl" w:eastAsia="es-ES"/>
              </w:rPr>
              <w:t>Aprob</w:t>
            </w: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ación </w:t>
            </w:r>
            <w:r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="00C74798"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>que designe responsables para la definición de metodologías y/o lineamientos estratégicos para la elaboración de estudios sobre efectos de cambio climático</w:t>
            </w:r>
          </w:p>
          <w:p w:rsidR="00C74798" w:rsidRPr="007C4DE1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C74798" w:rsidRPr="007C4DE1" w:rsidRDefault="00C74798" w:rsidP="007C4DE1">
            <w:pPr>
              <w:spacing w:after="200" w:line="276" w:lineRule="auto"/>
              <w:contextualSpacing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Decreto Supremo que aprueba el Reglamento Ley 602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7C4DE1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i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C74798" w:rsidRPr="007C4DE1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7C4DE1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>que establezca que los estudios de amenaza por eventos geológicos, climáticos e hidrológicos deben considerar la frecuencia de ocurrencia asociada a los niveles de intensidad de los eventos</w:t>
            </w:r>
          </w:p>
          <w:p w:rsidR="00C74798" w:rsidRPr="007C4DE1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C74798" w:rsidRPr="007C4DE1" w:rsidRDefault="00C74798" w:rsidP="00C74798">
            <w:pPr>
              <w:spacing w:after="200" w:line="276" w:lineRule="auto"/>
              <w:contextualSpacing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Decreto Supremo que aprueba el Reglamento Ley 602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7C4DE1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i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C74798" w:rsidRPr="007C4DE1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7C4DE1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>que establezca que las empresas prestadoras de servicios públicos son responsables de realizar el análisis del riesgo de desastres en el ámbito de sus competencias</w:t>
            </w:r>
          </w:p>
          <w:p w:rsidR="00C74798" w:rsidRPr="007C4DE1" w:rsidRDefault="00C74798" w:rsidP="00C7479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Indicador:</w:t>
            </w:r>
          </w:p>
          <w:p w:rsidR="00C74798" w:rsidRPr="007C4DE1" w:rsidRDefault="00C74798" w:rsidP="00C7479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Decreto Supremo que aprueba el Reglamento Ley 602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7C4DE1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i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C74798" w:rsidRPr="007C4DE1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7C4DE1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7C4DE1">
              <w:rPr>
                <w:rFonts w:eastAsia="Times New Roman"/>
                <w:sz w:val="22"/>
                <w:szCs w:val="22"/>
                <w:lang w:val="es-ES_tradnl" w:eastAsia="es-ES"/>
              </w:rPr>
              <w:t>que mandate la identificación de edificaciones esenciales, indispensables o infraestructura crítica en los diferentes sectores y niveles territoriales en el marco de las autonomías y competencias</w:t>
            </w:r>
          </w:p>
          <w:p w:rsidR="00C74798" w:rsidRPr="007C4DE1" w:rsidRDefault="00C74798" w:rsidP="00C74798">
            <w:pPr>
              <w:spacing w:after="200" w:line="276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C74798" w:rsidRPr="007C4DE1" w:rsidRDefault="00C74798" w:rsidP="007C4DE1">
            <w:pPr>
              <w:spacing w:after="200" w:line="276" w:lineRule="auto"/>
              <w:contextualSpacing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Decreto Supremo que aprueba el Reglamento Ley 602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CF63F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Pr="007C4DE1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7C4DE1" w:rsidRDefault="007C4DE1" w:rsidP="00D37C5A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i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5A6C2B" w:rsidRPr="00FB62DF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C74798" w:rsidRDefault="005A6C2B" w:rsidP="005A6C2B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Eje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2</w:t>
            </w: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.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REDUCCIÓN DEL RIESGO</w:t>
            </w:r>
          </w:p>
        </w:tc>
      </w:tr>
      <w:tr w:rsidR="00C74798" w:rsidRPr="00A76D38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Pr="00994C0A" w:rsidRDefault="00C7479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 xml:space="preserve">Resultado 3: </w:t>
            </w:r>
            <w:r w:rsidRPr="00645A05">
              <w:rPr>
                <w:rFonts w:eastAsia="Times New Roman"/>
                <w:b/>
                <w:color w:val="auto"/>
                <w:sz w:val="22"/>
                <w:lang w:val="es-ES"/>
              </w:rPr>
              <w:t>Mejora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r las condiciones de política pública para la reducción del riesgo</w:t>
            </w:r>
          </w:p>
          <w:p w:rsidR="00C74798" w:rsidRDefault="00C7479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RR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bCs/>
                <w:sz w:val="22"/>
                <w:szCs w:val="22"/>
                <w:lang w:val="es-ES"/>
              </w:rPr>
              <w:t xml:space="preserve"> (Reducción de Riesgos) 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es un subíndice del </w:t>
            </w:r>
            <w:proofErr w:type="spellStart"/>
            <w:r w:rsidRPr="00DD76D4">
              <w:rPr>
                <w:bCs/>
                <w:sz w:val="22"/>
                <w:szCs w:val="22"/>
                <w:lang w:val="es-ES"/>
              </w:rPr>
              <w:t>iGOPP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Default="00C74798" w:rsidP="00976A9E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35%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47%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674B4" w:rsidRDefault="00C74798" w:rsidP="00BF344C">
            <w:pPr>
              <w:widowControl/>
              <w:pBdr>
                <w:top w:val="single" w:sz="4" w:space="1" w:color="auto"/>
              </w:pBdr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sz w:val="20"/>
                <w:szCs w:val="20"/>
                <w:lang w:val="es-ES_tradnl"/>
              </w:rPr>
            </w:pPr>
            <w:r w:rsidRPr="006C59C0">
              <w:rPr>
                <w:rFonts w:eastAsia="Arial Unicode MS"/>
                <w:b/>
                <w:i/>
                <w:color w:val="auto"/>
                <w:sz w:val="20"/>
                <w:szCs w:val="20"/>
                <w:lang w:val="es-ES"/>
              </w:rPr>
              <w:t>Observaciones:</w:t>
            </w:r>
            <w:r>
              <w:rPr>
                <w:rFonts w:eastAsia="Arial Unicode MS"/>
                <w:color w:val="auto"/>
                <w:sz w:val="20"/>
                <w:szCs w:val="20"/>
                <w:lang w:val="es-ES"/>
              </w:rPr>
              <w:t xml:space="preserve"> El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RR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sz w:val="20"/>
                <w:szCs w:val="20"/>
                <w:lang w:val="es-ES_tradnl"/>
              </w:rPr>
              <w:t xml:space="preserve"> (Reducción del Riesgo) del iGOPP mide </w:t>
            </w:r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a través de un </w:t>
            </w:r>
            <w:proofErr w:type="spellStart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checklist</w:t>
            </w:r>
            <w:proofErr w:type="spellEnd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, </w:t>
            </w:r>
            <w:r w:rsidRPr="009A24BA">
              <w:rPr>
                <w:sz w:val="20"/>
                <w:szCs w:val="20"/>
                <w:lang w:val="es-ES_tradnl"/>
              </w:rPr>
              <w:t>el proceso a través del cual se toman medidas para reducir los riesgos una vez identificados. Implica intervenir directamente las causas que generan las condiciones de amenaza o de vulnerabilidad actual.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5A6C2B" w:rsidRPr="00FB62DF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C74798" w:rsidRDefault="005A6C2B" w:rsidP="006A4240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  <w:t xml:space="preserve">Productos </w:t>
            </w:r>
          </w:p>
        </w:tc>
      </w:tr>
      <w:tr w:rsidR="005A6C2B" w:rsidRPr="005A6C2B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sz w:val="22"/>
                <w:szCs w:val="22"/>
                <w:lang w:val="es-ES_tradnl"/>
              </w:rPr>
            </w:pPr>
            <w:r w:rsidRPr="005A6C2B">
              <w:rPr>
                <w:sz w:val="22"/>
                <w:szCs w:val="22"/>
                <w:lang w:val="es-ES_tradnl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5A6C2B">
              <w:rPr>
                <w:sz w:val="22"/>
                <w:szCs w:val="22"/>
                <w:lang w:val="es-ES_tradnl"/>
              </w:rPr>
              <w:t xml:space="preserve">que establezca que las entidades públicas deberán </w:t>
            </w:r>
            <w:r w:rsidR="00137523" w:rsidRPr="00137523">
              <w:rPr>
                <w:sz w:val="22"/>
                <w:szCs w:val="22"/>
                <w:lang w:val="es-ES_tradnl"/>
              </w:rPr>
              <w:t xml:space="preserve">realizar acciones orientadas a </w:t>
            </w:r>
            <w:r w:rsidRPr="005A6C2B">
              <w:rPr>
                <w:sz w:val="22"/>
                <w:szCs w:val="22"/>
                <w:lang w:val="es-ES_tradnl"/>
              </w:rPr>
              <w:t>reducir la vulnerabilidad de edificaciones esenciales, indispensables o infraestructura crítica a través de medidas de reforzamiento o sustitución</w:t>
            </w:r>
          </w:p>
          <w:p w:rsidR="005A6C2B" w:rsidRPr="005A6C2B" w:rsidRDefault="005A6C2B" w:rsidP="005A6C2B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5A6C2B" w:rsidRPr="005A6C2B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sz w:val="22"/>
                <w:szCs w:val="22"/>
                <w:lang w:val="es-ES_tradnl"/>
              </w:rPr>
            </w:pPr>
            <w:r w:rsidRPr="005A6C2B">
              <w:rPr>
                <w:sz w:val="22"/>
                <w:szCs w:val="22"/>
                <w:lang w:val="es-ES_tradnl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5A6C2B">
              <w:rPr>
                <w:sz w:val="22"/>
                <w:szCs w:val="22"/>
                <w:lang w:val="es-ES_tradnl"/>
              </w:rPr>
              <w:t>que establece que las empresas prestadoras de servicios públicos son responsables de reducir el riesgo de desastres en el ámbito de sus competencias</w:t>
            </w:r>
          </w:p>
          <w:p w:rsidR="005A6C2B" w:rsidRPr="005A6C2B" w:rsidRDefault="005A6C2B" w:rsidP="005A6C2B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5A6C2B" w:rsidRPr="005A6C2B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5A6C2B" w:rsidRDefault="005A6C2B" w:rsidP="005A6C2B">
            <w:pPr>
              <w:spacing w:line="240" w:lineRule="auto"/>
              <w:contextualSpacing/>
              <w:rPr>
                <w:sz w:val="22"/>
                <w:szCs w:val="22"/>
                <w:lang w:val="es-ES_tradnl"/>
              </w:rPr>
            </w:pPr>
            <w:r w:rsidRPr="005A6C2B">
              <w:rPr>
                <w:sz w:val="22"/>
                <w:szCs w:val="22"/>
                <w:lang w:val="es-ES_tradnl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5A6C2B">
              <w:rPr>
                <w:sz w:val="22"/>
                <w:szCs w:val="22"/>
                <w:lang w:val="es-ES_tradnl"/>
              </w:rPr>
              <w:t>que establece que se deben definir referentes de riesgo aceptable para al menos 2 amenazas.</w:t>
            </w:r>
          </w:p>
          <w:p w:rsidR="005A6C2B" w:rsidRPr="005A6C2B" w:rsidRDefault="005A6C2B" w:rsidP="005A6C2B">
            <w:pPr>
              <w:spacing w:line="240" w:lineRule="auto"/>
              <w:contextualSpacing/>
              <w:rPr>
                <w:sz w:val="22"/>
                <w:szCs w:val="22"/>
                <w:lang w:val="es-ES_tradnl"/>
              </w:rPr>
            </w:pPr>
          </w:p>
          <w:p w:rsidR="005A6C2B" w:rsidRPr="005A6C2B" w:rsidRDefault="005A6C2B" w:rsidP="005A6C2B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5A6C2B" w:rsidRPr="005A6C2B" w:rsidRDefault="005A6C2B" w:rsidP="005A6C2B">
            <w:pPr>
              <w:spacing w:line="240" w:lineRule="auto"/>
              <w:contextualSpacing/>
              <w:rPr>
                <w:sz w:val="22"/>
                <w:szCs w:val="22"/>
                <w:lang w:val="es-ES_tradnl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5A6C2B" w:rsidRPr="005A6C2B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5A6C2B" w:rsidRDefault="005A6C2B" w:rsidP="005A6C2B">
            <w:pPr>
              <w:spacing w:line="240" w:lineRule="auto"/>
              <w:contextualSpacing/>
              <w:rPr>
                <w:sz w:val="22"/>
                <w:szCs w:val="22"/>
                <w:lang w:val="es-ES_tradnl"/>
              </w:rPr>
            </w:pPr>
            <w:r w:rsidRPr="005A6C2B">
              <w:rPr>
                <w:sz w:val="22"/>
                <w:szCs w:val="22"/>
                <w:lang w:val="es-ES_tradnl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5A6C2B">
              <w:rPr>
                <w:sz w:val="22"/>
                <w:szCs w:val="22"/>
                <w:lang w:val="es-ES_tradnl"/>
              </w:rPr>
              <w:t>que mandata la inclusión del análisis de riesgo en todas las fases de la inversión pública.</w:t>
            </w:r>
          </w:p>
          <w:p w:rsidR="005A6C2B" w:rsidRPr="005A6C2B" w:rsidRDefault="005A6C2B" w:rsidP="005A6C2B">
            <w:pPr>
              <w:spacing w:line="240" w:lineRule="auto"/>
              <w:contextualSpacing/>
              <w:rPr>
                <w:sz w:val="22"/>
                <w:szCs w:val="22"/>
                <w:lang w:val="es-ES_tradnl"/>
              </w:rPr>
            </w:pPr>
          </w:p>
          <w:p w:rsidR="005A6C2B" w:rsidRPr="005A6C2B" w:rsidRDefault="005A6C2B" w:rsidP="005A6C2B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_tradnl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5A6C2B" w:rsidRPr="005A6C2B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sz w:val="22"/>
                <w:szCs w:val="22"/>
                <w:lang w:val="es-ES_tradnl" w:eastAsia="es-ES"/>
              </w:rPr>
              <w:t>Aprobación de una norma para pre-inversión que incorpora la temática de GRD y ACC</w:t>
            </w:r>
          </w:p>
          <w:p w:rsidR="005A6C2B" w:rsidRPr="005A6C2B" w:rsidRDefault="005A6C2B" w:rsidP="005A6C2B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5A6C2B" w:rsidRPr="005A6C2B" w:rsidRDefault="00137523" w:rsidP="005A6C2B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_tradnl"/>
              </w:rPr>
            </w:pPr>
            <w:r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Resolución Ministerial que aprueba el reglamento de pre-inversión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2B" w:rsidRPr="005A6C2B" w:rsidRDefault="005A6C2B" w:rsidP="005A6C2B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6C2B" w:rsidRPr="005A6C2B" w:rsidRDefault="005A6C2B" w:rsidP="005A6C2B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Responsable: MPD </w:t>
            </w:r>
          </w:p>
        </w:tc>
      </w:tr>
      <w:tr w:rsidR="00956E07" w:rsidRPr="00A76D38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C74798" w:rsidRDefault="00956E07" w:rsidP="00956E07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Eje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3</w:t>
            </w: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.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PREPARATIVOS PARA LA RESPUESTA</w:t>
            </w:r>
          </w:p>
        </w:tc>
      </w:tr>
      <w:tr w:rsidR="00C74798" w:rsidRPr="00A76D38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Resultado 4: Mejorar las condiciones de política pública para la preparación para la respuesta.</w:t>
            </w:r>
          </w:p>
          <w:p w:rsidR="00C74798" w:rsidRDefault="00C74798" w:rsidP="00CF63F8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PR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bCs/>
                <w:sz w:val="22"/>
                <w:szCs w:val="22"/>
                <w:lang w:val="es-ES"/>
              </w:rPr>
              <w:t xml:space="preserve"> (Preparativos para la respuesta) 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es un subíndice del </w:t>
            </w:r>
            <w:proofErr w:type="spellStart"/>
            <w:r w:rsidRPr="00DD76D4">
              <w:rPr>
                <w:bCs/>
                <w:sz w:val="22"/>
                <w:szCs w:val="22"/>
                <w:lang w:val="es-ES"/>
              </w:rPr>
              <w:t>iGOPP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D0324A" w:rsidRDefault="00C74798" w:rsidP="00965E8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highlight w:val="yellow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34</w:t>
            </w:r>
            <w:r w:rsidRPr="00BF344C">
              <w:rPr>
                <w:rFonts w:eastAsia="Times New Roman"/>
                <w:color w:val="auto"/>
                <w:sz w:val="22"/>
                <w:lang w:val="es-ES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965E8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965E8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Default="00C74798" w:rsidP="00BF344C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48%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CC03CD" w:rsidRDefault="00C74798" w:rsidP="00C404D2">
            <w:pPr>
              <w:pStyle w:val="Default"/>
              <w:rPr>
                <w:sz w:val="20"/>
                <w:szCs w:val="20"/>
                <w:lang w:val="es-ES_tradnl"/>
              </w:rPr>
            </w:pPr>
            <w:r>
              <w:rPr>
                <w:rFonts w:eastAsia="Arial Unicode MS"/>
                <w:color w:val="auto"/>
                <w:sz w:val="20"/>
                <w:szCs w:val="20"/>
                <w:lang w:val="es-ES"/>
              </w:rPr>
              <w:t>E</w:t>
            </w:r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l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s-ES"/>
                    </w:rPr>
                    <m:t>PR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s-ES"/>
                    </w:rPr>
                    <m:t>iGOPP</m:t>
                  </m:r>
                </m:sub>
              </m:sSub>
            </m:oMath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 del iGOPP mide a través de un checklist, </w:t>
            </w:r>
            <w:r w:rsidRPr="00C404D2">
              <w:rPr>
                <w:sz w:val="20"/>
                <w:szCs w:val="20"/>
                <w:lang w:val="es-ES_tradnl"/>
              </w:rPr>
              <w:t>la implementación de mecanismos que permitan una adecuada y rápida respuesta ante la ocurrencia o inminencia de una situación de emergencia, los cuales incluyen la asignación de responsabilidades y competencias a todos los actores involucrados.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956E07" w:rsidRPr="00FB62DF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C74798" w:rsidRDefault="00956E07" w:rsidP="006A4240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  <w:t xml:space="preserve">Productos </w:t>
            </w:r>
          </w:p>
        </w:tc>
      </w:tr>
      <w:tr w:rsidR="00956E07" w:rsidRPr="00956E07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956E07" w:rsidRDefault="00956E07" w:rsidP="00956E07">
            <w:pPr>
              <w:spacing w:line="240" w:lineRule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956E07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956E07">
              <w:rPr>
                <w:rFonts w:eastAsia="Times New Roman"/>
                <w:sz w:val="22"/>
                <w:szCs w:val="22"/>
                <w:lang w:val="es-ES_tradnl" w:eastAsia="es-ES"/>
              </w:rPr>
              <w:t>que considere los siguientes atributos de calidad: (i) mandata la formulación de planes de emergencia y contingencia en el nivel nacional y sectorial, (ii) establece que las acciones de respuesta y asistencia humanitaria deben basarse en evaluaciones de daños y análisis de necesidades, (iii) define la realización de simulacros y simulaciones, (iv) mandata la formulación de lineamientos metodológicos para la elaboración de planes de contingencia en los distintos niveles ETAS y (v) regula la coordinación de la asistencia internacional en caso de desastre.</w:t>
            </w:r>
          </w:p>
          <w:p w:rsidR="00956E07" w:rsidRPr="00956E07" w:rsidRDefault="00956E07" w:rsidP="00956E07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956E07" w:rsidRPr="00956E07" w:rsidRDefault="00956E07" w:rsidP="00956E07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956E0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956E07" w:rsidRPr="00956E07" w:rsidRDefault="00881677" w:rsidP="00956E07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881677" w:rsidP="00956E07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956E07" w:rsidRPr="00956E07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956E07" w:rsidRDefault="00956E07" w:rsidP="00956E07">
            <w:pPr>
              <w:pStyle w:val="Default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956E07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956E07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que establezca mecanismos de participación de la sociedad civil en estos procesos a nivel de las </w:t>
            </w:r>
            <w:proofErr w:type="spellStart"/>
            <w:r w:rsidRPr="00956E07">
              <w:rPr>
                <w:rFonts w:eastAsia="Times New Roman"/>
                <w:sz w:val="22"/>
                <w:szCs w:val="22"/>
                <w:lang w:val="es-ES_tradnl" w:eastAsia="es-ES"/>
              </w:rPr>
              <w:t>ETAs</w:t>
            </w:r>
            <w:proofErr w:type="spellEnd"/>
          </w:p>
          <w:p w:rsidR="00956E07" w:rsidRPr="00956E07" w:rsidRDefault="00956E07" w:rsidP="00956E07">
            <w:pPr>
              <w:pStyle w:val="Default"/>
              <w:rPr>
                <w:rFonts w:eastAsia="Times New Roman"/>
                <w:sz w:val="22"/>
                <w:szCs w:val="22"/>
                <w:lang w:val="es-ES_tradnl" w:eastAsia="es-ES"/>
              </w:rPr>
            </w:pPr>
          </w:p>
          <w:p w:rsidR="00956E07" w:rsidRPr="00956E07" w:rsidRDefault="00956E07" w:rsidP="00956E07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956E0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956E07" w:rsidRPr="00956E07" w:rsidRDefault="00881677" w:rsidP="00956E07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  <w:r w:rsidRPr="005A6C2B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E07" w:rsidRPr="00956E0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956E07" w:rsidRDefault="00881677" w:rsidP="00956E07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956E07" w:rsidRPr="00A76D38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881677" w:rsidRDefault="00956E07" w:rsidP="00956E07">
            <w:pPr>
              <w:pStyle w:val="Default"/>
              <w:rPr>
                <w:sz w:val="22"/>
                <w:szCs w:val="22"/>
                <w:lang w:val="es-ES_tradnl"/>
              </w:rPr>
            </w:pPr>
            <w:r w:rsidRPr="00881677">
              <w:rPr>
                <w:sz w:val="22"/>
                <w:szCs w:val="22"/>
                <w:lang w:val="es-ES_tradnl"/>
              </w:rPr>
              <w:t xml:space="preserve">Preparación del Plan de Contingencia del </w:t>
            </w:r>
            <w:r w:rsidRPr="00881677">
              <w:rPr>
                <w:sz w:val="22"/>
                <w:szCs w:val="22"/>
                <w:lang w:val="es-ES"/>
              </w:rPr>
              <w:t>Fenómeno El Niño Oscilación Sur</w:t>
            </w:r>
            <w:r w:rsidRPr="00881677">
              <w:rPr>
                <w:sz w:val="22"/>
                <w:szCs w:val="22"/>
                <w:lang w:val="es-ES_tradnl"/>
              </w:rPr>
              <w:t xml:space="preserve"> del Ministerio de Medio Ambiente y Agua</w:t>
            </w:r>
          </w:p>
          <w:p w:rsidR="00956E07" w:rsidRPr="00881677" w:rsidRDefault="00956E07" w:rsidP="00956E07">
            <w:pPr>
              <w:pStyle w:val="Default"/>
              <w:rPr>
                <w:b/>
                <w:bCs/>
                <w:sz w:val="22"/>
                <w:szCs w:val="22"/>
                <w:lang w:val="es-ES"/>
              </w:rPr>
            </w:pPr>
          </w:p>
          <w:p w:rsidR="00956E07" w:rsidRPr="00881677" w:rsidRDefault="00956E07" w:rsidP="00956E07">
            <w:pPr>
              <w:spacing w:after="200" w:line="240" w:lineRule="auto"/>
              <w:contextualSpacing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956E07" w:rsidRPr="00881677" w:rsidRDefault="00956E07" w:rsidP="00956E07">
            <w:pPr>
              <w:pStyle w:val="Default"/>
              <w:rPr>
                <w:b/>
                <w:bCs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Borrador del Plan de Contingencia del </w:t>
            </w:r>
            <w:r w:rsidRPr="00881677">
              <w:rPr>
                <w:rFonts w:eastAsia="Times New Roman"/>
                <w:i/>
                <w:sz w:val="22"/>
                <w:szCs w:val="22"/>
                <w:lang w:val="es-ES" w:eastAsia="es-ES"/>
              </w:rPr>
              <w:t>Fenómeno El Niño Oscilación Sur</w:t>
            </w: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remitido por la Dirección de Planificación del </w:t>
            </w:r>
            <w:proofErr w:type="spellStart"/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MMAyA</w:t>
            </w:r>
            <w:proofErr w:type="spellEnd"/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a los tres viceministerios para su revisión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88167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88167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88167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E07" w:rsidRPr="00881677" w:rsidRDefault="00956E07" w:rsidP="00956E07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6E07" w:rsidRPr="00881677" w:rsidRDefault="00881677" w:rsidP="00956E07">
            <w:pPr>
              <w:pStyle w:val="Default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Ministerio de Medio Ambiente y Agua (</w:t>
            </w:r>
            <w:proofErr w:type="spellStart"/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MMAyA</w:t>
            </w:r>
            <w:proofErr w:type="spellEnd"/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)</w:t>
            </w:r>
            <w:r w:rsidR="00137523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 y MD</w:t>
            </w:r>
          </w:p>
        </w:tc>
      </w:tr>
      <w:tr w:rsidR="00956E07" w:rsidRPr="00A76D38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E07" w:rsidRPr="00C74798" w:rsidRDefault="00956E07" w:rsidP="00956E07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Eje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4</w:t>
            </w: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.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PLANIFICACIÓN DE LA RESPUESTA POST-DESASTRE</w:t>
            </w:r>
          </w:p>
        </w:tc>
      </w:tr>
      <w:tr w:rsidR="00C74798" w:rsidRPr="00A76D38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Default="00C74798" w:rsidP="00994C0A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Resultado 5: 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Mejorar las condiciones de política pública para la planificación para la recuperación post-desastre</w:t>
            </w:r>
          </w:p>
          <w:p w:rsidR="00C74798" w:rsidRDefault="00C74798" w:rsidP="008C6F26">
            <w:pPr>
              <w:pStyle w:val="Default"/>
              <w:rPr>
                <w:b/>
                <w:bCs/>
                <w:sz w:val="22"/>
                <w:szCs w:val="22"/>
                <w:lang w:val="es-ES"/>
              </w:rPr>
            </w:pPr>
          </w:p>
          <w:p w:rsidR="00C74798" w:rsidRPr="00CF63F8" w:rsidRDefault="00C74798" w:rsidP="008C6F26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RC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bCs/>
                <w:sz w:val="22"/>
                <w:szCs w:val="22"/>
                <w:lang w:val="es-ES"/>
              </w:rPr>
              <w:t xml:space="preserve"> (Planificación de la Recuperación Post-Desastre) 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es un subíndice del </w:t>
            </w:r>
            <w:proofErr w:type="spellStart"/>
            <w:r w:rsidRPr="00DD76D4">
              <w:rPr>
                <w:bCs/>
                <w:sz w:val="22"/>
                <w:szCs w:val="22"/>
                <w:lang w:val="es-ES"/>
              </w:rPr>
              <w:t>iGOPP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9%</w:t>
            </w:r>
          </w:p>
          <w:p w:rsidR="00C74798" w:rsidRDefault="00C74798" w:rsidP="00994C0A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964532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994C0A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2A4A08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Default="00C74798" w:rsidP="00D549D1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D549D1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 xml:space="preserve">    42%</w:t>
            </w:r>
          </w:p>
          <w:p w:rsidR="00C74798" w:rsidRDefault="00C74798" w:rsidP="00D549D1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D549D1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2F171B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  <w:p w:rsidR="00C74798" w:rsidRDefault="00C74798" w:rsidP="009F6871">
            <w:pPr>
              <w:widowControl/>
              <w:adjustRightInd/>
              <w:spacing w:before="120" w:after="120" w:line="240" w:lineRule="auto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9F6871" w:rsidRDefault="00C74798" w:rsidP="009F6871">
            <w:pPr>
              <w:pStyle w:val="Default"/>
              <w:rPr>
                <w:sz w:val="20"/>
                <w:szCs w:val="20"/>
                <w:lang w:val="es-ES_tradnl"/>
              </w:rPr>
            </w:pPr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El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s-ES"/>
                    </w:rPr>
                    <m:t>RC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s-ES"/>
                    </w:rPr>
                    <m:t>iGOPP</m:t>
                  </m:r>
                </m:sub>
              </m:sSub>
            </m:oMath>
            <w:r w:rsidRPr="00C404D2">
              <w:rPr>
                <w:rFonts w:eastAsia="Arial Unicode MS"/>
                <w:bCs/>
                <w:sz w:val="20"/>
                <w:szCs w:val="20"/>
                <w:lang w:val="es-ES"/>
              </w:rPr>
              <w:t xml:space="preserve"> </w:t>
            </w:r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del </w:t>
            </w:r>
            <w:proofErr w:type="spellStart"/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iGOPP</w:t>
            </w:r>
            <w:proofErr w:type="spellEnd"/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 mide a través de un </w:t>
            </w:r>
            <w:proofErr w:type="spellStart"/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checklist</w:t>
            </w:r>
            <w:proofErr w:type="spellEnd"/>
            <w:r w:rsidRPr="00C404D2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, el </w:t>
            </w:r>
            <w:r w:rsidRPr="00C404D2">
              <w:rPr>
                <w:sz w:val="20"/>
                <w:szCs w:val="20"/>
                <w:lang w:val="es-ES_tradnl"/>
              </w:rPr>
              <w:t>Proceso ex ante que se focaliza en la preparación de los procesos de restablecimiento de medios de vida, de servicios básicos e infraestructura de forma tal que se reduzca la improvisación, la ineficiencia y la ineficacia en los procesos de recuperación post-desastre.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7C71BD" w:rsidRPr="00FB62DF" w:rsidTr="006A4240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1BD" w:rsidRPr="00C74798" w:rsidRDefault="007C71BD" w:rsidP="006A4240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  <w:t xml:space="preserve">Productos </w:t>
            </w:r>
          </w:p>
        </w:tc>
      </w:tr>
      <w:tr w:rsidR="007C71BD" w:rsidRPr="00881677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1BD" w:rsidRPr="00881677" w:rsidRDefault="00881677" w:rsidP="009F6871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sz w:val="22"/>
                <w:szCs w:val="22"/>
                <w:lang w:val="es-ES_tradnl" w:eastAsia="es-ES"/>
              </w:rPr>
            </w:pPr>
            <w:r w:rsidRPr="00881677">
              <w:rPr>
                <w:rFonts w:eastAsia="Times New Roman"/>
                <w:sz w:val="22"/>
                <w:szCs w:val="22"/>
                <w:lang w:val="es-ES_tradnl" w:eastAsia="es-ES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881677">
              <w:rPr>
                <w:rFonts w:eastAsia="Times New Roman"/>
                <w:sz w:val="22"/>
                <w:szCs w:val="22"/>
                <w:lang w:val="es-ES_tradnl" w:eastAsia="es-ES"/>
              </w:rPr>
              <w:t>que establezca que cada ministerio en el marco de sus competencias deberá  formular planes de recuperación post-desastre que explícitamente busquen reducir la vulnerabilidad preexistente.</w:t>
            </w:r>
          </w:p>
          <w:p w:rsidR="00881677" w:rsidRPr="00881677" w:rsidRDefault="00881677" w:rsidP="009F6871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881677" w:rsidRPr="00881677" w:rsidRDefault="00881677" w:rsidP="009F6871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b/>
                <w:bCs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71BD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71BD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71BD" w:rsidRPr="00881677" w:rsidRDefault="007C71BD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BD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71BD" w:rsidRPr="00881677" w:rsidRDefault="00881677" w:rsidP="003972C2">
            <w:pPr>
              <w:pStyle w:val="NoSpacing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7C4DE1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881677" w:rsidRPr="00881677" w:rsidTr="00881677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677" w:rsidRPr="00C74798" w:rsidRDefault="00881677" w:rsidP="00881677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Eje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5</w:t>
            </w:r>
            <w:r w:rsidRPr="00C74798"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 xml:space="preserve">. </w:t>
            </w:r>
            <w:r>
              <w:rPr>
                <w:rFonts w:eastAsia="Times New Roman"/>
                <w:b/>
                <w:color w:val="auto"/>
                <w:sz w:val="20"/>
                <w:szCs w:val="20"/>
                <w:lang w:val="es-ES"/>
              </w:rPr>
              <w:t>PROTECCIÓN FINANCIERA</w:t>
            </w:r>
          </w:p>
        </w:tc>
      </w:tr>
      <w:tr w:rsidR="00C74798" w:rsidRPr="00A76D38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4798" w:rsidRDefault="00C74798" w:rsidP="009F6871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Resultado 6: </w:t>
            </w:r>
            <w:r>
              <w:rPr>
                <w:rFonts w:eastAsia="Times New Roman"/>
                <w:b/>
                <w:color w:val="auto"/>
                <w:sz w:val="22"/>
                <w:lang w:val="es-ES"/>
              </w:rPr>
              <w:t>Mejorar las condiciones de política pública para la protección financiera</w:t>
            </w:r>
          </w:p>
          <w:p w:rsidR="00C74798" w:rsidRDefault="00C74798" w:rsidP="003972C2">
            <w:pPr>
              <w:pStyle w:val="Default"/>
              <w:rPr>
                <w:b/>
                <w:bCs/>
                <w:sz w:val="22"/>
                <w:szCs w:val="22"/>
                <w:lang w:val="es-ES"/>
              </w:rPr>
            </w:pPr>
            <w:r w:rsidRPr="00DD76D4">
              <w:rPr>
                <w:bCs/>
                <w:i/>
                <w:sz w:val="22"/>
                <w:szCs w:val="22"/>
                <w:lang w:val="es-ES"/>
              </w:rPr>
              <w:t xml:space="preserve">Indicador </w:t>
            </w:r>
            <w:proofErr w:type="spellStart"/>
            <w:r w:rsidRPr="00DD76D4">
              <w:rPr>
                <w:bCs/>
                <w:i/>
                <w:sz w:val="22"/>
                <w:szCs w:val="22"/>
                <w:lang w:val="es-ES"/>
              </w:rPr>
              <w:t>iGOPP</w:t>
            </w:r>
            <w:proofErr w:type="spellEnd"/>
            <w:r w:rsidRPr="00DD76D4">
              <w:rPr>
                <w:bCs/>
                <w:i/>
                <w:sz w:val="22"/>
                <w:szCs w:val="22"/>
                <w:lang w:val="es-ES"/>
              </w:rPr>
              <w:t>: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PF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>
              <w:rPr>
                <w:bCs/>
                <w:sz w:val="22"/>
                <w:szCs w:val="22"/>
                <w:lang w:val="es-ES"/>
              </w:rPr>
              <w:t xml:space="preserve"> (Protección Financiera) </w:t>
            </w:r>
            <w:r w:rsidRPr="00DD76D4">
              <w:rPr>
                <w:bCs/>
                <w:sz w:val="22"/>
                <w:szCs w:val="22"/>
                <w:lang w:val="es-ES"/>
              </w:rPr>
              <w:t xml:space="preserve">es un subíndice del </w:t>
            </w:r>
            <w:proofErr w:type="spellStart"/>
            <w:r w:rsidRPr="00DD76D4">
              <w:rPr>
                <w:bCs/>
                <w:sz w:val="22"/>
                <w:szCs w:val="22"/>
                <w:lang w:val="es-ES"/>
              </w:rPr>
              <w:t>iGOPP</w:t>
            </w:r>
            <w:proofErr w:type="spellEnd"/>
            <w:r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Default="00C74798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35%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E929DC" w:rsidRDefault="00C74798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798" w:rsidRDefault="00C74798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lang w:val="es-ES"/>
              </w:rPr>
            </w:pPr>
            <w:r>
              <w:rPr>
                <w:rFonts w:eastAsia="Times New Roman"/>
                <w:color w:val="auto"/>
                <w:sz w:val="22"/>
                <w:lang w:val="es-ES"/>
              </w:rPr>
              <w:t>43%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4798" w:rsidRPr="00CF63F8" w:rsidRDefault="00C74798" w:rsidP="003972C2">
            <w:pPr>
              <w:pStyle w:val="NoSpacing"/>
              <w:rPr>
                <w:sz w:val="20"/>
                <w:szCs w:val="20"/>
                <w:lang w:val="es-ES"/>
              </w:rPr>
            </w:pPr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El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PF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s-ES"/>
                    </w:rPr>
                    <m:t>iGOPP</m:t>
                  </m:r>
                </m:sub>
              </m:sSub>
            </m:oMath>
            <w:r w:rsidRPr="006C59C0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 del iGOPP mide</w:t>
            </w:r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 a través de un </w:t>
            </w:r>
            <w:proofErr w:type="spellStart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checklist</w:t>
            </w:r>
            <w:proofErr w:type="spellEnd"/>
            <w:r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>, el</w:t>
            </w:r>
            <w:r w:rsidRPr="006C59C0">
              <w:rPr>
                <w:rFonts w:eastAsia="Arial Unicode MS"/>
                <w:color w:val="auto"/>
                <w:sz w:val="20"/>
                <w:szCs w:val="20"/>
                <w:lang w:val="es-ES_tradnl"/>
              </w:rPr>
              <w:t xml:space="preserve"> </w:t>
            </w:r>
            <w:r w:rsidRPr="006C59C0">
              <w:rPr>
                <w:sz w:val="20"/>
                <w:szCs w:val="20"/>
                <w:lang w:val="es-ES"/>
              </w:rPr>
              <w:t>diseño e implementación de una combinación óptima de instrumentos que permita proteger el balance fiscal del Estado y mejorar su capacidad de respuesta, ya sea frente a eventos menores y recurrentes o a grand</w:t>
            </w:r>
            <w:r>
              <w:rPr>
                <w:sz w:val="20"/>
                <w:szCs w:val="20"/>
                <w:lang w:val="es-ES"/>
              </w:rPr>
              <w:t>es desastres de baja ocurrencia.</w:t>
            </w:r>
            <w:r>
              <w:rPr>
                <w:sz w:val="20"/>
                <w:szCs w:val="20"/>
                <w:lang w:val="es-ES_tradnl"/>
              </w:rPr>
              <w:t xml:space="preserve"> El porcentaje hace referencia al número de indicadores cumplidos para este proceso.</w:t>
            </w:r>
          </w:p>
        </w:tc>
      </w:tr>
      <w:tr w:rsidR="00881677" w:rsidRPr="00FB62DF" w:rsidTr="005A76F4">
        <w:trPr>
          <w:trHeight w:val="270"/>
          <w:jc w:val="center"/>
        </w:trPr>
        <w:tc>
          <w:tcPr>
            <w:tcW w:w="13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677" w:rsidRPr="00C74798" w:rsidRDefault="00881677" w:rsidP="005A76F4">
            <w:pPr>
              <w:widowControl/>
              <w:adjustRightInd/>
              <w:spacing w:before="120" w:after="120" w:line="240" w:lineRule="auto"/>
              <w:ind w:right="144"/>
              <w:jc w:val="left"/>
              <w:textAlignment w:val="auto"/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</w:pPr>
            <w:r w:rsidRPr="00C74798">
              <w:rPr>
                <w:rFonts w:eastAsia="Times New Roman"/>
                <w:b/>
                <w:color w:val="auto"/>
                <w:sz w:val="22"/>
                <w:szCs w:val="22"/>
                <w:lang w:val="es-ES"/>
              </w:rPr>
              <w:t xml:space="preserve">Productos </w:t>
            </w:r>
          </w:p>
        </w:tc>
      </w:tr>
      <w:tr w:rsidR="00881677" w:rsidRPr="00881677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677" w:rsidRDefault="00881677" w:rsidP="00881677">
            <w:pPr>
              <w:tabs>
                <w:tab w:val="left" w:pos="-2"/>
              </w:tabs>
              <w:spacing w:after="200" w:line="276" w:lineRule="auto"/>
              <w:contextualSpacing/>
              <w:rPr>
                <w:sz w:val="22"/>
                <w:szCs w:val="22"/>
                <w:lang w:val="es-ES_tradnl"/>
              </w:rPr>
            </w:pPr>
            <w:r w:rsidRPr="00881677">
              <w:rPr>
                <w:sz w:val="22"/>
                <w:szCs w:val="22"/>
                <w:lang w:val="es-ES_tradnl"/>
              </w:rPr>
              <w:t xml:space="preserve">Reglamentación de un fondo </w:t>
            </w:r>
            <w:r w:rsidR="001435C8">
              <w:rPr>
                <w:sz w:val="22"/>
                <w:szCs w:val="22"/>
                <w:lang w:val="es-ES_tradnl"/>
              </w:rPr>
              <w:t xml:space="preserve">(FORADE) </w:t>
            </w:r>
            <w:r w:rsidRPr="00881677">
              <w:rPr>
                <w:sz w:val="22"/>
                <w:szCs w:val="22"/>
                <w:lang w:val="es-ES_tradnl"/>
              </w:rPr>
              <w:t>para el financiamiento de actividades de atención de emergencias.</w:t>
            </w:r>
          </w:p>
          <w:p w:rsidR="00881677" w:rsidRPr="00881677" w:rsidRDefault="00881677" w:rsidP="00881677">
            <w:pPr>
              <w:tabs>
                <w:tab w:val="left" w:pos="-2"/>
              </w:tabs>
              <w:spacing w:after="200" w:line="276" w:lineRule="auto"/>
              <w:contextualSpacing/>
              <w:rPr>
                <w:sz w:val="22"/>
                <w:szCs w:val="22"/>
                <w:lang w:val="es-ES_tradnl"/>
              </w:rPr>
            </w:pPr>
          </w:p>
          <w:p w:rsidR="00881677" w:rsidRPr="00881677" w:rsidRDefault="00881677" w:rsidP="00881677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881677" w:rsidRPr="00881677" w:rsidRDefault="00881677" w:rsidP="00881677">
            <w:pPr>
              <w:tabs>
                <w:tab w:val="left" w:pos="-2"/>
              </w:tabs>
              <w:spacing w:after="200" w:line="276" w:lineRule="auto"/>
              <w:contextualSpacing/>
              <w:rPr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pStyle w:val="NoSpacing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  <w:tr w:rsidR="00881677" w:rsidRPr="00881677" w:rsidTr="00881677">
        <w:trPr>
          <w:trHeight w:val="270"/>
          <w:jc w:val="center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677" w:rsidRPr="00881677" w:rsidRDefault="00881677" w:rsidP="009F6871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sz w:val="22"/>
                <w:szCs w:val="22"/>
                <w:lang w:val="es-ES_tradnl"/>
              </w:rPr>
            </w:pPr>
            <w:r w:rsidRPr="00881677">
              <w:rPr>
                <w:sz w:val="22"/>
                <w:szCs w:val="22"/>
                <w:lang w:val="es-ES_tradnl"/>
              </w:rPr>
              <w:t xml:space="preserve">Aprobación </w:t>
            </w:r>
            <w:r w:rsidR="00E40C54" w:rsidRPr="00E40C54">
              <w:rPr>
                <w:rFonts w:eastAsia="Times New Roman"/>
                <w:sz w:val="22"/>
                <w:szCs w:val="22"/>
                <w:lang w:val="es-ES" w:eastAsia="es-ES"/>
              </w:rPr>
              <w:t>del reglamento de la Ley 602</w:t>
            </w:r>
            <w:r w:rsidR="003B3A31">
              <w:rPr>
                <w:rFonts w:eastAsia="Times New Roman"/>
                <w:sz w:val="22"/>
                <w:szCs w:val="22"/>
                <w:lang w:val="es-ES" w:eastAsia="es-ES"/>
              </w:rPr>
              <w:t xml:space="preserve"> </w:t>
            </w:r>
            <w:r w:rsidRPr="00881677">
              <w:rPr>
                <w:sz w:val="22"/>
                <w:szCs w:val="22"/>
                <w:lang w:val="es-ES_tradnl"/>
              </w:rPr>
              <w:t>que asigne competencias en materia de protección financiera frente al riesgo de desastres</w:t>
            </w:r>
          </w:p>
          <w:p w:rsidR="00881677" w:rsidRPr="00881677" w:rsidRDefault="00881677" w:rsidP="00881677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rFonts w:eastAsia="Times New Roman"/>
                <w:i/>
                <w:sz w:val="22"/>
                <w:szCs w:val="22"/>
                <w:lang w:val="es-ES_tradnl" w:eastAsia="es-ES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 xml:space="preserve">Indicador: </w:t>
            </w:r>
          </w:p>
          <w:p w:rsidR="00881677" w:rsidRPr="00881677" w:rsidRDefault="00881677" w:rsidP="00881677">
            <w:pPr>
              <w:widowControl/>
              <w:adjustRightInd/>
              <w:spacing w:before="120" w:after="120" w:line="240" w:lineRule="auto"/>
              <w:ind w:right="9"/>
              <w:jc w:val="left"/>
              <w:textAlignment w:val="auto"/>
              <w:rPr>
                <w:b/>
                <w:bCs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Decreto Supremo que aprueba el Reglamento Ley 602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677" w:rsidRPr="00881677" w:rsidRDefault="00881677" w:rsidP="003972C2">
            <w:pPr>
              <w:widowControl/>
              <w:adjustRightInd/>
              <w:spacing w:before="120" w:after="120" w:line="240" w:lineRule="auto"/>
              <w:jc w:val="center"/>
              <w:textAlignment w:val="auto"/>
              <w:rPr>
                <w:rFonts w:eastAsia="Times New Roman"/>
                <w:color w:val="auto"/>
                <w:sz w:val="22"/>
                <w:szCs w:val="22"/>
                <w:lang w:val="es-ES"/>
              </w:rPr>
            </w:pPr>
            <w:r w:rsidRPr="00881677">
              <w:rPr>
                <w:rFonts w:eastAsia="Times New Roman"/>
                <w:color w:val="auto"/>
                <w:sz w:val="22"/>
                <w:szCs w:val="22"/>
                <w:lang w:val="es-ES"/>
              </w:rPr>
              <w:t>1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677" w:rsidRPr="00881677" w:rsidRDefault="00881677" w:rsidP="003972C2">
            <w:pPr>
              <w:pStyle w:val="NoSpacing"/>
              <w:rPr>
                <w:rFonts w:eastAsia="Arial Unicode MS"/>
                <w:color w:val="auto"/>
                <w:sz w:val="22"/>
                <w:szCs w:val="22"/>
                <w:lang w:val="es-ES_tradnl"/>
              </w:rPr>
            </w:pPr>
            <w:r w:rsidRPr="00881677">
              <w:rPr>
                <w:rFonts w:eastAsia="Times New Roman"/>
                <w:i/>
                <w:sz w:val="22"/>
                <w:szCs w:val="22"/>
                <w:lang w:val="es-ES_tradnl" w:eastAsia="es-ES"/>
              </w:rPr>
              <w:t>Responsable: MPD y MD</w:t>
            </w:r>
          </w:p>
        </w:tc>
      </w:tr>
    </w:tbl>
    <w:p w:rsidR="00E83BD6" w:rsidRPr="00E929DC" w:rsidRDefault="00E83BD6" w:rsidP="003252C6">
      <w:pPr>
        <w:widowControl/>
        <w:adjustRightInd/>
        <w:spacing w:line="240" w:lineRule="auto"/>
        <w:textAlignment w:val="auto"/>
        <w:rPr>
          <w:rFonts w:eastAsia="Times New Roman"/>
          <w:color w:val="auto"/>
          <w:sz w:val="22"/>
          <w:lang w:val="es-ES"/>
        </w:rPr>
      </w:pPr>
    </w:p>
    <w:sectPr w:rsidR="00E83BD6" w:rsidRPr="00E929DC" w:rsidSect="001B6E79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83" w:rsidRDefault="00E12E83" w:rsidP="001B6E79">
      <w:pPr>
        <w:spacing w:line="240" w:lineRule="auto"/>
      </w:pPr>
      <w:r>
        <w:separator/>
      </w:r>
    </w:p>
  </w:endnote>
  <w:endnote w:type="continuationSeparator" w:id="0">
    <w:p w:rsidR="00E12E83" w:rsidRDefault="00E12E83" w:rsidP="001B6E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83" w:rsidRDefault="00E12E83" w:rsidP="001B6E79">
      <w:pPr>
        <w:spacing w:line="240" w:lineRule="auto"/>
      </w:pPr>
      <w:r>
        <w:separator/>
      </w:r>
    </w:p>
  </w:footnote>
  <w:footnote w:type="continuationSeparator" w:id="0">
    <w:p w:rsidR="00E12E83" w:rsidRDefault="00E12E83" w:rsidP="001B6E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0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2E83" w:rsidRPr="002E67CA" w:rsidRDefault="00E12E83" w:rsidP="00114D99">
        <w:pPr>
          <w:pStyle w:val="Header"/>
          <w:jc w:val="right"/>
          <w:rPr>
            <w:sz w:val="20"/>
            <w:szCs w:val="20"/>
          </w:rPr>
        </w:pPr>
        <w:r w:rsidRPr="002E67CA">
          <w:rPr>
            <w:sz w:val="20"/>
            <w:szCs w:val="20"/>
          </w:rPr>
          <w:t>BO-L1104</w:t>
        </w:r>
      </w:p>
      <w:p w:rsidR="00E12E83" w:rsidRDefault="00E12E83" w:rsidP="00114D99">
        <w:pPr>
          <w:pStyle w:val="Header"/>
          <w:jc w:val="right"/>
        </w:pPr>
        <w:proofErr w:type="spellStart"/>
        <w:r w:rsidRPr="002E67CA">
          <w:rPr>
            <w:sz w:val="20"/>
            <w:szCs w:val="20"/>
          </w:rPr>
          <w:t>Página</w:t>
        </w:r>
        <w:proofErr w:type="spellEnd"/>
        <w:r w:rsidRPr="002E67CA">
          <w:rPr>
            <w:sz w:val="20"/>
            <w:szCs w:val="20"/>
          </w:rPr>
          <w:t xml:space="preserve"> </w:t>
        </w:r>
        <w:r w:rsidRPr="002E67CA">
          <w:rPr>
            <w:sz w:val="20"/>
            <w:szCs w:val="20"/>
          </w:rPr>
          <w:fldChar w:fldCharType="begin"/>
        </w:r>
        <w:r w:rsidRPr="002E67CA">
          <w:rPr>
            <w:sz w:val="20"/>
            <w:szCs w:val="20"/>
          </w:rPr>
          <w:instrText xml:space="preserve"> PAGE </w:instrText>
        </w:r>
        <w:r w:rsidRPr="002E67CA">
          <w:rPr>
            <w:sz w:val="20"/>
            <w:szCs w:val="20"/>
          </w:rPr>
          <w:fldChar w:fldCharType="separate"/>
        </w:r>
        <w:r w:rsidR="00A76D38">
          <w:rPr>
            <w:noProof/>
            <w:sz w:val="20"/>
            <w:szCs w:val="20"/>
          </w:rPr>
          <w:t>1</w:t>
        </w:r>
        <w:r w:rsidRPr="002E67CA">
          <w:rPr>
            <w:sz w:val="20"/>
            <w:szCs w:val="20"/>
          </w:rPr>
          <w:fldChar w:fldCharType="end"/>
        </w:r>
        <w:r w:rsidRPr="002E67CA">
          <w:rPr>
            <w:sz w:val="20"/>
            <w:szCs w:val="20"/>
          </w:rPr>
          <w:t xml:space="preserve"> de </w:t>
        </w:r>
        <w:r w:rsidRPr="002E67CA">
          <w:rPr>
            <w:sz w:val="20"/>
            <w:szCs w:val="20"/>
          </w:rPr>
          <w:fldChar w:fldCharType="begin"/>
        </w:r>
        <w:r w:rsidRPr="002E67CA">
          <w:rPr>
            <w:sz w:val="20"/>
            <w:szCs w:val="20"/>
          </w:rPr>
          <w:instrText xml:space="preserve"> NUMPAGES  </w:instrText>
        </w:r>
        <w:r w:rsidRPr="002E67CA">
          <w:rPr>
            <w:sz w:val="20"/>
            <w:szCs w:val="20"/>
          </w:rPr>
          <w:fldChar w:fldCharType="separate"/>
        </w:r>
        <w:r w:rsidR="00A76D38">
          <w:rPr>
            <w:noProof/>
            <w:sz w:val="20"/>
            <w:szCs w:val="20"/>
          </w:rPr>
          <w:t>11</w:t>
        </w:r>
        <w:r w:rsidRPr="002E67CA">
          <w:rPr>
            <w:sz w:val="20"/>
            <w:szCs w:val="20"/>
          </w:rPr>
          <w:fldChar w:fldCharType="end"/>
        </w:r>
      </w:p>
    </w:sdtContent>
  </w:sdt>
  <w:p w:rsidR="00E12E83" w:rsidRDefault="00E12E83">
    <w:pPr>
      <w:pStyle w:val="Header"/>
    </w:pPr>
  </w:p>
  <w:p w:rsidR="00E12E83" w:rsidRDefault="00E12E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51B9"/>
    <w:multiLevelType w:val="hybridMultilevel"/>
    <w:tmpl w:val="F2AA1294"/>
    <w:lvl w:ilvl="0" w:tplc="D2E663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069C3"/>
    <w:multiLevelType w:val="multilevel"/>
    <w:tmpl w:val="3CC2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16756"/>
    <w:multiLevelType w:val="hybridMultilevel"/>
    <w:tmpl w:val="F8E282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05E53"/>
    <w:multiLevelType w:val="hybridMultilevel"/>
    <w:tmpl w:val="E33279CE"/>
    <w:lvl w:ilvl="0" w:tplc="355A16C0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E5784"/>
    <w:multiLevelType w:val="hybridMultilevel"/>
    <w:tmpl w:val="08504246"/>
    <w:lvl w:ilvl="0" w:tplc="0A5A638A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357AE"/>
    <w:multiLevelType w:val="hybridMultilevel"/>
    <w:tmpl w:val="4A58A50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680B240">
      <w:start w:val="1"/>
      <w:numFmt w:val="lowerRoman"/>
      <w:lvlText w:val="(%2)"/>
      <w:lvlJc w:val="left"/>
      <w:pPr>
        <w:ind w:left="1440" w:hanging="360"/>
      </w:pPr>
      <w:rPr>
        <w:rFonts w:hint="default"/>
        <w:sz w:val="16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17405"/>
    <w:multiLevelType w:val="hybridMultilevel"/>
    <w:tmpl w:val="194AA88A"/>
    <w:lvl w:ilvl="0" w:tplc="2F4E3DB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352AF"/>
    <w:multiLevelType w:val="hybridMultilevel"/>
    <w:tmpl w:val="82C8C060"/>
    <w:lvl w:ilvl="0" w:tplc="747ADCFE">
      <w:start w:val="19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340A9"/>
    <w:multiLevelType w:val="hybridMultilevel"/>
    <w:tmpl w:val="9CF84786"/>
    <w:lvl w:ilvl="0" w:tplc="1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7311F"/>
    <w:multiLevelType w:val="hybridMultilevel"/>
    <w:tmpl w:val="AEDCBEF4"/>
    <w:lvl w:ilvl="0" w:tplc="481E319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81B8E"/>
    <w:multiLevelType w:val="hybridMultilevel"/>
    <w:tmpl w:val="A290E02E"/>
    <w:lvl w:ilvl="0" w:tplc="4D40E5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72324"/>
    <w:multiLevelType w:val="hybridMultilevel"/>
    <w:tmpl w:val="AE5C94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F5663C"/>
    <w:multiLevelType w:val="hybridMultilevel"/>
    <w:tmpl w:val="50AE7A7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856DE"/>
    <w:multiLevelType w:val="hybridMultilevel"/>
    <w:tmpl w:val="D3E209E2"/>
    <w:lvl w:ilvl="0" w:tplc="557617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8A7516"/>
    <w:multiLevelType w:val="hybridMultilevel"/>
    <w:tmpl w:val="255A54E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5B5052"/>
    <w:multiLevelType w:val="hybridMultilevel"/>
    <w:tmpl w:val="C39857E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A7EBB"/>
    <w:multiLevelType w:val="hybridMultilevel"/>
    <w:tmpl w:val="421CA8A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187E4D"/>
    <w:multiLevelType w:val="hybridMultilevel"/>
    <w:tmpl w:val="4B882854"/>
    <w:lvl w:ilvl="0" w:tplc="84ECB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428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9C2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420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7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1A3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7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24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8A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5904E12"/>
    <w:multiLevelType w:val="hybridMultilevel"/>
    <w:tmpl w:val="B4E6724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9230A"/>
    <w:multiLevelType w:val="hybridMultilevel"/>
    <w:tmpl w:val="4A58A50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680B240">
      <w:start w:val="1"/>
      <w:numFmt w:val="lowerRoman"/>
      <w:lvlText w:val="(%2)"/>
      <w:lvlJc w:val="left"/>
      <w:pPr>
        <w:ind w:left="1440" w:hanging="360"/>
      </w:pPr>
      <w:rPr>
        <w:rFonts w:hint="default"/>
        <w:sz w:val="16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5219F"/>
    <w:multiLevelType w:val="hybridMultilevel"/>
    <w:tmpl w:val="ED1CDB1C"/>
    <w:lvl w:ilvl="0" w:tplc="64AE018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B52E4F"/>
    <w:multiLevelType w:val="hybridMultilevel"/>
    <w:tmpl w:val="B62C3CD8"/>
    <w:lvl w:ilvl="0" w:tplc="8C62F5B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22FF0"/>
    <w:multiLevelType w:val="hybridMultilevel"/>
    <w:tmpl w:val="367C9F3A"/>
    <w:lvl w:ilvl="0" w:tplc="1BBC5558">
      <w:start w:val="1"/>
      <w:numFmt w:val="lowerLetter"/>
      <w:lvlText w:val="%1)"/>
      <w:lvlJc w:val="left"/>
      <w:pPr>
        <w:ind w:left="450" w:hanging="360"/>
      </w:pPr>
      <w:rPr>
        <w:rFonts w:ascii="Calibri" w:hAnsi="Calibri" w:hint="default"/>
      </w:rPr>
    </w:lvl>
    <w:lvl w:ilvl="1" w:tplc="080A0019" w:tentative="1">
      <w:start w:val="1"/>
      <w:numFmt w:val="lowerLetter"/>
      <w:lvlText w:val="%2."/>
      <w:lvlJc w:val="left"/>
      <w:pPr>
        <w:ind w:left="1170" w:hanging="360"/>
      </w:pPr>
    </w:lvl>
    <w:lvl w:ilvl="2" w:tplc="080A001B" w:tentative="1">
      <w:start w:val="1"/>
      <w:numFmt w:val="lowerRoman"/>
      <w:lvlText w:val="%3."/>
      <w:lvlJc w:val="right"/>
      <w:pPr>
        <w:ind w:left="1890" w:hanging="180"/>
      </w:pPr>
    </w:lvl>
    <w:lvl w:ilvl="3" w:tplc="080A000F" w:tentative="1">
      <w:start w:val="1"/>
      <w:numFmt w:val="decimal"/>
      <w:lvlText w:val="%4."/>
      <w:lvlJc w:val="left"/>
      <w:pPr>
        <w:ind w:left="2610" w:hanging="360"/>
      </w:pPr>
    </w:lvl>
    <w:lvl w:ilvl="4" w:tplc="080A0019" w:tentative="1">
      <w:start w:val="1"/>
      <w:numFmt w:val="lowerLetter"/>
      <w:lvlText w:val="%5."/>
      <w:lvlJc w:val="left"/>
      <w:pPr>
        <w:ind w:left="3330" w:hanging="360"/>
      </w:pPr>
    </w:lvl>
    <w:lvl w:ilvl="5" w:tplc="080A001B" w:tentative="1">
      <w:start w:val="1"/>
      <w:numFmt w:val="lowerRoman"/>
      <w:lvlText w:val="%6."/>
      <w:lvlJc w:val="right"/>
      <w:pPr>
        <w:ind w:left="4050" w:hanging="180"/>
      </w:pPr>
    </w:lvl>
    <w:lvl w:ilvl="6" w:tplc="080A000F" w:tentative="1">
      <w:start w:val="1"/>
      <w:numFmt w:val="decimal"/>
      <w:lvlText w:val="%7."/>
      <w:lvlJc w:val="left"/>
      <w:pPr>
        <w:ind w:left="4770" w:hanging="360"/>
      </w:pPr>
    </w:lvl>
    <w:lvl w:ilvl="7" w:tplc="080A0019" w:tentative="1">
      <w:start w:val="1"/>
      <w:numFmt w:val="lowerLetter"/>
      <w:lvlText w:val="%8."/>
      <w:lvlJc w:val="left"/>
      <w:pPr>
        <w:ind w:left="5490" w:hanging="360"/>
      </w:pPr>
    </w:lvl>
    <w:lvl w:ilvl="8" w:tplc="0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6B3C260B"/>
    <w:multiLevelType w:val="hybridMultilevel"/>
    <w:tmpl w:val="DE3AD8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D2B3D"/>
    <w:multiLevelType w:val="hybridMultilevel"/>
    <w:tmpl w:val="8E409D98"/>
    <w:lvl w:ilvl="0" w:tplc="16622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478FA"/>
    <w:multiLevelType w:val="hybridMultilevel"/>
    <w:tmpl w:val="B838ECC0"/>
    <w:lvl w:ilvl="0" w:tplc="227435F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90DAF"/>
    <w:multiLevelType w:val="hybridMultilevel"/>
    <w:tmpl w:val="1E5E7F00"/>
    <w:lvl w:ilvl="0" w:tplc="1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20893"/>
    <w:multiLevelType w:val="hybridMultilevel"/>
    <w:tmpl w:val="287A3124"/>
    <w:lvl w:ilvl="0" w:tplc="7124E1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D26E9"/>
    <w:multiLevelType w:val="hybridMultilevel"/>
    <w:tmpl w:val="DEC4A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C174D2"/>
    <w:multiLevelType w:val="hybridMultilevel"/>
    <w:tmpl w:val="CF128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29"/>
  </w:num>
  <w:num w:numId="5">
    <w:abstractNumId w:val="14"/>
  </w:num>
  <w:num w:numId="6">
    <w:abstractNumId w:val="2"/>
  </w:num>
  <w:num w:numId="7">
    <w:abstractNumId w:val="25"/>
  </w:num>
  <w:num w:numId="8">
    <w:abstractNumId w:val="4"/>
  </w:num>
  <w:num w:numId="9">
    <w:abstractNumId w:val="28"/>
  </w:num>
  <w:num w:numId="10">
    <w:abstractNumId w:val="21"/>
  </w:num>
  <w:num w:numId="11">
    <w:abstractNumId w:val="16"/>
  </w:num>
  <w:num w:numId="12">
    <w:abstractNumId w:val="10"/>
  </w:num>
  <w:num w:numId="13">
    <w:abstractNumId w:val="13"/>
  </w:num>
  <w:num w:numId="14">
    <w:abstractNumId w:val="24"/>
  </w:num>
  <w:num w:numId="15">
    <w:abstractNumId w:val="20"/>
  </w:num>
  <w:num w:numId="16">
    <w:abstractNumId w:val="0"/>
  </w:num>
  <w:num w:numId="17">
    <w:abstractNumId w:val="18"/>
  </w:num>
  <w:num w:numId="18">
    <w:abstractNumId w:val="23"/>
  </w:num>
  <w:num w:numId="19">
    <w:abstractNumId w:val="6"/>
  </w:num>
  <w:num w:numId="20">
    <w:abstractNumId w:val="3"/>
  </w:num>
  <w:num w:numId="21">
    <w:abstractNumId w:val="12"/>
  </w:num>
  <w:num w:numId="22">
    <w:abstractNumId w:val="27"/>
  </w:num>
  <w:num w:numId="23">
    <w:abstractNumId w:val="19"/>
  </w:num>
  <w:num w:numId="24">
    <w:abstractNumId w:val="11"/>
  </w:num>
  <w:num w:numId="25">
    <w:abstractNumId w:val="5"/>
  </w:num>
  <w:num w:numId="26">
    <w:abstractNumId w:val="15"/>
  </w:num>
  <w:num w:numId="27">
    <w:abstractNumId w:val="9"/>
  </w:num>
  <w:num w:numId="28">
    <w:abstractNumId w:val="17"/>
  </w:num>
  <w:num w:numId="29">
    <w:abstractNumId w:val="26"/>
  </w:num>
  <w:num w:numId="30">
    <w:abstractNumId w:val="22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79"/>
    <w:rsid w:val="00000FB4"/>
    <w:rsid w:val="000054D8"/>
    <w:rsid w:val="00012954"/>
    <w:rsid w:val="00015092"/>
    <w:rsid w:val="000151CE"/>
    <w:rsid w:val="00022FE0"/>
    <w:rsid w:val="000250A3"/>
    <w:rsid w:val="00025297"/>
    <w:rsid w:val="00030256"/>
    <w:rsid w:val="00030C0A"/>
    <w:rsid w:val="000470A1"/>
    <w:rsid w:val="000629AE"/>
    <w:rsid w:val="0006786B"/>
    <w:rsid w:val="00070A42"/>
    <w:rsid w:val="000776F1"/>
    <w:rsid w:val="00081EB9"/>
    <w:rsid w:val="00085858"/>
    <w:rsid w:val="00096BF8"/>
    <w:rsid w:val="000976AA"/>
    <w:rsid w:val="000B1DE1"/>
    <w:rsid w:val="000B7C48"/>
    <w:rsid w:val="000C07DB"/>
    <w:rsid w:val="000C0C46"/>
    <w:rsid w:val="000C3A99"/>
    <w:rsid w:val="000D03B9"/>
    <w:rsid w:val="000D70B3"/>
    <w:rsid w:val="000E535F"/>
    <w:rsid w:val="000F105B"/>
    <w:rsid w:val="000F14BB"/>
    <w:rsid w:val="000F5B78"/>
    <w:rsid w:val="000F7EC6"/>
    <w:rsid w:val="0010091C"/>
    <w:rsid w:val="001018DD"/>
    <w:rsid w:val="00101B64"/>
    <w:rsid w:val="001073D6"/>
    <w:rsid w:val="00110807"/>
    <w:rsid w:val="00111D73"/>
    <w:rsid w:val="00114D99"/>
    <w:rsid w:val="0012050B"/>
    <w:rsid w:val="001246AC"/>
    <w:rsid w:val="00127892"/>
    <w:rsid w:val="001337E2"/>
    <w:rsid w:val="0013456D"/>
    <w:rsid w:val="00137523"/>
    <w:rsid w:val="001435C8"/>
    <w:rsid w:val="00157721"/>
    <w:rsid w:val="001743BE"/>
    <w:rsid w:val="00174849"/>
    <w:rsid w:val="001825B0"/>
    <w:rsid w:val="00183486"/>
    <w:rsid w:val="00183D42"/>
    <w:rsid w:val="00185207"/>
    <w:rsid w:val="00190139"/>
    <w:rsid w:val="00190F70"/>
    <w:rsid w:val="001910DF"/>
    <w:rsid w:val="0019403F"/>
    <w:rsid w:val="001963FF"/>
    <w:rsid w:val="00197BAE"/>
    <w:rsid w:val="001A017E"/>
    <w:rsid w:val="001A0398"/>
    <w:rsid w:val="001A167A"/>
    <w:rsid w:val="001B01FF"/>
    <w:rsid w:val="001B43E3"/>
    <w:rsid w:val="001B6E79"/>
    <w:rsid w:val="001C1D35"/>
    <w:rsid w:val="001C342A"/>
    <w:rsid w:val="001C3E0E"/>
    <w:rsid w:val="001C5D58"/>
    <w:rsid w:val="001D2F26"/>
    <w:rsid w:val="001E2EF5"/>
    <w:rsid w:val="001E7620"/>
    <w:rsid w:val="001F0448"/>
    <w:rsid w:val="00200C06"/>
    <w:rsid w:val="00202BB5"/>
    <w:rsid w:val="002040D2"/>
    <w:rsid w:val="00221F8D"/>
    <w:rsid w:val="00230159"/>
    <w:rsid w:val="002324E5"/>
    <w:rsid w:val="00233025"/>
    <w:rsid w:val="00237BEC"/>
    <w:rsid w:val="00247C97"/>
    <w:rsid w:val="00250183"/>
    <w:rsid w:val="002507D0"/>
    <w:rsid w:val="00250A33"/>
    <w:rsid w:val="0025210C"/>
    <w:rsid w:val="00253409"/>
    <w:rsid w:val="00255E3E"/>
    <w:rsid w:val="002727CF"/>
    <w:rsid w:val="00277988"/>
    <w:rsid w:val="00280CF3"/>
    <w:rsid w:val="00285070"/>
    <w:rsid w:val="002871E0"/>
    <w:rsid w:val="0028745C"/>
    <w:rsid w:val="0029446E"/>
    <w:rsid w:val="0029534B"/>
    <w:rsid w:val="002A02FD"/>
    <w:rsid w:val="002A37A0"/>
    <w:rsid w:val="002A4A08"/>
    <w:rsid w:val="002C0207"/>
    <w:rsid w:val="002C7D7A"/>
    <w:rsid w:val="002D5518"/>
    <w:rsid w:val="002D784A"/>
    <w:rsid w:val="002E2888"/>
    <w:rsid w:val="002E43DE"/>
    <w:rsid w:val="002E55AF"/>
    <w:rsid w:val="002E67CA"/>
    <w:rsid w:val="002F171B"/>
    <w:rsid w:val="002F5C56"/>
    <w:rsid w:val="002F641E"/>
    <w:rsid w:val="00301D90"/>
    <w:rsid w:val="00303BD6"/>
    <w:rsid w:val="00304FEC"/>
    <w:rsid w:val="00314FD9"/>
    <w:rsid w:val="0031582F"/>
    <w:rsid w:val="0031621B"/>
    <w:rsid w:val="003172B3"/>
    <w:rsid w:val="00317C03"/>
    <w:rsid w:val="00323955"/>
    <w:rsid w:val="003252C6"/>
    <w:rsid w:val="00330D9C"/>
    <w:rsid w:val="003402C1"/>
    <w:rsid w:val="00343EA1"/>
    <w:rsid w:val="003512C3"/>
    <w:rsid w:val="00351858"/>
    <w:rsid w:val="00356C1E"/>
    <w:rsid w:val="00357991"/>
    <w:rsid w:val="0036175D"/>
    <w:rsid w:val="00367F5F"/>
    <w:rsid w:val="00370356"/>
    <w:rsid w:val="00371316"/>
    <w:rsid w:val="003764B5"/>
    <w:rsid w:val="003802F2"/>
    <w:rsid w:val="003806CB"/>
    <w:rsid w:val="00384120"/>
    <w:rsid w:val="003852CB"/>
    <w:rsid w:val="003A202C"/>
    <w:rsid w:val="003A4F20"/>
    <w:rsid w:val="003B0A72"/>
    <w:rsid w:val="003B3A31"/>
    <w:rsid w:val="003E02CB"/>
    <w:rsid w:val="003F14D7"/>
    <w:rsid w:val="003F20EA"/>
    <w:rsid w:val="003F35B3"/>
    <w:rsid w:val="003F4ECF"/>
    <w:rsid w:val="00407EAE"/>
    <w:rsid w:val="00412733"/>
    <w:rsid w:val="00413D7E"/>
    <w:rsid w:val="00421AF5"/>
    <w:rsid w:val="004270B8"/>
    <w:rsid w:val="00436A3D"/>
    <w:rsid w:val="004453D3"/>
    <w:rsid w:val="00451871"/>
    <w:rsid w:val="00452ABB"/>
    <w:rsid w:val="004601C3"/>
    <w:rsid w:val="0046417E"/>
    <w:rsid w:val="0047553B"/>
    <w:rsid w:val="0048575C"/>
    <w:rsid w:val="00490134"/>
    <w:rsid w:val="00495BFB"/>
    <w:rsid w:val="00497068"/>
    <w:rsid w:val="004A0341"/>
    <w:rsid w:val="004A2BB8"/>
    <w:rsid w:val="004B116E"/>
    <w:rsid w:val="004B2719"/>
    <w:rsid w:val="004B34F9"/>
    <w:rsid w:val="004B6550"/>
    <w:rsid w:val="004D5774"/>
    <w:rsid w:val="004E2DD8"/>
    <w:rsid w:val="004E4C5C"/>
    <w:rsid w:val="004F4E17"/>
    <w:rsid w:val="004F6110"/>
    <w:rsid w:val="004F77B5"/>
    <w:rsid w:val="00504714"/>
    <w:rsid w:val="005230B0"/>
    <w:rsid w:val="005303FA"/>
    <w:rsid w:val="00530D4F"/>
    <w:rsid w:val="00541CF5"/>
    <w:rsid w:val="00542226"/>
    <w:rsid w:val="005504A2"/>
    <w:rsid w:val="00550715"/>
    <w:rsid w:val="00551239"/>
    <w:rsid w:val="00564466"/>
    <w:rsid w:val="005670E9"/>
    <w:rsid w:val="00575E03"/>
    <w:rsid w:val="00587FA4"/>
    <w:rsid w:val="005A5171"/>
    <w:rsid w:val="005A6C2B"/>
    <w:rsid w:val="005B06D5"/>
    <w:rsid w:val="005B2C2E"/>
    <w:rsid w:val="005B4992"/>
    <w:rsid w:val="005B4B72"/>
    <w:rsid w:val="005B764C"/>
    <w:rsid w:val="005C5B29"/>
    <w:rsid w:val="005C6E29"/>
    <w:rsid w:val="005C7783"/>
    <w:rsid w:val="005C7D57"/>
    <w:rsid w:val="005D2843"/>
    <w:rsid w:val="005E1BBE"/>
    <w:rsid w:val="005E70F6"/>
    <w:rsid w:val="005E7670"/>
    <w:rsid w:val="005F0D61"/>
    <w:rsid w:val="005F55B3"/>
    <w:rsid w:val="00600A2D"/>
    <w:rsid w:val="00602A8D"/>
    <w:rsid w:val="00607391"/>
    <w:rsid w:val="006100D9"/>
    <w:rsid w:val="00612874"/>
    <w:rsid w:val="00614A7A"/>
    <w:rsid w:val="00632C2F"/>
    <w:rsid w:val="00633084"/>
    <w:rsid w:val="0063579A"/>
    <w:rsid w:val="00645A05"/>
    <w:rsid w:val="006466FC"/>
    <w:rsid w:val="00647463"/>
    <w:rsid w:val="00650607"/>
    <w:rsid w:val="00650E96"/>
    <w:rsid w:val="006510A9"/>
    <w:rsid w:val="00653378"/>
    <w:rsid w:val="0065643A"/>
    <w:rsid w:val="00671578"/>
    <w:rsid w:val="00682658"/>
    <w:rsid w:val="006837DD"/>
    <w:rsid w:val="00684015"/>
    <w:rsid w:val="006A183A"/>
    <w:rsid w:val="006A5AF4"/>
    <w:rsid w:val="006A6E19"/>
    <w:rsid w:val="006B54DB"/>
    <w:rsid w:val="006B6FD9"/>
    <w:rsid w:val="006C2582"/>
    <w:rsid w:val="006C54C0"/>
    <w:rsid w:val="006C59C0"/>
    <w:rsid w:val="006C605B"/>
    <w:rsid w:val="006C6D09"/>
    <w:rsid w:val="006D0170"/>
    <w:rsid w:val="006D0C29"/>
    <w:rsid w:val="006D263E"/>
    <w:rsid w:val="006D551A"/>
    <w:rsid w:val="006E383A"/>
    <w:rsid w:val="006E5331"/>
    <w:rsid w:val="006E775F"/>
    <w:rsid w:val="006F3911"/>
    <w:rsid w:val="007048B1"/>
    <w:rsid w:val="00706197"/>
    <w:rsid w:val="0070798D"/>
    <w:rsid w:val="00710643"/>
    <w:rsid w:val="0072046F"/>
    <w:rsid w:val="00727FF8"/>
    <w:rsid w:val="007339F9"/>
    <w:rsid w:val="007370FC"/>
    <w:rsid w:val="00747A59"/>
    <w:rsid w:val="00751D12"/>
    <w:rsid w:val="00755256"/>
    <w:rsid w:val="00762289"/>
    <w:rsid w:val="00766571"/>
    <w:rsid w:val="00771451"/>
    <w:rsid w:val="0077153C"/>
    <w:rsid w:val="00782F3B"/>
    <w:rsid w:val="00792994"/>
    <w:rsid w:val="00796296"/>
    <w:rsid w:val="007973A7"/>
    <w:rsid w:val="007A113C"/>
    <w:rsid w:val="007A512F"/>
    <w:rsid w:val="007A51F1"/>
    <w:rsid w:val="007C4DE1"/>
    <w:rsid w:val="007C71BD"/>
    <w:rsid w:val="007C7818"/>
    <w:rsid w:val="007D1AC6"/>
    <w:rsid w:val="007D470F"/>
    <w:rsid w:val="007E03D5"/>
    <w:rsid w:val="007E449E"/>
    <w:rsid w:val="007E50D9"/>
    <w:rsid w:val="007E544B"/>
    <w:rsid w:val="00802240"/>
    <w:rsid w:val="008114F4"/>
    <w:rsid w:val="00817CCB"/>
    <w:rsid w:val="008239FD"/>
    <w:rsid w:val="00826033"/>
    <w:rsid w:val="0083201A"/>
    <w:rsid w:val="00832148"/>
    <w:rsid w:val="00837377"/>
    <w:rsid w:val="008401FB"/>
    <w:rsid w:val="00841B2A"/>
    <w:rsid w:val="00841EA5"/>
    <w:rsid w:val="00843D78"/>
    <w:rsid w:val="0084441B"/>
    <w:rsid w:val="00853B34"/>
    <w:rsid w:val="00862ADE"/>
    <w:rsid w:val="008632F8"/>
    <w:rsid w:val="008705E0"/>
    <w:rsid w:val="00875EBE"/>
    <w:rsid w:val="00877EA1"/>
    <w:rsid w:val="00881677"/>
    <w:rsid w:val="00891561"/>
    <w:rsid w:val="00892E0B"/>
    <w:rsid w:val="00894264"/>
    <w:rsid w:val="00896037"/>
    <w:rsid w:val="008B3E3B"/>
    <w:rsid w:val="008C2911"/>
    <w:rsid w:val="008C6F26"/>
    <w:rsid w:val="008D0C61"/>
    <w:rsid w:val="008D471E"/>
    <w:rsid w:val="008D6A13"/>
    <w:rsid w:val="008E5A5E"/>
    <w:rsid w:val="008E69A2"/>
    <w:rsid w:val="008F5C49"/>
    <w:rsid w:val="008F7F6B"/>
    <w:rsid w:val="00902D7C"/>
    <w:rsid w:val="00911A29"/>
    <w:rsid w:val="009153CE"/>
    <w:rsid w:val="00915536"/>
    <w:rsid w:val="00915CA6"/>
    <w:rsid w:val="009173E2"/>
    <w:rsid w:val="0092466F"/>
    <w:rsid w:val="00926AD2"/>
    <w:rsid w:val="00927C57"/>
    <w:rsid w:val="009350AA"/>
    <w:rsid w:val="009415B4"/>
    <w:rsid w:val="00950DE2"/>
    <w:rsid w:val="00955DD2"/>
    <w:rsid w:val="00956E07"/>
    <w:rsid w:val="00964532"/>
    <w:rsid w:val="00965E87"/>
    <w:rsid w:val="00970944"/>
    <w:rsid w:val="00971D68"/>
    <w:rsid w:val="00976A9E"/>
    <w:rsid w:val="00980C2F"/>
    <w:rsid w:val="00994C0A"/>
    <w:rsid w:val="009A1A96"/>
    <w:rsid w:val="009A24BA"/>
    <w:rsid w:val="009A380A"/>
    <w:rsid w:val="009B7D91"/>
    <w:rsid w:val="009C0093"/>
    <w:rsid w:val="009C400A"/>
    <w:rsid w:val="009C7005"/>
    <w:rsid w:val="009E084D"/>
    <w:rsid w:val="009E2E41"/>
    <w:rsid w:val="009E46B0"/>
    <w:rsid w:val="009E6B53"/>
    <w:rsid w:val="009F12BE"/>
    <w:rsid w:val="009F4379"/>
    <w:rsid w:val="009F6871"/>
    <w:rsid w:val="009F6AA6"/>
    <w:rsid w:val="00A02657"/>
    <w:rsid w:val="00A02D5C"/>
    <w:rsid w:val="00A05234"/>
    <w:rsid w:val="00A05901"/>
    <w:rsid w:val="00A13F84"/>
    <w:rsid w:val="00A222E3"/>
    <w:rsid w:val="00A26109"/>
    <w:rsid w:val="00A263EA"/>
    <w:rsid w:val="00A354B7"/>
    <w:rsid w:val="00A435EA"/>
    <w:rsid w:val="00A43C50"/>
    <w:rsid w:val="00A454B8"/>
    <w:rsid w:val="00A4706E"/>
    <w:rsid w:val="00A4731F"/>
    <w:rsid w:val="00A4739D"/>
    <w:rsid w:val="00A5122F"/>
    <w:rsid w:val="00A52C97"/>
    <w:rsid w:val="00A572D6"/>
    <w:rsid w:val="00A614B7"/>
    <w:rsid w:val="00A632F9"/>
    <w:rsid w:val="00A640CE"/>
    <w:rsid w:val="00A72022"/>
    <w:rsid w:val="00A72D9B"/>
    <w:rsid w:val="00A76D38"/>
    <w:rsid w:val="00A76F58"/>
    <w:rsid w:val="00A866B3"/>
    <w:rsid w:val="00A94499"/>
    <w:rsid w:val="00AA596B"/>
    <w:rsid w:val="00AB02A7"/>
    <w:rsid w:val="00AB3268"/>
    <w:rsid w:val="00AB3A50"/>
    <w:rsid w:val="00AC6F7F"/>
    <w:rsid w:val="00AD1F1D"/>
    <w:rsid w:val="00AD22EC"/>
    <w:rsid w:val="00AD6655"/>
    <w:rsid w:val="00AD720F"/>
    <w:rsid w:val="00AE0FAE"/>
    <w:rsid w:val="00AE21F2"/>
    <w:rsid w:val="00AE3C29"/>
    <w:rsid w:val="00AF2D0A"/>
    <w:rsid w:val="00AF58F6"/>
    <w:rsid w:val="00B0133B"/>
    <w:rsid w:val="00B07F74"/>
    <w:rsid w:val="00B10C40"/>
    <w:rsid w:val="00B111C0"/>
    <w:rsid w:val="00B130C7"/>
    <w:rsid w:val="00B177E7"/>
    <w:rsid w:val="00B21A82"/>
    <w:rsid w:val="00B2353C"/>
    <w:rsid w:val="00B35C31"/>
    <w:rsid w:val="00B402EA"/>
    <w:rsid w:val="00B4339C"/>
    <w:rsid w:val="00B53A3D"/>
    <w:rsid w:val="00B55C6C"/>
    <w:rsid w:val="00B61BD8"/>
    <w:rsid w:val="00B6257B"/>
    <w:rsid w:val="00B63BE1"/>
    <w:rsid w:val="00B65CAA"/>
    <w:rsid w:val="00B668E0"/>
    <w:rsid w:val="00B70E64"/>
    <w:rsid w:val="00B7572F"/>
    <w:rsid w:val="00B83C6C"/>
    <w:rsid w:val="00BA0906"/>
    <w:rsid w:val="00BA2086"/>
    <w:rsid w:val="00BA2F23"/>
    <w:rsid w:val="00BA7F88"/>
    <w:rsid w:val="00BB534A"/>
    <w:rsid w:val="00BB70FF"/>
    <w:rsid w:val="00BC2583"/>
    <w:rsid w:val="00BC4156"/>
    <w:rsid w:val="00BD0F5D"/>
    <w:rsid w:val="00BE71CA"/>
    <w:rsid w:val="00BF344C"/>
    <w:rsid w:val="00C018B2"/>
    <w:rsid w:val="00C11B54"/>
    <w:rsid w:val="00C13CA3"/>
    <w:rsid w:val="00C20F7B"/>
    <w:rsid w:val="00C216AA"/>
    <w:rsid w:val="00C24308"/>
    <w:rsid w:val="00C3167F"/>
    <w:rsid w:val="00C404D2"/>
    <w:rsid w:val="00C4357D"/>
    <w:rsid w:val="00C43B26"/>
    <w:rsid w:val="00C45535"/>
    <w:rsid w:val="00C47E8C"/>
    <w:rsid w:val="00C51975"/>
    <w:rsid w:val="00C51F06"/>
    <w:rsid w:val="00C563BC"/>
    <w:rsid w:val="00C6001A"/>
    <w:rsid w:val="00C622B4"/>
    <w:rsid w:val="00C665ED"/>
    <w:rsid w:val="00C70C47"/>
    <w:rsid w:val="00C725C3"/>
    <w:rsid w:val="00C74798"/>
    <w:rsid w:val="00C7627B"/>
    <w:rsid w:val="00C81B0C"/>
    <w:rsid w:val="00C83863"/>
    <w:rsid w:val="00C84809"/>
    <w:rsid w:val="00C93718"/>
    <w:rsid w:val="00C94EB9"/>
    <w:rsid w:val="00C95E60"/>
    <w:rsid w:val="00CA01CB"/>
    <w:rsid w:val="00CA04B8"/>
    <w:rsid w:val="00CA6F9B"/>
    <w:rsid w:val="00CB54ED"/>
    <w:rsid w:val="00CB6132"/>
    <w:rsid w:val="00CC03CD"/>
    <w:rsid w:val="00CC122E"/>
    <w:rsid w:val="00CC1456"/>
    <w:rsid w:val="00CD37C4"/>
    <w:rsid w:val="00CD7325"/>
    <w:rsid w:val="00CE3BA4"/>
    <w:rsid w:val="00CE7D82"/>
    <w:rsid w:val="00CF0DC9"/>
    <w:rsid w:val="00CF1F83"/>
    <w:rsid w:val="00CF4F4F"/>
    <w:rsid w:val="00CF63F8"/>
    <w:rsid w:val="00D0324A"/>
    <w:rsid w:val="00D054D5"/>
    <w:rsid w:val="00D10995"/>
    <w:rsid w:val="00D24C3F"/>
    <w:rsid w:val="00D27DCA"/>
    <w:rsid w:val="00D34B15"/>
    <w:rsid w:val="00D37C5A"/>
    <w:rsid w:val="00D45B66"/>
    <w:rsid w:val="00D50677"/>
    <w:rsid w:val="00D508AC"/>
    <w:rsid w:val="00D52102"/>
    <w:rsid w:val="00D549D1"/>
    <w:rsid w:val="00D61732"/>
    <w:rsid w:val="00D619DA"/>
    <w:rsid w:val="00D6427D"/>
    <w:rsid w:val="00D64280"/>
    <w:rsid w:val="00D80E15"/>
    <w:rsid w:val="00D80E34"/>
    <w:rsid w:val="00D827E4"/>
    <w:rsid w:val="00D82816"/>
    <w:rsid w:val="00D82AD1"/>
    <w:rsid w:val="00D90B79"/>
    <w:rsid w:val="00D9653C"/>
    <w:rsid w:val="00D97A50"/>
    <w:rsid w:val="00DA12CF"/>
    <w:rsid w:val="00DB5127"/>
    <w:rsid w:val="00DB7673"/>
    <w:rsid w:val="00DC4D80"/>
    <w:rsid w:val="00DC574D"/>
    <w:rsid w:val="00DD0939"/>
    <w:rsid w:val="00DD192F"/>
    <w:rsid w:val="00DD3E66"/>
    <w:rsid w:val="00DD6EE4"/>
    <w:rsid w:val="00DD76D4"/>
    <w:rsid w:val="00DF10CC"/>
    <w:rsid w:val="00DF4CF9"/>
    <w:rsid w:val="00DF5A5C"/>
    <w:rsid w:val="00E02B53"/>
    <w:rsid w:val="00E07302"/>
    <w:rsid w:val="00E12E83"/>
    <w:rsid w:val="00E1695E"/>
    <w:rsid w:val="00E22BEB"/>
    <w:rsid w:val="00E23700"/>
    <w:rsid w:val="00E313CD"/>
    <w:rsid w:val="00E3179D"/>
    <w:rsid w:val="00E35BC7"/>
    <w:rsid w:val="00E40C54"/>
    <w:rsid w:val="00E42A3D"/>
    <w:rsid w:val="00E438FF"/>
    <w:rsid w:val="00E47AF2"/>
    <w:rsid w:val="00E51248"/>
    <w:rsid w:val="00E5176B"/>
    <w:rsid w:val="00E519DB"/>
    <w:rsid w:val="00E5363F"/>
    <w:rsid w:val="00E55C60"/>
    <w:rsid w:val="00E56E38"/>
    <w:rsid w:val="00E67219"/>
    <w:rsid w:val="00E674B4"/>
    <w:rsid w:val="00E71441"/>
    <w:rsid w:val="00E716D0"/>
    <w:rsid w:val="00E801FC"/>
    <w:rsid w:val="00E83BD6"/>
    <w:rsid w:val="00E8657F"/>
    <w:rsid w:val="00E929DC"/>
    <w:rsid w:val="00EA0E3A"/>
    <w:rsid w:val="00EA75B8"/>
    <w:rsid w:val="00EB0658"/>
    <w:rsid w:val="00EC342E"/>
    <w:rsid w:val="00EC3CDD"/>
    <w:rsid w:val="00ED115D"/>
    <w:rsid w:val="00ED15A8"/>
    <w:rsid w:val="00EE17B6"/>
    <w:rsid w:val="00EE187E"/>
    <w:rsid w:val="00EF007F"/>
    <w:rsid w:val="00EF15C8"/>
    <w:rsid w:val="00F167EE"/>
    <w:rsid w:val="00F16E25"/>
    <w:rsid w:val="00F21BBC"/>
    <w:rsid w:val="00F221D8"/>
    <w:rsid w:val="00F35506"/>
    <w:rsid w:val="00F36E62"/>
    <w:rsid w:val="00F47036"/>
    <w:rsid w:val="00F501A4"/>
    <w:rsid w:val="00F52A23"/>
    <w:rsid w:val="00F601DA"/>
    <w:rsid w:val="00F61DA8"/>
    <w:rsid w:val="00F66221"/>
    <w:rsid w:val="00F67F8A"/>
    <w:rsid w:val="00F7213E"/>
    <w:rsid w:val="00F72804"/>
    <w:rsid w:val="00F93C47"/>
    <w:rsid w:val="00F95344"/>
    <w:rsid w:val="00F97674"/>
    <w:rsid w:val="00FA0D17"/>
    <w:rsid w:val="00FA2F28"/>
    <w:rsid w:val="00FB62DF"/>
    <w:rsid w:val="00FB72A5"/>
    <w:rsid w:val="00FB7CCA"/>
    <w:rsid w:val="00FC46BF"/>
    <w:rsid w:val="00FC73CC"/>
    <w:rsid w:val="00FD0A94"/>
    <w:rsid w:val="00FD1787"/>
    <w:rsid w:val="00FD2C36"/>
    <w:rsid w:val="00FD32B1"/>
    <w:rsid w:val="00FE3080"/>
    <w:rsid w:val="00FE5FFF"/>
    <w:rsid w:val="00FE6859"/>
    <w:rsid w:val="00FE6922"/>
    <w:rsid w:val="00FF1318"/>
    <w:rsid w:val="00FF18DD"/>
    <w:rsid w:val="00FF2BD5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1FC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ヒラギノ角ゴ Pro W3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C3167F"/>
    <w:pPr>
      <w:keepNext/>
      <w:spacing w:before="120" w:after="120"/>
      <w:outlineLvl w:val="0"/>
    </w:pPr>
    <w:rPr>
      <w:rFonts w:ascii="Arial Narrow" w:eastAsia="Times New Roman" w:hAnsi="Arial Narrow" w:cs="Arial"/>
      <w:b/>
      <w:caps/>
      <w:lang w:eastAsia="es-ES"/>
    </w:rPr>
  </w:style>
  <w:style w:type="paragraph" w:styleId="Heading2">
    <w:name w:val="heading 2"/>
    <w:basedOn w:val="Normal"/>
    <w:next w:val="Normal"/>
    <w:link w:val="Heading2Char"/>
    <w:autoRedefine/>
    <w:qFormat/>
    <w:rsid w:val="00C3167F"/>
    <w:pPr>
      <w:keepNext/>
      <w:numPr>
        <w:ilvl w:val="1"/>
      </w:numPr>
      <w:tabs>
        <w:tab w:val="num" w:pos="0"/>
      </w:tabs>
      <w:spacing w:before="120" w:after="120"/>
      <w:outlineLvl w:val="1"/>
    </w:pPr>
    <w:rPr>
      <w:rFonts w:ascii="Arial Narrow" w:eastAsia="Times New Roman" w:hAnsi="Arial Narrow" w:cs="Arial"/>
      <w:b/>
      <w:bCs/>
      <w:iCs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C3167F"/>
    <w:pPr>
      <w:keepNext/>
      <w:numPr>
        <w:ilvl w:val="2"/>
      </w:numPr>
      <w:tabs>
        <w:tab w:val="num" w:pos="0"/>
      </w:tabs>
      <w:autoSpaceDE w:val="0"/>
      <w:autoSpaceDN w:val="0"/>
      <w:spacing w:before="120" w:after="120"/>
      <w:outlineLvl w:val="2"/>
    </w:pPr>
    <w:rPr>
      <w:rFonts w:ascii="Arial Narrow" w:eastAsia="Times New Roman" w:hAnsi="Arial Narrow" w:cs="Arial"/>
      <w:bCs/>
      <w:i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167F"/>
    <w:rPr>
      <w:rFonts w:ascii="Arial Narrow" w:eastAsia="Times New Roman" w:hAnsi="Arial Narrow" w:cs="Arial"/>
      <w:b/>
      <w:caps/>
      <w:lang w:eastAsia="es-ES"/>
    </w:rPr>
  </w:style>
  <w:style w:type="character" w:customStyle="1" w:styleId="Heading2Char">
    <w:name w:val="Heading 2 Char"/>
    <w:basedOn w:val="DefaultParagraphFont"/>
    <w:link w:val="Heading2"/>
    <w:rsid w:val="00C3167F"/>
    <w:rPr>
      <w:rFonts w:ascii="Arial Narrow" w:eastAsia="Times New Roman" w:hAnsi="Arial Narrow" w:cs="Arial"/>
      <w:b/>
      <w:bCs/>
      <w:iCs/>
      <w:lang w:eastAsia="es-ES"/>
    </w:rPr>
  </w:style>
  <w:style w:type="character" w:customStyle="1" w:styleId="Heading3Char">
    <w:name w:val="Heading 3 Char"/>
    <w:basedOn w:val="DefaultParagraphFont"/>
    <w:link w:val="Heading3"/>
    <w:rsid w:val="00C3167F"/>
    <w:rPr>
      <w:rFonts w:ascii="Arial Narrow" w:eastAsia="Times New Roman" w:hAnsi="Arial Narrow" w:cs="Arial"/>
      <w:bCs/>
      <w:i/>
      <w:lang w:eastAsia="es-ES"/>
    </w:rPr>
  </w:style>
  <w:style w:type="paragraph" w:styleId="FootnoteText">
    <w:name w:val="footnote text"/>
    <w:basedOn w:val="Normal"/>
    <w:link w:val="FootnoteTextChar"/>
    <w:unhideWhenUsed/>
    <w:rsid w:val="001B6E79"/>
    <w:rPr>
      <w:rFonts w:eastAsia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B6E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16 Point,Superscript 6 Point"/>
    <w:unhideWhenUsed/>
    <w:rsid w:val="001B6E79"/>
    <w:rPr>
      <w:vertAlign w:val="superscript"/>
    </w:rPr>
  </w:style>
  <w:style w:type="character" w:styleId="CommentReference">
    <w:name w:val="annotation reference"/>
    <w:basedOn w:val="DefaultParagraphFont"/>
    <w:rsid w:val="001B6E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6E79"/>
    <w:pPr>
      <w:widowControl/>
      <w:adjustRightInd/>
      <w:spacing w:line="240" w:lineRule="auto"/>
      <w:jc w:val="left"/>
      <w:textAlignment w:val="auto"/>
    </w:pPr>
    <w:rPr>
      <w:rFonts w:eastAsia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6E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E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E79"/>
    <w:rPr>
      <w:rFonts w:ascii="Tahoma" w:eastAsia="ヒラギノ角ゴ Pro W3" w:hAnsi="Tahoma" w:cs="Tahoma"/>
      <w:color w:val="000000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CB"/>
    <w:pPr>
      <w:widowControl w:val="0"/>
      <w:adjustRightInd w:val="0"/>
      <w:spacing w:line="360" w:lineRule="atLeast"/>
      <w:jc w:val="both"/>
      <w:textAlignment w:val="baseline"/>
    </w:pPr>
    <w:rPr>
      <w:rFonts w:eastAsia="ヒラギノ角ゴ Pro W3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CB"/>
    <w:rPr>
      <w:rFonts w:ascii="Times New Roman" w:eastAsia="ヒラギノ角ゴ Pro W3" w:hAnsi="Times New Roman" w:cs="Times New Roman"/>
      <w:b/>
      <w:bCs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BC2583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  <w:color w:val="auto"/>
    </w:rPr>
  </w:style>
  <w:style w:type="paragraph" w:styleId="Revision">
    <w:name w:val="Revision"/>
    <w:hidden/>
    <w:uiPriority w:val="99"/>
    <w:semiHidden/>
    <w:rsid w:val="00190F70"/>
    <w:rPr>
      <w:rFonts w:ascii="Times New Roman" w:eastAsia="ヒラギノ角ゴ Pro W3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52AB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  <w:color w:val="auto"/>
    </w:rPr>
  </w:style>
  <w:style w:type="character" w:styleId="PlaceholderText">
    <w:name w:val="Placeholder Text"/>
    <w:basedOn w:val="DefaultParagraphFont"/>
    <w:uiPriority w:val="99"/>
    <w:semiHidden/>
    <w:rsid w:val="00280CF3"/>
    <w:rPr>
      <w:color w:val="808080"/>
    </w:rPr>
  </w:style>
  <w:style w:type="paragraph" w:customStyle="1" w:styleId="Default">
    <w:name w:val="Default"/>
    <w:rsid w:val="002779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4D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D99"/>
    <w:rPr>
      <w:rFonts w:ascii="Times New Roman" w:eastAsia="ヒラギノ角ゴ Pro W3" w:hAnsi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4D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99"/>
    <w:rPr>
      <w:rFonts w:ascii="Times New Roman" w:eastAsia="ヒラギノ角ゴ Pro W3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C59C0"/>
    <w:pPr>
      <w:widowControl w:val="0"/>
      <w:adjustRightInd w:val="0"/>
      <w:jc w:val="both"/>
      <w:textAlignment w:val="baseline"/>
    </w:pPr>
    <w:rPr>
      <w:rFonts w:ascii="Times New Roman" w:eastAsia="ヒラギノ角ゴ Pro W3" w:hAnsi="Times New Roman"/>
      <w:color w:val="000000"/>
      <w:sz w:val="24"/>
      <w:szCs w:val="24"/>
    </w:rPr>
  </w:style>
  <w:style w:type="character" w:styleId="Hyperlink">
    <w:name w:val="Hyperlink"/>
    <w:rsid w:val="00D827E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1FC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ヒラギノ角ゴ Pro W3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C3167F"/>
    <w:pPr>
      <w:keepNext/>
      <w:spacing w:before="120" w:after="120"/>
      <w:outlineLvl w:val="0"/>
    </w:pPr>
    <w:rPr>
      <w:rFonts w:ascii="Arial Narrow" w:eastAsia="Times New Roman" w:hAnsi="Arial Narrow" w:cs="Arial"/>
      <w:b/>
      <w:caps/>
      <w:lang w:eastAsia="es-ES"/>
    </w:rPr>
  </w:style>
  <w:style w:type="paragraph" w:styleId="Heading2">
    <w:name w:val="heading 2"/>
    <w:basedOn w:val="Normal"/>
    <w:next w:val="Normal"/>
    <w:link w:val="Heading2Char"/>
    <w:autoRedefine/>
    <w:qFormat/>
    <w:rsid w:val="00C3167F"/>
    <w:pPr>
      <w:keepNext/>
      <w:numPr>
        <w:ilvl w:val="1"/>
      </w:numPr>
      <w:tabs>
        <w:tab w:val="num" w:pos="0"/>
      </w:tabs>
      <w:spacing w:before="120" w:after="120"/>
      <w:outlineLvl w:val="1"/>
    </w:pPr>
    <w:rPr>
      <w:rFonts w:ascii="Arial Narrow" w:eastAsia="Times New Roman" w:hAnsi="Arial Narrow" w:cs="Arial"/>
      <w:b/>
      <w:bCs/>
      <w:iCs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C3167F"/>
    <w:pPr>
      <w:keepNext/>
      <w:numPr>
        <w:ilvl w:val="2"/>
      </w:numPr>
      <w:tabs>
        <w:tab w:val="num" w:pos="0"/>
      </w:tabs>
      <w:autoSpaceDE w:val="0"/>
      <w:autoSpaceDN w:val="0"/>
      <w:spacing w:before="120" w:after="120"/>
      <w:outlineLvl w:val="2"/>
    </w:pPr>
    <w:rPr>
      <w:rFonts w:ascii="Arial Narrow" w:eastAsia="Times New Roman" w:hAnsi="Arial Narrow" w:cs="Arial"/>
      <w:bCs/>
      <w:i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167F"/>
    <w:rPr>
      <w:rFonts w:ascii="Arial Narrow" w:eastAsia="Times New Roman" w:hAnsi="Arial Narrow" w:cs="Arial"/>
      <w:b/>
      <w:caps/>
      <w:lang w:eastAsia="es-ES"/>
    </w:rPr>
  </w:style>
  <w:style w:type="character" w:customStyle="1" w:styleId="Heading2Char">
    <w:name w:val="Heading 2 Char"/>
    <w:basedOn w:val="DefaultParagraphFont"/>
    <w:link w:val="Heading2"/>
    <w:rsid w:val="00C3167F"/>
    <w:rPr>
      <w:rFonts w:ascii="Arial Narrow" w:eastAsia="Times New Roman" w:hAnsi="Arial Narrow" w:cs="Arial"/>
      <w:b/>
      <w:bCs/>
      <w:iCs/>
      <w:lang w:eastAsia="es-ES"/>
    </w:rPr>
  </w:style>
  <w:style w:type="character" w:customStyle="1" w:styleId="Heading3Char">
    <w:name w:val="Heading 3 Char"/>
    <w:basedOn w:val="DefaultParagraphFont"/>
    <w:link w:val="Heading3"/>
    <w:rsid w:val="00C3167F"/>
    <w:rPr>
      <w:rFonts w:ascii="Arial Narrow" w:eastAsia="Times New Roman" w:hAnsi="Arial Narrow" w:cs="Arial"/>
      <w:bCs/>
      <w:i/>
      <w:lang w:eastAsia="es-ES"/>
    </w:rPr>
  </w:style>
  <w:style w:type="paragraph" w:styleId="FootnoteText">
    <w:name w:val="footnote text"/>
    <w:basedOn w:val="Normal"/>
    <w:link w:val="FootnoteTextChar"/>
    <w:unhideWhenUsed/>
    <w:rsid w:val="001B6E79"/>
    <w:rPr>
      <w:rFonts w:eastAsia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B6E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16 Point,Superscript 6 Point"/>
    <w:unhideWhenUsed/>
    <w:rsid w:val="001B6E79"/>
    <w:rPr>
      <w:vertAlign w:val="superscript"/>
    </w:rPr>
  </w:style>
  <w:style w:type="character" w:styleId="CommentReference">
    <w:name w:val="annotation reference"/>
    <w:basedOn w:val="DefaultParagraphFont"/>
    <w:rsid w:val="001B6E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6E79"/>
    <w:pPr>
      <w:widowControl/>
      <w:adjustRightInd/>
      <w:spacing w:line="240" w:lineRule="auto"/>
      <w:jc w:val="left"/>
      <w:textAlignment w:val="auto"/>
    </w:pPr>
    <w:rPr>
      <w:rFonts w:eastAsia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6E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E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E79"/>
    <w:rPr>
      <w:rFonts w:ascii="Tahoma" w:eastAsia="ヒラギノ角ゴ Pro W3" w:hAnsi="Tahoma" w:cs="Tahoma"/>
      <w:color w:val="000000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CB"/>
    <w:pPr>
      <w:widowControl w:val="0"/>
      <w:adjustRightInd w:val="0"/>
      <w:spacing w:line="360" w:lineRule="atLeast"/>
      <w:jc w:val="both"/>
      <w:textAlignment w:val="baseline"/>
    </w:pPr>
    <w:rPr>
      <w:rFonts w:eastAsia="ヒラギノ角ゴ Pro W3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CB"/>
    <w:rPr>
      <w:rFonts w:ascii="Times New Roman" w:eastAsia="ヒラギノ角ゴ Pro W3" w:hAnsi="Times New Roman" w:cs="Times New Roman"/>
      <w:b/>
      <w:bCs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BC2583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  <w:color w:val="auto"/>
    </w:rPr>
  </w:style>
  <w:style w:type="paragraph" w:styleId="Revision">
    <w:name w:val="Revision"/>
    <w:hidden/>
    <w:uiPriority w:val="99"/>
    <w:semiHidden/>
    <w:rsid w:val="00190F70"/>
    <w:rPr>
      <w:rFonts w:ascii="Times New Roman" w:eastAsia="ヒラギノ角ゴ Pro W3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52AB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  <w:color w:val="auto"/>
    </w:rPr>
  </w:style>
  <w:style w:type="character" w:styleId="PlaceholderText">
    <w:name w:val="Placeholder Text"/>
    <w:basedOn w:val="DefaultParagraphFont"/>
    <w:uiPriority w:val="99"/>
    <w:semiHidden/>
    <w:rsid w:val="00280CF3"/>
    <w:rPr>
      <w:color w:val="808080"/>
    </w:rPr>
  </w:style>
  <w:style w:type="paragraph" w:customStyle="1" w:styleId="Default">
    <w:name w:val="Default"/>
    <w:rsid w:val="002779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4D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D99"/>
    <w:rPr>
      <w:rFonts w:ascii="Times New Roman" w:eastAsia="ヒラギノ角ゴ Pro W3" w:hAnsi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4D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99"/>
    <w:rPr>
      <w:rFonts w:ascii="Times New Roman" w:eastAsia="ヒラギノ角ゴ Pro W3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C59C0"/>
    <w:pPr>
      <w:widowControl w:val="0"/>
      <w:adjustRightInd w:val="0"/>
      <w:jc w:val="both"/>
      <w:textAlignment w:val="baseline"/>
    </w:pPr>
    <w:rPr>
      <w:rFonts w:ascii="Times New Roman" w:eastAsia="ヒラギノ角ゴ Pro W3" w:hAnsi="Times New Roman"/>
      <w:color w:val="000000"/>
      <w:sz w:val="24"/>
      <w:szCs w:val="24"/>
    </w:rPr>
  </w:style>
  <w:style w:type="character" w:styleId="Hyperlink">
    <w:name w:val="Hyperlink"/>
    <w:rsid w:val="00D827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68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19" Type="http://schemas.openxmlformats.org/officeDocument/2006/relationships/customXml" Target="../customXml/item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AD28DD5ADD0034C9DBD37E0378E5ECD" ma:contentTypeVersion="485" ma:contentTypeDescription="The base project type from which other project content types inherit their information." ma:contentTypeScope="" ma:versionID="0915ae79c22fa834f98b0bba7a034d7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8fdb02adda5ff1d3d7eb0be1cec970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O-L110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R0002725099</Record_x0020_Number>
    <Key_x0020_Document xmlns="cdc7663a-08f0-4737-9e8c-148ce897a09c">false</Key_x0020_Document>
    <Division_x0020_or_x0020_Unit xmlns="cdc7663a-08f0-4737-9e8c-148ce897a09c">INE/RND</Division_x0020_or_x0020_Unit>
    <Other_x0020_Author xmlns="cdc7663a-08f0-4737-9e8c-148ce897a09c" xsi:nil="true"/>
    <IDBDocs_x0020_Number xmlns="cdc7663a-08f0-4737-9e8c-148ce897a09c">39547162</IDBDocs_x0020_Number>
    <Document_x0020_Author xmlns="cdc7663a-08f0-4737-9e8c-148ce897a09c">Lacambra Ayuso, Sergio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BO-L1104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EZSHARE-373948128-70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https://idbg.sharepoint.com/teams/EZ-BO-LON/BO-L1104/_layouts/15/DocIdRedir.aspx?ID=EZSHARE-373948128-70</Url>
      <Description>EZSHARE-373948128-70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AD28DD5ADD0034C9DBD37E0378E5ECD" ma:contentTypeVersion="1883" ma:contentTypeDescription="The base project type from which other project content types inherit their information." ma:contentTypeScope="" ma:versionID="b719fd50202799c267b4f6f5a141b53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2d36b8437378ea23f7b9112034cbf6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O-L110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A73AE43-2916-4C57-9362-B4AE97B4C9A6}"/>
</file>

<file path=customXml/itemProps10.xml><?xml version="1.0" encoding="utf-8"?>
<ds:datastoreItem xmlns:ds="http://schemas.openxmlformats.org/officeDocument/2006/customXml" ds:itemID="{C2EAAA08-2DC7-46BE-95DA-7ADC79D9EDCE}"/>
</file>

<file path=customXml/itemProps11.xml><?xml version="1.0" encoding="utf-8"?>
<ds:datastoreItem xmlns:ds="http://schemas.openxmlformats.org/officeDocument/2006/customXml" ds:itemID="{BA47B4E9-F636-47C3-BD40-56851A40FA1D}"/>
</file>

<file path=customXml/itemProps12.xml><?xml version="1.0" encoding="utf-8"?>
<ds:datastoreItem xmlns:ds="http://schemas.openxmlformats.org/officeDocument/2006/customXml" ds:itemID="{CE9A9F6C-6A89-4C45-BABE-828F4E9E89F7}"/>
</file>

<file path=customXml/itemProps2.xml><?xml version="1.0" encoding="utf-8"?>
<ds:datastoreItem xmlns:ds="http://schemas.openxmlformats.org/officeDocument/2006/customXml" ds:itemID="{1847FA6E-1126-436E-9C43-3A63DADB715C}"/>
</file>

<file path=customXml/itemProps3.xml><?xml version="1.0" encoding="utf-8"?>
<ds:datastoreItem xmlns:ds="http://schemas.openxmlformats.org/officeDocument/2006/customXml" ds:itemID="{12DF13B6-8FD5-421F-BCB3-FEDD3353D6B8}"/>
</file>

<file path=customXml/itemProps4.xml><?xml version="1.0" encoding="utf-8"?>
<ds:datastoreItem xmlns:ds="http://schemas.openxmlformats.org/officeDocument/2006/customXml" ds:itemID="{FE5F377B-5C6F-4D30-8A40-07B1CD1BF5D0}"/>
</file>

<file path=customXml/itemProps5.xml><?xml version="1.0" encoding="utf-8"?>
<ds:datastoreItem xmlns:ds="http://schemas.openxmlformats.org/officeDocument/2006/customXml" ds:itemID="{7323B7CF-3D50-4AFD-A454-026C7B87EE15}"/>
</file>

<file path=customXml/itemProps6.xml><?xml version="1.0" encoding="utf-8"?>
<ds:datastoreItem xmlns:ds="http://schemas.openxmlformats.org/officeDocument/2006/customXml" ds:itemID="{46B6B2F7-0FA4-448A-BAD2-37D62B79F3FD}"/>
</file>

<file path=customXml/itemProps7.xml><?xml version="1.0" encoding="utf-8"?>
<ds:datastoreItem xmlns:ds="http://schemas.openxmlformats.org/officeDocument/2006/customXml" ds:itemID="{8DFA42F5-D10A-4132-99D4-C77BE7CA6F3B}"/>
</file>

<file path=customXml/itemProps8.xml><?xml version="1.0" encoding="utf-8"?>
<ds:datastoreItem xmlns:ds="http://schemas.openxmlformats.org/officeDocument/2006/customXml" ds:itemID="{B053BC50-D7BF-46E4-8926-BA2CAC584F51}"/>
</file>

<file path=customXml/itemProps9.xml><?xml version="1.0" encoding="utf-8"?>
<ds:datastoreItem xmlns:ds="http://schemas.openxmlformats.org/officeDocument/2006/customXml" ds:itemID="{93B75260-DEBA-4110-8F60-7D4B0AE873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2188</Words>
  <Characters>12475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- BO-L1104</dc:title>
  <dc:creator>tate</dc:creator>
  <cp:lastModifiedBy>Lina Salazar</cp:lastModifiedBy>
  <cp:revision>2</cp:revision>
  <cp:lastPrinted>2014-02-21T14:14:00Z</cp:lastPrinted>
  <dcterms:created xsi:type="dcterms:W3CDTF">2016-02-26T18:07:00Z</dcterms:created>
  <dcterms:modified xsi:type="dcterms:W3CDTF">2016-02-26T18:07:00Z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0x010100ACF722E9F6B0B149B0CD8BE2560A6672006AD28DD5ADD0034C9DBD37E0378E5ECD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20" name="Webtopic">
    <vt:lpwstr>Natural Disasters: Prevention and Relief</vt:lpwstr>
  </property>
  <property fmtid="{D5CDD505-2E9C-101B-9397-08002B2CF9AE}" pid="22" name="Disclosed">
    <vt:bool>true</vt:bool>
  </property>
  <property fmtid="{D5CDD505-2E9C-101B-9397-08002B2CF9AE}" pid="26" name="_dlc_DocIdItemGuid">
    <vt:lpwstr>8f60e66f-88b4-4cfb-bf95-bd8d180ffa70</vt:lpwstr>
  </property>
</Properties>
</file>