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7CD" w:rsidRPr="00DB7D7A" w:rsidRDefault="008C05BD" w:rsidP="00ED0C79">
      <w:pPr>
        <w:rPr>
          <w:rFonts w:asciiTheme="minorHAnsi" w:hAnsiTheme="minorHAnsi" w:cstheme="minorHAnsi"/>
          <w:color w:val="0070C0"/>
          <w:sz w:val="22"/>
          <w:szCs w:val="22"/>
        </w:rPr>
      </w:pPr>
      <w:r w:rsidRPr="00DB7D7A">
        <w:rPr>
          <w:rFonts w:asciiTheme="minorHAnsi" w:hAnsiTheme="minorHAnsi" w:cstheme="minorHAnsi"/>
          <w:color w:val="4F81BD" w:themeColor="accent1"/>
          <w:sz w:val="22"/>
          <w:szCs w:val="22"/>
        </w:rPr>
        <w:t>Proceso de selección #::::::::</w:t>
      </w:r>
      <w:sdt>
        <w:sdtPr>
          <w:rPr>
            <w:rFonts w:asciiTheme="minorHAnsi" w:hAnsiTheme="minorHAnsi" w:cstheme="minorHAnsi"/>
            <w:sz w:val="22"/>
            <w:szCs w:val="22"/>
          </w:rPr>
          <w:id w:val="1237895371"/>
          <w:docPartObj>
            <w:docPartGallery w:val="Watermarks"/>
            <w:docPartUnique/>
          </w:docPartObj>
        </w:sdtPr>
        <w:sdtEndPr/>
        <w:sdtContent/>
      </w:sdt>
    </w:p>
    <w:p w:rsidR="005247CD" w:rsidRPr="00DB7D7A" w:rsidRDefault="005247CD" w:rsidP="00ED0C79">
      <w:pPr>
        <w:rPr>
          <w:rFonts w:asciiTheme="minorHAnsi" w:hAnsiTheme="minorHAnsi" w:cstheme="minorHAnsi"/>
          <w:b/>
          <w:sz w:val="22"/>
          <w:szCs w:val="22"/>
          <w:u w:val="single"/>
        </w:rPr>
      </w:pPr>
    </w:p>
    <w:p w:rsidR="005247CD" w:rsidRPr="00DB7D7A" w:rsidRDefault="008C05BD" w:rsidP="00ED0C79">
      <w:pPr>
        <w:pStyle w:val="Heading1"/>
        <w:jc w:val="center"/>
        <w:rPr>
          <w:rFonts w:asciiTheme="minorHAnsi" w:hAnsiTheme="minorHAnsi" w:cstheme="minorHAnsi"/>
          <w:b/>
          <w:sz w:val="22"/>
          <w:szCs w:val="22"/>
        </w:rPr>
      </w:pPr>
      <w:bookmarkStart w:id="0" w:name="_GoBack"/>
      <w:r w:rsidRPr="00DB7D7A">
        <w:rPr>
          <w:rFonts w:asciiTheme="minorHAnsi" w:hAnsiTheme="minorHAnsi" w:cstheme="minorHAnsi"/>
          <w:b/>
          <w:sz w:val="22"/>
          <w:szCs w:val="22"/>
        </w:rPr>
        <w:t>TÉRMINOS DE REFERENCIA</w:t>
      </w:r>
    </w:p>
    <w:p w:rsidR="005247CD" w:rsidRPr="00DB7D7A" w:rsidRDefault="005247CD" w:rsidP="00ED0C79">
      <w:pPr>
        <w:rPr>
          <w:rFonts w:asciiTheme="minorHAnsi" w:hAnsiTheme="minorHAnsi" w:cstheme="minorHAnsi"/>
          <w:sz w:val="22"/>
          <w:szCs w:val="22"/>
        </w:rPr>
      </w:pPr>
    </w:p>
    <w:p w:rsidR="005247CD" w:rsidRPr="00DB7D7A" w:rsidRDefault="007445B1" w:rsidP="00ED0C79">
      <w:pPr>
        <w:jc w:val="center"/>
        <w:rPr>
          <w:rFonts w:asciiTheme="minorHAnsi" w:hAnsiTheme="minorHAnsi" w:cstheme="minorHAnsi"/>
          <w:b/>
          <w:sz w:val="22"/>
          <w:szCs w:val="22"/>
        </w:rPr>
      </w:pPr>
      <w:r w:rsidRPr="00DB7D7A">
        <w:rPr>
          <w:rFonts w:asciiTheme="minorHAnsi" w:hAnsiTheme="minorHAnsi" w:cstheme="minorHAnsi"/>
          <w:b/>
          <w:sz w:val="22"/>
          <w:szCs w:val="22"/>
        </w:rPr>
        <w:t>“</w:t>
      </w:r>
      <w:r w:rsidR="00B267E8" w:rsidRPr="00B267E8">
        <w:rPr>
          <w:rFonts w:asciiTheme="minorHAnsi" w:hAnsiTheme="minorHAnsi" w:cstheme="minorHAnsi"/>
          <w:b/>
          <w:sz w:val="22"/>
          <w:szCs w:val="22"/>
        </w:rPr>
        <w:t xml:space="preserve">CONSULTORÍA PARA LA ELABORACIÓN DEL ESTUDIO </w:t>
      </w:r>
      <w:r w:rsidR="00127D68">
        <w:rPr>
          <w:rFonts w:asciiTheme="minorHAnsi" w:hAnsiTheme="minorHAnsi" w:cstheme="minorHAnsi"/>
          <w:b/>
          <w:sz w:val="22"/>
          <w:szCs w:val="22"/>
        </w:rPr>
        <w:t xml:space="preserve">DEL DISEÑO </w:t>
      </w:r>
      <w:r w:rsidR="00B267E8" w:rsidRPr="00B267E8">
        <w:rPr>
          <w:rFonts w:asciiTheme="minorHAnsi" w:hAnsiTheme="minorHAnsi" w:cstheme="minorHAnsi"/>
          <w:b/>
          <w:sz w:val="22"/>
          <w:szCs w:val="22"/>
        </w:rPr>
        <w:t>TÉCNICO</w:t>
      </w:r>
      <w:r w:rsidR="00127D68">
        <w:rPr>
          <w:rFonts w:asciiTheme="minorHAnsi" w:hAnsiTheme="minorHAnsi" w:cstheme="minorHAnsi"/>
          <w:b/>
          <w:sz w:val="22"/>
          <w:szCs w:val="22"/>
        </w:rPr>
        <w:t xml:space="preserve"> DE PREINVERSIÓN </w:t>
      </w:r>
      <w:r w:rsidR="00B267E8" w:rsidRPr="00B267E8">
        <w:rPr>
          <w:rFonts w:asciiTheme="minorHAnsi" w:hAnsiTheme="minorHAnsi" w:cstheme="minorHAnsi"/>
          <w:b/>
          <w:sz w:val="22"/>
          <w:szCs w:val="22"/>
        </w:rPr>
        <w:t>PARA LA CONSTRUCCIÓN DE LA REPRESA KELLUANI -  OT CHOJLLA JIPIÑA</w:t>
      </w:r>
      <w:r w:rsidRPr="00DB7D7A">
        <w:rPr>
          <w:rFonts w:asciiTheme="minorHAnsi" w:hAnsiTheme="minorHAnsi" w:cstheme="minorHAnsi"/>
          <w:b/>
          <w:sz w:val="22"/>
          <w:szCs w:val="22"/>
        </w:rPr>
        <w:t>”</w:t>
      </w:r>
    </w:p>
    <w:bookmarkEnd w:id="0"/>
    <w:p w:rsidR="00B64401" w:rsidRPr="00DB7D7A" w:rsidRDefault="00B64401" w:rsidP="00ED0C79">
      <w:pPr>
        <w:suppressAutoHyphens/>
        <w:rPr>
          <w:rFonts w:asciiTheme="minorHAnsi" w:hAnsiTheme="minorHAnsi" w:cstheme="minorHAnsi"/>
          <w:sz w:val="22"/>
          <w:szCs w:val="22"/>
        </w:rPr>
      </w:pPr>
    </w:p>
    <w:p w:rsidR="005247CD" w:rsidRPr="00DB7D7A" w:rsidRDefault="008C05BD">
      <w:pPr>
        <w:widowControl w:val="0"/>
        <w:numPr>
          <w:ilvl w:val="0"/>
          <w:numId w:val="1"/>
        </w:numPr>
        <w:contextualSpacing/>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u w:val="single"/>
        </w:rPr>
        <w:t>Antecedentes y Justificación</w:t>
      </w:r>
    </w:p>
    <w:p w:rsidR="005247CD" w:rsidRPr="00DB7D7A" w:rsidRDefault="005247CD">
      <w:pPr>
        <w:ind w:left="792"/>
        <w:contextualSpacing/>
        <w:jc w:val="both"/>
        <w:rPr>
          <w:rFonts w:asciiTheme="minorHAnsi" w:eastAsiaTheme="minorHAnsi" w:hAnsiTheme="minorHAnsi" w:cstheme="minorHAnsi"/>
          <w:sz w:val="22"/>
          <w:szCs w:val="22"/>
        </w:rPr>
      </w:pPr>
    </w:p>
    <w:p w:rsidR="00B32ED0"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De acuerdo al Censo Nacional de Vivienda y Población 2012, la población total de Bolivia era de 10.059.856 habitantes (hab), y se habían alcanzado coberturas de Agua Potable (AP) y Saneamiento (SA) del 80,8% y del 52,7% respectivamente. El Plan Sectorial de Desarrollo en Saneamiento Básico 2016-2020 (PSDSB  2016-2020), proyectó para 2015, una población total de 10.825.013 hab, con 7.403.841 pertenecientes a áreas urbanas (mayores a 2.000 hab) y 3.421.172 a áreas rurales, y considerando las inversiones realizadas en dicho período, los porcentajes de cobertura se han elevado al 84,7% y 57,1% respectivamente. La distribución entre áreas urbanas y rurales, presenta una cobertura de AP del 93,3% en poblaciones con más de 2.000 habitantes frente al 66,1% en localidades menores a esa cifra, mientras que en SA las coberturas son 63,7% y 42,6% respectivamente. La cobertura de tratamiento de aguas residuales (TAR) sigue siendo baja y alcanza al 31%</w:t>
      </w:r>
      <w:r w:rsidR="00B32ED0" w:rsidRPr="005614D2">
        <w:rPr>
          <w:rFonts w:asciiTheme="minorHAnsi" w:eastAsiaTheme="minorHAnsi" w:hAnsiTheme="minorHAnsi" w:cstheme="minorHAnsi"/>
          <w:sz w:val="22"/>
          <w:szCs w:val="22"/>
        </w:rPr>
        <w:t>.</w:t>
      </w:r>
    </w:p>
    <w:p w:rsidR="005614D2" w:rsidRDefault="005614D2" w:rsidP="005614D2">
      <w:pPr>
        <w:pStyle w:val="ListParagraph"/>
        <w:widowControl w:val="0"/>
        <w:ind w:left="792"/>
        <w:jc w:val="both"/>
        <w:rPr>
          <w:rFonts w:asciiTheme="minorHAnsi" w:eastAsiaTheme="minorHAnsi" w:hAnsiTheme="minorHAnsi" w:cstheme="minorHAnsi"/>
          <w:sz w:val="22"/>
          <w:szCs w:val="22"/>
        </w:rPr>
      </w:pPr>
    </w:p>
    <w:p w:rsidR="00B32ED0" w:rsidRPr="005614D2"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Las metas planteadas por el gobierno en el PSDSB 2016-2020 son: 95% de cobertura urbana de AP y 80% en el área rural, y 70% de cobertura urbana de SA y 60% en el área rural, lo que implica en dicho periodo incorporar alrededor de 1.350.000 habitantes a servicios de AP y 1.600.000 habitantes a servicios de SA</w:t>
      </w:r>
    </w:p>
    <w:p w:rsidR="00B64401" w:rsidRPr="00DB7D7A" w:rsidRDefault="00B64401" w:rsidP="00B64401">
      <w:pPr>
        <w:widowControl w:val="0"/>
        <w:contextualSpacing/>
        <w:jc w:val="center"/>
        <w:rPr>
          <w:rFonts w:asciiTheme="minorHAnsi" w:eastAsiaTheme="minorHAnsi" w:hAnsiTheme="minorHAnsi" w:cstheme="minorHAnsi"/>
          <w:sz w:val="22"/>
          <w:szCs w:val="22"/>
        </w:rPr>
      </w:pPr>
    </w:p>
    <w:p w:rsidR="00B32ED0" w:rsidRPr="005614D2"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El Banco ha apoyado al sector en las áreas periurbanas a través del financiamiento de los programas: (i) 2199/BL-BO y GRT/WS-11830-BO Programa de Agua y Alcantarillado Periurbano, Fase I, US$63 millones; (ii) 3091/BL-BO BO-l1087 Programa de Agua y Alcantarillado Periurbano, Fase II, US$60 millones, financiamiento BID y</w:t>
      </w:r>
      <w:r>
        <w:rPr>
          <w:rFonts w:asciiTheme="minorHAnsi" w:eastAsiaTheme="minorHAnsi" w:hAnsiTheme="minorHAnsi" w:cstheme="minorHAnsi"/>
          <w:sz w:val="22"/>
          <w:szCs w:val="22"/>
        </w:rPr>
        <w:t xml:space="preserve"> </w:t>
      </w:r>
      <w:r w:rsidRPr="005614D2">
        <w:rPr>
          <w:rFonts w:asciiTheme="minorHAnsi" w:eastAsiaTheme="minorHAnsi" w:hAnsiTheme="minorHAnsi" w:cstheme="minorHAnsi"/>
          <w:sz w:val="22"/>
          <w:szCs w:val="22"/>
        </w:rPr>
        <w:t>US$24 millones aporte local; y (iii) 3599/BL-BO BO-L1080 Programa Multipropósito de Agua Potable y Riego para los Municipios de Batallas, Pucarani y el Alto, US$ 62 millones, financiamiento BID, US$ 42.5 millones Fondo Estratégico sobre el Clima (no reembolsable), US$ 4.37 millones Fondo Nórdico del Desarrollo, y US$ 24.15 millones aporte local</w:t>
      </w:r>
      <w:r w:rsidR="00B32ED0" w:rsidRPr="005614D2">
        <w:rPr>
          <w:rFonts w:asciiTheme="minorHAnsi" w:eastAsiaTheme="minorHAnsi" w:hAnsiTheme="minorHAnsi" w:cstheme="minorHAnsi"/>
          <w:sz w:val="22"/>
          <w:szCs w:val="22"/>
        </w:rPr>
        <w:t xml:space="preserve">.  </w:t>
      </w:r>
    </w:p>
    <w:p w:rsidR="00B64401" w:rsidRPr="00DB7D7A" w:rsidRDefault="00B64401" w:rsidP="00B64401">
      <w:pPr>
        <w:widowControl w:val="0"/>
        <w:ind w:left="792"/>
        <w:contextualSpacing/>
        <w:jc w:val="both"/>
        <w:rPr>
          <w:rFonts w:asciiTheme="minorHAnsi" w:eastAsiaTheme="minorHAnsi" w:hAnsiTheme="minorHAnsi" w:cstheme="minorHAnsi"/>
          <w:sz w:val="22"/>
          <w:szCs w:val="22"/>
        </w:rPr>
      </w:pPr>
    </w:p>
    <w:p w:rsidR="005614D2" w:rsidRPr="005614D2"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Debido al déficit de precipitaciones acumuladas durante el 2016 en las ciudades de La Paz, El Alto, Oruro, Cochabamba, Sucre y Potosí se produjo una crisis de abastecimiento de agua potable, que llevó al Gobierno de Bolivia (GdB) a declarar la emergencia nacional</w:t>
      </w:r>
      <w:r w:rsidRPr="005614D2">
        <w:rPr>
          <w:rFonts w:asciiTheme="minorHAnsi" w:eastAsiaTheme="minorHAnsi" w:hAnsiTheme="minorHAnsi" w:cstheme="minorHAnsi"/>
          <w:szCs w:val="22"/>
        </w:rPr>
        <w:footnoteReference w:id="1"/>
      </w:r>
      <w:r w:rsidRPr="005614D2">
        <w:rPr>
          <w:rFonts w:asciiTheme="minorHAnsi" w:eastAsiaTheme="minorHAnsi" w:hAnsiTheme="minorHAnsi" w:cstheme="minorHAnsi"/>
          <w:sz w:val="22"/>
          <w:szCs w:val="22"/>
        </w:rPr>
        <w:t>. Estos escenarios de oferta de agua insuficiente ya habían sido identificados en los Planes Maestros Metropolitanos</w:t>
      </w:r>
      <w:r w:rsidRPr="005614D2">
        <w:rPr>
          <w:rFonts w:asciiTheme="minorHAnsi" w:eastAsiaTheme="minorHAnsi" w:hAnsiTheme="minorHAnsi" w:cstheme="minorHAnsi"/>
          <w:szCs w:val="22"/>
        </w:rPr>
        <w:footnoteReference w:id="2"/>
      </w:r>
      <w:r w:rsidRPr="005614D2">
        <w:rPr>
          <w:rFonts w:asciiTheme="minorHAnsi" w:eastAsiaTheme="minorHAnsi" w:hAnsiTheme="minorHAnsi" w:cstheme="minorHAnsi"/>
          <w:sz w:val="22"/>
          <w:szCs w:val="22"/>
        </w:rPr>
        <w:t xml:space="preserve">, lo cual permite establecer acciones para mitigar este riesgo y dar soluciones a los impactos progresivos debido al incremento de la demanda y al cambio climático. </w:t>
      </w:r>
    </w:p>
    <w:p w:rsidR="005614D2" w:rsidRDefault="005614D2" w:rsidP="005614D2">
      <w:pPr>
        <w:pStyle w:val="ListParagraph"/>
        <w:widowControl w:val="0"/>
        <w:ind w:left="792"/>
        <w:jc w:val="both"/>
        <w:rPr>
          <w:rFonts w:asciiTheme="minorHAnsi" w:eastAsiaTheme="minorHAnsi" w:hAnsiTheme="minorHAnsi" w:cstheme="minorHAnsi"/>
          <w:sz w:val="22"/>
          <w:szCs w:val="22"/>
        </w:rPr>
      </w:pPr>
    </w:p>
    <w:p w:rsidR="005614D2" w:rsidRDefault="005614D2" w:rsidP="005614D2">
      <w:pPr>
        <w:pStyle w:val="ListParagraph"/>
        <w:widowControl w:val="0"/>
        <w:numPr>
          <w:ilvl w:val="1"/>
          <w:numId w:val="1"/>
        </w:numPr>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 xml:space="preserve">Por otra parte, los sistemas de AP de las ciudades mencionadas requieren inversiones que permitan mejorar la eficiencia de los operadores, </w:t>
      </w:r>
      <w:r>
        <w:rPr>
          <w:rFonts w:asciiTheme="minorHAnsi" w:eastAsiaTheme="minorHAnsi" w:hAnsiTheme="minorHAnsi" w:cstheme="minorHAnsi"/>
          <w:sz w:val="22"/>
          <w:szCs w:val="22"/>
        </w:rPr>
        <w:t xml:space="preserve"> </w:t>
      </w:r>
      <w:r w:rsidRPr="005614D2">
        <w:rPr>
          <w:rFonts w:asciiTheme="minorHAnsi" w:eastAsiaTheme="minorHAnsi" w:hAnsiTheme="minorHAnsi" w:cstheme="minorHAnsi"/>
          <w:sz w:val="22"/>
          <w:szCs w:val="22"/>
        </w:rPr>
        <w:t xml:space="preserve">tanto en infraestructura básica como en fortalecimiento en la gestión </w:t>
      </w:r>
      <w:r>
        <w:rPr>
          <w:rFonts w:asciiTheme="minorHAnsi" w:eastAsiaTheme="minorHAnsi" w:hAnsiTheme="minorHAnsi" w:cstheme="minorHAnsi"/>
          <w:sz w:val="22"/>
          <w:szCs w:val="22"/>
        </w:rPr>
        <w:t xml:space="preserve"> </w:t>
      </w:r>
      <w:r w:rsidRPr="005614D2">
        <w:rPr>
          <w:rFonts w:asciiTheme="minorHAnsi" w:eastAsiaTheme="minorHAnsi" w:hAnsiTheme="minorHAnsi" w:cstheme="minorHAnsi"/>
          <w:sz w:val="22"/>
          <w:szCs w:val="22"/>
        </w:rPr>
        <w:t>de la oferta y la demanda.</w:t>
      </w:r>
    </w:p>
    <w:p w:rsidR="005614D2" w:rsidRPr="005614D2" w:rsidRDefault="005614D2" w:rsidP="005614D2">
      <w:pPr>
        <w:widowControl w:val="0"/>
        <w:ind w:left="360"/>
        <w:jc w:val="both"/>
        <w:rPr>
          <w:rFonts w:asciiTheme="minorHAnsi" w:eastAsiaTheme="minorHAnsi" w:hAnsiTheme="minorHAnsi" w:cstheme="minorHAnsi"/>
          <w:sz w:val="22"/>
          <w:szCs w:val="22"/>
        </w:rPr>
      </w:pPr>
    </w:p>
    <w:p w:rsidR="005247CD" w:rsidRPr="005614D2" w:rsidRDefault="005247CD" w:rsidP="007445B1">
      <w:pPr>
        <w:ind w:left="360"/>
        <w:rPr>
          <w:rFonts w:asciiTheme="minorHAnsi" w:eastAsiaTheme="minorHAnsi" w:hAnsiTheme="minorHAnsi" w:cstheme="minorHAnsi"/>
          <w:sz w:val="22"/>
          <w:szCs w:val="22"/>
          <w:u w:val="single"/>
          <w:lang w:val="es-AR"/>
        </w:rPr>
      </w:pPr>
    </w:p>
    <w:p w:rsidR="005247CD" w:rsidRPr="00DB7D7A" w:rsidRDefault="008C05BD" w:rsidP="007445B1">
      <w:pPr>
        <w:widowControl w:val="0"/>
        <w:numPr>
          <w:ilvl w:val="0"/>
          <w:numId w:val="1"/>
        </w:numPr>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u w:val="single"/>
        </w:rPr>
        <w:t>Objetivos</w:t>
      </w:r>
    </w:p>
    <w:p w:rsidR="005247CD" w:rsidRPr="00DB7D7A" w:rsidRDefault="008C05BD" w:rsidP="007445B1">
      <w:pPr>
        <w:ind w:left="360"/>
        <w:rPr>
          <w:rFonts w:asciiTheme="minorHAnsi" w:eastAsiaTheme="minorHAnsi" w:hAnsiTheme="minorHAnsi" w:cstheme="minorHAnsi"/>
          <w:sz w:val="22"/>
          <w:szCs w:val="22"/>
          <w:u w:val="single"/>
        </w:rPr>
      </w:pPr>
      <w:r w:rsidRPr="00DB7D7A">
        <w:rPr>
          <w:rFonts w:asciiTheme="minorHAnsi" w:eastAsiaTheme="minorHAnsi" w:hAnsiTheme="minorHAnsi" w:cstheme="minorHAnsi"/>
          <w:sz w:val="22"/>
          <w:szCs w:val="22"/>
          <w:u w:val="single"/>
        </w:rPr>
        <w:t xml:space="preserve"> </w:t>
      </w:r>
    </w:p>
    <w:p w:rsidR="00B32ED0" w:rsidRPr="00C76344" w:rsidRDefault="00C76344" w:rsidP="00DB7D7A">
      <w:pPr>
        <w:widowControl w:val="0"/>
        <w:numPr>
          <w:ilvl w:val="1"/>
          <w:numId w:val="1"/>
        </w:numPr>
        <w:contextualSpacing/>
        <w:jc w:val="both"/>
        <w:rPr>
          <w:rFonts w:asciiTheme="minorHAnsi" w:eastAsiaTheme="minorHAnsi" w:hAnsiTheme="minorHAnsi" w:cstheme="minorHAnsi"/>
          <w:sz w:val="22"/>
          <w:szCs w:val="22"/>
        </w:rPr>
      </w:pPr>
      <w:r w:rsidRPr="00C76344">
        <w:rPr>
          <w:rFonts w:asciiTheme="minorHAnsi" w:eastAsiaTheme="minorHAnsi" w:hAnsiTheme="minorHAnsi" w:cstheme="minorHAnsi"/>
          <w:sz w:val="22"/>
          <w:szCs w:val="22"/>
        </w:rPr>
        <w:t xml:space="preserve">Realizar el estudio técnico, económico, social y ambiental (TESA) para la construcción de la represa Kelluani -  OT Chojlla Jipiña. </w:t>
      </w:r>
    </w:p>
    <w:p w:rsidR="00B32ED0" w:rsidRPr="00DB7D7A" w:rsidRDefault="00B32ED0" w:rsidP="00B32ED0">
      <w:pPr>
        <w:widowControl w:val="0"/>
        <w:contextualSpacing/>
        <w:jc w:val="both"/>
        <w:rPr>
          <w:rFonts w:asciiTheme="minorHAnsi" w:eastAsiaTheme="minorHAnsi" w:hAnsiTheme="minorHAnsi" w:cstheme="minorHAnsi"/>
          <w:sz w:val="22"/>
          <w:szCs w:val="22"/>
        </w:rPr>
      </w:pPr>
    </w:p>
    <w:p w:rsidR="005247CD" w:rsidRDefault="00C76344">
      <w:pPr>
        <w:widowControl w:val="0"/>
        <w:numPr>
          <w:ilvl w:val="0"/>
          <w:numId w:val="1"/>
        </w:numPr>
        <w:contextualSpacing/>
        <w:rPr>
          <w:rFonts w:asciiTheme="minorHAnsi" w:eastAsiaTheme="minorHAnsi" w:hAnsiTheme="minorHAnsi" w:cstheme="minorHAnsi"/>
          <w:b/>
          <w:sz w:val="22"/>
          <w:szCs w:val="22"/>
          <w:u w:val="single"/>
        </w:rPr>
      </w:pPr>
      <w:r>
        <w:rPr>
          <w:rFonts w:asciiTheme="minorHAnsi" w:eastAsiaTheme="minorHAnsi" w:hAnsiTheme="minorHAnsi" w:cstheme="minorHAnsi"/>
          <w:b/>
          <w:sz w:val="22"/>
          <w:szCs w:val="22"/>
          <w:u w:val="single"/>
        </w:rPr>
        <w:t>Descripción de</w:t>
      </w:r>
      <w:r w:rsidR="008C05BD" w:rsidRPr="00DB7D7A">
        <w:rPr>
          <w:rFonts w:asciiTheme="minorHAnsi" w:eastAsiaTheme="minorHAnsi" w:hAnsiTheme="minorHAnsi" w:cstheme="minorHAnsi"/>
          <w:b/>
          <w:sz w:val="22"/>
          <w:szCs w:val="22"/>
          <w:u w:val="single"/>
        </w:rPr>
        <w:t xml:space="preserve"> los Servicios</w:t>
      </w:r>
    </w:p>
    <w:p w:rsidR="005C5987" w:rsidRPr="00DB7D7A" w:rsidRDefault="005C5987" w:rsidP="00C76344">
      <w:pPr>
        <w:pStyle w:val="ListParagraph"/>
        <w:spacing w:after="200"/>
        <w:ind w:left="792" w:hanging="366"/>
        <w:jc w:val="both"/>
        <w:rPr>
          <w:rFonts w:asciiTheme="minorHAnsi" w:hAnsiTheme="minorHAnsi" w:cstheme="minorHAnsi"/>
          <w:sz w:val="22"/>
          <w:szCs w:val="22"/>
        </w:rPr>
      </w:pPr>
    </w:p>
    <w:p w:rsidR="005C5987" w:rsidRPr="005C5987" w:rsidRDefault="005C5987" w:rsidP="005C5987">
      <w:pPr>
        <w:pStyle w:val="ListParagraph"/>
        <w:numPr>
          <w:ilvl w:val="1"/>
          <w:numId w:val="1"/>
        </w:numPr>
        <w:spacing w:before="120" w:after="200"/>
        <w:ind w:hanging="366"/>
        <w:contextualSpacing w:val="0"/>
        <w:jc w:val="both"/>
        <w:rPr>
          <w:rFonts w:asciiTheme="minorHAnsi" w:hAnsiTheme="minorHAnsi" w:cstheme="minorHAnsi"/>
          <w:sz w:val="22"/>
          <w:szCs w:val="22"/>
        </w:rPr>
      </w:pPr>
      <w:r>
        <w:rPr>
          <w:rFonts w:asciiTheme="minorHAnsi" w:hAnsiTheme="minorHAnsi" w:cstheme="minorHAnsi"/>
          <w:sz w:val="22"/>
          <w:szCs w:val="22"/>
        </w:rPr>
        <w:t xml:space="preserve"> </w:t>
      </w:r>
      <w:r w:rsidRPr="005C5987">
        <w:rPr>
          <w:rFonts w:asciiTheme="minorHAnsi" w:hAnsiTheme="minorHAnsi" w:cstheme="minorHAnsi"/>
          <w:sz w:val="22"/>
          <w:szCs w:val="22"/>
        </w:rPr>
        <w:t xml:space="preserve">En lo que se refiere al Balance de Oferta – Demanda realizado por el PMM para el Sistema El Alto se determinaron las siguientes obras para ser implementadas a media plazo (2023 a 2029): </w:t>
      </w:r>
    </w:p>
    <w:p w:rsidR="005C5987" w:rsidRPr="005C5987" w:rsidRDefault="005C5987" w:rsidP="005C5987">
      <w:pPr>
        <w:spacing w:before="120" w:after="200"/>
        <w:ind w:left="1440"/>
        <w:jc w:val="both"/>
        <w:rPr>
          <w:rFonts w:asciiTheme="minorHAnsi" w:hAnsiTheme="minorHAnsi" w:cstheme="minorHAnsi"/>
          <w:sz w:val="22"/>
          <w:szCs w:val="22"/>
        </w:rPr>
      </w:pPr>
      <w:r>
        <w:rPr>
          <w:rFonts w:asciiTheme="minorHAnsi" w:hAnsiTheme="minorHAnsi" w:cstheme="minorHAnsi"/>
          <w:sz w:val="22"/>
          <w:szCs w:val="22"/>
        </w:rPr>
        <w:t>•</w:t>
      </w:r>
      <w:r w:rsidRPr="005C5987">
        <w:rPr>
          <w:rFonts w:asciiTheme="minorHAnsi" w:hAnsiTheme="minorHAnsi" w:cstheme="minorHAnsi"/>
          <w:sz w:val="22"/>
          <w:szCs w:val="22"/>
        </w:rPr>
        <w:t>La nueva Represa Qhelluani, proyectada como una presa de enrocado, localizada aguas debajo de la represa Milluni, con una capacidad de 0,50 hm3.</w:t>
      </w:r>
    </w:p>
    <w:p w:rsidR="005C5987" w:rsidRPr="005C5987" w:rsidRDefault="005C5987" w:rsidP="005C5987">
      <w:pPr>
        <w:spacing w:before="120" w:after="200"/>
        <w:ind w:left="1440"/>
        <w:jc w:val="both"/>
        <w:rPr>
          <w:rFonts w:asciiTheme="minorHAnsi" w:hAnsiTheme="minorHAnsi" w:cstheme="minorHAnsi"/>
          <w:sz w:val="22"/>
          <w:szCs w:val="22"/>
        </w:rPr>
      </w:pPr>
      <w:r w:rsidRPr="005C5987">
        <w:rPr>
          <w:rFonts w:asciiTheme="minorHAnsi" w:hAnsiTheme="minorHAnsi" w:cstheme="minorHAnsi"/>
          <w:sz w:val="22"/>
          <w:szCs w:val="22"/>
        </w:rPr>
        <w:t>•La aducción Represa Qhelluani a la Planta de tratamiento El Alto, mediante una tubería de 800mm FFD y longitud 8.25 Km.</w:t>
      </w:r>
    </w:p>
    <w:p w:rsidR="005C5987" w:rsidRPr="005C5987" w:rsidRDefault="005C5987" w:rsidP="005C5987">
      <w:pPr>
        <w:pStyle w:val="ListParagraph"/>
        <w:numPr>
          <w:ilvl w:val="1"/>
          <w:numId w:val="1"/>
        </w:numPr>
        <w:spacing w:before="120" w:after="200"/>
        <w:ind w:hanging="366"/>
        <w:contextualSpacing w:val="0"/>
        <w:jc w:val="both"/>
        <w:rPr>
          <w:rFonts w:asciiTheme="minorHAnsi" w:hAnsiTheme="minorHAnsi" w:cstheme="minorHAnsi"/>
          <w:sz w:val="22"/>
          <w:szCs w:val="22"/>
        </w:rPr>
      </w:pPr>
      <w:r w:rsidRPr="005C5987">
        <w:rPr>
          <w:rFonts w:asciiTheme="minorHAnsi" w:hAnsiTheme="minorHAnsi" w:cstheme="minorHAnsi"/>
          <w:sz w:val="22"/>
          <w:szCs w:val="22"/>
        </w:rPr>
        <w:t>A largo plazo, está contemplado el aprovechamiento de las aguas de la cuenca Chojlla Jipiña, donde se emplazará la Obra de Toma del mismo nombre, con capacidad media de 350 l/s, desde donde se tenderá la línea de Aducción Obra de Toma Chojlla Jipiña hasta la represa Qhelluani, que significan 6.140 m de tubería de 700mm de FFD.</w:t>
      </w:r>
    </w:p>
    <w:p w:rsidR="005C5987" w:rsidRDefault="005C5987" w:rsidP="005C5987">
      <w:pPr>
        <w:pStyle w:val="ListParagraph"/>
        <w:numPr>
          <w:ilvl w:val="1"/>
          <w:numId w:val="1"/>
        </w:numPr>
        <w:spacing w:before="120" w:after="200"/>
        <w:ind w:hanging="366"/>
        <w:contextualSpacing w:val="0"/>
        <w:jc w:val="both"/>
        <w:rPr>
          <w:rFonts w:asciiTheme="minorHAnsi" w:hAnsiTheme="minorHAnsi" w:cstheme="minorHAnsi"/>
          <w:sz w:val="22"/>
          <w:szCs w:val="22"/>
        </w:rPr>
      </w:pPr>
      <w:r w:rsidRPr="005C5987">
        <w:rPr>
          <w:rFonts w:asciiTheme="minorHAnsi" w:hAnsiTheme="minorHAnsi" w:cstheme="minorHAnsi"/>
          <w:sz w:val="22"/>
          <w:szCs w:val="22"/>
        </w:rPr>
        <w:t>Asimismo a mediano plazo debe ejecutarse las obras de ampliación de la PTAP El Alto, en la medida que la demanda por crecimiento poblacional lo requiera, la ampliación de la Planta de Tratamiento El Alto y la nueva Planta de tratamiento La Calera, la primera iniciando el año 2023 con un módulo de 200 l/s hasta completar a 500 l/s y la segunda el año 2023 con 200 l/s y el año 2036 con 600 l/s.</w:t>
      </w:r>
    </w:p>
    <w:p w:rsidR="00B32ED0" w:rsidRPr="00DA7C9D" w:rsidRDefault="00B32ED0" w:rsidP="005C5987">
      <w:pPr>
        <w:pStyle w:val="ListParagraph"/>
        <w:numPr>
          <w:ilvl w:val="1"/>
          <w:numId w:val="1"/>
        </w:numPr>
        <w:spacing w:before="120" w:after="200"/>
        <w:ind w:hanging="366"/>
        <w:contextualSpacing w:val="0"/>
        <w:jc w:val="both"/>
        <w:rPr>
          <w:rFonts w:asciiTheme="minorHAnsi" w:hAnsiTheme="minorHAnsi" w:cstheme="minorHAnsi"/>
          <w:sz w:val="22"/>
          <w:szCs w:val="22"/>
        </w:rPr>
      </w:pPr>
      <w:r w:rsidRPr="00DA7C9D">
        <w:rPr>
          <w:rFonts w:asciiTheme="minorHAnsi" w:hAnsiTheme="minorHAnsi" w:cstheme="minorHAnsi"/>
          <w:sz w:val="22"/>
          <w:szCs w:val="22"/>
        </w:rPr>
        <w:t>La Firma consultora adjudicada deberá desarrollar el estudio considerando el contenido señalado a continuación en cumplimiento de los objetivos establecidos en los presentes términos de referencia.</w:t>
      </w:r>
    </w:p>
    <w:p w:rsidR="00DB7D7A" w:rsidRPr="00DB7D7A" w:rsidRDefault="00DB7D7A" w:rsidP="00B32ED0">
      <w:pPr>
        <w:jc w:val="both"/>
        <w:rPr>
          <w:rFonts w:asciiTheme="minorHAnsi" w:hAnsiTheme="minorHAnsi" w:cstheme="minorHAnsi"/>
          <w:sz w:val="22"/>
          <w:szCs w:val="22"/>
        </w:rPr>
      </w:pPr>
    </w:p>
    <w:p w:rsidR="00B32ED0" w:rsidRPr="00DB7D7A" w:rsidRDefault="00B32ED0" w:rsidP="00B32ED0">
      <w:pPr>
        <w:pStyle w:val="ListParagraph"/>
        <w:ind w:left="360"/>
        <w:rPr>
          <w:rFonts w:asciiTheme="minorHAnsi" w:hAnsiTheme="minorHAnsi" w:cstheme="minorHAnsi"/>
          <w:b/>
          <w:sz w:val="22"/>
          <w:szCs w:val="22"/>
        </w:rPr>
      </w:pPr>
    </w:p>
    <w:p w:rsidR="00B32ED0" w:rsidRPr="00B267E8" w:rsidRDefault="00B32ED0" w:rsidP="00B267E8">
      <w:pPr>
        <w:widowControl w:val="0"/>
        <w:numPr>
          <w:ilvl w:val="0"/>
          <w:numId w:val="1"/>
        </w:numPr>
        <w:contextualSpacing/>
        <w:rPr>
          <w:rFonts w:asciiTheme="minorHAnsi" w:eastAsiaTheme="minorHAnsi" w:hAnsiTheme="minorHAnsi" w:cstheme="minorHAnsi"/>
          <w:b/>
          <w:sz w:val="22"/>
          <w:szCs w:val="22"/>
          <w:u w:val="single"/>
        </w:rPr>
      </w:pPr>
      <w:r w:rsidRPr="00B267E8">
        <w:rPr>
          <w:rFonts w:asciiTheme="minorHAnsi" w:eastAsiaTheme="minorHAnsi" w:hAnsiTheme="minorHAnsi" w:cstheme="minorHAnsi"/>
          <w:b/>
          <w:sz w:val="22"/>
          <w:szCs w:val="22"/>
          <w:u w:val="single"/>
        </w:rPr>
        <w:t xml:space="preserve">Metodología Indicativa </w:t>
      </w:r>
    </w:p>
    <w:p w:rsidR="00FD4A01" w:rsidRPr="00B267E8" w:rsidRDefault="00FD4A01" w:rsidP="00B267E8"/>
    <w:p w:rsidR="00B32ED0" w:rsidRDefault="00B32ED0" w:rsidP="00B267E8">
      <w:pPr>
        <w:pStyle w:val="ListParagraph"/>
        <w:numPr>
          <w:ilvl w:val="1"/>
          <w:numId w:val="1"/>
        </w:numPr>
        <w:jc w:val="both"/>
        <w:rPr>
          <w:rFonts w:asciiTheme="minorHAnsi" w:hAnsiTheme="minorHAnsi" w:cstheme="minorHAnsi"/>
          <w:sz w:val="22"/>
          <w:szCs w:val="22"/>
        </w:rPr>
      </w:pPr>
      <w:r w:rsidRPr="00FD4A01">
        <w:rPr>
          <w:rFonts w:asciiTheme="minorHAnsi" w:hAnsiTheme="minorHAnsi" w:cstheme="minorHAnsi"/>
          <w:sz w:val="22"/>
          <w:szCs w:val="22"/>
        </w:rPr>
        <w:t>El desarrollo del estudio, según norma debe considerar el desarrollo de talleres de socialización y de consulta pública de acuerdo a la etapa del estudio. Su elaboración debe ser participativa con los actores sociales e institucionales identificados como relevantes para fines de ejecución del proyecto.</w:t>
      </w:r>
    </w:p>
    <w:p w:rsidR="00FD4A01" w:rsidRDefault="00FD4A01" w:rsidP="00B267E8"/>
    <w:p w:rsidR="00B32ED0" w:rsidRDefault="00B32ED0" w:rsidP="00B267E8">
      <w:pPr>
        <w:pStyle w:val="ListParagraph"/>
        <w:numPr>
          <w:ilvl w:val="1"/>
          <w:numId w:val="1"/>
        </w:numPr>
        <w:jc w:val="both"/>
        <w:rPr>
          <w:rFonts w:asciiTheme="minorHAnsi" w:hAnsiTheme="minorHAnsi" w:cstheme="minorHAnsi"/>
          <w:sz w:val="22"/>
          <w:szCs w:val="22"/>
        </w:rPr>
      </w:pPr>
      <w:r w:rsidRPr="00FD4A01">
        <w:rPr>
          <w:rFonts w:asciiTheme="minorHAnsi" w:hAnsiTheme="minorHAnsi" w:cstheme="minorHAnsi"/>
          <w:sz w:val="22"/>
          <w:szCs w:val="22"/>
        </w:rPr>
        <w:t>Además de los talleres realizados, la Firma consultora deberá llevar a cabo los eventos que se consideren necesarios para socializar el estudio y lograr la aceptación y conformidad de los actores sociales involucrados, debiendo presentar al concluir el proyecto documentación de respaldo correspondiente en anexos como ser: actas de aceptación social del proyecto o de conformidad, convenios, acuerdos, registros de participantes en los eventos realizados, etc.</w:t>
      </w:r>
    </w:p>
    <w:p w:rsidR="00FD4A01" w:rsidRPr="00FD4A01" w:rsidRDefault="00FD4A01" w:rsidP="00B267E8"/>
    <w:p w:rsidR="00B32ED0" w:rsidRPr="00FD4A01" w:rsidRDefault="00B32ED0" w:rsidP="00B267E8">
      <w:pPr>
        <w:pStyle w:val="ListParagraph"/>
        <w:numPr>
          <w:ilvl w:val="1"/>
          <w:numId w:val="1"/>
        </w:numPr>
        <w:jc w:val="both"/>
        <w:rPr>
          <w:rFonts w:asciiTheme="minorHAnsi" w:hAnsiTheme="minorHAnsi" w:cstheme="minorHAnsi"/>
          <w:sz w:val="22"/>
          <w:szCs w:val="22"/>
        </w:rPr>
      </w:pPr>
      <w:r w:rsidRPr="00FD4A01">
        <w:rPr>
          <w:rFonts w:asciiTheme="minorHAnsi" w:hAnsiTheme="minorHAnsi" w:cstheme="minorHAnsi"/>
          <w:sz w:val="22"/>
          <w:szCs w:val="22"/>
        </w:rPr>
        <w:lastRenderedPageBreak/>
        <w:t xml:space="preserve">La etapa de desarrollo de alternativas, deberá tener un carácter iterativo, es decir, desarrollar las alternativas en conocimiento y común acuerdo con la supervisión y fiscalización del proyecto. </w:t>
      </w:r>
    </w:p>
    <w:p w:rsidR="005247CD" w:rsidRPr="00DB7D7A" w:rsidRDefault="005247CD">
      <w:pPr>
        <w:ind w:left="1224"/>
        <w:contextualSpacing/>
        <w:jc w:val="both"/>
        <w:rPr>
          <w:rFonts w:asciiTheme="minorHAnsi" w:eastAsiaTheme="minorHAnsi" w:hAnsiTheme="minorHAnsi" w:cstheme="minorHAnsi"/>
          <w:sz w:val="22"/>
          <w:szCs w:val="22"/>
        </w:rPr>
      </w:pPr>
    </w:p>
    <w:p w:rsidR="005247CD" w:rsidRPr="005216E6" w:rsidRDefault="008C05BD" w:rsidP="005216E6">
      <w:pPr>
        <w:pStyle w:val="ListParagraph"/>
        <w:widowControl w:val="0"/>
        <w:numPr>
          <w:ilvl w:val="0"/>
          <w:numId w:val="8"/>
        </w:numPr>
        <w:rPr>
          <w:rFonts w:asciiTheme="minorHAnsi" w:eastAsiaTheme="minorHAnsi" w:hAnsiTheme="minorHAnsi" w:cstheme="minorHAnsi"/>
          <w:b/>
          <w:sz w:val="22"/>
          <w:szCs w:val="22"/>
          <w:u w:val="single"/>
        </w:rPr>
      </w:pPr>
      <w:r w:rsidRPr="005216E6">
        <w:rPr>
          <w:rFonts w:asciiTheme="minorHAnsi" w:eastAsiaTheme="minorHAnsi" w:hAnsiTheme="minorHAnsi" w:cstheme="minorHAnsi"/>
          <w:b/>
          <w:sz w:val="22"/>
          <w:szCs w:val="22"/>
          <w:u w:val="single"/>
        </w:rPr>
        <w:t>Resultados y Productos Esperados</w:t>
      </w:r>
    </w:p>
    <w:p w:rsidR="00B32ED0" w:rsidRPr="00DB7D7A" w:rsidRDefault="00B32ED0" w:rsidP="00B32ED0">
      <w:pPr>
        <w:pStyle w:val="ListParagraph"/>
        <w:jc w:val="both"/>
        <w:rPr>
          <w:rFonts w:asciiTheme="minorHAnsi" w:hAnsiTheme="minorHAnsi" w:cstheme="minorHAnsi"/>
          <w:sz w:val="22"/>
          <w:szCs w:val="22"/>
        </w:rPr>
      </w:pPr>
    </w:p>
    <w:p w:rsidR="00B32ED0" w:rsidRPr="005216E6" w:rsidRDefault="00B32ED0" w:rsidP="005216E6">
      <w:pPr>
        <w:pStyle w:val="ListParagraph"/>
        <w:numPr>
          <w:ilvl w:val="1"/>
          <w:numId w:val="8"/>
        </w:numPr>
        <w:spacing w:after="200"/>
        <w:jc w:val="both"/>
        <w:rPr>
          <w:rFonts w:asciiTheme="minorHAnsi" w:hAnsiTheme="minorHAnsi" w:cstheme="minorHAnsi"/>
          <w:sz w:val="22"/>
          <w:szCs w:val="22"/>
        </w:rPr>
      </w:pPr>
      <w:r w:rsidRPr="005216E6">
        <w:rPr>
          <w:rFonts w:asciiTheme="minorHAnsi" w:hAnsiTheme="minorHAnsi" w:cstheme="minorHAnsi"/>
          <w:sz w:val="22"/>
          <w:szCs w:val="22"/>
        </w:rPr>
        <w:t xml:space="preserve">Estudio de Diseño Técnico de Pre inversión </w:t>
      </w:r>
      <w:r w:rsidR="00127D68" w:rsidRPr="00127D68">
        <w:rPr>
          <w:rFonts w:asciiTheme="minorHAnsi" w:hAnsiTheme="minorHAnsi" w:cstheme="minorHAnsi"/>
          <w:sz w:val="22"/>
          <w:szCs w:val="22"/>
        </w:rPr>
        <w:t>para la construcción de la represa Kelluani -  OT Chojlla Jipiña</w:t>
      </w:r>
      <w:r w:rsidR="00127D68" w:rsidRPr="005216E6">
        <w:rPr>
          <w:rFonts w:asciiTheme="minorHAnsi" w:hAnsiTheme="minorHAnsi" w:cstheme="minorHAnsi"/>
          <w:sz w:val="22"/>
          <w:szCs w:val="22"/>
        </w:rPr>
        <w:t xml:space="preserve"> </w:t>
      </w:r>
      <w:r w:rsidRPr="005216E6">
        <w:rPr>
          <w:rFonts w:asciiTheme="minorHAnsi" w:hAnsiTheme="minorHAnsi" w:cstheme="minorHAnsi"/>
          <w:sz w:val="22"/>
          <w:szCs w:val="22"/>
        </w:rPr>
        <w:t xml:space="preserve">que incluya toda la inversión del sistema de GIRS, que cuente mínimamente con el contenido </w:t>
      </w:r>
      <w:r w:rsidR="00457D10">
        <w:rPr>
          <w:rFonts w:asciiTheme="minorHAnsi" w:hAnsiTheme="minorHAnsi" w:cstheme="minorHAnsi"/>
          <w:sz w:val="22"/>
          <w:szCs w:val="22"/>
        </w:rPr>
        <w:t>detallado en puntos anteriores.</w:t>
      </w:r>
    </w:p>
    <w:p w:rsidR="00B32ED0" w:rsidRDefault="00B32ED0" w:rsidP="00B32ED0">
      <w:pPr>
        <w:jc w:val="both"/>
        <w:rPr>
          <w:rFonts w:asciiTheme="minorHAnsi" w:hAnsiTheme="minorHAnsi" w:cstheme="minorHAnsi"/>
          <w:sz w:val="22"/>
          <w:szCs w:val="22"/>
        </w:rPr>
      </w:pPr>
      <w:r w:rsidRPr="00DB7D7A">
        <w:rPr>
          <w:rFonts w:asciiTheme="minorHAnsi" w:hAnsiTheme="minorHAnsi" w:cstheme="minorHAnsi"/>
          <w:sz w:val="22"/>
          <w:szCs w:val="22"/>
        </w:rPr>
        <w:t>De manera específica los productos a obtenerse en el marco del Estudio son los siguientes:</w:t>
      </w:r>
    </w:p>
    <w:p w:rsidR="00016E77" w:rsidRDefault="00016E77" w:rsidP="00B32ED0">
      <w:pPr>
        <w:jc w:val="both"/>
        <w:rPr>
          <w:rFonts w:asciiTheme="minorHAnsi" w:hAnsiTheme="minorHAnsi" w:cstheme="minorHAnsi"/>
          <w:sz w:val="22"/>
          <w:szCs w:val="22"/>
        </w:rPr>
      </w:pPr>
    </w:p>
    <w:p w:rsidR="00016E77" w:rsidRPr="00DB7D7A" w:rsidRDefault="00016E77" w:rsidP="00016E77">
      <w:pPr>
        <w:pStyle w:val="NoSpacing"/>
        <w:rPr>
          <w:rFonts w:cstheme="minorHAnsi"/>
          <w:b/>
        </w:rPr>
      </w:pPr>
      <w:bookmarkStart w:id="1" w:name="_Toc413235832"/>
      <w:r>
        <w:rPr>
          <w:rFonts w:cstheme="minorHAnsi"/>
          <w:b/>
        </w:rPr>
        <w:t>Informe de Avance 1 – Plan de Trabajo</w:t>
      </w:r>
      <w:bookmarkEnd w:id="1"/>
    </w:p>
    <w:p w:rsidR="00016E77" w:rsidRDefault="00016E77" w:rsidP="00016E77">
      <w:pPr>
        <w:pStyle w:val="NoSpacing"/>
        <w:jc w:val="both"/>
        <w:rPr>
          <w:rFonts w:cstheme="minorHAnsi"/>
        </w:rPr>
      </w:pPr>
    </w:p>
    <w:p w:rsidR="00016E77" w:rsidRPr="00DB7D7A" w:rsidRDefault="00016E77" w:rsidP="00016E77">
      <w:pPr>
        <w:pStyle w:val="NoSpacing"/>
        <w:jc w:val="both"/>
        <w:rPr>
          <w:rFonts w:cstheme="minorHAnsi"/>
        </w:rPr>
      </w:pPr>
      <w:r w:rsidRPr="00DB7D7A">
        <w:rPr>
          <w:rFonts w:cstheme="minorHAnsi"/>
        </w:rPr>
        <w:t xml:space="preserve">Que contempla el Plan de trabajo y cronograma para el desarrollo de la consultoría. Este informe, deberá ser presentado a los siete (7) días calendario de emitida la orden de proceder. </w:t>
      </w:r>
    </w:p>
    <w:p w:rsidR="00016E77" w:rsidRDefault="00016E77" w:rsidP="00B32ED0">
      <w:pPr>
        <w:jc w:val="both"/>
        <w:rPr>
          <w:rFonts w:asciiTheme="minorHAnsi" w:hAnsiTheme="minorHAnsi" w:cstheme="minorHAnsi"/>
          <w:sz w:val="22"/>
          <w:szCs w:val="22"/>
        </w:rPr>
      </w:pPr>
    </w:p>
    <w:p w:rsidR="00B32ED0" w:rsidRPr="00016E77" w:rsidRDefault="00016E77" w:rsidP="00016E77">
      <w:pPr>
        <w:rPr>
          <w:rFonts w:asciiTheme="minorHAnsi" w:hAnsiTheme="minorHAnsi" w:cstheme="minorHAnsi"/>
          <w:b/>
          <w:sz w:val="22"/>
          <w:szCs w:val="22"/>
        </w:rPr>
      </w:pPr>
      <w:r w:rsidRPr="00016E77">
        <w:rPr>
          <w:rFonts w:asciiTheme="minorHAnsi" w:hAnsiTheme="minorHAnsi" w:cstheme="minorHAnsi"/>
          <w:b/>
          <w:sz w:val="22"/>
          <w:szCs w:val="22"/>
        </w:rPr>
        <w:t xml:space="preserve">Informe de avance 2 - </w:t>
      </w:r>
      <w:r w:rsidR="00B32ED0" w:rsidRPr="00016E77">
        <w:rPr>
          <w:rFonts w:asciiTheme="minorHAnsi" w:hAnsiTheme="minorHAnsi" w:cstheme="minorHAnsi"/>
          <w:b/>
          <w:sz w:val="22"/>
          <w:szCs w:val="22"/>
        </w:rPr>
        <w:t>ETAPA 1 - DIAGNOSTICO DE LA SITUACION ACTUAL</w:t>
      </w:r>
    </w:p>
    <w:p w:rsidR="005216E6" w:rsidRPr="00DB7D7A" w:rsidRDefault="005216E6" w:rsidP="00B32ED0">
      <w:pPr>
        <w:ind w:left="360"/>
        <w:rPr>
          <w:rFonts w:asciiTheme="minorHAnsi" w:hAnsiTheme="minorHAnsi" w:cstheme="minorHAnsi"/>
          <w:sz w:val="22"/>
          <w:szCs w:val="22"/>
        </w:rPr>
      </w:pPr>
    </w:p>
    <w:p w:rsidR="006C1685" w:rsidRPr="006C1685" w:rsidRDefault="006C1685" w:rsidP="006C1685">
      <w:pPr>
        <w:pStyle w:val="NoSpacing"/>
        <w:numPr>
          <w:ilvl w:val="0"/>
          <w:numId w:val="45"/>
        </w:numPr>
        <w:ind w:left="709" w:hanging="425"/>
        <w:rPr>
          <w:rFonts w:cstheme="minorHAnsi"/>
        </w:rPr>
      </w:pPr>
      <w:r w:rsidRPr="006C1685">
        <w:rPr>
          <w:rFonts w:cstheme="minorHAnsi"/>
        </w:rPr>
        <w:t>Estudios topográficos, levantamiento topográfico del la obra de toma, aducción y otros</w:t>
      </w:r>
    </w:p>
    <w:p w:rsidR="006C1685" w:rsidRPr="006C1685" w:rsidRDefault="006C1685" w:rsidP="006C1685">
      <w:pPr>
        <w:pStyle w:val="NoSpacing"/>
        <w:numPr>
          <w:ilvl w:val="0"/>
          <w:numId w:val="45"/>
        </w:numPr>
        <w:ind w:left="709" w:hanging="425"/>
        <w:rPr>
          <w:rFonts w:cstheme="minorHAnsi"/>
        </w:rPr>
      </w:pPr>
      <w:r w:rsidRPr="006C1685">
        <w:rPr>
          <w:rFonts w:cstheme="minorHAnsi"/>
        </w:rPr>
        <w:t>Levantamiento (o diagnóstico) de datos agronómicos, aspectos económicos, productivos, línea de base, número de familias.</w:t>
      </w:r>
    </w:p>
    <w:p w:rsidR="006C1685" w:rsidRPr="006C1685" w:rsidRDefault="006C1685" w:rsidP="006C1685">
      <w:pPr>
        <w:pStyle w:val="NoSpacing"/>
        <w:numPr>
          <w:ilvl w:val="0"/>
          <w:numId w:val="45"/>
        </w:numPr>
        <w:ind w:left="709" w:hanging="425"/>
        <w:rPr>
          <w:rFonts w:cstheme="minorHAnsi"/>
        </w:rPr>
      </w:pPr>
      <w:r w:rsidRPr="006C1685">
        <w:rPr>
          <w:rFonts w:cstheme="minorHAnsi"/>
        </w:rPr>
        <w:t>Aspectos hidrológicos, aforos</w:t>
      </w:r>
    </w:p>
    <w:p w:rsidR="00B32ED0" w:rsidRPr="00DB7D7A" w:rsidRDefault="006C1685" w:rsidP="006C1685">
      <w:pPr>
        <w:pStyle w:val="NoSpacing"/>
        <w:numPr>
          <w:ilvl w:val="0"/>
          <w:numId w:val="45"/>
        </w:numPr>
        <w:ind w:left="709" w:hanging="425"/>
        <w:rPr>
          <w:rFonts w:cstheme="minorHAnsi"/>
        </w:rPr>
      </w:pPr>
      <w:r w:rsidRPr="006C1685">
        <w:rPr>
          <w:rFonts w:cstheme="minorHAnsi"/>
        </w:rPr>
        <w:t>Documentación respaldatoria como ser Actas de recepción, actas de conformidad y de reuniones,  por parte de las autoridades de  comunidad.</w:t>
      </w:r>
    </w:p>
    <w:p w:rsidR="006C1685" w:rsidRDefault="006C1685" w:rsidP="00016E77">
      <w:pPr>
        <w:rPr>
          <w:rFonts w:asciiTheme="minorHAnsi" w:hAnsiTheme="minorHAnsi" w:cstheme="minorHAnsi"/>
          <w:b/>
          <w:sz w:val="22"/>
          <w:szCs w:val="22"/>
        </w:rPr>
      </w:pPr>
    </w:p>
    <w:p w:rsidR="00B32ED0" w:rsidRPr="00016E77" w:rsidRDefault="00016E77" w:rsidP="00016E77">
      <w:pPr>
        <w:rPr>
          <w:rFonts w:asciiTheme="minorHAnsi" w:hAnsiTheme="minorHAnsi" w:cstheme="minorHAnsi"/>
          <w:b/>
          <w:sz w:val="22"/>
          <w:szCs w:val="22"/>
        </w:rPr>
      </w:pPr>
      <w:r w:rsidRPr="00016E77">
        <w:rPr>
          <w:rFonts w:asciiTheme="minorHAnsi" w:hAnsiTheme="minorHAnsi" w:cstheme="minorHAnsi"/>
          <w:b/>
          <w:sz w:val="22"/>
          <w:szCs w:val="22"/>
        </w:rPr>
        <w:t xml:space="preserve">Informe de Avance 3 - </w:t>
      </w:r>
      <w:r w:rsidR="00B32ED0" w:rsidRPr="00016E77">
        <w:rPr>
          <w:rFonts w:asciiTheme="minorHAnsi" w:hAnsiTheme="minorHAnsi" w:cstheme="minorHAnsi"/>
          <w:b/>
          <w:sz w:val="22"/>
          <w:szCs w:val="22"/>
        </w:rPr>
        <w:t>ETAPA 2 – ANALISIS DE ALTERNATIVAS, SELECCIÓN Y DISEÑO DE LA PROPUESTA</w:t>
      </w:r>
    </w:p>
    <w:p w:rsidR="005216E6" w:rsidRPr="00DB7D7A" w:rsidRDefault="005216E6" w:rsidP="00B32ED0">
      <w:pPr>
        <w:ind w:left="360"/>
        <w:rPr>
          <w:rFonts w:asciiTheme="minorHAnsi" w:hAnsiTheme="minorHAnsi" w:cstheme="minorHAnsi"/>
          <w:sz w:val="22"/>
          <w:szCs w:val="22"/>
        </w:rPr>
      </w:pPr>
    </w:p>
    <w:p w:rsidR="006C1685" w:rsidRPr="006C1685" w:rsidRDefault="006C1685" w:rsidP="006C1685">
      <w:pPr>
        <w:pStyle w:val="NoSpacing"/>
        <w:numPr>
          <w:ilvl w:val="0"/>
          <w:numId w:val="45"/>
        </w:numPr>
        <w:ind w:left="709" w:hanging="425"/>
        <w:rPr>
          <w:rFonts w:cstheme="minorHAnsi"/>
        </w:rPr>
      </w:pPr>
      <w:r w:rsidRPr="006C1685">
        <w:rPr>
          <w:rFonts w:cstheme="minorHAnsi"/>
        </w:rPr>
        <w:t>Antecedentes</w:t>
      </w:r>
    </w:p>
    <w:p w:rsidR="006C1685" w:rsidRPr="006C1685" w:rsidRDefault="006C1685" w:rsidP="006C1685">
      <w:pPr>
        <w:pStyle w:val="NoSpacing"/>
        <w:numPr>
          <w:ilvl w:val="0"/>
          <w:numId w:val="45"/>
        </w:numPr>
        <w:ind w:left="709" w:hanging="425"/>
        <w:rPr>
          <w:rFonts w:cstheme="minorHAnsi"/>
        </w:rPr>
      </w:pPr>
      <w:r w:rsidRPr="006C1685">
        <w:rPr>
          <w:rFonts w:cstheme="minorHAnsi"/>
        </w:rPr>
        <w:t>Ubicación</w:t>
      </w:r>
    </w:p>
    <w:p w:rsidR="006C1685" w:rsidRPr="006C1685" w:rsidRDefault="006C1685" w:rsidP="006C1685">
      <w:pPr>
        <w:pStyle w:val="NoSpacing"/>
        <w:numPr>
          <w:ilvl w:val="0"/>
          <w:numId w:val="45"/>
        </w:numPr>
        <w:ind w:left="709" w:hanging="425"/>
        <w:rPr>
          <w:rFonts w:cstheme="minorHAnsi"/>
        </w:rPr>
      </w:pPr>
      <w:r w:rsidRPr="006C1685">
        <w:rPr>
          <w:rFonts w:cstheme="minorHAnsi"/>
        </w:rPr>
        <w:t>Movilización</w:t>
      </w:r>
    </w:p>
    <w:p w:rsidR="006C1685" w:rsidRPr="006C1685" w:rsidRDefault="006C1685" w:rsidP="006C1685">
      <w:pPr>
        <w:pStyle w:val="NoSpacing"/>
        <w:numPr>
          <w:ilvl w:val="0"/>
          <w:numId w:val="45"/>
        </w:numPr>
        <w:ind w:left="709" w:hanging="425"/>
        <w:rPr>
          <w:rFonts w:cstheme="minorHAnsi"/>
        </w:rPr>
      </w:pPr>
      <w:r w:rsidRPr="006C1685">
        <w:rPr>
          <w:rFonts w:cstheme="minorHAnsi"/>
        </w:rPr>
        <w:t>Recursos humanos o personal asignado al proyecto</w:t>
      </w:r>
    </w:p>
    <w:p w:rsidR="006C1685" w:rsidRPr="006C1685" w:rsidRDefault="006C1685" w:rsidP="006C1685">
      <w:pPr>
        <w:pStyle w:val="NoSpacing"/>
        <w:numPr>
          <w:ilvl w:val="0"/>
          <w:numId w:val="45"/>
        </w:numPr>
        <w:ind w:left="709" w:hanging="425"/>
        <w:rPr>
          <w:rFonts w:cstheme="minorHAnsi"/>
        </w:rPr>
      </w:pPr>
      <w:r w:rsidRPr="006C1685">
        <w:rPr>
          <w:rFonts w:cstheme="minorHAnsi"/>
        </w:rPr>
        <w:t>Recopilación de información existente</w:t>
      </w:r>
    </w:p>
    <w:p w:rsidR="006C1685" w:rsidRPr="006C1685" w:rsidRDefault="006C1685" w:rsidP="006C1685">
      <w:pPr>
        <w:pStyle w:val="NoSpacing"/>
        <w:numPr>
          <w:ilvl w:val="0"/>
          <w:numId w:val="45"/>
        </w:numPr>
        <w:ind w:left="709" w:hanging="425"/>
        <w:rPr>
          <w:rFonts w:cstheme="minorHAnsi"/>
        </w:rPr>
      </w:pPr>
      <w:r w:rsidRPr="006C1685">
        <w:rPr>
          <w:rFonts w:cstheme="minorHAnsi"/>
        </w:rPr>
        <w:t>Planificación</w:t>
      </w:r>
    </w:p>
    <w:p w:rsidR="006C1685" w:rsidRPr="006C1685" w:rsidRDefault="006C1685" w:rsidP="006C1685">
      <w:pPr>
        <w:pStyle w:val="NoSpacing"/>
        <w:numPr>
          <w:ilvl w:val="0"/>
          <w:numId w:val="45"/>
        </w:numPr>
        <w:ind w:left="709" w:hanging="425"/>
        <w:rPr>
          <w:rFonts w:cstheme="minorHAnsi"/>
        </w:rPr>
      </w:pPr>
      <w:r w:rsidRPr="006C1685">
        <w:rPr>
          <w:rFonts w:cstheme="minorHAnsi"/>
        </w:rPr>
        <w:t>Ingeniería del proyecto, alternativas de diseño</w:t>
      </w:r>
    </w:p>
    <w:p w:rsidR="006C1685" w:rsidRPr="006C1685" w:rsidRDefault="006C1685" w:rsidP="006C1685">
      <w:pPr>
        <w:pStyle w:val="NoSpacing"/>
        <w:numPr>
          <w:ilvl w:val="0"/>
          <w:numId w:val="45"/>
        </w:numPr>
        <w:ind w:left="709" w:hanging="425"/>
        <w:rPr>
          <w:rFonts w:cstheme="minorHAnsi"/>
        </w:rPr>
      </w:pPr>
      <w:r w:rsidRPr="006C1685">
        <w:rPr>
          <w:rFonts w:cstheme="minorHAnsi"/>
        </w:rPr>
        <w:t xml:space="preserve">Croquis del sistema </w:t>
      </w:r>
    </w:p>
    <w:p w:rsidR="00B32ED0" w:rsidRDefault="006C1685" w:rsidP="006C1685">
      <w:pPr>
        <w:pStyle w:val="NoSpacing"/>
        <w:numPr>
          <w:ilvl w:val="0"/>
          <w:numId w:val="45"/>
        </w:numPr>
        <w:ind w:left="709" w:hanging="425"/>
        <w:rPr>
          <w:rFonts w:cstheme="minorHAnsi"/>
        </w:rPr>
      </w:pPr>
      <w:r w:rsidRPr="006C1685">
        <w:rPr>
          <w:rFonts w:cstheme="minorHAnsi"/>
        </w:rPr>
        <w:t>Reporte fotográfico.</w:t>
      </w:r>
    </w:p>
    <w:p w:rsidR="006C1685" w:rsidRDefault="006C1685" w:rsidP="00016E77">
      <w:pPr>
        <w:pStyle w:val="NoSpacing"/>
        <w:rPr>
          <w:rFonts w:cstheme="minorHAnsi"/>
          <w:b/>
        </w:rPr>
      </w:pPr>
      <w:bookmarkStart w:id="2" w:name="_Toc413235835"/>
    </w:p>
    <w:p w:rsidR="00016E77" w:rsidRPr="00DB7D7A" w:rsidRDefault="00016E77" w:rsidP="00016E77">
      <w:pPr>
        <w:pStyle w:val="NoSpacing"/>
        <w:rPr>
          <w:rFonts w:cstheme="minorHAnsi"/>
          <w:b/>
        </w:rPr>
      </w:pPr>
      <w:r w:rsidRPr="00DB7D7A">
        <w:rPr>
          <w:rFonts w:cstheme="minorHAnsi"/>
          <w:b/>
        </w:rPr>
        <w:t>Informe Final</w:t>
      </w:r>
      <w:bookmarkEnd w:id="2"/>
    </w:p>
    <w:p w:rsidR="00016E77" w:rsidRDefault="00016E77" w:rsidP="00016E77">
      <w:pPr>
        <w:pStyle w:val="NoSpacing"/>
        <w:jc w:val="both"/>
        <w:rPr>
          <w:rFonts w:cstheme="minorHAnsi"/>
        </w:rPr>
      </w:pPr>
    </w:p>
    <w:p w:rsidR="006C1685" w:rsidRPr="006C1685" w:rsidRDefault="006C1685" w:rsidP="006C1685">
      <w:pPr>
        <w:pStyle w:val="NoSpacing"/>
        <w:numPr>
          <w:ilvl w:val="0"/>
          <w:numId w:val="45"/>
        </w:numPr>
        <w:ind w:left="709" w:hanging="425"/>
        <w:rPr>
          <w:rFonts w:cstheme="minorHAnsi"/>
        </w:rPr>
      </w:pPr>
      <w:r w:rsidRPr="006C1685">
        <w:rPr>
          <w:rFonts w:cstheme="minorHAnsi"/>
        </w:rPr>
        <w:t>Un primer documento en borrador del estudio a diseño final del proyecto, según contenido de la estructura de diseño del proyecto y una copia, debidamente anillados. Hojas tamaño carta. Incluyendo un soporte magnético</w:t>
      </w:r>
    </w:p>
    <w:p w:rsidR="006C1685" w:rsidRPr="006C1685" w:rsidRDefault="006C1685" w:rsidP="006C1685">
      <w:pPr>
        <w:pStyle w:val="NoSpacing"/>
        <w:numPr>
          <w:ilvl w:val="0"/>
          <w:numId w:val="45"/>
        </w:numPr>
        <w:ind w:left="709" w:hanging="425"/>
        <w:rPr>
          <w:rFonts w:cstheme="minorHAnsi"/>
        </w:rPr>
      </w:pPr>
      <w:r w:rsidRPr="006C1685">
        <w:rPr>
          <w:rFonts w:cstheme="minorHAnsi"/>
        </w:rPr>
        <w:t>Un documento en limpio del estudio a diseño final más dos ejemplares del documento en fotocopias anillados respectivamente</w:t>
      </w:r>
    </w:p>
    <w:p w:rsidR="006C1685" w:rsidRPr="006C1685" w:rsidRDefault="006C1685" w:rsidP="006C1685">
      <w:pPr>
        <w:pStyle w:val="NoSpacing"/>
        <w:numPr>
          <w:ilvl w:val="0"/>
          <w:numId w:val="45"/>
        </w:numPr>
        <w:ind w:left="709" w:hanging="425"/>
        <w:rPr>
          <w:rFonts w:cstheme="minorHAnsi"/>
        </w:rPr>
      </w:pPr>
      <w:r w:rsidRPr="006C1685">
        <w:rPr>
          <w:rFonts w:cstheme="minorHAnsi"/>
        </w:rPr>
        <w:t>Documento en limpio en soporte magnético, que contemple todo el contenido (tres CDs en sus respectivos porta CDs)</w:t>
      </w:r>
    </w:p>
    <w:p w:rsidR="006C1685" w:rsidRPr="006C1685" w:rsidRDefault="006C1685" w:rsidP="006C1685">
      <w:pPr>
        <w:pStyle w:val="NoSpacing"/>
        <w:numPr>
          <w:ilvl w:val="0"/>
          <w:numId w:val="45"/>
        </w:numPr>
        <w:ind w:left="709" w:hanging="425"/>
        <w:rPr>
          <w:rFonts w:cstheme="minorHAnsi"/>
        </w:rPr>
      </w:pPr>
      <w:r w:rsidRPr="006C1685">
        <w:rPr>
          <w:rFonts w:cstheme="minorHAnsi"/>
        </w:rPr>
        <w:lastRenderedPageBreak/>
        <w:t xml:space="preserve">Planos impresos en papel bond A1 y soporte magnético </w:t>
      </w:r>
    </w:p>
    <w:p w:rsidR="006C1685" w:rsidRPr="006C1685" w:rsidRDefault="006C1685" w:rsidP="006C1685">
      <w:pPr>
        <w:pStyle w:val="NoSpacing"/>
        <w:numPr>
          <w:ilvl w:val="0"/>
          <w:numId w:val="45"/>
        </w:numPr>
        <w:ind w:left="709" w:hanging="425"/>
        <w:rPr>
          <w:rFonts w:cstheme="minorHAnsi"/>
        </w:rPr>
      </w:pPr>
      <w:r w:rsidRPr="006C1685">
        <w:rPr>
          <w:rFonts w:cstheme="minorHAnsi"/>
        </w:rPr>
        <w:t>Actas de recepción (las que falten), y acta de validación del proyecto</w:t>
      </w:r>
    </w:p>
    <w:p w:rsidR="006C1685" w:rsidRPr="006C1685" w:rsidRDefault="006C1685" w:rsidP="006C1685">
      <w:pPr>
        <w:pStyle w:val="NoSpacing"/>
        <w:numPr>
          <w:ilvl w:val="0"/>
          <w:numId w:val="45"/>
        </w:numPr>
        <w:ind w:left="709" w:hanging="425"/>
        <w:rPr>
          <w:rFonts w:cstheme="minorHAnsi"/>
        </w:rPr>
      </w:pPr>
      <w:r w:rsidRPr="006C1685">
        <w:rPr>
          <w:rFonts w:cstheme="minorHAnsi"/>
        </w:rPr>
        <w:t>Las actas originales deberán incluir en el documento en limpio (las firmas y sellados  de las autoridades deberán ser  de color preferible azul.</w:t>
      </w:r>
    </w:p>
    <w:p w:rsidR="00016E77" w:rsidRDefault="006C1685" w:rsidP="006C1685">
      <w:pPr>
        <w:pStyle w:val="NoSpacing"/>
        <w:numPr>
          <w:ilvl w:val="0"/>
          <w:numId w:val="45"/>
        </w:numPr>
        <w:ind w:left="709" w:hanging="425"/>
        <w:rPr>
          <w:rFonts w:cstheme="minorHAnsi"/>
        </w:rPr>
      </w:pPr>
      <w:r w:rsidRPr="006C1685">
        <w:rPr>
          <w:rFonts w:cstheme="minorHAnsi"/>
        </w:rPr>
        <w:t>Conclusiones y recomendaciones</w:t>
      </w:r>
    </w:p>
    <w:p w:rsidR="006C1685" w:rsidRPr="00DB7D7A" w:rsidRDefault="006C1685" w:rsidP="006C1685">
      <w:pPr>
        <w:pStyle w:val="NoSpacing"/>
        <w:ind w:left="709"/>
        <w:rPr>
          <w:rFonts w:cstheme="minorHAnsi"/>
        </w:rPr>
      </w:pPr>
    </w:p>
    <w:p w:rsidR="00B32ED0" w:rsidRPr="00DB7D7A" w:rsidRDefault="00B32ED0" w:rsidP="00B32ED0">
      <w:pPr>
        <w:pStyle w:val="ListParagraph"/>
        <w:numPr>
          <w:ilvl w:val="0"/>
          <w:numId w:val="8"/>
        </w:numPr>
        <w:spacing w:after="200"/>
        <w:rPr>
          <w:rFonts w:asciiTheme="minorHAnsi" w:hAnsiTheme="minorHAnsi" w:cstheme="minorHAnsi"/>
          <w:b/>
          <w:sz w:val="22"/>
          <w:szCs w:val="22"/>
        </w:rPr>
      </w:pPr>
      <w:bookmarkStart w:id="3" w:name="_Toc413235831"/>
      <w:r w:rsidRPr="00DB7D7A">
        <w:rPr>
          <w:rFonts w:asciiTheme="minorHAnsi" w:hAnsiTheme="minorHAnsi" w:cstheme="minorHAnsi"/>
          <w:b/>
          <w:sz w:val="22"/>
          <w:szCs w:val="22"/>
        </w:rPr>
        <w:t xml:space="preserve">Informes </w:t>
      </w:r>
      <w:bookmarkEnd w:id="3"/>
      <w:r w:rsidR="00016E77">
        <w:rPr>
          <w:rFonts w:asciiTheme="minorHAnsi" w:hAnsiTheme="minorHAnsi" w:cstheme="minorHAnsi"/>
          <w:b/>
          <w:sz w:val="22"/>
          <w:szCs w:val="22"/>
        </w:rPr>
        <w:t>Especiales</w:t>
      </w:r>
    </w:p>
    <w:p w:rsidR="00B32ED0" w:rsidRPr="00DB7D7A" w:rsidRDefault="00B32ED0" w:rsidP="00016E77">
      <w:pPr>
        <w:pStyle w:val="NoSpacing"/>
        <w:jc w:val="both"/>
        <w:rPr>
          <w:rFonts w:cstheme="minorHAnsi"/>
        </w:rPr>
      </w:pPr>
      <w:r w:rsidRPr="00DB7D7A">
        <w:rPr>
          <w:rFonts w:cstheme="minorHAnsi"/>
        </w:rPr>
        <w:t xml:space="preserve">La entidad contratante, en el momento que juzgue necesario solicitará a la Firma consultora, de manera escrita, la presentación de informes especiales, respecto de temas de importancia que juzgue conveniente. </w:t>
      </w:r>
    </w:p>
    <w:p w:rsidR="00B32ED0" w:rsidRPr="00DB7D7A" w:rsidRDefault="00B32ED0" w:rsidP="00971B82">
      <w:pPr>
        <w:pStyle w:val="NoSpacing"/>
        <w:ind w:left="1134"/>
        <w:jc w:val="both"/>
        <w:rPr>
          <w:rFonts w:cstheme="minorHAnsi"/>
        </w:rPr>
      </w:pPr>
    </w:p>
    <w:p w:rsidR="00B32ED0" w:rsidRPr="00DB7D7A" w:rsidRDefault="00B32ED0" w:rsidP="00016E77">
      <w:pPr>
        <w:pStyle w:val="NoSpacing"/>
        <w:jc w:val="both"/>
        <w:rPr>
          <w:rFonts w:cstheme="minorHAnsi"/>
        </w:rPr>
      </w:pPr>
      <w:r w:rsidRPr="00DB7D7A">
        <w:rPr>
          <w:rFonts w:cstheme="minorHAnsi"/>
        </w:rPr>
        <w:t>Se solicitará información complementaria a este informe especial en caso de considerarlo necesario y mediante nota expresa, quien en un plazo de diez (10) días hábiles de recibida la nota deberá presentar la información solicitada.</w:t>
      </w:r>
    </w:p>
    <w:p w:rsidR="00B32ED0" w:rsidRPr="00DB7D7A" w:rsidRDefault="00B32ED0" w:rsidP="00971B82">
      <w:pPr>
        <w:pStyle w:val="NoSpacing"/>
        <w:ind w:left="1134"/>
        <w:jc w:val="both"/>
        <w:rPr>
          <w:rFonts w:cstheme="minorHAnsi"/>
        </w:rPr>
      </w:pPr>
    </w:p>
    <w:p w:rsidR="00B32ED0" w:rsidRPr="00DB7D7A" w:rsidRDefault="00B32ED0" w:rsidP="00971B82">
      <w:pPr>
        <w:pStyle w:val="NoSpacing"/>
        <w:numPr>
          <w:ilvl w:val="1"/>
          <w:numId w:val="8"/>
        </w:numPr>
        <w:jc w:val="both"/>
        <w:rPr>
          <w:rFonts w:cstheme="minorHAnsi"/>
        </w:rPr>
      </w:pPr>
      <w:r w:rsidRPr="00DB7D7A">
        <w:rPr>
          <w:rFonts w:cstheme="minorHAnsi"/>
        </w:rPr>
        <w:t xml:space="preserve">Si existieran observaciones la Firma Consultora deberá corregir las mismas dentro del plazo máximo de diez (15) días calendario. </w:t>
      </w:r>
    </w:p>
    <w:p w:rsidR="00B32ED0" w:rsidRPr="00DB7D7A" w:rsidRDefault="00B32ED0" w:rsidP="00B32ED0">
      <w:pPr>
        <w:pStyle w:val="NoSpacing"/>
        <w:ind w:left="720"/>
        <w:jc w:val="both"/>
        <w:rPr>
          <w:rFonts w:cstheme="minorHAnsi"/>
        </w:rPr>
      </w:pPr>
    </w:p>
    <w:p w:rsidR="00B32ED0" w:rsidRPr="00DB7D7A" w:rsidRDefault="00B32ED0" w:rsidP="00971B82">
      <w:pPr>
        <w:pStyle w:val="NoSpacing"/>
        <w:numPr>
          <w:ilvl w:val="1"/>
          <w:numId w:val="8"/>
        </w:numPr>
        <w:jc w:val="both"/>
        <w:rPr>
          <w:rFonts w:cstheme="minorHAnsi"/>
        </w:rPr>
      </w:pPr>
      <w:r w:rsidRPr="00DB7D7A">
        <w:rPr>
          <w:rFonts w:cstheme="minorHAnsi"/>
        </w:rPr>
        <w:t>El informe final será aprobado una vez se hayan subsanado todas las observaciones y/o correcciones solicitadas a satisfacción del contratante.</w:t>
      </w:r>
    </w:p>
    <w:p w:rsidR="00B32ED0" w:rsidRPr="00DB7D7A" w:rsidRDefault="00B32ED0" w:rsidP="00B32ED0">
      <w:pPr>
        <w:widowControl w:val="0"/>
        <w:autoSpaceDE w:val="0"/>
        <w:autoSpaceDN w:val="0"/>
        <w:adjustRightInd w:val="0"/>
        <w:jc w:val="both"/>
        <w:rPr>
          <w:rFonts w:asciiTheme="minorHAnsi" w:hAnsiTheme="minorHAnsi" w:cstheme="minorHAnsi"/>
          <w:sz w:val="22"/>
          <w:szCs w:val="22"/>
        </w:rPr>
      </w:pPr>
    </w:p>
    <w:p w:rsidR="00B32ED0" w:rsidRPr="00AA6939" w:rsidRDefault="00B32ED0" w:rsidP="00B32ED0">
      <w:pPr>
        <w:pStyle w:val="ListParagraph"/>
        <w:numPr>
          <w:ilvl w:val="0"/>
          <w:numId w:val="8"/>
        </w:numPr>
        <w:spacing w:after="200"/>
        <w:rPr>
          <w:rFonts w:asciiTheme="minorHAnsi" w:hAnsiTheme="minorHAnsi" w:cstheme="minorHAnsi"/>
          <w:b/>
          <w:sz w:val="22"/>
          <w:szCs w:val="22"/>
          <w:u w:val="single"/>
        </w:rPr>
      </w:pPr>
      <w:r w:rsidRPr="00AA6939">
        <w:rPr>
          <w:rFonts w:asciiTheme="minorHAnsi" w:hAnsiTheme="minorHAnsi" w:cstheme="minorHAnsi"/>
          <w:b/>
          <w:sz w:val="22"/>
          <w:szCs w:val="22"/>
          <w:u w:val="single"/>
        </w:rPr>
        <w:t>Duración de la consultoría</w:t>
      </w:r>
    </w:p>
    <w:p w:rsidR="00AA6939" w:rsidRPr="00DB7D7A" w:rsidRDefault="00AA6939" w:rsidP="00AA6939">
      <w:pPr>
        <w:pStyle w:val="ListParagraph"/>
        <w:spacing w:after="200"/>
        <w:ind w:left="360"/>
        <w:rPr>
          <w:rFonts w:asciiTheme="minorHAnsi" w:hAnsiTheme="minorHAnsi" w:cstheme="minorHAnsi"/>
          <w:b/>
          <w:sz w:val="22"/>
          <w:szCs w:val="22"/>
        </w:rPr>
      </w:pPr>
    </w:p>
    <w:p w:rsidR="00B32ED0" w:rsidRPr="00AA6939" w:rsidRDefault="00B32ED0" w:rsidP="00AA6939">
      <w:pPr>
        <w:pStyle w:val="ListParagraph"/>
        <w:numPr>
          <w:ilvl w:val="1"/>
          <w:numId w:val="8"/>
        </w:numPr>
        <w:jc w:val="both"/>
        <w:rPr>
          <w:rFonts w:asciiTheme="minorHAnsi" w:hAnsiTheme="minorHAnsi" w:cstheme="minorHAnsi"/>
          <w:sz w:val="22"/>
          <w:szCs w:val="22"/>
        </w:rPr>
      </w:pPr>
      <w:r w:rsidRPr="00AA6939">
        <w:rPr>
          <w:rFonts w:asciiTheme="minorHAnsi" w:hAnsiTheme="minorHAnsi" w:cstheme="minorHAnsi"/>
          <w:sz w:val="22"/>
          <w:szCs w:val="22"/>
        </w:rPr>
        <w:t>La Consultoría se desarrollará en los municipios que forman parte de la Cuenca Katari y tendrá una duración de</w:t>
      </w:r>
      <w:r w:rsidR="00971B82">
        <w:rPr>
          <w:rFonts w:asciiTheme="minorHAnsi" w:hAnsiTheme="minorHAnsi" w:cstheme="minorHAnsi"/>
          <w:sz w:val="22"/>
          <w:szCs w:val="22"/>
        </w:rPr>
        <w:t xml:space="preserve"> Ocho (</w:t>
      </w:r>
      <w:r w:rsidR="006C1685">
        <w:rPr>
          <w:rFonts w:asciiTheme="minorHAnsi" w:hAnsiTheme="minorHAnsi" w:cstheme="minorHAnsi"/>
          <w:sz w:val="22"/>
          <w:szCs w:val="22"/>
        </w:rPr>
        <w:t>8</w:t>
      </w:r>
      <w:r w:rsidR="00971B82">
        <w:rPr>
          <w:rFonts w:asciiTheme="minorHAnsi" w:hAnsiTheme="minorHAnsi" w:cstheme="minorHAnsi"/>
          <w:sz w:val="22"/>
          <w:szCs w:val="22"/>
        </w:rPr>
        <w:t>) meses.</w:t>
      </w:r>
    </w:p>
    <w:p w:rsidR="005247CD" w:rsidRPr="00DB7D7A" w:rsidRDefault="005247CD" w:rsidP="00AA6939">
      <w:pPr>
        <w:widowControl w:val="0"/>
        <w:contextualSpacing/>
        <w:jc w:val="both"/>
        <w:rPr>
          <w:rFonts w:asciiTheme="minorHAnsi" w:eastAsiaTheme="minorHAnsi" w:hAnsiTheme="minorHAnsi" w:cstheme="minorHAnsi"/>
          <w:sz w:val="22"/>
          <w:szCs w:val="22"/>
        </w:rPr>
      </w:pPr>
    </w:p>
    <w:p w:rsidR="005247CD" w:rsidRPr="00AA6939" w:rsidRDefault="008C05BD" w:rsidP="00AA6939">
      <w:pPr>
        <w:pStyle w:val="ListParagraph"/>
        <w:widowControl w:val="0"/>
        <w:numPr>
          <w:ilvl w:val="0"/>
          <w:numId w:val="8"/>
        </w:numPr>
        <w:rPr>
          <w:rFonts w:asciiTheme="minorHAnsi" w:eastAsiaTheme="minorHAnsi" w:hAnsiTheme="minorHAnsi" w:cstheme="minorHAnsi"/>
          <w:b/>
          <w:sz w:val="22"/>
          <w:szCs w:val="22"/>
          <w:u w:val="single"/>
        </w:rPr>
      </w:pPr>
      <w:r w:rsidRPr="00AA6939">
        <w:rPr>
          <w:rFonts w:asciiTheme="minorHAnsi" w:eastAsiaTheme="minorHAnsi" w:hAnsiTheme="minorHAnsi" w:cstheme="minorHAnsi"/>
          <w:b/>
          <w:sz w:val="22"/>
          <w:szCs w:val="22"/>
          <w:u w:val="single"/>
        </w:rPr>
        <w:t>Calendario del Proyecto e Hitos</w:t>
      </w:r>
    </w:p>
    <w:p w:rsidR="005247CD" w:rsidRPr="00DB7D7A" w:rsidRDefault="005247CD">
      <w:pPr>
        <w:ind w:left="360"/>
        <w:contextualSpacing/>
        <w:rPr>
          <w:rFonts w:asciiTheme="minorHAnsi" w:eastAsiaTheme="minorHAnsi" w:hAnsiTheme="minorHAnsi" w:cstheme="minorHAnsi"/>
          <w:b/>
          <w:sz w:val="22"/>
          <w:szCs w:val="22"/>
          <w:u w:val="single"/>
        </w:rPr>
      </w:pPr>
    </w:p>
    <w:p w:rsidR="005247CD" w:rsidRDefault="00971B82" w:rsidP="00971B82">
      <w:pPr>
        <w:pStyle w:val="ListParagraph"/>
        <w:numPr>
          <w:ilvl w:val="1"/>
          <w:numId w:val="8"/>
        </w:numPr>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La Consultoría se desarrollará de acuerdo al siguiente cuadro:</w:t>
      </w:r>
    </w:p>
    <w:p w:rsidR="00971B82" w:rsidRDefault="00971B82" w:rsidP="00971B82">
      <w:pPr>
        <w:widowControl w:val="0"/>
        <w:tabs>
          <w:tab w:val="left" w:pos="900"/>
        </w:tabs>
        <w:contextualSpacing/>
        <w:jc w:val="both"/>
        <w:rPr>
          <w:rFonts w:asciiTheme="minorHAnsi" w:eastAsiaTheme="minorHAnsi" w:hAnsiTheme="minorHAnsi" w:cstheme="minorHAnsi"/>
          <w:sz w:val="22"/>
          <w:szCs w:val="22"/>
        </w:rPr>
      </w:pPr>
    </w:p>
    <w:p w:rsidR="00971B82" w:rsidRPr="00DB7D7A" w:rsidRDefault="00B91081" w:rsidP="00971B82">
      <w:pPr>
        <w:widowControl w:val="0"/>
        <w:tabs>
          <w:tab w:val="left" w:pos="900"/>
        </w:tabs>
        <w:contextualSpacing/>
        <w:jc w:val="both"/>
        <w:rPr>
          <w:rFonts w:asciiTheme="minorHAnsi" w:eastAsiaTheme="minorHAnsi" w:hAnsiTheme="minorHAnsi" w:cstheme="minorHAnsi"/>
          <w:sz w:val="22"/>
          <w:szCs w:val="22"/>
        </w:rPr>
      </w:pPr>
      <w:r w:rsidRPr="00B91081">
        <w:rPr>
          <w:rFonts w:eastAsiaTheme="minorHAnsi"/>
          <w:noProof/>
          <w:szCs w:val="22"/>
          <w:lang w:val="en-US"/>
        </w:rPr>
        <w:drawing>
          <wp:inline distT="0" distB="0" distL="0" distR="0">
            <wp:extent cx="5943600" cy="1014761"/>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943600" cy="1014761"/>
                    </a:xfrm>
                    <a:prstGeom prst="rect">
                      <a:avLst/>
                    </a:prstGeom>
                    <a:noFill/>
                    <a:ln w="9525">
                      <a:noFill/>
                      <a:miter lim="800000"/>
                      <a:headEnd/>
                      <a:tailEnd/>
                    </a:ln>
                  </pic:spPr>
                </pic:pic>
              </a:graphicData>
            </a:graphic>
          </wp:inline>
        </w:drawing>
      </w:r>
    </w:p>
    <w:p w:rsidR="005247CD" w:rsidRPr="00DB7D7A" w:rsidRDefault="005247CD">
      <w:pPr>
        <w:ind w:left="360"/>
        <w:contextualSpacing/>
        <w:rPr>
          <w:rFonts w:asciiTheme="minorHAnsi" w:eastAsiaTheme="minorHAnsi" w:hAnsiTheme="minorHAnsi" w:cstheme="minorHAnsi"/>
          <w:b/>
          <w:sz w:val="22"/>
          <w:szCs w:val="22"/>
          <w:u w:val="single"/>
        </w:rPr>
      </w:pPr>
    </w:p>
    <w:p w:rsidR="005247CD" w:rsidRPr="00DB7D7A" w:rsidRDefault="008C05BD" w:rsidP="00AA6939">
      <w:pPr>
        <w:widowControl w:val="0"/>
        <w:numPr>
          <w:ilvl w:val="0"/>
          <w:numId w:val="8"/>
        </w:numPr>
        <w:contextualSpacing/>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u w:val="single"/>
        </w:rPr>
        <w:t>Criterios de aceptación</w:t>
      </w:r>
    </w:p>
    <w:p w:rsidR="005247CD" w:rsidRPr="00DB7D7A" w:rsidRDefault="005247CD">
      <w:pPr>
        <w:shd w:val="clear" w:color="auto" w:fill="FFFFFF"/>
        <w:rPr>
          <w:rFonts w:asciiTheme="minorHAnsi" w:hAnsiTheme="minorHAnsi" w:cstheme="minorHAnsi"/>
          <w:color w:val="008800"/>
          <w:sz w:val="22"/>
          <w:szCs w:val="22"/>
        </w:rPr>
      </w:pPr>
    </w:p>
    <w:p w:rsidR="00AA50A9" w:rsidRPr="00AA50A9" w:rsidRDefault="00AA50A9" w:rsidP="00AA50A9">
      <w:pPr>
        <w:widowControl w:val="0"/>
        <w:numPr>
          <w:ilvl w:val="1"/>
          <w:numId w:val="8"/>
        </w:numPr>
        <w:shd w:val="clear" w:color="auto" w:fill="FFFFFF"/>
        <w:tabs>
          <w:tab w:val="left" w:pos="990"/>
        </w:tabs>
        <w:contextualSpacing/>
        <w:jc w:val="both"/>
        <w:rPr>
          <w:rFonts w:asciiTheme="minorHAnsi" w:eastAsiaTheme="minorHAnsi" w:hAnsiTheme="minorHAnsi" w:cstheme="minorHAnsi"/>
          <w:sz w:val="22"/>
          <w:szCs w:val="22"/>
        </w:rPr>
      </w:pPr>
      <w:r w:rsidRPr="00AA50A9">
        <w:rPr>
          <w:rFonts w:asciiTheme="minorHAnsi" w:eastAsiaTheme="minorHAnsi" w:hAnsiTheme="minorHAnsi" w:cstheme="minorHAnsi"/>
          <w:sz w:val="22"/>
          <w:szCs w:val="22"/>
        </w:rPr>
        <w:t xml:space="preserve">El Ministerio de Medio Ambiente y Agua a través de la </w:t>
      </w:r>
      <w:r w:rsidR="0003426E">
        <w:rPr>
          <w:rFonts w:asciiTheme="minorHAnsi" w:eastAsiaTheme="minorHAnsi" w:hAnsiTheme="minorHAnsi" w:cstheme="minorHAnsi"/>
          <w:sz w:val="22"/>
          <w:szCs w:val="22"/>
        </w:rPr>
        <w:t>Entidad Ejecutora de Medio ambiente y Agua EMAGUA</w:t>
      </w:r>
      <w:r w:rsidRPr="00AA50A9">
        <w:rPr>
          <w:rFonts w:asciiTheme="minorHAnsi" w:eastAsiaTheme="minorHAnsi" w:hAnsiTheme="minorHAnsi" w:cstheme="minorHAnsi"/>
          <w:sz w:val="22"/>
          <w:szCs w:val="22"/>
        </w:rPr>
        <w:t xml:space="preserve"> tendrá el rol de fiscalizador, debiendo otorgar su Visto Bueno a los informes y documentos elaborados por la Firma Consultora, previa aprobación de los mismos por parte de la Supervisión.</w:t>
      </w:r>
    </w:p>
    <w:p w:rsidR="005247CD" w:rsidRPr="00DB7D7A" w:rsidRDefault="005247CD">
      <w:pPr>
        <w:shd w:val="clear" w:color="auto" w:fill="FFFFFF"/>
        <w:rPr>
          <w:rFonts w:asciiTheme="minorHAnsi" w:hAnsiTheme="minorHAnsi" w:cstheme="minorHAnsi"/>
          <w:color w:val="008800"/>
          <w:sz w:val="22"/>
          <w:szCs w:val="22"/>
        </w:rPr>
      </w:pPr>
    </w:p>
    <w:p w:rsidR="005247CD" w:rsidRPr="00DB7D7A" w:rsidRDefault="008C05BD" w:rsidP="00AA6939">
      <w:pPr>
        <w:widowControl w:val="0"/>
        <w:numPr>
          <w:ilvl w:val="0"/>
          <w:numId w:val="8"/>
        </w:numPr>
        <w:contextualSpacing/>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rPr>
        <w:t xml:space="preserve"> </w:t>
      </w:r>
      <w:r w:rsidRPr="00DB7D7A">
        <w:rPr>
          <w:rFonts w:asciiTheme="minorHAnsi" w:eastAsiaTheme="minorHAnsi" w:hAnsiTheme="minorHAnsi" w:cstheme="minorHAnsi"/>
          <w:b/>
          <w:sz w:val="22"/>
          <w:szCs w:val="22"/>
          <w:u w:val="single"/>
        </w:rPr>
        <w:t>Supervisión e Informes</w:t>
      </w:r>
    </w:p>
    <w:p w:rsidR="005247CD" w:rsidRPr="00DB7D7A" w:rsidRDefault="005247CD">
      <w:pPr>
        <w:widowControl w:val="0"/>
        <w:ind w:left="360"/>
        <w:contextualSpacing/>
        <w:rPr>
          <w:rFonts w:asciiTheme="minorHAnsi" w:eastAsiaTheme="minorHAnsi" w:hAnsiTheme="minorHAnsi" w:cstheme="minorHAnsi"/>
          <w:b/>
          <w:sz w:val="22"/>
          <w:szCs w:val="22"/>
          <w:u w:val="single"/>
        </w:rPr>
      </w:pPr>
    </w:p>
    <w:p w:rsidR="00B32ED0" w:rsidRPr="00AA6939" w:rsidRDefault="008C05BD" w:rsidP="00AA6939">
      <w:pPr>
        <w:widowControl w:val="0"/>
        <w:numPr>
          <w:ilvl w:val="1"/>
          <w:numId w:val="8"/>
        </w:numPr>
        <w:shd w:val="clear" w:color="auto" w:fill="FFFFFF"/>
        <w:tabs>
          <w:tab w:val="left" w:pos="990"/>
        </w:tabs>
        <w:contextualSpacing/>
        <w:jc w:val="both"/>
        <w:rPr>
          <w:rFonts w:asciiTheme="minorHAnsi" w:eastAsiaTheme="minorHAnsi" w:hAnsiTheme="minorHAnsi" w:cstheme="minorHAnsi"/>
          <w:sz w:val="22"/>
          <w:szCs w:val="22"/>
        </w:rPr>
      </w:pPr>
      <w:r w:rsidRPr="00AA6939">
        <w:rPr>
          <w:rFonts w:asciiTheme="minorHAnsi" w:eastAsiaTheme="minorHAnsi" w:hAnsiTheme="minorHAnsi" w:cstheme="minorHAnsi"/>
          <w:sz w:val="22"/>
          <w:szCs w:val="22"/>
        </w:rPr>
        <w:t xml:space="preserve"> </w:t>
      </w:r>
      <w:r w:rsidR="00B32ED0" w:rsidRPr="00AA6939">
        <w:rPr>
          <w:rFonts w:asciiTheme="minorHAnsi" w:eastAsiaTheme="minorHAnsi" w:hAnsiTheme="minorHAnsi" w:cstheme="minorHAnsi"/>
          <w:sz w:val="22"/>
          <w:szCs w:val="22"/>
        </w:rPr>
        <w:t xml:space="preserve">La supervisión será contratada por la Entidad Ejecutora y será comunicada a la Firma </w:t>
      </w:r>
      <w:r w:rsidR="00B32ED0" w:rsidRPr="00AA6939">
        <w:rPr>
          <w:rFonts w:asciiTheme="minorHAnsi" w:eastAsiaTheme="minorHAnsi" w:hAnsiTheme="minorHAnsi" w:cstheme="minorHAnsi"/>
          <w:sz w:val="22"/>
          <w:szCs w:val="22"/>
        </w:rPr>
        <w:lastRenderedPageBreak/>
        <w:t xml:space="preserve">Consultora al momento de la firma de contrato. </w:t>
      </w:r>
    </w:p>
    <w:p w:rsidR="005247CD" w:rsidRPr="00DB7D7A" w:rsidRDefault="005247CD">
      <w:pPr>
        <w:ind w:right="-10"/>
        <w:jc w:val="both"/>
        <w:rPr>
          <w:rFonts w:asciiTheme="minorHAnsi" w:hAnsiTheme="minorHAnsi" w:cstheme="minorHAnsi"/>
          <w:b/>
          <w:sz w:val="22"/>
          <w:szCs w:val="22"/>
        </w:rPr>
      </w:pPr>
    </w:p>
    <w:p w:rsidR="005247CD" w:rsidRPr="00691430" w:rsidRDefault="008C05BD" w:rsidP="00D12786">
      <w:pPr>
        <w:pStyle w:val="ListParagraph"/>
        <w:numPr>
          <w:ilvl w:val="0"/>
          <w:numId w:val="8"/>
        </w:numPr>
        <w:ind w:right="-10"/>
        <w:rPr>
          <w:rFonts w:asciiTheme="minorHAnsi" w:hAnsiTheme="minorHAnsi" w:cstheme="minorHAnsi"/>
          <w:b/>
          <w:sz w:val="22"/>
          <w:szCs w:val="22"/>
          <w:u w:val="single"/>
        </w:rPr>
      </w:pPr>
      <w:r w:rsidRPr="00691430">
        <w:rPr>
          <w:rFonts w:asciiTheme="minorHAnsi" w:hAnsiTheme="minorHAnsi" w:cstheme="minorHAnsi"/>
          <w:b/>
          <w:sz w:val="22"/>
          <w:szCs w:val="22"/>
          <w:u w:val="single"/>
        </w:rPr>
        <w:t>Calendario de Pagos</w:t>
      </w:r>
    </w:p>
    <w:p w:rsidR="005247CD" w:rsidRPr="00DB7D7A" w:rsidRDefault="005247CD">
      <w:pPr>
        <w:pStyle w:val="ListParagraph"/>
        <w:ind w:left="360" w:right="-10"/>
        <w:jc w:val="both"/>
        <w:rPr>
          <w:rFonts w:asciiTheme="minorHAnsi" w:hAnsiTheme="minorHAnsi" w:cstheme="minorHAnsi"/>
          <w:b/>
          <w:sz w:val="22"/>
          <w:szCs w:val="22"/>
        </w:rPr>
      </w:pPr>
    </w:p>
    <w:p w:rsidR="00D12786" w:rsidRPr="00D12786" w:rsidRDefault="00B32ED0" w:rsidP="006B74DF">
      <w:pPr>
        <w:pStyle w:val="BodyTextIndent3"/>
        <w:numPr>
          <w:ilvl w:val="1"/>
          <w:numId w:val="8"/>
        </w:numPr>
        <w:tabs>
          <w:tab w:val="left" w:pos="1080"/>
        </w:tabs>
        <w:suppressAutoHyphens/>
        <w:ind w:left="992"/>
        <w:jc w:val="both"/>
        <w:textAlignment w:val="baseline"/>
        <w:rPr>
          <w:rFonts w:asciiTheme="minorHAnsi" w:eastAsiaTheme="minorHAnsi" w:hAnsiTheme="minorHAnsi" w:cstheme="minorHAnsi"/>
          <w:b/>
          <w:color w:val="auto"/>
          <w:sz w:val="22"/>
          <w:szCs w:val="22"/>
        </w:rPr>
      </w:pPr>
      <w:r w:rsidRPr="00D12786">
        <w:rPr>
          <w:rFonts w:asciiTheme="minorHAnsi" w:eastAsiaTheme="minorHAnsi" w:hAnsiTheme="minorHAnsi" w:cstheme="minorHAnsi"/>
          <w:color w:val="auto"/>
          <w:sz w:val="22"/>
          <w:szCs w:val="22"/>
        </w:rPr>
        <w:t xml:space="preserve">La modalidad de pago será la siguiente: </w:t>
      </w:r>
    </w:p>
    <w:tbl>
      <w:tblPr>
        <w:tblStyle w:val="LightGrid-Accent1"/>
        <w:tblW w:w="8125" w:type="dxa"/>
        <w:tblLook w:val="04A0" w:firstRow="1" w:lastRow="0" w:firstColumn="1" w:lastColumn="0" w:noHBand="0" w:noVBand="1"/>
      </w:tblPr>
      <w:tblGrid>
        <w:gridCol w:w="1555"/>
        <w:gridCol w:w="5436"/>
        <w:gridCol w:w="1134"/>
      </w:tblGrid>
      <w:tr w:rsidR="00D12786" w:rsidRPr="00DB7D7A" w:rsidTr="00B91081">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8125" w:type="dxa"/>
            <w:gridSpan w:val="3"/>
          </w:tcPr>
          <w:p w:rsidR="00D12786" w:rsidRPr="00691430" w:rsidRDefault="00D12786" w:rsidP="006B74DF">
            <w:pPr>
              <w:pStyle w:val="ListParagraph"/>
              <w:ind w:left="0" w:right="-10"/>
              <w:contextualSpacing w:val="0"/>
              <w:jc w:val="center"/>
              <w:rPr>
                <w:rFonts w:asciiTheme="minorHAnsi" w:hAnsiTheme="minorHAnsi" w:cstheme="minorHAnsi"/>
                <w:b w:val="0"/>
                <w:sz w:val="22"/>
                <w:szCs w:val="22"/>
              </w:rPr>
            </w:pPr>
            <w:r>
              <w:rPr>
                <w:rFonts w:asciiTheme="minorHAnsi" w:hAnsiTheme="minorHAnsi" w:cstheme="minorHAnsi"/>
                <w:sz w:val="22"/>
                <w:szCs w:val="22"/>
              </w:rPr>
              <w:t>PLAN DE PAGOS</w:t>
            </w:r>
          </w:p>
        </w:tc>
      </w:tr>
      <w:tr w:rsidR="00D12786" w:rsidRPr="00DB7D7A" w:rsidTr="00B91081">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555" w:type="dxa"/>
          </w:tcPr>
          <w:p w:rsidR="00D12786" w:rsidRPr="00D12786" w:rsidRDefault="00D12786" w:rsidP="006B74DF">
            <w:pPr>
              <w:pStyle w:val="ListParagraph"/>
              <w:ind w:left="34" w:right="-11"/>
              <w:contextualSpacing w:val="0"/>
              <w:rPr>
                <w:rFonts w:asciiTheme="minorHAnsi" w:hAnsiTheme="minorHAnsi" w:cstheme="minorHAnsi"/>
                <w:b w:val="0"/>
                <w:sz w:val="22"/>
                <w:szCs w:val="22"/>
                <w:lang w:val="es-ES"/>
              </w:rPr>
            </w:pPr>
            <w:r>
              <w:rPr>
                <w:rFonts w:asciiTheme="minorHAnsi" w:hAnsiTheme="minorHAnsi" w:cstheme="minorHAnsi"/>
                <w:sz w:val="22"/>
                <w:szCs w:val="22"/>
                <w:lang w:val="es-ES"/>
              </w:rPr>
              <w:t># Pago</w:t>
            </w:r>
          </w:p>
        </w:tc>
        <w:tc>
          <w:tcPr>
            <w:tcW w:w="5436" w:type="dxa"/>
          </w:tcPr>
          <w:p w:rsidR="00D12786" w:rsidRPr="00691430" w:rsidRDefault="00D12786" w:rsidP="006B74DF">
            <w:pPr>
              <w:pStyle w:val="ListParagraph"/>
              <w:ind w:left="-8"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2"/>
              </w:rPr>
            </w:pPr>
            <w:r w:rsidRPr="00691430">
              <w:rPr>
                <w:rFonts w:asciiTheme="minorHAnsi" w:hAnsiTheme="minorHAnsi" w:cstheme="minorHAnsi"/>
                <w:b/>
                <w:sz w:val="22"/>
                <w:szCs w:val="22"/>
              </w:rPr>
              <w:t>Entregables</w:t>
            </w:r>
          </w:p>
        </w:tc>
        <w:tc>
          <w:tcPr>
            <w:tcW w:w="1134" w:type="dxa"/>
          </w:tcPr>
          <w:p w:rsidR="00D12786" w:rsidRPr="00691430" w:rsidRDefault="00D12786" w:rsidP="006B74DF">
            <w:pPr>
              <w:pStyle w:val="ListParagraph"/>
              <w:ind w:left="0"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2"/>
              </w:rPr>
            </w:pPr>
            <w:r w:rsidRPr="00691430">
              <w:rPr>
                <w:rFonts w:asciiTheme="minorHAnsi" w:hAnsiTheme="minorHAnsi" w:cstheme="minorHAnsi"/>
                <w:b/>
                <w:sz w:val="22"/>
                <w:szCs w:val="22"/>
              </w:rPr>
              <w:t>%</w:t>
            </w:r>
          </w:p>
        </w:tc>
      </w:tr>
      <w:tr w:rsidR="00D12786" w:rsidRPr="00DB7D7A" w:rsidTr="00B91081">
        <w:trPr>
          <w:cnfStyle w:val="000000010000" w:firstRow="0" w:lastRow="0" w:firstColumn="0" w:lastColumn="0" w:oddVBand="0" w:evenVBand="0" w:oddHBand="0" w:evenHBand="1"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1555" w:type="dxa"/>
          </w:tcPr>
          <w:p w:rsidR="00D12786" w:rsidRPr="00691430" w:rsidRDefault="00D12786" w:rsidP="006B74DF">
            <w:pPr>
              <w:ind w:left="34" w:right="-11"/>
              <w:rPr>
                <w:rFonts w:asciiTheme="minorHAnsi" w:hAnsiTheme="minorHAnsi" w:cstheme="minorHAnsi"/>
                <w:noProof/>
                <w:sz w:val="22"/>
                <w:szCs w:val="22"/>
                <w:lang w:val="es-ES" w:eastAsia="es-ES"/>
              </w:rPr>
            </w:pPr>
            <w:r>
              <w:rPr>
                <w:rFonts w:asciiTheme="minorHAnsi" w:hAnsiTheme="minorHAnsi" w:cstheme="minorHAnsi"/>
                <w:noProof/>
                <w:sz w:val="22"/>
                <w:szCs w:val="22"/>
                <w:lang w:val="es-ES" w:eastAsia="es-ES"/>
              </w:rPr>
              <w:t>Primer Pago</w:t>
            </w:r>
          </w:p>
        </w:tc>
        <w:tc>
          <w:tcPr>
            <w:tcW w:w="5436" w:type="dxa"/>
          </w:tcPr>
          <w:p w:rsidR="00D12786" w:rsidRPr="00D12786" w:rsidRDefault="00661F11" w:rsidP="006B74DF">
            <w:pPr>
              <w:ind w:right="-1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7" o:spid="_x0000_s1026" type="#_x0000_t75" style="position:absolute;margin-left:149.25pt;margin-top:8.55pt;width:1.7pt;height:1.95pt;z-index:251659264;visibility:visible;mso-position-horizontal-relative:text;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3hGHAQAAKwMAAA4AAABkcnMvZTJvRG9jLnhtbJxSQW7CMBC8V+of&#10;LN9LEkABRSQciipxaMuhfYDr2MRq7I3WhsDvuwlQoFVViYul3bHHMzs7m+9szbYKvQGX82QQc6ac&#10;hNK4dc7f354eppz5IFwpanAq53vl+by4v5u1TaaGUEFdKmRE4nzWNjmvQmiyKPKyUlb4ATTKEagB&#10;rQhU4joqUbTEbutoGMdp1AKWDYJU3lN3cQB50fNrrWR41dqrwOqcT9LRhLNAMpPplIQitSYptT6o&#10;NRyOYx4VM5GtUTSVkUdR4gZNVhhHEr6pFiIItkHzi8oaieBBh4EEG4HWRqreEXlL4h/elu6z85WM&#10;5QYzCS4oF1YCw2l6PXDLF7amEbTPUFI+YhOAHxlpPv/HcRC9ALmxpOeQCapaBFoIX5nG05wzU+Yc&#10;l2Vy1u+2j2cHKzz7etmukHX3u6ycsKSJjDOqKJyT+Zfr14RER+gv3p1G2yVCctku55T+vjv7wNUu&#10;MEnNdNxthSRglPbQifTw+FRdjJ7+vQr5su40Xex48QU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EoKRcnfAAAACQEAAA8AAABkcnMvZG93bnJldi54bWxMj8tOwzAQRfdI/IM1&#10;SOyonVRAG+JUPNQNSJUodNHdNHYeJR5HsZuGv2dYwXJ0ru49k68m14nRDqH1pCGZKRCWSm9aqjV8&#10;fqxvFiBCRDLYebIavm2AVXF5kWNm/Jne7biNteASChlqaGLsMylD2ViHYeZ7S8wqPziMfA61NAOe&#10;udx1MlXqTjpsiRca7O1zY8uv7clp2OyMq+TT6I5v1cv0Ok/XezwmWl9fTY8PIKKd4l8YfvVZHQp2&#10;OvgTmSA6DelycctRBvcJCA7MVbIEcWCSKJBFLv9/UPwAAAD//wMAUEsDBBQABgAIAAAAIQDLOtTg&#10;7gEAALkEAAAQAAAAZHJzL2luay9pbmsxLnhtbLRTTY+bMBC9V+p/sNxDL3zYJksALdlTI1VqpWp3&#10;K7VHFrzBWjCRMSH59x2M47DarHppBYLxjOd55s3z7d2xbdCBq150Msc0IBhxWXaVkLsc/3zc+glG&#10;vS5kVTSd5Dk+8R7fbT5+uBXypW0y+CJAkP1ktU2Oa633WRiO4xiMUdCpXcgIicKv8uX7N7yxWRV/&#10;FlJoOLI/u8pOan7UE1gmqhyX+kjcfsB+6AZVcheePKq87NCqKPm2U22hHWJdSMkbJIsW6v6FkT7t&#10;wRBwzo4rjFoBDfssoKv1KvmSgqM45nixHqDEHippcXgd8/d/wNy+xZzKitg6XmNkS6r4YaopNJxn&#10;7/f+Q3V7rrTgF5pnUmzghMp5bfiZiVK875phmg1Gh6IZgDJKCMjCnk3DK4S8xQNu/ike8PIu3rK4&#10;19TY9pY8WNKcpM6j1aLlIPR27zSmewCe3A9amevACI19ynxCHxnN4KVpQEiyGIVV8RnzSQ197fCe&#10;1EWvJuJYmzsbRaVrRzoJSBwvZr5k/Vp2zcWu1n9Jt82bfKefK7fRSArZbu75c44/mQuJTObsMO3c&#10;3EQpitKYooh5nwk8UbLyMIEH2Eo9n60R8WlMPWvEsUfAE0Fs+lOWsNkgifWkkdmLaJLSVxJ3BcPs&#10;Nn8AAAD//wMAUEsBAi0AFAAGAAgAAAAhAJszJzcMAQAALQIAABMAAAAAAAAAAAAAAAAAAAAAAFtD&#10;b250ZW50X1R5cGVzXS54bWxQSwECLQAUAAYACAAAACEAOP0h/9YAAACUAQAACwAAAAAAAAAAAAAA&#10;AAA9AQAAX3JlbHMvLnJlbHNQSwECLQAUAAYACAAAACEAsj/eEYcBAAArAwAADgAAAAAAAAAAAAAA&#10;AAA8AgAAZHJzL2Uyb0RvYy54bWxQSwECLQAUAAYACAAAACEAeRi8nb8AAAAhAQAAGQAAAAAAAAAA&#10;AAAAAADvAwAAZHJzL19yZWxzL2Uyb0RvYy54bWwucmVsc1BLAQItABQABgAIAAAAIQBKCkXJ3wAA&#10;AAkBAAAPAAAAAAAAAAAAAAAAAOUEAABkcnMvZG93bnJldi54bWxQSwECLQAUAAYACAAAACEAyzrU&#10;4O4BAAC5BAAAEAAAAAAAAAAAAAAAAADxBQAAZHJzL2luay9pbmsxLnhtbFBLBQYAAAAABgAGAHgB&#10;AAANCAAAAAA=&#10;">
                  <v:imagedata r:id="rId15" o:title=""/>
                </v:shape>
              </w:pict>
            </w:r>
            <w:r w:rsidR="00D12786" w:rsidRPr="00D12786">
              <w:rPr>
                <w:rFonts w:asciiTheme="minorHAnsi" w:eastAsiaTheme="minorHAnsi" w:hAnsiTheme="minorHAnsi" w:cstheme="minorHAnsi"/>
                <w:sz w:val="22"/>
                <w:szCs w:val="22"/>
              </w:rPr>
              <w:t>A la entrega y aprobación del Informe Inicial de Avance Nro. 1. (a los 7 días)</w:t>
            </w:r>
          </w:p>
        </w:tc>
        <w:tc>
          <w:tcPr>
            <w:tcW w:w="1134" w:type="dxa"/>
          </w:tcPr>
          <w:p w:rsidR="00D12786" w:rsidRPr="00D12786" w:rsidRDefault="00D12786" w:rsidP="006B74DF">
            <w:pPr>
              <w:pStyle w:val="ListParagraph"/>
              <w:ind w:left="0" w:right="-10"/>
              <w:contextualSpacing w:val="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D12786">
              <w:rPr>
                <w:rFonts w:asciiTheme="minorHAnsi" w:hAnsiTheme="minorHAnsi" w:cstheme="minorHAnsi"/>
                <w:sz w:val="22"/>
                <w:szCs w:val="22"/>
              </w:rPr>
              <w:t>20%</w:t>
            </w:r>
          </w:p>
        </w:tc>
      </w:tr>
      <w:tr w:rsidR="00D12786" w:rsidRPr="00DB7D7A" w:rsidTr="00B91081">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555" w:type="dxa"/>
          </w:tcPr>
          <w:p w:rsidR="00D12786" w:rsidRPr="00691430" w:rsidRDefault="00D12786" w:rsidP="006B74DF">
            <w:pPr>
              <w:ind w:left="34" w:right="-11"/>
              <w:rPr>
                <w:rFonts w:asciiTheme="minorHAnsi" w:hAnsiTheme="minorHAnsi" w:cstheme="minorHAnsi"/>
                <w:sz w:val="22"/>
                <w:szCs w:val="22"/>
              </w:rPr>
            </w:pPr>
            <w:r>
              <w:rPr>
                <w:rFonts w:asciiTheme="minorHAnsi" w:hAnsiTheme="minorHAnsi" w:cstheme="minorHAnsi"/>
                <w:sz w:val="22"/>
                <w:szCs w:val="22"/>
              </w:rPr>
              <w:t>Segundo Pago</w:t>
            </w:r>
          </w:p>
        </w:tc>
        <w:tc>
          <w:tcPr>
            <w:tcW w:w="5436" w:type="dxa"/>
          </w:tcPr>
          <w:p w:rsidR="00D12786" w:rsidRPr="00D12786" w:rsidRDefault="00D12786" w:rsidP="0003426E">
            <w:pPr>
              <w:ind w:right="-1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D12786">
              <w:rPr>
                <w:rFonts w:asciiTheme="minorHAnsi" w:eastAsiaTheme="minorHAnsi" w:hAnsiTheme="minorHAnsi" w:cstheme="minorHAnsi"/>
                <w:sz w:val="22"/>
                <w:szCs w:val="22"/>
              </w:rPr>
              <w:t xml:space="preserve">A la entrega y aprobación del Informe de Avance Nro. 2 que incluye la Etapa 1 Diagnostico de la Situación Actual (a los </w:t>
            </w:r>
            <w:r w:rsidR="0003426E">
              <w:rPr>
                <w:rFonts w:asciiTheme="minorHAnsi" w:eastAsiaTheme="minorHAnsi" w:hAnsiTheme="minorHAnsi" w:cstheme="minorHAnsi"/>
                <w:sz w:val="22"/>
                <w:szCs w:val="22"/>
              </w:rPr>
              <w:t>6</w:t>
            </w:r>
            <w:r w:rsidRPr="00D12786">
              <w:rPr>
                <w:rFonts w:asciiTheme="minorHAnsi" w:eastAsiaTheme="minorHAnsi" w:hAnsiTheme="minorHAnsi" w:cstheme="minorHAnsi"/>
                <w:sz w:val="22"/>
                <w:szCs w:val="22"/>
              </w:rPr>
              <w:t>0 días)</w:t>
            </w:r>
          </w:p>
        </w:tc>
        <w:tc>
          <w:tcPr>
            <w:tcW w:w="1134" w:type="dxa"/>
          </w:tcPr>
          <w:p w:rsidR="00D12786" w:rsidRPr="00D12786" w:rsidRDefault="00D12786" w:rsidP="006B74DF">
            <w:pPr>
              <w:pStyle w:val="ListParagraph"/>
              <w:ind w:left="0"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D12786">
              <w:rPr>
                <w:rFonts w:asciiTheme="minorHAnsi" w:hAnsiTheme="minorHAnsi" w:cstheme="minorHAnsi"/>
                <w:sz w:val="22"/>
                <w:szCs w:val="22"/>
              </w:rPr>
              <w:t>30%</w:t>
            </w:r>
          </w:p>
        </w:tc>
      </w:tr>
      <w:tr w:rsidR="00D12786" w:rsidRPr="00DB7D7A" w:rsidTr="00B91081">
        <w:trPr>
          <w:cnfStyle w:val="000000010000" w:firstRow="0" w:lastRow="0" w:firstColumn="0" w:lastColumn="0" w:oddVBand="0" w:evenVBand="0" w:oddHBand="0" w:evenHBand="1"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1555" w:type="dxa"/>
          </w:tcPr>
          <w:p w:rsidR="00D12786" w:rsidRPr="00691430" w:rsidRDefault="00D12786" w:rsidP="006B74DF">
            <w:pPr>
              <w:ind w:left="34" w:right="-11"/>
              <w:rPr>
                <w:rFonts w:asciiTheme="minorHAnsi" w:hAnsiTheme="minorHAnsi" w:cstheme="minorHAnsi"/>
                <w:sz w:val="22"/>
                <w:szCs w:val="22"/>
              </w:rPr>
            </w:pPr>
            <w:r>
              <w:rPr>
                <w:rFonts w:asciiTheme="minorHAnsi" w:hAnsiTheme="minorHAnsi" w:cstheme="minorHAnsi"/>
                <w:sz w:val="22"/>
                <w:szCs w:val="22"/>
              </w:rPr>
              <w:t>Tercer Pago</w:t>
            </w:r>
          </w:p>
        </w:tc>
        <w:tc>
          <w:tcPr>
            <w:tcW w:w="5436" w:type="dxa"/>
          </w:tcPr>
          <w:p w:rsidR="00D12786" w:rsidRPr="00D12786" w:rsidRDefault="00D12786" w:rsidP="0003426E">
            <w:pPr>
              <w:pStyle w:val="BodyTextIndent3"/>
              <w:tabs>
                <w:tab w:val="left" w:pos="1080"/>
              </w:tabs>
              <w:suppressAutoHyphens/>
              <w:spacing w:after="0"/>
              <w:ind w:left="0"/>
              <w:jc w:val="both"/>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D12786">
              <w:rPr>
                <w:rFonts w:asciiTheme="minorHAnsi" w:eastAsiaTheme="minorHAnsi" w:hAnsiTheme="minorHAnsi" w:cstheme="minorHAnsi"/>
                <w:color w:val="auto"/>
                <w:sz w:val="22"/>
                <w:szCs w:val="22"/>
              </w:rPr>
              <w:t>A la entrega y aprobación del Informe de Avance Nro. 3 que incluye la Etapa 2 Análisis de alternativas, selección y diseño de la propuesta (a los 1</w:t>
            </w:r>
            <w:r w:rsidR="0003426E">
              <w:rPr>
                <w:rFonts w:asciiTheme="minorHAnsi" w:eastAsiaTheme="minorHAnsi" w:hAnsiTheme="minorHAnsi" w:cstheme="minorHAnsi"/>
                <w:color w:val="auto"/>
                <w:sz w:val="22"/>
                <w:szCs w:val="22"/>
              </w:rPr>
              <w:t>5</w:t>
            </w:r>
            <w:r w:rsidRPr="00D12786">
              <w:rPr>
                <w:rFonts w:asciiTheme="minorHAnsi" w:eastAsiaTheme="minorHAnsi" w:hAnsiTheme="minorHAnsi" w:cstheme="minorHAnsi"/>
                <w:color w:val="auto"/>
                <w:sz w:val="22"/>
                <w:szCs w:val="22"/>
              </w:rPr>
              <w:t>0 días)</w:t>
            </w:r>
          </w:p>
        </w:tc>
        <w:tc>
          <w:tcPr>
            <w:tcW w:w="1134" w:type="dxa"/>
          </w:tcPr>
          <w:p w:rsidR="00D12786" w:rsidRPr="00D12786" w:rsidRDefault="00D12786" w:rsidP="006B74DF">
            <w:pPr>
              <w:pStyle w:val="ListParagraph"/>
              <w:ind w:left="0" w:right="-10"/>
              <w:contextualSpacing w:val="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D12786">
              <w:rPr>
                <w:rFonts w:asciiTheme="minorHAnsi" w:hAnsiTheme="minorHAnsi" w:cstheme="minorHAnsi"/>
                <w:sz w:val="22"/>
                <w:szCs w:val="22"/>
              </w:rPr>
              <w:t>30%</w:t>
            </w:r>
          </w:p>
        </w:tc>
      </w:tr>
      <w:tr w:rsidR="00D12786" w:rsidRPr="00DB7D7A" w:rsidTr="00B91081">
        <w:trPr>
          <w:cnfStyle w:val="000000100000" w:firstRow="0" w:lastRow="0" w:firstColumn="0" w:lastColumn="0" w:oddVBand="0" w:evenVBand="0" w:oddHBand="1" w:evenHBand="0" w:firstRowFirstColumn="0" w:firstRowLastColumn="0" w:lastRowFirstColumn="0" w:lastRowLastColumn="0"/>
          <w:trHeight w:val="158"/>
        </w:trPr>
        <w:tc>
          <w:tcPr>
            <w:cnfStyle w:val="001000000000" w:firstRow="0" w:lastRow="0" w:firstColumn="1" w:lastColumn="0" w:oddVBand="0" w:evenVBand="0" w:oddHBand="0" w:evenHBand="0" w:firstRowFirstColumn="0" w:firstRowLastColumn="0" w:lastRowFirstColumn="0" w:lastRowLastColumn="0"/>
            <w:tcW w:w="1555" w:type="dxa"/>
          </w:tcPr>
          <w:p w:rsidR="00D12786" w:rsidRPr="00691430" w:rsidRDefault="00D12786" w:rsidP="006B74DF">
            <w:pPr>
              <w:ind w:left="34" w:right="-11"/>
              <w:rPr>
                <w:rFonts w:asciiTheme="minorHAnsi" w:hAnsiTheme="minorHAnsi" w:cstheme="minorHAnsi"/>
                <w:sz w:val="22"/>
                <w:szCs w:val="22"/>
              </w:rPr>
            </w:pPr>
            <w:r>
              <w:rPr>
                <w:rFonts w:asciiTheme="minorHAnsi" w:hAnsiTheme="minorHAnsi" w:cstheme="minorHAnsi"/>
                <w:sz w:val="22"/>
                <w:szCs w:val="22"/>
              </w:rPr>
              <w:t>Cuarto Pago</w:t>
            </w:r>
          </w:p>
        </w:tc>
        <w:tc>
          <w:tcPr>
            <w:tcW w:w="5436" w:type="dxa"/>
          </w:tcPr>
          <w:p w:rsidR="00D12786" w:rsidRPr="00D12786" w:rsidRDefault="00D12786" w:rsidP="006B74DF">
            <w:pPr>
              <w:ind w:right="-1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D12786">
              <w:rPr>
                <w:rFonts w:asciiTheme="minorHAnsi" w:eastAsiaTheme="minorHAnsi" w:hAnsiTheme="minorHAnsi" w:cstheme="minorHAnsi"/>
                <w:sz w:val="22"/>
                <w:szCs w:val="22"/>
              </w:rPr>
              <w:t>A la entrega y aprobación del Informe Final que incluye los productos anteriores consolidados además de los manuales, económicos financieros y demás productos definidos en el numeral 9. (a los 240 días)</w:t>
            </w:r>
          </w:p>
        </w:tc>
        <w:tc>
          <w:tcPr>
            <w:tcW w:w="1134" w:type="dxa"/>
          </w:tcPr>
          <w:p w:rsidR="00D12786" w:rsidRPr="00D12786" w:rsidRDefault="00D12786" w:rsidP="006B74DF">
            <w:pPr>
              <w:pStyle w:val="ListParagraph"/>
              <w:ind w:left="0"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D12786">
              <w:rPr>
                <w:rFonts w:asciiTheme="minorHAnsi" w:hAnsiTheme="minorHAnsi" w:cstheme="minorHAnsi"/>
                <w:sz w:val="22"/>
                <w:szCs w:val="22"/>
              </w:rPr>
              <w:t>20%</w:t>
            </w:r>
          </w:p>
        </w:tc>
      </w:tr>
      <w:tr w:rsidR="00D12786" w:rsidRPr="00DB7D7A" w:rsidTr="00B91081">
        <w:trPr>
          <w:cnfStyle w:val="000000010000" w:firstRow="0" w:lastRow="0" w:firstColumn="0" w:lastColumn="0" w:oddVBand="0" w:evenVBand="0" w:oddHBand="0" w:evenHBand="1" w:firstRowFirstColumn="0" w:firstRowLastColumn="0" w:lastRowFirstColumn="0" w:lastRowLastColumn="0"/>
          <w:trHeight w:val="158"/>
        </w:trPr>
        <w:tc>
          <w:tcPr>
            <w:cnfStyle w:val="001000000000" w:firstRow="0" w:lastRow="0" w:firstColumn="1" w:lastColumn="0" w:oddVBand="0" w:evenVBand="0" w:oddHBand="0" w:evenHBand="0" w:firstRowFirstColumn="0" w:firstRowLastColumn="0" w:lastRowFirstColumn="0" w:lastRowLastColumn="0"/>
            <w:tcW w:w="1555" w:type="dxa"/>
          </w:tcPr>
          <w:p w:rsidR="00D12786" w:rsidRPr="00691430" w:rsidRDefault="00D12786" w:rsidP="006B74DF">
            <w:pPr>
              <w:pStyle w:val="ListParagraph"/>
              <w:ind w:left="0" w:right="-10"/>
              <w:jc w:val="right"/>
              <w:rPr>
                <w:rFonts w:asciiTheme="minorHAnsi" w:hAnsiTheme="minorHAnsi" w:cstheme="minorHAnsi"/>
                <w:b w:val="0"/>
                <w:sz w:val="22"/>
                <w:szCs w:val="22"/>
              </w:rPr>
            </w:pPr>
          </w:p>
        </w:tc>
        <w:tc>
          <w:tcPr>
            <w:tcW w:w="5436" w:type="dxa"/>
          </w:tcPr>
          <w:p w:rsidR="00D12786" w:rsidRPr="00D12786" w:rsidRDefault="00D12786" w:rsidP="006B74DF">
            <w:pPr>
              <w:pStyle w:val="ListParagraph"/>
              <w:ind w:left="0" w:right="-10"/>
              <w:contextualSpacing w:val="0"/>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D12786">
              <w:rPr>
                <w:rFonts w:asciiTheme="minorHAnsi" w:hAnsiTheme="minorHAnsi" w:cstheme="minorHAnsi"/>
                <w:sz w:val="22"/>
                <w:szCs w:val="22"/>
              </w:rPr>
              <w:t>TOTAL</w:t>
            </w:r>
          </w:p>
        </w:tc>
        <w:tc>
          <w:tcPr>
            <w:tcW w:w="1134" w:type="dxa"/>
          </w:tcPr>
          <w:p w:rsidR="00D12786" w:rsidRPr="00D12786" w:rsidRDefault="00D12786" w:rsidP="006B74DF">
            <w:pPr>
              <w:pStyle w:val="ListParagraph"/>
              <w:ind w:left="0" w:right="-10"/>
              <w:contextualSpacing w:val="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D12786">
              <w:rPr>
                <w:rFonts w:asciiTheme="minorHAnsi" w:hAnsiTheme="minorHAnsi" w:cstheme="minorHAnsi"/>
                <w:sz w:val="22"/>
                <w:szCs w:val="22"/>
              </w:rPr>
              <w:t>100%</w:t>
            </w:r>
          </w:p>
        </w:tc>
      </w:tr>
    </w:tbl>
    <w:p w:rsidR="00D12786" w:rsidRDefault="00D12786" w:rsidP="00691430">
      <w:pPr>
        <w:pStyle w:val="BodyTextIndent3"/>
        <w:tabs>
          <w:tab w:val="left" w:pos="1080"/>
        </w:tabs>
        <w:suppressAutoHyphens/>
        <w:ind w:left="992"/>
        <w:jc w:val="both"/>
        <w:textAlignment w:val="baseline"/>
        <w:rPr>
          <w:rFonts w:asciiTheme="minorHAnsi" w:eastAsiaTheme="minorHAnsi" w:hAnsiTheme="minorHAnsi" w:cstheme="minorHAnsi"/>
          <w:b/>
          <w:color w:val="auto"/>
          <w:sz w:val="22"/>
          <w:szCs w:val="22"/>
        </w:rPr>
      </w:pPr>
    </w:p>
    <w:p w:rsidR="00B32ED0" w:rsidRPr="00691430" w:rsidRDefault="00B32ED0" w:rsidP="00691430">
      <w:pPr>
        <w:pStyle w:val="BodyTextIndent3"/>
        <w:numPr>
          <w:ilvl w:val="1"/>
          <w:numId w:val="8"/>
        </w:numPr>
        <w:tabs>
          <w:tab w:val="left" w:pos="1080"/>
        </w:tabs>
        <w:suppressAutoHyphens/>
        <w:jc w:val="both"/>
        <w:textAlignment w:val="baseline"/>
        <w:rPr>
          <w:rFonts w:asciiTheme="minorHAnsi" w:eastAsiaTheme="minorHAnsi" w:hAnsiTheme="minorHAnsi" w:cstheme="minorHAnsi"/>
          <w:color w:val="auto"/>
          <w:sz w:val="22"/>
          <w:szCs w:val="22"/>
        </w:rPr>
      </w:pPr>
      <w:r w:rsidRPr="00DB7D7A">
        <w:rPr>
          <w:rFonts w:asciiTheme="minorHAnsi" w:eastAsiaTheme="minorHAnsi" w:hAnsiTheme="minorHAnsi" w:cstheme="minorHAnsi"/>
          <w:color w:val="auto"/>
          <w:sz w:val="22"/>
          <w:szCs w:val="22"/>
        </w:rPr>
        <w:t>Cada pago estará sujeto a la revisión y aprobación de los informes por la supervisión.</w:t>
      </w:r>
    </w:p>
    <w:p w:rsidR="005247CD" w:rsidRPr="00DB7D7A" w:rsidRDefault="008C05BD" w:rsidP="00691430">
      <w:pPr>
        <w:pStyle w:val="BodyTextIndent3"/>
        <w:numPr>
          <w:ilvl w:val="1"/>
          <w:numId w:val="8"/>
        </w:numPr>
        <w:tabs>
          <w:tab w:val="left" w:pos="1080"/>
        </w:tabs>
        <w:suppressAutoHyphens/>
        <w:jc w:val="both"/>
        <w:textAlignment w:val="baseline"/>
        <w:rPr>
          <w:rFonts w:asciiTheme="minorHAnsi" w:eastAsiaTheme="minorHAnsi" w:hAnsiTheme="minorHAnsi" w:cstheme="minorHAnsi"/>
          <w:color w:val="auto"/>
          <w:sz w:val="22"/>
          <w:szCs w:val="22"/>
        </w:rPr>
      </w:pPr>
      <w:r w:rsidRPr="00DB7D7A">
        <w:rPr>
          <w:rFonts w:asciiTheme="minorHAnsi" w:eastAsiaTheme="minorHAnsi" w:hAnsiTheme="minorHAnsi" w:cstheme="minorHAnsi"/>
          <w:color w:val="auto"/>
          <w:sz w:val="22"/>
          <w:szCs w:val="22"/>
        </w:rPr>
        <w:t xml:space="preserve">Las condiciones de pago se basarán en los hitos o entregables del proyecto.  El Banco no espera hacer pagos por adelantado en virtud de contratos de consultoría a menos que se requiera una cantidad significativa de viajes.  </w:t>
      </w:r>
      <w:r w:rsidRPr="00DB7D7A">
        <w:rPr>
          <w:rFonts w:asciiTheme="minorHAnsi" w:eastAsiaTheme="minorHAnsi" w:hAnsiTheme="minorHAnsi" w:cstheme="minorHAnsi"/>
          <w:sz w:val="22"/>
          <w:szCs w:val="22"/>
        </w:rPr>
        <w:t>El Banco desea recibir la propuesta de costos más competitiva para los servicios descritos en el presente documento.</w:t>
      </w:r>
    </w:p>
    <w:p w:rsidR="005247CD" w:rsidRPr="00D12786" w:rsidRDefault="008C05BD" w:rsidP="006B74DF">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r w:rsidRPr="00D12786">
        <w:rPr>
          <w:rFonts w:asciiTheme="minorHAnsi" w:eastAsiaTheme="minorHAnsi" w:hAnsiTheme="minorHAnsi" w:cstheme="minorHAnsi"/>
          <w:color w:val="auto"/>
          <w:sz w:val="22"/>
          <w:szCs w:val="22"/>
        </w:rPr>
        <w:t xml:space="preserve">La Tasa de Cambios Oficial del BID indicada en el SDP se aplicará para las conversiones necesarias de los pagos en moneda local. </w:t>
      </w:r>
    </w:p>
    <w:p w:rsidR="00B32ED0" w:rsidRPr="00DB7D7A" w:rsidRDefault="00B32ED0">
      <w:pPr>
        <w:rPr>
          <w:rFonts w:asciiTheme="minorHAnsi" w:hAnsiTheme="minorHAnsi" w:cstheme="minorHAnsi"/>
          <w:sz w:val="22"/>
          <w:szCs w:val="22"/>
        </w:rPr>
      </w:pPr>
    </w:p>
    <w:p w:rsidR="00B32ED0" w:rsidRPr="00D12786" w:rsidRDefault="00B32ED0" w:rsidP="00AA6939">
      <w:pPr>
        <w:pStyle w:val="ListParagraph"/>
        <w:numPr>
          <w:ilvl w:val="0"/>
          <w:numId w:val="8"/>
        </w:numPr>
        <w:rPr>
          <w:rFonts w:asciiTheme="minorHAnsi" w:hAnsiTheme="minorHAnsi" w:cstheme="minorHAnsi"/>
          <w:b/>
          <w:sz w:val="22"/>
          <w:szCs w:val="22"/>
          <w:u w:val="single"/>
        </w:rPr>
      </w:pPr>
      <w:r w:rsidRPr="00D12786">
        <w:rPr>
          <w:rFonts w:asciiTheme="minorHAnsi" w:hAnsiTheme="minorHAnsi" w:cstheme="minorHAnsi"/>
          <w:b/>
          <w:sz w:val="22"/>
          <w:szCs w:val="22"/>
          <w:u w:val="single"/>
        </w:rPr>
        <w:t>Propiedad Intelectual y Confidencial</w:t>
      </w:r>
    </w:p>
    <w:p w:rsidR="00D12786" w:rsidRPr="00DB7D7A" w:rsidRDefault="00D12786" w:rsidP="00D12786">
      <w:pPr>
        <w:pStyle w:val="ListParagraph"/>
        <w:ind w:left="360"/>
        <w:rPr>
          <w:rFonts w:asciiTheme="minorHAnsi" w:hAnsiTheme="minorHAnsi" w:cstheme="minorHAnsi"/>
          <w:sz w:val="22"/>
          <w:szCs w:val="22"/>
        </w:rPr>
      </w:pPr>
    </w:p>
    <w:p w:rsidR="00B32ED0" w:rsidRDefault="00B32ED0" w:rsidP="00AA50A9">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bookmarkStart w:id="4" w:name="_Toc413235841"/>
      <w:r w:rsidRPr="00D12786">
        <w:rPr>
          <w:rFonts w:asciiTheme="minorHAnsi" w:hAnsiTheme="minorHAnsi" w:cstheme="minorHAnsi"/>
          <w:bCs/>
          <w:sz w:val="22"/>
          <w:szCs w:val="22"/>
        </w:rPr>
        <w:t>Queda establecido en los presentes términos de referencia, que toda la documentación o producción intelectual resultante del trabajo realizado</w:t>
      </w:r>
      <w:r w:rsidRPr="00D12786">
        <w:rPr>
          <w:rFonts w:asciiTheme="minorHAnsi" w:hAnsiTheme="minorHAnsi" w:cstheme="minorHAnsi"/>
          <w:sz w:val="22"/>
          <w:szCs w:val="22"/>
        </w:rPr>
        <w:t xml:space="preserve"> por la Firma </w:t>
      </w:r>
      <w:r w:rsidR="00D12786" w:rsidRPr="00D12786">
        <w:rPr>
          <w:rFonts w:asciiTheme="minorHAnsi" w:hAnsiTheme="minorHAnsi" w:cstheme="minorHAnsi"/>
          <w:sz w:val="22"/>
          <w:szCs w:val="22"/>
        </w:rPr>
        <w:t>Consultora,</w:t>
      </w:r>
      <w:r w:rsidRPr="00D12786">
        <w:rPr>
          <w:rFonts w:asciiTheme="minorHAnsi" w:hAnsiTheme="minorHAnsi" w:cstheme="minorHAnsi"/>
          <w:bCs/>
          <w:sz w:val="22"/>
          <w:szCs w:val="22"/>
        </w:rPr>
        <w:t xml:space="preserve"> así como los informes que emita y toda otra información complementaria será considerada desde su elaboración como propiedad del contratante,</w:t>
      </w:r>
      <w:r w:rsidRPr="00D12786">
        <w:rPr>
          <w:rFonts w:asciiTheme="minorHAnsi" w:hAnsiTheme="minorHAnsi" w:cstheme="minorHAnsi"/>
          <w:sz w:val="22"/>
          <w:szCs w:val="22"/>
        </w:rPr>
        <w:t xml:space="preserve"> el cual tendrá los derechos exclusivos para publicar, modificar o difundir los mismos. Este derecho continuará vigente aún concluida la relación contractual entre partes.</w:t>
      </w:r>
    </w:p>
    <w:p w:rsidR="00D12786" w:rsidRPr="00D12786" w:rsidRDefault="00D12786" w:rsidP="00D12786">
      <w:pPr>
        <w:pStyle w:val="ListParagraph"/>
        <w:ind w:left="792"/>
        <w:jc w:val="both"/>
        <w:rPr>
          <w:rFonts w:asciiTheme="minorHAnsi" w:hAnsiTheme="minorHAnsi" w:cstheme="minorHAnsi"/>
          <w:sz w:val="22"/>
          <w:szCs w:val="22"/>
        </w:rPr>
      </w:pPr>
    </w:p>
    <w:p w:rsidR="00B32ED0" w:rsidRDefault="00B32ED0" w:rsidP="00AA50A9">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r w:rsidRPr="00D12786">
        <w:rPr>
          <w:rFonts w:asciiTheme="minorHAnsi" w:hAnsiTheme="minorHAnsi" w:cstheme="minorHAnsi"/>
          <w:sz w:val="22"/>
          <w:szCs w:val="22"/>
        </w:rPr>
        <w:t>Los materiales producidos por la Firma consultora, así como la información a la que este tuviere acceso, durante o después de la ejecución del presente contrato, tendrá carácter confidencial, quedando prohibida su divulgación a terceros, exceptuando los casos en que el contratante emita un pronunciamiento escrito estableciendo lo contrario.</w:t>
      </w:r>
    </w:p>
    <w:p w:rsidR="00D12786" w:rsidRPr="00D12786" w:rsidRDefault="00D12786" w:rsidP="00D12786">
      <w:pPr>
        <w:jc w:val="both"/>
        <w:rPr>
          <w:rFonts w:asciiTheme="minorHAnsi" w:hAnsiTheme="minorHAnsi" w:cstheme="minorHAnsi"/>
          <w:sz w:val="22"/>
          <w:szCs w:val="22"/>
        </w:rPr>
      </w:pPr>
    </w:p>
    <w:bookmarkEnd w:id="4"/>
    <w:p w:rsidR="00B32ED0" w:rsidRPr="00D7741A" w:rsidRDefault="00B32ED0" w:rsidP="00B32ED0">
      <w:pPr>
        <w:pStyle w:val="ListParagraph"/>
        <w:numPr>
          <w:ilvl w:val="0"/>
          <w:numId w:val="8"/>
        </w:numPr>
        <w:spacing w:after="200"/>
        <w:rPr>
          <w:rFonts w:asciiTheme="minorHAnsi" w:hAnsiTheme="minorHAnsi" w:cstheme="minorHAnsi"/>
          <w:b/>
          <w:sz w:val="22"/>
          <w:szCs w:val="22"/>
          <w:u w:val="single"/>
        </w:rPr>
      </w:pPr>
      <w:r w:rsidRPr="00D7741A">
        <w:rPr>
          <w:rFonts w:asciiTheme="minorHAnsi" w:hAnsiTheme="minorHAnsi" w:cstheme="minorHAnsi"/>
          <w:b/>
          <w:sz w:val="22"/>
          <w:szCs w:val="22"/>
          <w:u w:val="single"/>
        </w:rPr>
        <w:t>Proponentes elegibles</w:t>
      </w:r>
    </w:p>
    <w:p w:rsidR="00D12786" w:rsidRPr="00DB7D7A" w:rsidRDefault="00D12786" w:rsidP="00D12786">
      <w:pPr>
        <w:pStyle w:val="ListParagraph"/>
        <w:spacing w:after="200"/>
        <w:ind w:left="360"/>
        <w:rPr>
          <w:rFonts w:asciiTheme="minorHAnsi" w:hAnsiTheme="minorHAnsi" w:cstheme="minorHAnsi"/>
          <w:b/>
          <w:sz w:val="22"/>
          <w:szCs w:val="22"/>
        </w:rPr>
      </w:pPr>
    </w:p>
    <w:p w:rsidR="00B32ED0" w:rsidRDefault="00B32ED0" w:rsidP="00AA50A9">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r w:rsidRPr="00D12786">
        <w:rPr>
          <w:rFonts w:asciiTheme="minorHAnsi" w:hAnsiTheme="minorHAnsi" w:cstheme="minorHAnsi"/>
          <w:sz w:val="22"/>
          <w:szCs w:val="22"/>
        </w:rPr>
        <w:t>En esta convocatoria podrán participar empresas consultoras legalmente constituidas, en forma independiente o como asociaciones accidentales, así como Organismos No Gubernamentales.</w:t>
      </w:r>
    </w:p>
    <w:p w:rsidR="00D12786" w:rsidRPr="00D12786" w:rsidRDefault="00D12786" w:rsidP="00D12786">
      <w:pPr>
        <w:pStyle w:val="ListParagraph"/>
        <w:ind w:left="792"/>
        <w:jc w:val="both"/>
        <w:rPr>
          <w:rFonts w:asciiTheme="minorHAnsi" w:hAnsiTheme="minorHAnsi" w:cstheme="minorHAnsi"/>
          <w:sz w:val="22"/>
          <w:szCs w:val="22"/>
        </w:rPr>
      </w:pPr>
    </w:p>
    <w:p w:rsidR="00B32ED0" w:rsidRPr="00D7741A" w:rsidRDefault="00B32ED0" w:rsidP="00D7741A">
      <w:pPr>
        <w:pStyle w:val="BodyTextIndent3"/>
        <w:numPr>
          <w:ilvl w:val="1"/>
          <w:numId w:val="8"/>
        </w:numPr>
        <w:tabs>
          <w:tab w:val="left" w:pos="1080"/>
        </w:tabs>
        <w:suppressAutoHyphens/>
        <w:jc w:val="both"/>
        <w:textAlignment w:val="baseline"/>
        <w:rPr>
          <w:rFonts w:asciiTheme="minorHAnsi" w:hAnsiTheme="minorHAnsi" w:cstheme="minorHAnsi"/>
          <w:b/>
          <w:sz w:val="22"/>
          <w:szCs w:val="22"/>
        </w:rPr>
      </w:pPr>
      <w:bookmarkStart w:id="5" w:name="_Toc413235842"/>
      <w:r w:rsidRPr="00D7741A">
        <w:rPr>
          <w:rFonts w:asciiTheme="minorHAnsi" w:hAnsiTheme="minorHAnsi" w:cstheme="minorHAnsi"/>
          <w:b/>
          <w:sz w:val="22"/>
          <w:szCs w:val="22"/>
        </w:rPr>
        <w:t>Requisitos de la empresa</w:t>
      </w:r>
    </w:p>
    <w:p w:rsidR="00B32ED0" w:rsidRPr="00306569" w:rsidRDefault="00B32ED0" w:rsidP="00B32ED0">
      <w:pPr>
        <w:pStyle w:val="ListParagraph"/>
        <w:numPr>
          <w:ilvl w:val="2"/>
          <w:numId w:val="8"/>
        </w:numPr>
        <w:spacing w:after="200"/>
        <w:rPr>
          <w:rFonts w:asciiTheme="minorHAnsi" w:hAnsiTheme="minorHAnsi" w:cstheme="minorHAnsi"/>
          <w:sz w:val="22"/>
          <w:szCs w:val="22"/>
        </w:rPr>
      </w:pPr>
      <w:r w:rsidRPr="00306569">
        <w:rPr>
          <w:rFonts w:asciiTheme="minorHAnsi" w:hAnsiTheme="minorHAnsi" w:cstheme="minorHAnsi"/>
          <w:sz w:val="22"/>
          <w:szCs w:val="22"/>
        </w:rPr>
        <w:t>Experiencia General</w:t>
      </w:r>
      <w:bookmarkEnd w:id="5"/>
      <w:r w:rsidRPr="00306569">
        <w:rPr>
          <w:rFonts w:asciiTheme="minorHAnsi" w:hAnsiTheme="minorHAnsi" w:cstheme="minorHAnsi"/>
          <w:sz w:val="22"/>
          <w:szCs w:val="22"/>
        </w:rPr>
        <w:t xml:space="preserve"> de la Firma Consultora</w:t>
      </w:r>
    </w:p>
    <w:p w:rsidR="00B32ED0" w:rsidRPr="00306569" w:rsidRDefault="00B32ED0" w:rsidP="00B32ED0">
      <w:pPr>
        <w:pStyle w:val="NoSpacing"/>
        <w:ind w:left="556"/>
        <w:jc w:val="both"/>
        <w:rPr>
          <w:rFonts w:cstheme="minorHAnsi"/>
        </w:rPr>
      </w:pPr>
      <w:r w:rsidRPr="00DB7D7A">
        <w:rPr>
          <w:rFonts w:cstheme="minorHAnsi"/>
        </w:rPr>
        <w:t xml:space="preserve">La empresa proponente deberá contar con una experiencia general de diez (10) años, que deberán </w:t>
      </w:r>
      <w:r w:rsidRPr="00306569">
        <w:rPr>
          <w:rFonts w:cstheme="minorHAnsi"/>
        </w:rPr>
        <w:t>ser acreditados con el Certificado de Cumplimiento de Contrato o su equivalente.</w:t>
      </w:r>
    </w:p>
    <w:p w:rsidR="00B32ED0" w:rsidRPr="00306569" w:rsidRDefault="00B32ED0" w:rsidP="00B32ED0">
      <w:pPr>
        <w:tabs>
          <w:tab w:val="left" w:pos="-1418"/>
        </w:tabs>
        <w:ind w:left="141"/>
        <w:jc w:val="both"/>
        <w:rPr>
          <w:rFonts w:asciiTheme="minorHAnsi" w:hAnsiTheme="minorHAnsi" w:cstheme="minorHAnsi"/>
          <w:sz w:val="22"/>
          <w:szCs w:val="22"/>
        </w:rPr>
      </w:pPr>
    </w:p>
    <w:p w:rsidR="00B32ED0" w:rsidRPr="00306569" w:rsidRDefault="00B32ED0" w:rsidP="00B32ED0">
      <w:pPr>
        <w:pStyle w:val="ListParagraph"/>
        <w:numPr>
          <w:ilvl w:val="2"/>
          <w:numId w:val="8"/>
        </w:numPr>
        <w:spacing w:after="200"/>
        <w:rPr>
          <w:rFonts w:asciiTheme="minorHAnsi" w:hAnsiTheme="minorHAnsi" w:cstheme="minorHAnsi"/>
          <w:sz w:val="22"/>
          <w:szCs w:val="22"/>
        </w:rPr>
      </w:pPr>
      <w:bookmarkStart w:id="6" w:name="_Toc413235843"/>
      <w:r w:rsidRPr="00306569">
        <w:rPr>
          <w:rFonts w:asciiTheme="minorHAnsi" w:hAnsiTheme="minorHAnsi" w:cstheme="minorHAnsi"/>
          <w:sz w:val="22"/>
          <w:szCs w:val="22"/>
        </w:rPr>
        <w:t>Experiencia Específica</w:t>
      </w:r>
      <w:bookmarkEnd w:id="6"/>
      <w:r w:rsidRPr="00306569">
        <w:rPr>
          <w:rFonts w:asciiTheme="minorHAnsi" w:hAnsiTheme="minorHAnsi" w:cstheme="minorHAnsi"/>
          <w:sz w:val="22"/>
          <w:szCs w:val="22"/>
        </w:rPr>
        <w:t xml:space="preserve"> de la Firma Consultora</w:t>
      </w:r>
    </w:p>
    <w:p w:rsidR="00B32ED0" w:rsidRPr="00DB7D7A" w:rsidRDefault="00B32ED0" w:rsidP="00B32ED0">
      <w:pPr>
        <w:pStyle w:val="NoSpacing"/>
        <w:ind w:left="556"/>
        <w:jc w:val="both"/>
        <w:rPr>
          <w:rFonts w:cstheme="minorHAnsi"/>
        </w:rPr>
      </w:pPr>
      <w:r w:rsidRPr="00DB7D7A">
        <w:rPr>
          <w:rFonts w:cstheme="minorHAnsi"/>
        </w:rPr>
        <w:t xml:space="preserve">La empresa proponente deberá contar con una experiencia específica en Estudios en el sector </w:t>
      </w:r>
      <w:r w:rsidR="0003426E">
        <w:rPr>
          <w:rFonts w:cstheme="minorHAnsi"/>
        </w:rPr>
        <w:t xml:space="preserve">de agua potable y </w:t>
      </w:r>
      <w:r w:rsidRPr="00DB7D7A">
        <w:rPr>
          <w:rFonts w:cstheme="minorHAnsi"/>
        </w:rPr>
        <w:t>saneamiento básico como se detalla a continuación:</w:t>
      </w:r>
    </w:p>
    <w:p w:rsidR="00B32ED0" w:rsidRPr="00DB7D7A" w:rsidRDefault="00B32ED0" w:rsidP="00B32ED0">
      <w:pPr>
        <w:pStyle w:val="NoSpacing"/>
        <w:ind w:left="556"/>
        <w:jc w:val="both"/>
        <w:rPr>
          <w:rFonts w:cstheme="minorHAnsi"/>
        </w:rPr>
      </w:pPr>
    </w:p>
    <w:p w:rsidR="00B32ED0" w:rsidRPr="00DB7D7A" w:rsidRDefault="00B32ED0" w:rsidP="00B32ED0">
      <w:pPr>
        <w:pStyle w:val="NoSpacing"/>
        <w:numPr>
          <w:ilvl w:val="0"/>
          <w:numId w:val="9"/>
        </w:numPr>
        <w:jc w:val="both"/>
        <w:rPr>
          <w:rFonts w:cstheme="minorHAnsi"/>
        </w:rPr>
      </w:pPr>
      <w:r w:rsidRPr="00DB7D7A">
        <w:rPr>
          <w:rFonts w:cstheme="minorHAnsi"/>
        </w:rPr>
        <w:t xml:space="preserve">Experiencia especifica mínima de 3 estudios en </w:t>
      </w:r>
      <w:r w:rsidR="0003426E">
        <w:rPr>
          <w:rFonts w:cstheme="minorHAnsi"/>
        </w:rPr>
        <w:t>Diseño de Presas con montos superiores a los establecidos en los presentes Términos de Referencia</w:t>
      </w:r>
      <w:r w:rsidRPr="00DB7D7A">
        <w:rPr>
          <w:rFonts w:cstheme="minorHAnsi"/>
        </w:rPr>
        <w:t>.</w:t>
      </w:r>
    </w:p>
    <w:p w:rsidR="00B32ED0" w:rsidRPr="00DB7D7A" w:rsidRDefault="00B32ED0" w:rsidP="00B32ED0">
      <w:pPr>
        <w:pStyle w:val="NoSpacing"/>
        <w:ind w:left="556"/>
        <w:jc w:val="both"/>
        <w:rPr>
          <w:rFonts w:cstheme="minorHAnsi"/>
        </w:rPr>
      </w:pPr>
    </w:p>
    <w:p w:rsidR="00B32ED0" w:rsidRPr="00DB7D7A" w:rsidRDefault="00B32ED0" w:rsidP="00B32ED0">
      <w:pPr>
        <w:pStyle w:val="NoSpacing"/>
        <w:numPr>
          <w:ilvl w:val="0"/>
          <w:numId w:val="9"/>
        </w:numPr>
        <w:jc w:val="both"/>
        <w:rPr>
          <w:rFonts w:cstheme="minorHAnsi"/>
        </w:rPr>
      </w:pPr>
      <w:r w:rsidRPr="00DB7D7A">
        <w:rPr>
          <w:rFonts w:cstheme="minorHAnsi"/>
        </w:rPr>
        <w:t xml:space="preserve">Experiencia especifica mínima de 3 estudios en diseño de </w:t>
      </w:r>
      <w:r w:rsidR="0003426E">
        <w:rPr>
          <w:rFonts w:cstheme="minorHAnsi"/>
        </w:rPr>
        <w:t>sistemas de agua potable y aducciones.</w:t>
      </w:r>
    </w:p>
    <w:p w:rsidR="00B32ED0" w:rsidRPr="00DB7D7A" w:rsidRDefault="00B32ED0" w:rsidP="00B32ED0">
      <w:pPr>
        <w:pStyle w:val="NoSpacing"/>
        <w:ind w:left="556"/>
        <w:jc w:val="both"/>
        <w:rPr>
          <w:rFonts w:cstheme="minorHAnsi"/>
        </w:rPr>
      </w:pPr>
    </w:p>
    <w:p w:rsidR="00B32ED0" w:rsidRPr="00DB7D7A" w:rsidRDefault="00B32ED0" w:rsidP="00B32ED0">
      <w:pPr>
        <w:pStyle w:val="NoSpacing"/>
        <w:ind w:left="556"/>
        <w:jc w:val="both"/>
        <w:rPr>
          <w:rFonts w:cstheme="minorHAnsi"/>
        </w:rPr>
      </w:pPr>
      <w:r w:rsidRPr="00DB7D7A">
        <w:rPr>
          <w:rFonts w:cstheme="minorHAnsi"/>
        </w:rPr>
        <w:t>En los casos de Asociación Accidental, la experiencia general y específica, serán la suma de las experiencias individualmente demostradas por las empresas que integran la Asociación.</w:t>
      </w:r>
    </w:p>
    <w:p w:rsidR="00B32ED0" w:rsidRPr="00DB7D7A" w:rsidRDefault="00B32ED0" w:rsidP="00B32ED0">
      <w:pPr>
        <w:pStyle w:val="NoSpacing"/>
        <w:ind w:left="976"/>
        <w:jc w:val="both"/>
        <w:rPr>
          <w:rFonts w:cstheme="minorHAnsi"/>
        </w:rPr>
      </w:pPr>
    </w:p>
    <w:p w:rsidR="00B32ED0" w:rsidRPr="00DB7D7A" w:rsidRDefault="00B32ED0" w:rsidP="00B32ED0">
      <w:pPr>
        <w:pStyle w:val="NoSpacing"/>
        <w:ind w:left="556"/>
        <w:jc w:val="both"/>
        <w:rPr>
          <w:rFonts w:cstheme="minorHAnsi"/>
        </w:rPr>
      </w:pPr>
      <w:r w:rsidRPr="00DB7D7A">
        <w:rPr>
          <w:rFonts w:cstheme="minorHAnsi"/>
        </w:rPr>
        <w:t xml:space="preserve">La experiencia general es el conjunto de consultorías realizadas y la experiencia específica es el conjunto de consultorías similares a la consultoría objeto de la contratación. </w:t>
      </w:r>
    </w:p>
    <w:p w:rsidR="00B32ED0" w:rsidRPr="00DB7D7A" w:rsidRDefault="00B32ED0" w:rsidP="00B32ED0">
      <w:pPr>
        <w:pStyle w:val="NoSpacing"/>
        <w:ind w:left="976"/>
        <w:jc w:val="both"/>
        <w:rPr>
          <w:rFonts w:cstheme="minorHAnsi"/>
        </w:rPr>
      </w:pPr>
    </w:p>
    <w:p w:rsidR="00B32ED0" w:rsidRPr="00DB7D7A" w:rsidRDefault="00B32ED0" w:rsidP="00B32ED0">
      <w:pPr>
        <w:pStyle w:val="NoSpacing"/>
        <w:ind w:left="556"/>
        <w:jc w:val="both"/>
        <w:rPr>
          <w:rFonts w:cstheme="minorHAnsi"/>
        </w:rPr>
      </w:pPr>
      <w:r w:rsidRPr="00DB7D7A">
        <w:rPr>
          <w:rFonts w:cstheme="minorHAnsi"/>
        </w:rPr>
        <w:t>La experiencia específica es parte de la experiencia general, pero no viceversa, consiguientemente, las consultorías similares pueden ser incluidas en el requerimiento de experiencia general.</w:t>
      </w:r>
    </w:p>
    <w:p w:rsidR="00B32ED0" w:rsidRPr="00DB7D7A" w:rsidRDefault="00B32ED0" w:rsidP="00B32ED0">
      <w:pPr>
        <w:tabs>
          <w:tab w:val="left" w:pos="-1418"/>
        </w:tabs>
        <w:ind w:left="141"/>
        <w:jc w:val="both"/>
        <w:rPr>
          <w:rFonts w:asciiTheme="minorHAnsi" w:hAnsiTheme="minorHAnsi" w:cstheme="minorHAnsi"/>
          <w:b/>
          <w:sz w:val="22"/>
          <w:szCs w:val="22"/>
        </w:rPr>
      </w:pPr>
    </w:p>
    <w:p w:rsidR="00B32ED0" w:rsidRPr="00DB7D7A" w:rsidRDefault="00B32ED0" w:rsidP="00B32ED0">
      <w:pPr>
        <w:pStyle w:val="ListParagraph"/>
        <w:numPr>
          <w:ilvl w:val="1"/>
          <w:numId w:val="8"/>
        </w:numPr>
        <w:spacing w:after="200"/>
        <w:rPr>
          <w:rFonts w:asciiTheme="minorHAnsi" w:hAnsiTheme="minorHAnsi" w:cstheme="minorHAnsi"/>
          <w:b/>
          <w:sz w:val="22"/>
          <w:szCs w:val="22"/>
        </w:rPr>
      </w:pPr>
      <w:r w:rsidRPr="00DB7D7A">
        <w:rPr>
          <w:rFonts w:asciiTheme="minorHAnsi" w:hAnsiTheme="minorHAnsi" w:cstheme="minorHAnsi"/>
          <w:b/>
          <w:sz w:val="22"/>
          <w:szCs w:val="22"/>
        </w:rPr>
        <w:t>Requisitos del personal</w:t>
      </w:r>
    </w:p>
    <w:p w:rsidR="00B32ED0" w:rsidRDefault="00B32ED0" w:rsidP="00DA7B8B">
      <w:pPr>
        <w:pStyle w:val="NoSpacing"/>
        <w:numPr>
          <w:ilvl w:val="2"/>
          <w:numId w:val="8"/>
        </w:numPr>
        <w:jc w:val="both"/>
        <w:rPr>
          <w:rFonts w:cstheme="minorHAnsi"/>
        </w:rPr>
      </w:pPr>
      <w:r w:rsidRPr="00DB7D7A">
        <w:rPr>
          <w:rFonts w:cstheme="minorHAnsi"/>
        </w:rPr>
        <w:t>A continuación, se detalla las características del personal clave solicitado para el servicio de consultoría el cual no podrá ser sustituido durante la vigencia de la consultoría, salvo por motivos de fuerza mayor debidamente justificados y aprobados por el contratante.</w:t>
      </w:r>
    </w:p>
    <w:p w:rsidR="00B32ED0" w:rsidRPr="00DB7D7A" w:rsidRDefault="00B32ED0" w:rsidP="00B32ED0">
      <w:pPr>
        <w:pStyle w:val="NoSpacing"/>
        <w:ind w:left="573"/>
        <w:jc w:val="both"/>
        <w:rPr>
          <w:rFonts w:cstheme="minorHAnsi"/>
        </w:rPr>
      </w:pPr>
    </w:p>
    <w:p w:rsidR="00B32ED0" w:rsidRDefault="00B91081" w:rsidP="00B32ED0">
      <w:pPr>
        <w:pStyle w:val="NoSpacing"/>
        <w:ind w:left="573"/>
        <w:jc w:val="both"/>
        <w:rPr>
          <w:rFonts w:cstheme="minorHAnsi"/>
        </w:rPr>
      </w:pPr>
      <w:r w:rsidRPr="00B91081">
        <w:rPr>
          <w:noProof/>
          <w:lang w:val="en-US"/>
        </w:rPr>
        <w:lastRenderedPageBreak/>
        <w:drawing>
          <wp:inline distT="0" distB="0" distL="0" distR="0">
            <wp:extent cx="5943600" cy="5436338"/>
            <wp:effectExtent l="19050" t="0" r="0"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5943600" cy="5436338"/>
                    </a:xfrm>
                    <a:prstGeom prst="rect">
                      <a:avLst/>
                    </a:prstGeom>
                    <a:noFill/>
                    <a:ln w="9525">
                      <a:noFill/>
                      <a:miter lim="800000"/>
                      <a:headEnd/>
                      <a:tailEnd/>
                    </a:ln>
                  </pic:spPr>
                </pic:pic>
              </a:graphicData>
            </a:graphic>
          </wp:inline>
        </w:drawing>
      </w:r>
    </w:p>
    <w:p w:rsidR="00181E46" w:rsidRPr="00DB7D7A" w:rsidRDefault="00181E46" w:rsidP="00B32ED0">
      <w:pPr>
        <w:pStyle w:val="NoSpacing"/>
        <w:ind w:left="573"/>
        <w:jc w:val="both"/>
        <w:rPr>
          <w:rFonts w:cstheme="minorHAnsi"/>
        </w:rPr>
      </w:pPr>
    </w:p>
    <w:p w:rsidR="00B32ED0" w:rsidRPr="00DB7D7A" w:rsidRDefault="00B32ED0" w:rsidP="00866F4C">
      <w:pPr>
        <w:pStyle w:val="NoSpacing"/>
        <w:numPr>
          <w:ilvl w:val="2"/>
          <w:numId w:val="8"/>
        </w:numPr>
        <w:rPr>
          <w:rFonts w:cstheme="minorHAnsi"/>
          <w:b/>
        </w:rPr>
      </w:pPr>
      <w:r w:rsidRPr="00DB7D7A">
        <w:rPr>
          <w:rFonts w:cstheme="minorHAnsi"/>
          <w:b/>
        </w:rPr>
        <w:t>Experiencia general y específica del personal clave</w:t>
      </w:r>
    </w:p>
    <w:p w:rsidR="00B32ED0" w:rsidRPr="00DB7D7A" w:rsidRDefault="00B32ED0" w:rsidP="00B32ED0">
      <w:pPr>
        <w:pStyle w:val="NoSpacing"/>
        <w:ind w:left="1080"/>
        <w:rPr>
          <w:rFonts w:cstheme="minorHAnsi"/>
        </w:rPr>
      </w:pPr>
    </w:p>
    <w:p w:rsidR="00B32ED0" w:rsidRPr="00DB7D7A" w:rsidRDefault="00B32ED0" w:rsidP="00866F4C">
      <w:pPr>
        <w:pStyle w:val="NoSpacing"/>
        <w:ind w:left="709"/>
        <w:jc w:val="both"/>
        <w:rPr>
          <w:rFonts w:cstheme="minorHAnsi"/>
        </w:rPr>
      </w:pPr>
      <w:r w:rsidRPr="00DB7D7A">
        <w:rPr>
          <w:rFonts w:cstheme="minorHAnsi"/>
        </w:rPr>
        <w:t xml:space="preserve">La experiencia del personal clave será computada considerando el conjunto de contratos en los cuales el profesional ha desempeñado cargos similares o superiores al requerido por la entidad convocante, que podrán ser acreditados con certificado suscrito por la empresa o entidad para la cual ha desempeñado el cargo declarado u otros documentos que avalen esta participación. </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t>La experiencia general es el conjunto de consultorías en general y la experiencia específica es el conjunto de consultorías similares al objeto de la contratación.</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t>La experiencia específica es parte de la experiencia general, pero no viceversa. Esto quiere decir que los cargos en consultorías similares pueden ser incluidos en el requerimiento de experiencia general; sin embargo, los cargos en consultorías en general no pueden ser incluidos como experiencia específica.</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t>La valoración de Experiencia Específica mínima requerida para el personal clave deberá efectuarse considerando las condiciones de formación, cargo a desempeñar, áreas de especialización y experiencia específica requeridas, para el personal clave, en el presente Término de Referencia.</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t>La empresa proponente deberá adjuntar en su propuesta una fotocopia simple del título académico y certificados, títulos o documentación que acredite la especialidad y los conocimientos requeridos para el personal clave.</w:t>
      </w:r>
    </w:p>
    <w:p w:rsidR="00B32ED0" w:rsidRPr="00DB7D7A" w:rsidRDefault="00B32ED0" w:rsidP="00866F4C">
      <w:pPr>
        <w:pStyle w:val="NoSpacing"/>
        <w:ind w:left="709"/>
        <w:rPr>
          <w:rFonts w:cstheme="minorHAnsi"/>
        </w:rPr>
      </w:pPr>
    </w:p>
    <w:p w:rsidR="00B32ED0" w:rsidRPr="00DB7D7A" w:rsidRDefault="00B32ED0" w:rsidP="00B32ED0">
      <w:pPr>
        <w:pStyle w:val="NoSpacing"/>
        <w:jc w:val="both"/>
        <w:rPr>
          <w:rFonts w:cstheme="minorHAnsi"/>
        </w:rPr>
      </w:pPr>
    </w:p>
    <w:p w:rsidR="00B32ED0" w:rsidRPr="00EE6BEF" w:rsidRDefault="00B32ED0" w:rsidP="00B32ED0">
      <w:pPr>
        <w:pStyle w:val="ListParagraph"/>
        <w:numPr>
          <w:ilvl w:val="0"/>
          <w:numId w:val="8"/>
        </w:numPr>
        <w:spacing w:after="200"/>
        <w:rPr>
          <w:rFonts w:asciiTheme="minorHAnsi" w:hAnsiTheme="minorHAnsi" w:cstheme="minorHAnsi"/>
          <w:b/>
          <w:sz w:val="22"/>
          <w:szCs w:val="22"/>
          <w:u w:val="single"/>
        </w:rPr>
      </w:pPr>
      <w:r w:rsidRPr="00EE6BEF">
        <w:rPr>
          <w:rFonts w:asciiTheme="minorHAnsi" w:hAnsiTheme="minorHAnsi" w:cstheme="minorHAnsi"/>
          <w:b/>
          <w:sz w:val="22"/>
          <w:szCs w:val="22"/>
          <w:u w:val="single"/>
        </w:rPr>
        <w:t>Propuesta técnica y económica</w:t>
      </w:r>
    </w:p>
    <w:p w:rsidR="002B2F73" w:rsidRPr="00DB7D7A" w:rsidRDefault="002B2F73" w:rsidP="002B2F73">
      <w:pPr>
        <w:pStyle w:val="ListParagraph"/>
        <w:spacing w:after="200"/>
        <w:ind w:left="360"/>
        <w:rPr>
          <w:rFonts w:asciiTheme="minorHAnsi" w:hAnsiTheme="minorHAnsi" w:cstheme="minorHAnsi"/>
          <w:b/>
          <w:sz w:val="22"/>
          <w:szCs w:val="22"/>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Default="00B32ED0" w:rsidP="00B32ED0">
      <w:pPr>
        <w:pStyle w:val="ListParagraph"/>
        <w:numPr>
          <w:ilvl w:val="1"/>
          <w:numId w:val="8"/>
        </w:numPr>
        <w:spacing w:after="200"/>
        <w:rPr>
          <w:rFonts w:asciiTheme="minorHAnsi" w:hAnsiTheme="minorHAnsi" w:cstheme="minorHAnsi"/>
          <w:b/>
          <w:sz w:val="22"/>
          <w:szCs w:val="22"/>
        </w:rPr>
      </w:pPr>
      <w:r w:rsidRPr="00DB7D7A">
        <w:rPr>
          <w:rFonts w:asciiTheme="minorHAnsi" w:hAnsiTheme="minorHAnsi" w:cstheme="minorHAnsi"/>
          <w:b/>
          <w:sz w:val="22"/>
          <w:szCs w:val="22"/>
        </w:rPr>
        <w:t>Propuesta técnica</w:t>
      </w:r>
    </w:p>
    <w:p w:rsidR="00EE6BEF" w:rsidRPr="00DB7D7A" w:rsidRDefault="00EE6BEF" w:rsidP="00EE6BEF">
      <w:pPr>
        <w:pStyle w:val="ListParagraph"/>
        <w:spacing w:after="200"/>
        <w:ind w:left="792"/>
        <w:rPr>
          <w:rFonts w:asciiTheme="minorHAnsi" w:hAnsiTheme="minorHAnsi" w:cstheme="minorHAnsi"/>
          <w:b/>
          <w:sz w:val="22"/>
          <w:szCs w:val="22"/>
        </w:rPr>
      </w:pPr>
    </w:p>
    <w:p w:rsidR="00B32ED0" w:rsidRDefault="00B32ED0" w:rsidP="00EE6BEF">
      <w:pPr>
        <w:pStyle w:val="ListParagraph"/>
        <w:numPr>
          <w:ilvl w:val="2"/>
          <w:numId w:val="8"/>
        </w:numPr>
        <w:jc w:val="both"/>
        <w:rPr>
          <w:rFonts w:asciiTheme="minorHAnsi" w:hAnsiTheme="minorHAnsi" w:cstheme="minorHAnsi"/>
          <w:sz w:val="22"/>
          <w:szCs w:val="22"/>
        </w:rPr>
      </w:pPr>
      <w:r w:rsidRPr="00EE6BEF">
        <w:rPr>
          <w:rFonts w:asciiTheme="minorHAnsi" w:hAnsiTheme="minorHAnsi" w:cstheme="minorHAnsi"/>
          <w:sz w:val="22"/>
          <w:szCs w:val="22"/>
        </w:rPr>
        <w:t>La propuesta técnica debe estar de acuerdo a los presentes Términos de Referencia y contemplar los siguientes aspectos:</w:t>
      </w:r>
    </w:p>
    <w:p w:rsidR="00EE6BEF" w:rsidRPr="00EE6BEF" w:rsidRDefault="00EE6BEF" w:rsidP="00EE6BEF">
      <w:pPr>
        <w:pStyle w:val="ListParagraph"/>
        <w:ind w:left="1224"/>
        <w:jc w:val="both"/>
        <w:rPr>
          <w:rFonts w:asciiTheme="minorHAnsi" w:hAnsiTheme="minorHAnsi" w:cstheme="minorHAnsi"/>
          <w:sz w:val="22"/>
          <w:szCs w:val="22"/>
        </w:rPr>
      </w:pP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Enfoque.</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 xml:space="preserve">Objetivo y Alcance del trabajo. </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Metodología.</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 xml:space="preserve">Plan de Trabajo. </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Cronograma de Trabajo.</w:t>
      </w:r>
    </w:p>
    <w:p w:rsidR="00B32ED0" w:rsidRPr="00DB7D7A" w:rsidRDefault="00B32ED0" w:rsidP="00B32ED0">
      <w:pPr>
        <w:pStyle w:val="NoSpacing"/>
        <w:rPr>
          <w:rFonts w:cstheme="minorHAnsi"/>
          <w:b/>
        </w:rPr>
      </w:pPr>
    </w:p>
    <w:p w:rsidR="00B32ED0" w:rsidRPr="00EE6BEF" w:rsidRDefault="00B32ED0" w:rsidP="00B32ED0">
      <w:pPr>
        <w:pStyle w:val="ListParagraph"/>
        <w:numPr>
          <w:ilvl w:val="1"/>
          <w:numId w:val="8"/>
        </w:numPr>
        <w:spacing w:after="200"/>
        <w:rPr>
          <w:rFonts w:asciiTheme="minorHAnsi" w:hAnsiTheme="minorHAnsi" w:cstheme="minorHAnsi"/>
          <w:b/>
          <w:sz w:val="22"/>
          <w:szCs w:val="22"/>
        </w:rPr>
      </w:pPr>
      <w:r w:rsidRPr="00EE6BEF">
        <w:rPr>
          <w:rFonts w:asciiTheme="minorHAnsi" w:hAnsiTheme="minorHAnsi" w:cstheme="minorHAnsi"/>
          <w:b/>
          <w:sz w:val="22"/>
          <w:szCs w:val="22"/>
        </w:rPr>
        <w:t>Propuesta económica</w:t>
      </w:r>
    </w:p>
    <w:p w:rsidR="00B32ED0" w:rsidRPr="00DB7D7A" w:rsidRDefault="00B32ED0" w:rsidP="00EE6BEF">
      <w:pPr>
        <w:pStyle w:val="NoSpacing"/>
        <w:numPr>
          <w:ilvl w:val="2"/>
          <w:numId w:val="8"/>
        </w:numPr>
        <w:jc w:val="both"/>
        <w:rPr>
          <w:rFonts w:cstheme="minorHAnsi"/>
        </w:rPr>
      </w:pPr>
      <w:r w:rsidRPr="00DB7D7A">
        <w:rPr>
          <w:rFonts w:cstheme="minorHAnsi"/>
        </w:rPr>
        <w:t>Los documentos de la propuesta económica, deben incluir todos los impuestos de ley, así como, todo lo requerido para realizar satisfactoriamente la consultoría, como oficinas, equipos de oficina y de comunicación, transporte, estudios de laboratorio, suelos, topografía, equipos de medición, vehículos, pasajes, viáticos y otros gastos necesarios.</w:t>
      </w:r>
    </w:p>
    <w:p w:rsidR="00B32ED0" w:rsidRPr="00DB7D7A" w:rsidRDefault="00B32ED0" w:rsidP="00B32ED0">
      <w:pPr>
        <w:pStyle w:val="NoSpacing"/>
        <w:ind w:left="720"/>
        <w:jc w:val="both"/>
        <w:rPr>
          <w:rFonts w:cstheme="minorHAnsi"/>
        </w:rPr>
      </w:pPr>
    </w:p>
    <w:p w:rsidR="00B32ED0" w:rsidRPr="00DB7D7A" w:rsidRDefault="00B32ED0" w:rsidP="00EE6BEF">
      <w:pPr>
        <w:pStyle w:val="NoSpacing"/>
        <w:numPr>
          <w:ilvl w:val="2"/>
          <w:numId w:val="8"/>
        </w:numPr>
        <w:jc w:val="both"/>
        <w:rPr>
          <w:rFonts w:cstheme="minorHAnsi"/>
        </w:rPr>
      </w:pPr>
      <w:r w:rsidRPr="00DB7D7A">
        <w:rPr>
          <w:rFonts w:cstheme="minorHAnsi"/>
        </w:rPr>
        <w:t>La propuesta económica se habilita para aquellos proponentes que hayan cumplido con los requerimientos exigidos en la propuesta técnica.</w:t>
      </w:r>
    </w:p>
    <w:p w:rsidR="00B32ED0" w:rsidRPr="00DB7D7A" w:rsidRDefault="00B32ED0" w:rsidP="00B32ED0">
      <w:pPr>
        <w:tabs>
          <w:tab w:val="left" w:pos="709"/>
        </w:tabs>
        <w:ind w:left="142"/>
        <w:jc w:val="both"/>
        <w:rPr>
          <w:rFonts w:asciiTheme="minorHAnsi" w:hAnsiTheme="minorHAnsi" w:cstheme="minorHAnsi"/>
          <w:b/>
          <w:sz w:val="22"/>
          <w:szCs w:val="22"/>
        </w:rPr>
      </w:pPr>
    </w:p>
    <w:p w:rsidR="00B32ED0" w:rsidRPr="00310B42" w:rsidRDefault="00B32ED0" w:rsidP="00B32ED0">
      <w:pPr>
        <w:pStyle w:val="ListParagraph"/>
        <w:numPr>
          <w:ilvl w:val="0"/>
          <w:numId w:val="8"/>
        </w:numPr>
        <w:spacing w:after="200"/>
        <w:rPr>
          <w:rFonts w:asciiTheme="minorHAnsi" w:hAnsiTheme="minorHAnsi" w:cstheme="minorHAnsi"/>
          <w:b/>
          <w:sz w:val="22"/>
          <w:szCs w:val="22"/>
          <w:u w:val="single"/>
        </w:rPr>
      </w:pPr>
      <w:r w:rsidRPr="00310B42">
        <w:rPr>
          <w:rFonts w:asciiTheme="minorHAnsi" w:hAnsiTheme="minorHAnsi" w:cstheme="minorHAnsi"/>
          <w:b/>
          <w:sz w:val="22"/>
          <w:szCs w:val="22"/>
          <w:u w:val="single"/>
        </w:rPr>
        <w:t>Responsabilidad profesional de la Firma consultora adjudicada</w:t>
      </w:r>
    </w:p>
    <w:p w:rsidR="00B32ED0" w:rsidRPr="00DB7D7A" w:rsidRDefault="00B32ED0" w:rsidP="002B2F73">
      <w:pPr>
        <w:pStyle w:val="NoSpacing"/>
        <w:numPr>
          <w:ilvl w:val="1"/>
          <w:numId w:val="8"/>
        </w:numPr>
        <w:jc w:val="both"/>
        <w:rPr>
          <w:rFonts w:cstheme="minorHAnsi"/>
        </w:rPr>
      </w:pPr>
      <w:r w:rsidRPr="00DB7D7A">
        <w:rPr>
          <w:rFonts w:cstheme="minorHAnsi"/>
        </w:rPr>
        <w:t>La Firma consultora adjudica asume absolutamente la responsabilidad técnica, de los servicios profesionales prestados, conforme lo establecido en los presentes Términos de Referencia y Propuesta Técnico - Económica, por lo que deberá desarrollar su trabajo conforme a las más altas normas técnicas de competencia profesional, conforme a las leyes, normas de conducta y costumbres locales, por lo que en caso de ser requerida su presencia por escrito, para cualquier aclaración, de forma posterior a la liquidación del contrato, se compromete a no negar su participación.</w:t>
      </w:r>
    </w:p>
    <w:p w:rsidR="00B32ED0" w:rsidRPr="00DB7D7A" w:rsidRDefault="00B32ED0" w:rsidP="00B32ED0">
      <w:pPr>
        <w:pStyle w:val="NoSpacing"/>
        <w:jc w:val="both"/>
        <w:rPr>
          <w:rFonts w:cstheme="minorHAnsi"/>
        </w:rPr>
      </w:pPr>
    </w:p>
    <w:p w:rsidR="00B32ED0" w:rsidRPr="00DB7D7A" w:rsidRDefault="00B32ED0" w:rsidP="002B2F73">
      <w:pPr>
        <w:pStyle w:val="NoSpacing"/>
        <w:numPr>
          <w:ilvl w:val="1"/>
          <w:numId w:val="8"/>
        </w:numPr>
        <w:jc w:val="both"/>
        <w:rPr>
          <w:rFonts w:cstheme="minorHAnsi"/>
        </w:rPr>
      </w:pPr>
      <w:r w:rsidRPr="00DB7D7A">
        <w:rPr>
          <w:rFonts w:cstheme="minorHAnsi"/>
        </w:rPr>
        <w:t>En caso de no responder favorablemente a dicho requerimiento se hará conocer su negativa al Órgano Rector (Ministerio de Hacienda) para efectos de información y a la Contraloría General de la República, para los efectos legales pertinentes, en razón de que el servicio ha sido prestado bajo un contrato administrativo, por lo cual la Firma consultora adjudicada es responsable ante el Estado.</w:t>
      </w:r>
    </w:p>
    <w:p w:rsidR="00B32ED0" w:rsidRPr="00DB7D7A" w:rsidRDefault="00B32ED0" w:rsidP="00B32ED0">
      <w:pPr>
        <w:pStyle w:val="NoSpacing"/>
        <w:jc w:val="both"/>
        <w:rPr>
          <w:rFonts w:cstheme="minorHAnsi"/>
        </w:rPr>
      </w:pPr>
    </w:p>
    <w:p w:rsidR="00B32ED0" w:rsidRPr="00DB7D7A" w:rsidRDefault="00B32ED0" w:rsidP="002B2F73">
      <w:pPr>
        <w:pStyle w:val="NoSpacing"/>
        <w:numPr>
          <w:ilvl w:val="1"/>
          <w:numId w:val="8"/>
        </w:numPr>
        <w:jc w:val="both"/>
        <w:rPr>
          <w:rFonts w:cstheme="minorHAnsi"/>
        </w:rPr>
      </w:pPr>
      <w:r w:rsidRPr="00DB7D7A">
        <w:rPr>
          <w:rFonts w:cstheme="minorHAnsi"/>
        </w:rPr>
        <w:t xml:space="preserve">La Firma consultora adjudicada, no deberá tener vinculación alguna con empresas, organizaciones, funcionarios públicos o personas que puedan potencialmente </w:t>
      </w:r>
      <w:r w:rsidR="002B2F73" w:rsidRPr="00DB7D7A">
        <w:rPr>
          <w:rFonts w:cstheme="minorHAnsi"/>
        </w:rPr>
        <w:t>o,</w:t>
      </w:r>
      <w:r w:rsidRPr="00DB7D7A">
        <w:rPr>
          <w:rFonts w:cstheme="minorHAnsi"/>
        </w:rPr>
        <w:t xml:space="preserve"> de hecho, derivar beneficio comercial del servicio encomendado. Bajo esta responsabilidad se establece que la Firma consultora adjudicada, se hará pasible a las sanciones legales pertinentes, cuando se haya establecido su incumplimiento a estas disposiciones, por la vía legal correspondiente.</w:t>
      </w:r>
    </w:p>
    <w:p w:rsidR="00B32ED0" w:rsidRPr="00DB7D7A" w:rsidRDefault="00B32ED0" w:rsidP="00B32ED0">
      <w:pPr>
        <w:ind w:left="-284"/>
        <w:jc w:val="both"/>
        <w:rPr>
          <w:rFonts w:asciiTheme="minorHAnsi" w:hAnsiTheme="minorHAnsi" w:cstheme="minorHAnsi"/>
          <w:sz w:val="22"/>
          <w:szCs w:val="22"/>
        </w:rPr>
      </w:pPr>
    </w:p>
    <w:p w:rsidR="00B32ED0" w:rsidRPr="00310B42" w:rsidRDefault="00B32ED0" w:rsidP="002B2F73">
      <w:pPr>
        <w:pStyle w:val="ListParagraph"/>
        <w:numPr>
          <w:ilvl w:val="0"/>
          <w:numId w:val="8"/>
        </w:numPr>
        <w:contextualSpacing w:val="0"/>
        <w:rPr>
          <w:rFonts w:asciiTheme="minorHAnsi" w:hAnsiTheme="minorHAnsi" w:cstheme="minorHAnsi"/>
          <w:b/>
          <w:sz w:val="22"/>
          <w:szCs w:val="22"/>
          <w:u w:val="single"/>
        </w:rPr>
      </w:pPr>
      <w:r w:rsidRPr="00310B42">
        <w:rPr>
          <w:rFonts w:asciiTheme="minorHAnsi" w:hAnsiTheme="minorHAnsi" w:cstheme="minorHAnsi"/>
          <w:b/>
          <w:sz w:val="22"/>
          <w:szCs w:val="22"/>
          <w:u w:val="single"/>
        </w:rPr>
        <w:t>Reajuste de precios y controversias</w:t>
      </w:r>
    </w:p>
    <w:p w:rsidR="002B2F73" w:rsidRPr="00DB7D7A" w:rsidRDefault="002B2F73" w:rsidP="002B2F73">
      <w:pPr>
        <w:pStyle w:val="ListParagraph"/>
        <w:ind w:left="360"/>
        <w:contextualSpacing w:val="0"/>
        <w:rPr>
          <w:rFonts w:asciiTheme="minorHAnsi" w:hAnsiTheme="minorHAnsi" w:cstheme="minorHAnsi"/>
          <w:b/>
          <w:sz w:val="22"/>
          <w:szCs w:val="22"/>
        </w:rPr>
      </w:pPr>
    </w:p>
    <w:p w:rsidR="00B32ED0" w:rsidRPr="00DB7D7A" w:rsidRDefault="00B32ED0" w:rsidP="002B2F73">
      <w:pPr>
        <w:pStyle w:val="NoSpacing"/>
        <w:numPr>
          <w:ilvl w:val="1"/>
          <w:numId w:val="8"/>
        </w:numPr>
        <w:jc w:val="both"/>
        <w:rPr>
          <w:rFonts w:cstheme="minorHAnsi"/>
        </w:rPr>
      </w:pPr>
      <w:r w:rsidRPr="00DB7D7A">
        <w:rPr>
          <w:rFonts w:cstheme="minorHAnsi"/>
        </w:rPr>
        <w:t>Dadas las características del servicio, no corresponde el reajuste de precios por ninguna causa, puesto que el presupuesto deberá considerar posibles variaciones de tipo económico a lo largo del periodo de prestación del servicio, por lo que la propuesta deberá prever todos los insumos e imprevistos correspondientes.</w:t>
      </w:r>
    </w:p>
    <w:p w:rsidR="00B32ED0" w:rsidRPr="00DB7D7A" w:rsidRDefault="00B32ED0" w:rsidP="002B2F73">
      <w:pPr>
        <w:pStyle w:val="NoSpacing"/>
        <w:jc w:val="both"/>
        <w:rPr>
          <w:rFonts w:cstheme="minorHAnsi"/>
        </w:rPr>
      </w:pPr>
    </w:p>
    <w:p w:rsidR="002B2F73" w:rsidRPr="002B2F73" w:rsidRDefault="00B32ED0" w:rsidP="002B2F73">
      <w:pPr>
        <w:pStyle w:val="NoSpacing"/>
        <w:numPr>
          <w:ilvl w:val="1"/>
          <w:numId w:val="8"/>
        </w:numPr>
        <w:jc w:val="both"/>
        <w:rPr>
          <w:rFonts w:cstheme="minorHAnsi"/>
        </w:rPr>
      </w:pPr>
      <w:r w:rsidRPr="00DB7D7A">
        <w:rPr>
          <w:rFonts w:cstheme="minorHAnsi"/>
        </w:rPr>
        <w:t>En caso de surgir controversias a causa del producto del servicio de consultoría contratado, que no puedan ser solucionadas, las partes están facultadas para acudir a la vía judicial, bajo la Jurisdicción Coactiva.</w:t>
      </w:r>
    </w:p>
    <w:p w:rsidR="00B32ED0" w:rsidRPr="00DB7D7A" w:rsidRDefault="00B32ED0" w:rsidP="002B2F73">
      <w:pPr>
        <w:pStyle w:val="NoSpacing"/>
        <w:rPr>
          <w:rFonts w:cstheme="minorHAnsi"/>
          <w:b/>
        </w:rPr>
      </w:pPr>
    </w:p>
    <w:p w:rsidR="00B32ED0" w:rsidRPr="00310B42" w:rsidRDefault="00B32ED0" w:rsidP="002B2F73">
      <w:pPr>
        <w:pStyle w:val="ListParagraph"/>
        <w:numPr>
          <w:ilvl w:val="0"/>
          <w:numId w:val="8"/>
        </w:numPr>
        <w:contextualSpacing w:val="0"/>
        <w:rPr>
          <w:rFonts w:asciiTheme="minorHAnsi" w:hAnsiTheme="minorHAnsi" w:cstheme="minorHAnsi"/>
          <w:b/>
          <w:sz w:val="22"/>
          <w:szCs w:val="22"/>
          <w:u w:val="single"/>
        </w:rPr>
      </w:pPr>
      <w:r w:rsidRPr="00310B42">
        <w:rPr>
          <w:rFonts w:asciiTheme="minorHAnsi" w:hAnsiTheme="minorHAnsi" w:cstheme="minorHAnsi"/>
          <w:b/>
          <w:sz w:val="22"/>
          <w:szCs w:val="22"/>
          <w:u w:val="single"/>
        </w:rPr>
        <w:t>Localización y/o base de operaciones</w:t>
      </w:r>
    </w:p>
    <w:p w:rsidR="002B2F73" w:rsidRPr="00DB7D7A" w:rsidRDefault="002B2F73" w:rsidP="002B2F73">
      <w:pPr>
        <w:pStyle w:val="ListParagraph"/>
        <w:ind w:left="360"/>
        <w:contextualSpacing w:val="0"/>
        <w:rPr>
          <w:rFonts w:asciiTheme="minorHAnsi" w:hAnsiTheme="minorHAnsi" w:cstheme="minorHAnsi"/>
          <w:b/>
          <w:sz w:val="22"/>
          <w:szCs w:val="22"/>
        </w:rPr>
      </w:pPr>
    </w:p>
    <w:p w:rsidR="00B32ED0" w:rsidRPr="00DB7D7A" w:rsidRDefault="00B32ED0" w:rsidP="002B2F73">
      <w:pPr>
        <w:pStyle w:val="NoSpacing"/>
        <w:numPr>
          <w:ilvl w:val="1"/>
          <w:numId w:val="8"/>
        </w:numPr>
        <w:jc w:val="both"/>
        <w:rPr>
          <w:rFonts w:cstheme="minorHAnsi"/>
        </w:rPr>
      </w:pPr>
      <w:r w:rsidRPr="00DB7D7A">
        <w:rPr>
          <w:rFonts w:cstheme="minorHAnsi"/>
        </w:rPr>
        <w:t xml:space="preserve">El trabajo se desarrollará en </w:t>
      </w:r>
      <w:r w:rsidR="00B91081">
        <w:rPr>
          <w:rFonts w:cstheme="minorHAnsi"/>
        </w:rPr>
        <w:t>la ciudad de La Paz, con los trabajos de campo que sean necesarios en el sitio de emplazamiento de la obra.</w:t>
      </w:r>
    </w:p>
    <w:p w:rsidR="00B32ED0" w:rsidRPr="00DB7D7A" w:rsidRDefault="00B32ED0" w:rsidP="002B2F73">
      <w:pPr>
        <w:pStyle w:val="NoSpacing"/>
        <w:ind w:left="708"/>
        <w:jc w:val="both"/>
        <w:rPr>
          <w:rFonts w:cstheme="minorHAnsi"/>
          <w:b/>
        </w:rPr>
      </w:pPr>
    </w:p>
    <w:p w:rsidR="00B32ED0" w:rsidRDefault="00B32ED0" w:rsidP="002B2F73">
      <w:pPr>
        <w:pStyle w:val="ListParagraph"/>
        <w:numPr>
          <w:ilvl w:val="0"/>
          <w:numId w:val="8"/>
        </w:numPr>
        <w:contextualSpacing w:val="0"/>
        <w:rPr>
          <w:rFonts w:asciiTheme="minorHAnsi" w:hAnsiTheme="minorHAnsi" w:cstheme="minorHAnsi"/>
          <w:b/>
          <w:sz w:val="22"/>
          <w:szCs w:val="22"/>
          <w:u w:val="single"/>
        </w:rPr>
      </w:pPr>
      <w:r w:rsidRPr="002B2F73">
        <w:rPr>
          <w:rFonts w:asciiTheme="minorHAnsi" w:hAnsiTheme="minorHAnsi" w:cstheme="minorHAnsi"/>
          <w:b/>
          <w:sz w:val="22"/>
          <w:szCs w:val="22"/>
          <w:u w:val="single"/>
        </w:rPr>
        <w:t>Normativa aplicable al proceso de contratación</w:t>
      </w:r>
    </w:p>
    <w:p w:rsidR="002B2F73" w:rsidRPr="002B2F73" w:rsidRDefault="002B2F73" w:rsidP="002B2F73">
      <w:pPr>
        <w:pStyle w:val="ListParagraph"/>
        <w:ind w:left="360"/>
        <w:contextualSpacing w:val="0"/>
        <w:rPr>
          <w:rFonts w:asciiTheme="minorHAnsi" w:hAnsiTheme="minorHAnsi" w:cstheme="minorHAnsi"/>
          <w:b/>
          <w:sz w:val="22"/>
          <w:szCs w:val="22"/>
          <w:u w:val="single"/>
        </w:rPr>
      </w:pPr>
    </w:p>
    <w:p w:rsidR="00B32ED0" w:rsidRDefault="00B32ED0" w:rsidP="002B2F73">
      <w:pPr>
        <w:pStyle w:val="ListParagraph"/>
        <w:numPr>
          <w:ilvl w:val="1"/>
          <w:numId w:val="8"/>
        </w:numPr>
        <w:contextualSpacing w:val="0"/>
        <w:jc w:val="both"/>
        <w:rPr>
          <w:rFonts w:asciiTheme="minorHAnsi" w:hAnsiTheme="minorHAnsi" w:cstheme="minorHAnsi"/>
          <w:sz w:val="22"/>
          <w:szCs w:val="22"/>
        </w:rPr>
      </w:pPr>
      <w:r w:rsidRPr="002B2F73">
        <w:rPr>
          <w:rFonts w:asciiTheme="minorHAnsi" w:hAnsiTheme="minorHAnsi" w:cstheme="minorHAnsi"/>
          <w:sz w:val="22"/>
          <w:szCs w:val="22"/>
        </w:rPr>
        <w:t xml:space="preserve">El proceso de contratación de servicios de consultoría, para Firmas consultoras, se rige por el Decreto Supremo N° 0181, de 28 de junio de 2009, de las Normas Básicas del Sistema de Administración de Bienes y Servicios (NB-SABS), sus modificaciones y el presente Documento Base de Contratación (DBC), y bajo la Política de Contrataciones y Adquisiciones del banco Interamericano de Desarrollo (BID). </w:t>
      </w:r>
    </w:p>
    <w:p w:rsidR="002B2F73" w:rsidRPr="002B2F73" w:rsidRDefault="002B2F73" w:rsidP="002B2F73">
      <w:pPr>
        <w:pStyle w:val="ListParagraph"/>
        <w:ind w:left="792"/>
        <w:contextualSpacing w:val="0"/>
        <w:jc w:val="both"/>
        <w:rPr>
          <w:rFonts w:asciiTheme="minorHAnsi" w:hAnsiTheme="minorHAnsi" w:cstheme="minorHAnsi"/>
          <w:sz w:val="22"/>
          <w:szCs w:val="22"/>
        </w:rPr>
      </w:pPr>
    </w:p>
    <w:p w:rsidR="00B32ED0" w:rsidRDefault="00B32ED0" w:rsidP="002B2F73">
      <w:pPr>
        <w:pStyle w:val="ListParagraph"/>
        <w:numPr>
          <w:ilvl w:val="0"/>
          <w:numId w:val="8"/>
        </w:numPr>
        <w:contextualSpacing w:val="0"/>
        <w:rPr>
          <w:rFonts w:asciiTheme="minorHAnsi" w:hAnsiTheme="minorHAnsi" w:cstheme="minorHAnsi"/>
          <w:b/>
          <w:sz w:val="22"/>
          <w:szCs w:val="22"/>
          <w:u w:val="single"/>
        </w:rPr>
      </w:pPr>
      <w:r w:rsidRPr="002B2F73">
        <w:rPr>
          <w:rFonts w:asciiTheme="minorHAnsi" w:hAnsiTheme="minorHAnsi" w:cstheme="minorHAnsi"/>
          <w:b/>
          <w:sz w:val="22"/>
          <w:szCs w:val="22"/>
          <w:u w:val="single"/>
        </w:rPr>
        <w:t>Criterios de evaluación</w:t>
      </w:r>
    </w:p>
    <w:p w:rsidR="002B2F73" w:rsidRPr="002B2F73" w:rsidRDefault="002B2F73" w:rsidP="002B2F73">
      <w:pPr>
        <w:pStyle w:val="ListParagraph"/>
        <w:ind w:left="360"/>
        <w:contextualSpacing w:val="0"/>
        <w:rPr>
          <w:rFonts w:asciiTheme="minorHAnsi" w:hAnsiTheme="minorHAnsi" w:cstheme="minorHAnsi"/>
          <w:b/>
          <w:sz w:val="22"/>
          <w:szCs w:val="22"/>
          <w:u w:val="single"/>
        </w:rPr>
      </w:pPr>
    </w:p>
    <w:p w:rsidR="00B32ED0" w:rsidRDefault="00B32ED0" w:rsidP="002B2F73">
      <w:pPr>
        <w:pStyle w:val="NoSpacing"/>
        <w:numPr>
          <w:ilvl w:val="1"/>
          <w:numId w:val="8"/>
        </w:numPr>
        <w:jc w:val="both"/>
        <w:rPr>
          <w:rFonts w:cstheme="minorHAnsi"/>
        </w:rPr>
      </w:pPr>
      <w:r w:rsidRPr="00DB7D7A">
        <w:rPr>
          <w:rFonts w:cstheme="minorHAnsi"/>
        </w:rPr>
        <w:t>La evaluación de la propuesta técnica presentada por la Firma Consultora proponente, y los profesionales que forman parte de ella, se realizara aplicando el Artículo 23 de las NB-SABS, para la evaluación según el Método Calidad, Propuesta Técnica y Costo.</w:t>
      </w:r>
    </w:p>
    <w:p w:rsidR="002B2F73" w:rsidRPr="00DB7D7A" w:rsidRDefault="002B2F73" w:rsidP="002B2F73">
      <w:pPr>
        <w:pStyle w:val="NoSpacing"/>
        <w:ind w:left="792"/>
        <w:jc w:val="both"/>
        <w:rPr>
          <w:rFonts w:cstheme="minorHAnsi"/>
        </w:rPr>
      </w:pPr>
    </w:p>
    <w:p w:rsidR="002B2F73" w:rsidRDefault="00B32ED0" w:rsidP="002B2F73">
      <w:pPr>
        <w:pStyle w:val="Heading1"/>
        <w:keepLines/>
        <w:numPr>
          <w:ilvl w:val="0"/>
          <w:numId w:val="8"/>
        </w:numPr>
        <w:jc w:val="both"/>
        <w:rPr>
          <w:rFonts w:asciiTheme="minorHAnsi" w:eastAsiaTheme="minorHAnsi" w:hAnsiTheme="minorHAnsi" w:cstheme="minorHAnsi"/>
          <w:b/>
          <w:sz w:val="22"/>
          <w:szCs w:val="22"/>
          <w:u w:val="single"/>
          <w:lang w:val="es-ES"/>
        </w:rPr>
      </w:pPr>
      <w:bookmarkStart w:id="7" w:name="_Toc430963706"/>
      <w:bookmarkStart w:id="8" w:name="_Toc431389018"/>
      <w:r w:rsidRPr="002B2F73">
        <w:rPr>
          <w:rFonts w:asciiTheme="minorHAnsi" w:eastAsiaTheme="minorHAnsi" w:hAnsiTheme="minorHAnsi" w:cstheme="minorHAnsi"/>
          <w:b/>
          <w:sz w:val="22"/>
          <w:szCs w:val="22"/>
          <w:u w:val="single"/>
          <w:lang w:val="es-ES"/>
        </w:rPr>
        <w:t>M</w:t>
      </w:r>
      <w:bookmarkEnd w:id="7"/>
      <w:bookmarkEnd w:id="8"/>
      <w:r w:rsidRPr="002B2F73">
        <w:rPr>
          <w:rFonts w:asciiTheme="minorHAnsi" w:eastAsiaTheme="minorHAnsi" w:hAnsiTheme="minorHAnsi" w:cstheme="minorHAnsi"/>
          <w:b/>
          <w:sz w:val="22"/>
          <w:szCs w:val="22"/>
          <w:u w:val="single"/>
          <w:lang w:val="es-ES"/>
        </w:rPr>
        <w:t>ultas</w:t>
      </w:r>
    </w:p>
    <w:p w:rsidR="002B2F73" w:rsidRPr="002B2F73" w:rsidRDefault="002B2F73" w:rsidP="002B2F73">
      <w:pPr>
        <w:rPr>
          <w:rFonts w:eastAsiaTheme="minorHAnsi"/>
          <w:lang w:val="es-ES"/>
        </w:rPr>
      </w:pPr>
    </w:p>
    <w:p w:rsidR="00B32ED0" w:rsidRDefault="00B32ED0" w:rsidP="002B2F73">
      <w:pPr>
        <w:pStyle w:val="Default"/>
        <w:numPr>
          <w:ilvl w:val="1"/>
          <w:numId w:val="8"/>
        </w:numPr>
        <w:jc w:val="both"/>
        <w:rPr>
          <w:rFonts w:asciiTheme="minorHAnsi" w:hAnsiTheme="minorHAnsi" w:cstheme="minorHAnsi"/>
          <w:color w:val="auto"/>
          <w:sz w:val="22"/>
          <w:szCs w:val="22"/>
        </w:rPr>
      </w:pPr>
      <w:r w:rsidRPr="00DB7D7A">
        <w:rPr>
          <w:rFonts w:asciiTheme="minorHAnsi" w:hAnsiTheme="minorHAnsi" w:cstheme="minorHAnsi"/>
          <w:color w:val="auto"/>
          <w:sz w:val="22"/>
          <w:szCs w:val="22"/>
        </w:rPr>
        <w:t xml:space="preserve">La firma consultora se obliga a cumplir con el cronograma y el plazo de entrega de los productos establecidos en el numeral (10 y 11) del presente documento, caso contrario será multado con el 0.5% del monto de contrato por día de retraso. </w:t>
      </w:r>
    </w:p>
    <w:p w:rsidR="002B2F73" w:rsidRPr="00DB7D7A" w:rsidRDefault="002B2F73" w:rsidP="002B2F73">
      <w:pPr>
        <w:pStyle w:val="Default"/>
        <w:ind w:left="792"/>
        <w:jc w:val="both"/>
        <w:rPr>
          <w:rFonts w:asciiTheme="minorHAnsi" w:hAnsiTheme="minorHAnsi" w:cstheme="minorHAnsi"/>
          <w:color w:val="auto"/>
          <w:sz w:val="22"/>
          <w:szCs w:val="22"/>
        </w:rPr>
      </w:pPr>
    </w:p>
    <w:p w:rsidR="00B32ED0" w:rsidRPr="00DB7D7A" w:rsidRDefault="00B32ED0" w:rsidP="002B2F73">
      <w:pPr>
        <w:pStyle w:val="Default"/>
        <w:numPr>
          <w:ilvl w:val="1"/>
          <w:numId w:val="8"/>
        </w:numPr>
        <w:jc w:val="both"/>
        <w:rPr>
          <w:rFonts w:asciiTheme="minorHAnsi" w:hAnsiTheme="minorHAnsi" w:cstheme="minorHAnsi"/>
          <w:sz w:val="22"/>
          <w:szCs w:val="22"/>
          <w:lang w:val="es-BO"/>
        </w:rPr>
      </w:pPr>
      <w:r w:rsidRPr="00DB7D7A">
        <w:rPr>
          <w:rFonts w:asciiTheme="minorHAnsi" w:hAnsiTheme="minorHAnsi" w:cstheme="minorHAnsi"/>
          <w:color w:val="auto"/>
          <w:sz w:val="22"/>
          <w:szCs w:val="22"/>
        </w:rPr>
        <w:t>La suma de las multas no podrá exceder en ningún caso el veinte por cien (20%) del monto total del contrato sin perjuicio de resolver el mismo.</w:t>
      </w:r>
    </w:p>
    <w:p w:rsidR="00B32ED0" w:rsidRPr="00DB7D7A" w:rsidRDefault="00B32ED0" w:rsidP="00B32ED0">
      <w:pPr>
        <w:pStyle w:val="ListParagraph"/>
        <w:ind w:left="360"/>
        <w:rPr>
          <w:rFonts w:asciiTheme="minorHAnsi" w:hAnsiTheme="minorHAnsi" w:cstheme="minorHAnsi"/>
          <w:sz w:val="22"/>
          <w:szCs w:val="22"/>
        </w:rPr>
      </w:pPr>
    </w:p>
    <w:sectPr w:rsidR="00B32ED0" w:rsidRPr="00DB7D7A" w:rsidSect="007445B1">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F11" w:rsidRDefault="00661F11">
      <w:r>
        <w:separator/>
      </w:r>
    </w:p>
  </w:endnote>
  <w:endnote w:type="continuationSeparator" w:id="0">
    <w:p w:rsidR="00661F11" w:rsidRDefault="00661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860735"/>
      <w:docPartObj>
        <w:docPartGallery w:val="Page Numbers (Bottom of Page)"/>
        <w:docPartUnique/>
      </w:docPartObj>
    </w:sdtPr>
    <w:sdtEndPr>
      <w:rPr>
        <w:noProof/>
      </w:rPr>
    </w:sdtEndPr>
    <w:sdtContent>
      <w:p w:rsidR="005614D2" w:rsidRDefault="005614D2">
        <w:pPr>
          <w:pStyle w:val="Footer"/>
          <w:jc w:val="right"/>
        </w:pPr>
        <w:r>
          <w:t xml:space="preserve">Página  </w:t>
        </w:r>
        <w:r w:rsidR="00661F11">
          <w:fldChar w:fldCharType="begin"/>
        </w:r>
        <w:r w:rsidR="00661F11">
          <w:instrText xml:space="preserve"> PAGE   \* MERGE</w:instrText>
        </w:r>
        <w:r w:rsidR="00661F11">
          <w:instrText xml:space="preserve">FORMAT </w:instrText>
        </w:r>
        <w:r w:rsidR="00661F11">
          <w:fldChar w:fldCharType="separate"/>
        </w:r>
        <w:r w:rsidR="006C1780">
          <w:rPr>
            <w:noProof/>
          </w:rPr>
          <w:t>1</w:t>
        </w:r>
        <w:r w:rsidR="00661F11">
          <w:rPr>
            <w:noProof/>
          </w:rPr>
          <w:fldChar w:fldCharType="end"/>
        </w:r>
        <w:r>
          <w:t xml:space="preserve"> de los Términos de Referencia</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F11" w:rsidRDefault="00661F11">
      <w:r>
        <w:separator/>
      </w:r>
    </w:p>
  </w:footnote>
  <w:footnote w:type="continuationSeparator" w:id="0">
    <w:p w:rsidR="00661F11" w:rsidRDefault="00661F11">
      <w:r>
        <w:continuationSeparator/>
      </w:r>
    </w:p>
  </w:footnote>
  <w:footnote w:id="1">
    <w:p w:rsidR="005614D2" w:rsidRPr="002342DA" w:rsidRDefault="005614D2" w:rsidP="005614D2">
      <w:pPr>
        <w:pStyle w:val="FootnoteText"/>
        <w:tabs>
          <w:tab w:val="left" w:pos="360"/>
        </w:tabs>
        <w:jc w:val="both"/>
        <w:rPr>
          <w:sz w:val="18"/>
          <w:szCs w:val="18"/>
          <w:lang w:val="es-ES_tradnl"/>
        </w:rPr>
      </w:pPr>
      <w:r w:rsidRPr="002342DA">
        <w:rPr>
          <w:rStyle w:val="FootnoteReference"/>
          <w:sz w:val="18"/>
          <w:szCs w:val="18"/>
        </w:rPr>
        <w:footnoteRef/>
      </w:r>
      <w:r>
        <w:rPr>
          <w:sz w:val="18"/>
          <w:szCs w:val="18"/>
          <w:lang w:val="es-ES_tradnl"/>
        </w:rPr>
        <w:tab/>
      </w:r>
      <w:r w:rsidRPr="002342DA">
        <w:rPr>
          <w:sz w:val="18"/>
          <w:szCs w:val="18"/>
          <w:lang w:val="es-ES_tradnl"/>
        </w:rPr>
        <w:t>Decreto Supremo N°2987, 21</w:t>
      </w:r>
      <w:r>
        <w:rPr>
          <w:sz w:val="18"/>
          <w:szCs w:val="18"/>
          <w:lang w:val="es-ES_tradnl"/>
        </w:rPr>
        <w:t>/nov/</w:t>
      </w:r>
      <w:r w:rsidRPr="002342DA">
        <w:rPr>
          <w:sz w:val="18"/>
          <w:szCs w:val="18"/>
          <w:lang w:val="es-ES_tradnl"/>
        </w:rPr>
        <w:t>2016</w:t>
      </w:r>
    </w:p>
  </w:footnote>
  <w:footnote w:id="2">
    <w:p w:rsidR="005614D2" w:rsidRPr="002342DA" w:rsidRDefault="005614D2" w:rsidP="005614D2">
      <w:pPr>
        <w:pStyle w:val="FootnoteText"/>
        <w:ind w:left="360" w:hanging="360"/>
        <w:jc w:val="both"/>
        <w:rPr>
          <w:sz w:val="18"/>
          <w:szCs w:val="18"/>
          <w:lang w:val="es-ES_tradnl"/>
        </w:rPr>
      </w:pPr>
      <w:r w:rsidRPr="002342DA">
        <w:rPr>
          <w:rStyle w:val="FootnoteReference"/>
          <w:sz w:val="18"/>
          <w:szCs w:val="18"/>
        </w:rPr>
        <w:footnoteRef/>
      </w:r>
      <w:r>
        <w:rPr>
          <w:sz w:val="18"/>
          <w:szCs w:val="18"/>
          <w:lang w:val="es-ES_tradnl"/>
        </w:rPr>
        <w:tab/>
      </w:r>
      <w:r w:rsidRPr="002342DA">
        <w:rPr>
          <w:sz w:val="18"/>
          <w:szCs w:val="18"/>
          <w:lang w:val="es-ES_tradnl"/>
        </w:rPr>
        <w:t>Resolución Ministerial Nº604 MMAyA, 16</w:t>
      </w:r>
      <w:r>
        <w:rPr>
          <w:sz w:val="18"/>
          <w:szCs w:val="18"/>
          <w:lang w:val="es-ES_tradnl"/>
        </w:rPr>
        <w:t>/dic/</w:t>
      </w:r>
      <w:r w:rsidRPr="002342DA">
        <w:rPr>
          <w:sz w:val="18"/>
          <w:szCs w:val="18"/>
          <w:lang w:val="es-ES_tradnl"/>
        </w:rPr>
        <w:t>2014 “Planes Maestros Metropolitanos de Agua Potable y Saneamiento de La Paz-El Alto, Cochabamba, Santa Cruz y Tarija”</w:t>
      </w:r>
      <w:r>
        <w:rPr>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Header"/>
    </w:pPr>
    <w:r>
      <w:rPr>
        <w:noProof/>
        <w:lang w:val="en-US"/>
      </w:rPr>
      <w:drawing>
        <wp:inline distT="0" distB="0" distL="0" distR="0">
          <wp:extent cx="1476375" cy="374495"/>
          <wp:effectExtent l="0" t="0" r="0" b="6985"/>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84183" cy="376476"/>
                  </a:xfrm>
                  <a:prstGeom prst="rect">
                    <a:avLst/>
                  </a:prstGeom>
                </pic:spPr>
              </pic:pic>
            </a:graphicData>
          </a:graphic>
        </wp:inline>
      </w:drawing>
    </w:r>
    <w:r>
      <w:rPr>
        <w:i/>
        <w:color w:val="4F81BD" w:themeColor="accent1"/>
      </w:rPr>
      <w:t xml:space="preserve">                                                                                 </w:t>
    </w:r>
  </w:p>
  <w:p w:rsidR="005614D2" w:rsidRDefault="005614D2">
    <w:pPr>
      <w:pStyle w:val="Header"/>
      <w:rPr>
        <w:i/>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7E72"/>
    <w:multiLevelType w:val="hybridMultilevel"/>
    <w:tmpl w:val="83860C80"/>
    <w:lvl w:ilvl="0" w:tplc="400A0019">
      <w:start w:val="3"/>
      <w:numFmt w:val="bullet"/>
      <w:lvlText w:val="-"/>
      <w:lvlJc w:val="left"/>
      <w:pPr>
        <w:ind w:left="720" w:hanging="360"/>
      </w:pPr>
      <w:rPr>
        <w:rFonts w:ascii="Times New Roman"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364B74"/>
    <w:multiLevelType w:val="hybridMultilevel"/>
    <w:tmpl w:val="DC7E5380"/>
    <w:lvl w:ilvl="0" w:tplc="400A0019">
      <w:start w:val="3"/>
      <w:numFmt w:val="bullet"/>
      <w:lvlText w:val="-"/>
      <w:lvlJc w:val="left"/>
      <w:pPr>
        <w:ind w:left="1778" w:hanging="360"/>
      </w:pPr>
      <w:rPr>
        <w:rFonts w:ascii="Times New Roman" w:hAnsi="Times New Roman" w:cs="Times New Roman" w:hint="default"/>
        <w:b/>
      </w:rPr>
    </w:lvl>
    <w:lvl w:ilvl="1" w:tplc="FCBC4D50" w:tentative="1">
      <w:start w:val="1"/>
      <w:numFmt w:val="bullet"/>
      <w:lvlText w:val="o"/>
      <w:lvlJc w:val="left"/>
      <w:pPr>
        <w:ind w:left="2498" w:hanging="360"/>
      </w:pPr>
      <w:rPr>
        <w:rFonts w:ascii="Courier New" w:hAnsi="Courier New" w:cs="Courier New" w:hint="default"/>
      </w:rPr>
    </w:lvl>
    <w:lvl w:ilvl="2" w:tplc="5FF80FBE" w:tentative="1">
      <w:start w:val="1"/>
      <w:numFmt w:val="bullet"/>
      <w:lvlText w:val=""/>
      <w:lvlJc w:val="left"/>
      <w:pPr>
        <w:ind w:left="3218" w:hanging="360"/>
      </w:pPr>
      <w:rPr>
        <w:rFonts w:ascii="Wingdings" w:hAnsi="Wingdings" w:hint="default"/>
      </w:rPr>
    </w:lvl>
    <w:lvl w:ilvl="3" w:tplc="380C9D26" w:tentative="1">
      <w:start w:val="1"/>
      <w:numFmt w:val="bullet"/>
      <w:lvlText w:val=""/>
      <w:lvlJc w:val="left"/>
      <w:pPr>
        <w:ind w:left="3938" w:hanging="360"/>
      </w:pPr>
      <w:rPr>
        <w:rFonts w:ascii="Symbol" w:hAnsi="Symbol" w:hint="default"/>
      </w:rPr>
    </w:lvl>
    <w:lvl w:ilvl="4" w:tplc="61A8F4EE" w:tentative="1">
      <w:start w:val="1"/>
      <w:numFmt w:val="bullet"/>
      <w:lvlText w:val="o"/>
      <w:lvlJc w:val="left"/>
      <w:pPr>
        <w:ind w:left="4658" w:hanging="360"/>
      </w:pPr>
      <w:rPr>
        <w:rFonts w:ascii="Courier New" w:hAnsi="Courier New" w:cs="Courier New" w:hint="default"/>
      </w:rPr>
    </w:lvl>
    <w:lvl w:ilvl="5" w:tplc="EF42441C" w:tentative="1">
      <w:start w:val="1"/>
      <w:numFmt w:val="bullet"/>
      <w:lvlText w:val=""/>
      <w:lvlJc w:val="left"/>
      <w:pPr>
        <w:ind w:left="5378" w:hanging="360"/>
      </w:pPr>
      <w:rPr>
        <w:rFonts w:ascii="Wingdings" w:hAnsi="Wingdings" w:hint="default"/>
      </w:rPr>
    </w:lvl>
    <w:lvl w:ilvl="6" w:tplc="54D4DF3E" w:tentative="1">
      <w:start w:val="1"/>
      <w:numFmt w:val="bullet"/>
      <w:lvlText w:val=""/>
      <w:lvlJc w:val="left"/>
      <w:pPr>
        <w:ind w:left="6098" w:hanging="360"/>
      </w:pPr>
      <w:rPr>
        <w:rFonts w:ascii="Symbol" w:hAnsi="Symbol" w:hint="default"/>
      </w:rPr>
    </w:lvl>
    <w:lvl w:ilvl="7" w:tplc="CE10B840" w:tentative="1">
      <w:start w:val="1"/>
      <w:numFmt w:val="bullet"/>
      <w:lvlText w:val="o"/>
      <w:lvlJc w:val="left"/>
      <w:pPr>
        <w:ind w:left="6818" w:hanging="360"/>
      </w:pPr>
      <w:rPr>
        <w:rFonts w:ascii="Courier New" w:hAnsi="Courier New" w:cs="Courier New" w:hint="default"/>
      </w:rPr>
    </w:lvl>
    <w:lvl w:ilvl="8" w:tplc="183CF6D6" w:tentative="1">
      <w:start w:val="1"/>
      <w:numFmt w:val="bullet"/>
      <w:lvlText w:val=""/>
      <w:lvlJc w:val="left"/>
      <w:pPr>
        <w:ind w:left="7538" w:hanging="360"/>
      </w:pPr>
      <w:rPr>
        <w:rFonts w:ascii="Wingdings" w:hAnsi="Wingdings" w:hint="default"/>
      </w:rPr>
    </w:lvl>
  </w:abstractNum>
  <w:abstractNum w:abstractNumId="2" w15:restartNumberingAfterBreak="0">
    <w:nsid w:val="05314B58"/>
    <w:multiLevelType w:val="hybridMultilevel"/>
    <w:tmpl w:val="DD28012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7405128"/>
    <w:multiLevelType w:val="hybridMultilevel"/>
    <w:tmpl w:val="0ABC14A0"/>
    <w:lvl w:ilvl="0" w:tplc="AEFA339A">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4"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43A2B2B"/>
    <w:multiLevelType w:val="hybridMultilevel"/>
    <w:tmpl w:val="C9E4E708"/>
    <w:lvl w:ilvl="0" w:tplc="DE027994">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6" w15:restartNumberingAfterBreak="0">
    <w:nsid w:val="163F1AFD"/>
    <w:multiLevelType w:val="hybridMultilevel"/>
    <w:tmpl w:val="1896B0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E55028"/>
    <w:multiLevelType w:val="hybridMultilevel"/>
    <w:tmpl w:val="B68A77AE"/>
    <w:lvl w:ilvl="0" w:tplc="1DB409FA">
      <w:start w:val="8"/>
      <w:numFmt w:val="bullet"/>
      <w:lvlText w:val="-"/>
      <w:lvlJc w:val="left"/>
      <w:pPr>
        <w:ind w:left="1080" w:hanging="360"/>
      </w:pPr>
      <w:rPr>
        <w:rFonts w:ascii="Arial" w:eastAsia="Calibri" w:hAnsi="Arial" w:cs="Aria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17E90236"/>
    <w:multiLevelType w:val="hybridMultilevel"/>
    <w:tmpl w:val="065425A6"/>
    <w:lvl w:ilvl="0" w:tplc="0C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C675264"/>
    <w:multiLevelType w:val="hybridMultilevel"/>
    <w:tmpl w:val="308E1262"/>
    <w:lvl w:ilvl="0" w:tplc="40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20E77350"/>
    <w:multiLevelType w:val="hybridMultilevel"/>
    <w:tmpl w:val="3788CDB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37F6797"/>
    <w:multiLevelType w:val="hybridMultilevel"/>
    <w:tmpl w:val="C5F83F70"/>
    <w:lvl w:ilvl="0" w:tplc="0C0A000D">
      <w:start w:val="1"/>
      <w:numFmt w:val="bullet"/>
      <w:lvlText w:val=""/>
      <w:lvlJc w:val="left"/>
      <w:pPr>
        <w:ind w:left="1778" w:hanging="360"/>
      </w:pPr>
      <w:rPr>
        <w:rFonts w:ascii="Wingdings" w:hAnsi="Wingdings" w:hint="default"/>
      </w:rPr>
    </w:lvl>
    <w:lvl w:ilvl="1" w:tplc="0C0A000D">
      <w:start w:val="1"/>
      <w:numFmt w:val="bullet"/>
      <w:lvlText w:val=""/>
      <w:lvlJc w:val="left"/>
      <w:pPr>
        <w:ind w:left="2498" w:hanging="360"/>
      </w:pPr>
      <w:rPr>
        <w:rFonts w:ascii="Wingdings" w:hAnsi="Wingdings" w:hint="default"/>
      </w:r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12" w15:restartNumberingAfterBreak="0">
    <w:nsid w:val="24726FEE"/>
    <w:multiLevelType w:val="hybridMultilevel"/>
    <w:tmpl w:val="8CCA9C6C"/>
    <w:lvl w:ilvl="0" w:tplc="1DB409FA">
      <w:start w:val="8"/>
      <w:numFmt w:val="bullet"/>
      <w:lvlText w:val="-"/>
      <w:lvlJc w:val="left"/>
      <w:pPr>
        <w:ind w:left="-282" w:hanging="360"/>
      </w:pPr>
      <w:rPr>
        <w:rFonts w:ascii="Arial" w:eastAsiaTheme="minorHAnsi" w:hAnsi="Arial" w:cs="Arial" w:hint="default"/>
      </w:rPr>
    </w:lvl>
    <w:lvl w:ilvl="1" w:tplc="0C0A0003">
      <w:start w:val="1"/>
      <w:numFmt w:val="bullet"/>
      <w:lvlText w:val="o"/>
      <w:lvlJc w:val="left"/>
      <w:pPr>
        <w:ind w:left="438" w:hanging="360"/>
      </w:pPr>
      <w:rPr>
        <w:rFonts w:ascii="Courier New" w:hAnsi="Courier New" w:cs="Courier New" w:hint="default"/>
      </w:rPr>
    </w:lvl>
    <w:lvl w:ilvl="2" w:tplc="0C0A0005" w:tentative="1">
      <w:start w:val="1"/>
      <w:numFmt w:val="bullet"/>
      <w:lvlText w:val=""/>
      <w:lvlJc w:val="left"/>
      <w:pPr>
        <w:ind w:left="1158" w:hanging="360"/>
      </w:pPr>
      <w:rPr>
        <w:rFonts w:ascii="Wingdings" w:hAnsi="Wingdings" w:hint="default"/>
      </w:rPr>
    </w:lvl>
    <w:lvl w:ilvl="3" w:tplc="0C0A0001" w:tentative="1">
      <w:start w:val="1"/>
      <w:numFmt w:val="bullet"/>
      <w:lvlText w:val=""/>
      <w:lvlJc w:val="left"/>
      <w:pPr>
        <w:ind w:left="1878" w:hanging="360"/>
      </w:pPr>
      <w:rPr>
        <w:rFonts w:ascii="Symbol" w:hAnsi="Symbol" w:hint="default"/>
      </w:rPr>
    </w:lvl>
    <w:lvl w:ilvl="4" w:tplc="0C0A0003" w:tentative="1">
      <w:start w:val="1"/>
      <w:numFmt w:val="bullet"/>
      <w:lvlText w:val="o"/>
      <w:lvlJc w:val="left"/>
      <w:pPr>
        <w:ind w:left="2598" w:hanging="360"/>
      </w:pPr>
      <w:rPr>
        <w:rFonts w:ascii="Courier New" w:hAnsi="Courier New" w:cs="Courier New" w:hint="default"/>
      </w:rPr>
    </w:lvl>
    <w:lvl w:ilvl="5" w:tplc="0C0A0005" w:tentative="1">
      <w:start w:val="1"/>
      <w:numFmt w:val="bullet"/>
      <w:lvlText w:val=""/>
      <w:lvlJc w:val="left"/>
      <w:pPr>
        <w:ind w:left="3318" w:hanging="360"/>
      </w:pPr>
      <w:rPr>
        <w:rFonts w:ascii="Wingdings" w:hAnsi="Wingdings" w:hint="default"/>
      </w:rPr>
    </w:lvl>
    <w:lvl w:ilvl="6" w:tplc="0C0A0001" w:tentative="1">
      <w:start w:val="1"/>
      <w:numFmt w:val="bullet"/>
      <w:lvlText w:val=""/>
      <w:lvlJc w:val="left"/>
      <w:pPr>
        <w:ind w:left="4038" w:hanging="360"/>
      </w:pPr>
      <w:rPr>
        <w:rFonts w:ascii="Symbol" w:hAnsi="Symbol" w:hint="default"/>
      </w:rPr>
    </w:lvl>
    <w:lvl w:ilvl="7" w:tplc="0C0A0003" w:tentative="1">
      <w:start w:val="1"/>
      <w:numFmt w:val="bullet"/>
      <w:lvlText w:val="o"/>
      <w:lvlJc w:val="left"/>
      <w:pPr>
        <w:ind w:left="4758" w:hanging="360"/>
      </w:pPr>
      <w:rPr>
        <w:rFonts w:ascii="Courier New" w:hAnsi="Courier New" w:cs="Courier New" w:hint="default"/>
      </w:rPr>
    </w:lvl>
    <w:lvl w:ilvl="8" w:tplc="0C0A0005" w:tentative="1">
      <w:start w:val="1"/>
      <w:numFmt w:val="bullet"/>
      <w:lvlText w:val=""/>
      <w:lvlJc w:val="left"/>
      <w:pPr>
        <w:ind w:left="5478" w:hanging="360"/>
      </w:pPr>
      <w:rPr>
        <w:rFonts w:ascii="Wingdings" w:hAnsi="Wingdings" w:hint="default"/>
      </w:rPr>
    </w:lvl>
  </w:abstractNum>
  <w:abstractNum w:abstractNumId="13" w15:restartNumberingAfterBreak="0">
    <w:nsid w:val="2816134B"/>
    <w:multiLevelType w:val="hybridMultilevel"/>
    <w:tmpl w:val="054CB336"/>
    <w:lvl w:ilvl="0" w:tplc="400A0019">
      <w:start w:val="1"/>
      <w:numFmt w:val="lowerLetter"/>
      <w:lvlText w:val="%1)"/>
      <w:lvlJc w:val="left"/>
      <w:pPr>
        <w:ind w:left="360" w:hanging="360"/>
      </w:pPr>
      <w:rPr>
        <w:rFonts w:hint="default"/>
      </w:rPr>
    </w:lvl>
    <w:lvl w:ilvl="1" w:tplc="0C0A0003" w:tentative="1">
      <w:start w:val="1"/>
      <w:numFmt w:val="lowerLetter"/>
      <w:lvlText w:val="%2."/>
      <w:lvlJc w:val="left"/>
      <w:pPr>
        <w:ind w:left="1080" w:hanging="360"/>
      </w:pPr>
    </w:lvl>
    <w:lvl w:ilvl="2" w:tplc="0C0A0005" w:tentative="1">
      <w:start w:val="1"/>
      <w:numFmt w:val="lowerRoman"/>
      <w:lvlText w:val="%3."/>
      <w:lvlJc w:val="right"/>
      <w:pPr>
        <w:ind w:left="1800" w:hanging="180"/>
      </w:pPr>
    </w:lvl>
    <w:lvl w:ilvl="3" w:tplc="0C0A0001" w:tentative="1">
      <w:start w:val="1"/>
      <w:numFmt w:val="decimal"/>
      <w:lvlText w:val="%4."/>
      <w:lvlJc w:val="left"/>
      <w:pPr>
        <w:ind w:left="2520" w:hanging="360"/>
      </w:pPr>
    </w:lvl>
    <w:lvl w:ilvl="4" w:tplc="0C0A0003" w:tentative="1">
      <w:start w:val="1"/>
      <w:numFmt w:val="lowerLetter"/>
      <w:lvlText w:val="%5."/>
      <w:lvlJc w:val="left"/>
      <w:pPr>
        <w:ind w:left="3240" w:hanging="360"/>
      </w:pPr>
    </w:lvl>
    <w:lvl w:ilvl="5" w:tplc="0C0A0005" w:tentative="1">
      <w:start w:val="1"/>
      <w:numFmt w:val="lowerRoman"/>
      <w:lvlText w:val="%6."/>
      <w:lvlJc w:val="right"/>
      <w:pPr>
        <w:ind w:left="3960" w:hanging="180"/>
      </w:pPr>
    </w:lvl>
    <w:lvl w:ilvl="6" w:tplc="0C0A0001" w:tentative="1">
      <w:start w:val="1"/>
      <w:numFmt w:val="decimal"/>
      <w:lvlText w:val="%7."/>
      <w:lvlJc w:val="left"/>
      <w:pPr>
        <w:ind w:left="4680" w:hanging="360"/>
      </w:pPr>
    </w:lvl>
    <w:lvl w:ilvl="7" w:tplc="0C0A0003" w:tentative="1">
      <w:start w:val="1"/>
      <w:numFmt w:val="lowerLetter"/>
      <w:lvlText w:val="%8."/>
      <w:lvlJc w:val="left"/>
      <w:pPr>
        <w:ind w:left="5400" w:hanging="360"/>
      </w:pPr>
    </w:lvl>
    <w:lvl w:ilvl="8" w:tplc="0C0A0005" w:tentative="1">
      <w:start w:val="1"/>
      <w:numFmt w:val="lowerRoman"/>
      <w:lvlText w:val="%9."/>
      <w:lvlJc w:val="right"/>
      <w:pPr>
        <w:ind w:left="6120" w:hanging="180"/>
      </w:pPr>
    </w:lvl>
  </w:abstractNum>
  <w:abstractNum w:abstractNumId="14" w15:restartNumberingAfterBreak="0">
    <w:nsid w:val="283F426D"/>
    <w:multiLevelType w:val="hybridMultilevel"/>
    <w:tmpl w:val="49C46206"/>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A066173"/>
    <w:multiLevelType w:val="hybridMultilevel"/>
    <w:tmpl w:val="D32279B6"/>
    <w:lvl w:ilvl="0" w:tplc="95A8B77E">
      <w:start w:val="1"/>
      <w:numFmt w:val="lowerLetter"/>
      <w:lvlText w:val="%1)"/>
      <w:lvlJc w:val="left"/>
      <w:pPr>
        <w:ind w:left="1713" w:hanging="360"/>
      </w:pPr>
      <w:rPr>
        <w:rFonts w:hint="default"/>
      </w:r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16" w15:restartNumberingAfterBreak="0">
    <w:nsid w:val="2A8A2B0F"/>
    <w:multiLevelType w:val="multilevel"/>
    <w:tmpl w:val="18B41F16"/>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324F48B6"/>
    <w:multiLevelType w:val="hybridMultilevel"/>
    <w:tmpl w:val="521A16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F3C2C5F"/>
    <w:multiLevelType w:val="hybridMultilevel"/>
    <w:tmpl w:val="CE2048E0"/>
    <w:lvl w:ilvl="0" w:tplc="400A0019">
      <w:start w:val="3"/>
      <w:numFmt w:val="bullet"/>
      <w:lvlText w:val="-"/>
      <w:lvlJc w:val="left"/>
      <w:pPr>
        <w:ind w:left="1778" w:hanging="360"/>
      </w:pPr>
      <w:rPr>
        <w:rFonts w:ascii="Times New Roman" w:hAnsi="Times New Roman" w:cs="Times New Roman" w:hint="default"/>
        <w:b/>
      </w:rPr>
    </w:lvl>
    <w:lvl w:ilvl="1" w:tplc="FCBC4D50" w:tentative="1">
      <w:start w:val="1"/>
      <w:numFmt w:val="bullet"/>
      <w:lvlText w:val="o"/>
      <w:lvlJc w:val="left"/>
      <w:pPr>
        <w:ind w:left="2498" w:hanging="360"/>
      </w:pPr>
      <w:rPr>
        <w:rFonts w:ascii="Courier New" w:hAnsi="Courier New" w:cs="Courier New" w:hint="default"/>
      </w:rPr>
    </w:lvl>
    <w:lvl w:ilvl="2" w:tplc="5FF80FBE" w:tentative="1">
      <w:start w:val="1"/>
      <w:numFmt w:val="bullet"/>
      <w:lvlText w:val=""/>
      <w:lvlJc w:val="left"/>
      <w:pPr>
        <w:ind w:left="3218" w:hanging="360"/>
      </w:pPr>
      <w:rPr>
        <w:rFonts w:ascii="Wingdings" w:hAnsi="Wingdings" w:hint="default"/>
      </w:rPr>
    </w:lvl>
    <w:lvl w:ilvl="3" w:tplc="380C9D26" w:tentative="1">
      <w:start w:val="1"/>
      <w:numFmt w:val="bullet"/>
      <w:lvlText w:val=""/>
      <w:lvlJc w:val="left"/>
      <w:pPr>
        <w:ind w:left="3938" w:hanging="360"/>
      </w:pPr>
      <w:rPr>
        <w:rFonts w:ascii="Symbol" w:hAnsi="Symbol" w:hint="default"/>
      </w:rPr>
    </w:lvl>
    <w:lvl w:ilvl="4" w:tplc="61A8F4EE" w:tentative="1">
      <w:start w:val="1"/>
      <w:numFmt w:val="bullet"/>
      <w:lvlText w:val="o"/>
      <w:lvlJc w:val="left"/>
      <w:pPr>
        <w:ind w:left="4658" w:hanging="360"/>
      </w:pPr>
      <w:rPr>
        <w:rFonts w:ascii="Courier New" w:hAnsi="Courier New" w:cs="Courier New" w:hint="default"/>
      </w:rPr>
    </w:lvl>
    <w:lvl w:ilvl="5" w:tplc="EF42441C" w:tentative="1">
      <w:start w:val="1"/>
      <w:numFmt w:val="bullet"/>
      <w:lvlText w:val=""/>
      <w:lvlJc w:val="left"/>
      <w:pPr>
        <w:ind w:left="5378" w:hanging="360"/>
      </w:pPr>
      <w:rPr>
        <w:rFonts w:ascii="Wingdings" w:hAnsi="Wingdings" w:hint="default"/>
      </w:rPr>
    </w:lvl>
    <w:lvl w:ilvl="6" w:tplc="54D4DF3E" w:tentative="1">
      <w:start w:val="1"/>
      <w:numFmt w:val="bullet"/>
      <w:lvlText w:val=""/>
      <w:lvlJc w:val="left"/>
      <w:pPr>
        <w:ind w:left="6098" w:hanging="360"/>
      </w:pPr>
      <w:rPr>
        <w:rFonts w:ascii="Symbol" w:hAnsi="Symbol" w:hint="default"/>
      </w:rPr>
    </w:lvl>
    <w:lvl w:ilvl="7" w:tplc="CE10B840" w:tentative="1">
      <w:start w:val="1"/>
      <w:numFmt w:val="bullet"/>
      <w:lvlText w:val="o"/>
      <w:lvlJc w:val="left"/>
      <w:pPr>
        <w:ind w:left="6818" w:hanging="360"/>
      </w:pPr>
      <w:rPr>
        <w:rFonts w:ascii="Courier New" w:hAnsi="Courier New" w:cs="Courier New" w:hint="default"/>
      </w:rPr>
    </w:lvl>
    <w:lvl w:ilvl="8" w:tplc="183CF6D6" w:tentative="1">
      <w:start w:val="1"/>
      <w:numFmt w:val="bullet"/>
      <w:lvlText w:val=""/>
      <w:lvlJc w:val="left"/>
      <w:pPr>
        <w:ind w:left="7538" w:hanging="360"/>
      </w:pPr>
      <w:rPr>
        <w:rFonts w:ascii="Wingdings" w:hAnsi="Wingdings" w:hint="default"/>
      </w:rPr>
    </w:lvl>
  </w:abstractNum>
  <w:abstractNum w:abstractNumId="19" w15:restartNumberingAfterBreak="0">
    <w:nsid w:val="4C910F4D"/>
    <w:multiLevelType w:val="hybridMultilevel"/>
    <w:tmpl w:val="66D8EED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F5379FE"/>
    <w:multiLevelType w:val="hybridMultilevel"/>
    <w:tmpl w:val="11CADA12"/>
    <w:lvl w:ilvl="0" w:tplc="0C0A000D">
      <w:start w:val="1"/>
      <w:numFmt w:val="bullet"/>
      <w:lvlText w:val=""/>
      <w:lvlJc w:val="left"/>
      <w:pPr>
        <w:ind w:left="1068" w:hanging="360"/>
      </w:pPr>
      <w:rPr>
        <w:rFonts w:ascii="Wingdings" w:hAnsi="Wingdings" w:hint="default"/>
      </w:rPr>
    </w:lvl>
    <w:lvl w:ilvl="1" w:tplc="16F8A096">
      <w:numFmt w:val="bullet"/>
      <w:lvlText w:val="•"/>
      <w:lvlJc w:val="left"/>
      <w:pPr>
        <w:ind w:left="1788" w:hanging="360"/>
      </w:pPr>
      <w:rPr>
        <w:rFonts w:ascii="Arial" w:eastAsiaTheme="minorHAnsi" w:hAnsi="Arial" w:cs="Arial"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15:restartNumberingAfterBreak="0">
    <w:nsid w:val="5212441B"/>
    <w:multiLevelType w:val="hybridMultilevel"/>
    <w:tmpl w:val="E72E907A"/>
    <w:lvl w:ilvl="0" w:tplc="1DB409FA">
      <w:start w:val="8"/>
      <w:numFmt w:val="bullet"/>
      <w:lvlText w:val="-"/>
      <w:lvlJc w:val="left"/>
      <w:pPr>
        <w:ind w:left="1977" w:hanging="360"/>
      </w:pPr>
      <w:rPr>
        <w:rFonts w:ascii="Arial" w:eastAsiaTheme="minorHAnsi" w:hAnsi="Arial" w:cs="Arial" w:hint="default"/>
      </w:rPr>
    </w:lvl>
    <w:lvl w:ilvl="1" w:tplc="0C0A0003">
      <w:start w:val="1"/>
      <w:numFmt w:val="bullet"/>
      <w:lvlText w:val="o"/>
      <w:lvlJc w:val="left"/>
      <w:pPr>
        <w:ind w:left="2697" w:hanging="360"/>
      </w:pPr>
      <w:rPr>
        <w:rFonts w:ascii="Courier New" w:hAnsi="Courier New" w:cs="Courier New" w:hint="default"/>
      </w:rPr>
    </w:lvl>
    <w:lvl w:ilvl="2" w:tplc="0C0A0005">
      <w:start w:val="1"/>
      <w:numFmt w:val="bullet"/>
      <w:lvlText w:val=""/>
      <w:lvlJc w:val="left"/>
      <w:pPr>
        <w:ind w:left="3417" w:hanging="360"/>
      </w:pPr>
      <w:rPr>
        <w:rFonts w:ascii="Wingdings" w:hAnsi="Wingdings" w:hint="default"/>
      </w:rPr>
    </w:lvl>
    <w:lvl w:ilvl="3" w:tplc="0C0A0001" w:tentative="1">
      <w:start w:val="1"/>
      <w:numFmt w:val="bullet"/>
      <w:lvlText w:val=""/>
      <w:lvlJc w:val="left"/>
      <w:pPr>
        <w:ind w:left="4137" w:hanging="360"/>
      </w:pPr>
      <w:rPr>
        <w:rFonts w:ascii="Symbol" w:hAnsi="Symbol" w:hint="default"/>
      </w:rPr>
    </w:lvl>
    <w:lvl w:ilvl="4" w:tplc="0C0A0003" w:tentative="1">
      <w:start w:val="1"/>
      <w:numFmt w:val="bullet"/>
      <w:lvlText w:val="o"/>
      <w:lvlJc w:val="left"/>
      <w:pPr>
        <w:ind w:left="4857" w:hanging="360"/>
      </w:pPr>
      <w:rPr>
        <w:rFonts w:ascii="Courier New" w:hAnsi="Courier New" w:cs="Courier New" w:hint="default"/>
      </w:rPr>
    </w:lvl>
    <w:lvl w:ilvl="5" w:tplc="0C0A0005" w:tentative="1">
      <w:start w:val="1"/>
      <w:numFmt w:val="bullet"/>
      <w:lvlText w:val=""/>
      <w:lvlJc w:val="left"/>
      <w:pPr>
        <w:ind w:left="5577" w:hanging="360"/>
      </w:pPr>
      <w:rPr>
        <w:rFonts w:ascii="Wingdings" w:hAnsi="Wingdings" w:hint="default"/>
      </w:rPr>
    </w:lvl>
    <w:lvl w:ilvl="6" w:tplc="0C0A0001" w:tentative="1">
      <w:start w:val="1"/>
      <w:numFmt w:val="bullet"/>
      <w:lvlText w:val=""/>
      <w:lvlJc w:val="left"/>
      <w:pPr>
        <w:ind w:left="6297" w:hanging="360"/>
      </w:pPr>
      <w:rPr>
        <w:rFonts w:ascii="Symbol" w:hAnsi="Symbol" w:hint="default"/>
      </w:rPr>
    </w:lvl>
    <w:lvl w:ilvl="7" w:tplc="0C0A0003" w:tentative="1">
      <w:start w:val="1"/>
      <w:numFmt w:val="bullet"/>
      <w:lvlText w:val="o"/>
      <w:lvlJc w:val="left"/>
      <w:pPr>
        <w:ind w:left="7017" w:hanging="360"/>
      </w:pPr>
      <w:rPr>
        <w:rFonts w:ascii="Courier New" w:hAnsi="Courier New" w:cs="Courier New" w:hint="default"/>
      </w:rPr>
    </w:lvl>
    <w:lvl w:ilvl="8" w:tplc="0C0A0005" w:tentative="1">
      <w:start w:val="1"/>
      <w:numFmt w:val="bullet"/>
      <w:lvlText w:val=""/>
      <w:lvlJc w:val="left"/>
      <w:pPr>
        <w:ind w:left="7737" w:hanging="360"/>
      </w:pPr>
      <w:rPr>
        <w:rFonts w:ascii="Wingdings" w:hAnsi="Wingdings" w:hint="default"/>
      </w:rPr>
    </w:lvl>
  </w:abstractNum>
  <w:abstractNum w:abstractNumId="22" w15:restartNumberingAfterBreak="0">
    <w:nsid w:val="52886602"/>
    <w:multiLevelType w:val="hybridMultilevel"/>
    <w:tmpl w:val="6F5CB4F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530688A"/>
    <w:multiLevelType w:val="hybridMultilevel"/>
    <w:tmpl w:val="8EFC066C"/>
    <w:lvl w:ilvl="0" w:tplc="0C0A000D">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15:restartNumberingAfterBreak="0">
    <w:nsid w:val="569905A8"/>
    <w:multiLevelType w:val="multilevel"/>
    <w:tmpl w:val="B98812A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386"/>
        </w:tabs>
        <w:ind w:left="1386" w:hanging="1296"/>
      </w:pPr>
      <w:rPr>
        <w:rFonts w:ascii="Arial" w:hAnsi="Arial" w:cs="Arial" w:hint="default"/>
        <w:b w:val="0"/>
        <w:i w:val="0"/>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5" w15:restartNumberingAfterBreak="0">
    <w:nsid w:val="59B83919"/>
    <w:multiLevelType w:val="hybridMultilevel"/>
    <w:tmpl w:val="84F8B770"/>
    <w:lvl w:ilvl="0" w:tplc="1804C520">
      <w:start w:val="1"/>
      <w:numFmt w:val="bullet"/>
      <w:lvlText w:val=""/>
      <w:lvlJc w:val="left"/>
      <w:pPr>
        <w:ind w:left="1996" w:hanging="360"/>
      </w:pPr>
      <w:rPr>
        <w:rFonts w:ascii="Wingdings" w:hAnsi="Wingdings" w:hint="default"/>
      </w:rPr>
    </w:lvl>
    <w:lvl w:ilvl="1" w:tplc="068A470C" w:tentative="1">
      <w:start w:val="1"/>
      <w:numFmt w:val="bullet"/>
      <w:lvlText w:val="o"/>
      <w:lvlJc w:val="left"/>
      <w:pPr>
        <w:ind w:left="2716" w:hanging="360"/>
      </w:pPr>
      <w:rPr>
        <w:rFonts w:ascii="Courier New" w:hAnsi="Courier New" w:cs="Courier New" w:hint="default"/>
      </w:rPr>
    </w:lvl>
    <w:lvl w:ilvl="2" w:tplc="2550E9D6" w:tentative="1">
      <w:start w:val="1"/>
      <w:numFmt w:val="bullet"/>
      <w:lvlText w:val=""/>
      <w:lvlJc w:val="left"/>
      <w:pPr>
        <w:ind w:left="3436" w:hanging="360"/>
      </w:pPr>
      <w:rPr>
        <w:rFonts w:ascii="Wingdings" w:hAnsi="Wingdings" w:hint="default"/>
      </w:rPr>
    </w:lvl>
    <w:lvl w:ilvl="3" w:tplc="3530F032" w:tentative="1">
      <w:start w:val="1"/>
      <w:numFmt w:val="bullet"/>
      <w:lvlText w:val=""/>
      <w:lvlJc w:val="left"/>
      <w:pPr>
        <w:ind w:left="4156" w:hanging="360"/>
      </w:pPr>
      <w:rPr>
        <w:rFonts w:ascii="Symbol" w:hAnsi="Symbol" w:hint="default"/>
      </w:rPr>
    </w:lvl>
    <w:lvl w:ilvl="4" w:tplc="6D2A5062" w:tentative="1">
      <w:start w:val="1"/>
      <w:numFmt w:val="bullet"/>
      <w:lvlText w:val="o"/>
      <w:lvlJc w:val="left"/>
      <w:pPr>
        <w:ind w:left="4876" w:hanging="360"/>
      </w:pPr>
      <w:rPr>
        <w:rFonts w:ascii="Courier New" w:hAnsi="Courier New" w:cs="Courier New" w:hint="default"/>
      </w:rPr>
    </w:lvl>
    <w:lvl w:ilvl="5" w:tplc="14F2C9B4" w:tentative="1">
      <w:start w:val="1"/>
      <w:numFmt w:val="bullet"/>
      <w:lvlText w:val=""/>
      <w:lvlJc w:val="left"/>
      <w:pPr>
        <w:ind w:left="5596" w:hanging="360"/>
      </w:pPr>
      <w:rPr>
        <w:rFonts w:ascii="Wingdings" w:hAnsi="Wingdings" w:hint="default"/>
      </w:rPr>
    </w:lvl>
    <w:lvl w:ilvl="6" w:tplc="920E8C84" w:tentative="1">
      <w:start w:val="1"/>
      <w:numFmt w:val="bullet"/>
      <w:lvlText w:val=""/>
      <w:lvlJc w:val="left"/>
      <w:pPr>
        <w:ind w:left="6316" w:hanging="360"/>
      </w:pPr>
      <w:rPr>
        <w:rFonts w:ascii="Symbol" w:hAnsi="Symbol" w:hint="default"/>
      </w:rPr>
    </w:lvl>
    <w:lvl w:ilvl="7" w:tplc="187223BE" w:tentative="1">
      <w:start w:val="1"/>
      <w:numFmt w:val="bullet"/>
      <w:lvlText w:val="o"/>
      <w:lvlJc w:val="left"/>
      <w:pPr>
        <w:ind w:left="7036" w:hanging="360"/>
      </w:pPr>
      <w:rPr>
        <w:rFonts w:ascii="Courier New" w:hAnsi="Courier New" w:cs="Courier New" w:hint="default"/>
      </w:rPr>
    </w:lvl>
    <w:lvl w:ilvl="8" w:tplc="9CEA5E7A" w:tentative="1">
      <w:start w:val="1"/>
      <w:numFmt w:val="bullet"/>
      <w:lvlText w:val=""/>
      <w:lvlJc w:val="left"/>
      <w:pPr>
        <w:ind w:left="7756" w:hanging="360"/>
      </w:pPr>
      <w:rPr>
        <w:rFonts w:ascii="Wingdings" w:hAnsi="Wingdings" w:hint="default"/>
      </w:rPr>
    </w:lvl>
  </w:abstractNum>
  <w:abstractNum w:abstractNumId="26"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5C8D5EE0"/>
    <w:multiLevelType w:val="hybridMultilevel"/>
    <w:tmpl w:val="B62098C2"/>
    <w:lvl w:ilvl="0" w:tplc="400A000D">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5DBD5C21"/>
    <w:multiLevelType w:val="hybridMultilevel"/>
    <w:tmpl w:val="3258BEB6"/>
    <w:lvl w:ilvl="0" w:tplc="3A2C283C">
      <w:start w:val="3"/>
      <w:numFmt w:val="bullet"/>
      <w:lvlText w:val="-"/>
      <w:lvlJc w:val="left"/>
      <w:pPr>
        <w:ind w:left="1778" w:hanging="360"/>
      </w:pPr>
      <w:rPr>
        <w:rFonts w:ascii="Times New Roman" w:hAnsi="Times New Roman" w:cs="Times New Roman" w:hint="default"/>
        <w:b/>
      </w:rPr>
    </w:lvl>
    <w:lvl w:ilvl="1" w:tplc="FB56CE20" w:tentative="1">
      <w:start w:val="1"/>
      <w:numFmt w:val="bullet"/>
      <w:lvlText w:val="o"/>
      <w:lvlJc w:val="left"/>
      <w:pPr>
        <w:ind w:left="2498" w:hanging="360"/>
      </w:pPr>
      <w:rPr>
        <w:rFonts w:ascii="Courier New" w:hAnsi="Courier New" w:cs="Courier New" w:hint="default"/>
      </w:rPr>
    </w:lvl>
    <w:lvl w:ilvl="2" w:tplc="5F9E8BDE" w:tentative="1">
      <w:start w:val="1"/>
      <w:numFmt w:val="bullet"/>
      <w:lvlText w:val=""/>
      <w:lvlJc w:val="left"/>
      <w:pPr>
        <w:ind w:left="3218" w:hanging="360"/>
      </w:pPr>
      <w:rPr>
        <w:rFonts w:ascii="Wingdings" w:hAnsi="Wingdings" w:hint="default"/>
      </w:rPr>
    </w:lvl>
    <w:lvl w:ilvl="3" w:tplc="37DE94CE" w:tentative="1">
      <w:start w:val="1"/>
      <w:numFmt w:val="bullet"/>
      <w:lvlText w:val=""/>
      <w:lvlJc w:val="left"/>
      <w:pPr>
        <w:ind w:left="3938" w:hanging="360"/>
      </w:pPr>
      <w:rPr>
        <w:rFonts w:ascii="Symbol" w:hAnsi="Symbol" w:hint="default"/>
      </w:rPr>
    </w:lvl>
    <w:lvl w:ilvl="4" w:tplc="3AC88A0C" w:tentative="1">
      <w:start w:val="1"/>
      <w:numFmt w:val="bullet"/>
      <w:lvlText w:val="o"/>
      <w:lvlJc w:val="left"/>
      <w:pPr>
        <w:ind w:left="4658" w:hanging="360"/>
      </w:pPr>
      <w:rPr>
        <w:rFonts w:ascii="Courier New" w:hAnsi="Courier New" w:cs="Courier New" w:hint="default"/>
      </w:rPr>
    </w:lvl>
    <w:lvl w:ilvl="5" w:tplc="78C0F602" w:tentative="1">
      <w:start w:val="1"/>
      <w:numFmt w:val="bullet"/>
      <w:lvlText w:val=""/>
      <w:lvlJc w:val="left"/>
      <w:pPr>
        <w:ind w:left="5378" w:hanging="360"/>
      </w:pPr>
      <w:rPr>
        <w:rFonts w:ascii="Wingdings" w:hAnsi="Wingdings" w:hint="default"/>
      </w:rPr>
    </w:lvl>
    <w:lvl w:ilvl="6" w:tplc="71EA92EE" w:tentative="1">
      <w:start w:val="1"/>
      <w:numFmt w:val="bullet"/>
      <w:lvlText w:val=""/>
      <w:lvlJc w:val="left"/>
      <w:pPr>
        <w:ind w:left="6098" w:hanging="360"/>
      </w:pPr>
      <w:rPr>
        <w:rFonts w:ascii="Symbol" w:hAnsi="Symbol" w:hint="default"/>
      </w:rPr>
    </w:lvl>
    <w:lvl w:ilvl="7" w:tplc="23668AFE" w:tentative="1">
      <w:start w:val="1"/>
      <w:numFmt w:val="bullet"/>
      <w:lvlText w:val="o"/>
      <w:lvlJc w:val="left"/>
      <w:pPr>
        <w:ind w:left="6818" w:hanging="360"/>
      </w:pPr>
      <w:rPr>
        <w:rFonts w:ascii="Courier New" w:hAnsi="Courier New" w:cs="Courier New" w:hint="default"/>
      </w:rPr>
    </w:lvl>
    <w:lvl w:ilvl="8" w:tplc="C576D0EC" w:tentative="1">
      <w:start w:val="1"/>
      <w:numFmt w:val="bullet"/>
      <w:lvlText w:val=""/>
      <w:lvlJc w:val="left"/>
      <w:pPr>
        <w:ind w:left="7538" w:hanging="360"/>
      </w:pPr>
      <w:rPr>
        <w:rFonts w:ascii="Wingdings" w:hAnsi="Wingdings" w:hint="default"/>
      </w:rPr>
    </w:lvl>
  </w:abstractNum>
  <w:abstractNum w:abstractNumId="29" w15:restartNumberingAfterBreak="0">
    <w:nsid w:val="5E983589"/>
    <w:multiLevelType w:val="multilevel"/>
    <w:tmpl w:val="18B41F16"/>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0" w15:restartNumberingAfterBreak="0">
    <w:nsid w:val="63C65F78"/>
    <w:multiLevelType w:val="multilevel"/>
    <w:tmpl w:val="44F0F6B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9F5C3B"/>
    <w:multiLevelType w:val="multilevel"/>
    <w:tmpl w:val="128261B2"/>
    <w:lvl w:ilvl="0">
      <w:start w:val="1"/>
      <w:numFmt w:val="decimal"/>
      <w:lvlText w:val="%1."/>
      <w:lvlJc w:val="left"/>
      <w:pPr>
        <w:ind w:left="1146" w:hanging="360"/>
      </w:pPr>
    </w:lvl>
    <w:lvl w:ilvl="1">
      <w:start w:val="6"/>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32" w15:restartNumberingAfterBreak="0">
    <w:nsid w:val="67E6204E"/>
    <w:multiLevelType w:val="hybridMultilevel"/>
    <w:tmpl w:val="0C580674"/>
    <w:lvl w:ilvl="0" w:tplc="0C0A0003">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A5160C2"/>
    <w:multiLevelType w:val="hybridMultilevel"/>
    <w:tmpl w:val="61987F6A"/>
    <w:lvl w:ilvl="0" w:tplc="400A0001">
      <w:start w:val="1"/>
      <w:numFmt w:val="bullet"/>
      <w:lvlText w:val=""/>
      <w:lvlJc w:val="left"/>
      <w:pPr>
        <w:ind w:left="1276" w:hanging="360"/>
      </w:pPr>
      <w:rPr>
        <w:rFonts w:ascii="Symbol" w:hAnsi="Symbol" w:hint="default"/>
      </w:rPr>
    </w:lvl>
    <w:lvl w:ilvl="1" w:tplc="400A0003" w:tentative="1">
      <w:start w:val="1"/>
      <w:numFmt w:val="bullet"/>
      <w:lvlText w:val="o"/>
      <w:lvlJc w:val="left"/>
      <w:pPr>
        <w:ind w:left="1996" w:hanging="360"/>
      </w:pPr>
      <w:rPr>
        <w:rFonts w:ascii="Courier New" w:hAnsi="Courier New" w:cs="Courier New" w:hint="default"/>
      </w:rPr>
    </w:lvl>
    <w:lvl w:ilvl="2" w:tplc="400A0005" w:tentative="1">
      <w:start w:val="1"/>
      <w:numFmt w:val="bullet"/>
      <w:lvlText w:val=""/>
      <w:lvlJc w:val="left"/>
      <w:pPr>
        <w:ind w:left="2716" w:hanging="360"/>
      </w:pPr>
      <w:rPr>
        <w:rFonts w:ascii="Wingdings" w:hAnsi="Wingdings" w:hint="default"/>
      </w:rPr>
    </w:lvl>
    <w:lvl w:ilvl="3" w:tplc="400A0001" w:tentative="1">
      <w:start w:val="1"/>
      <w:numFmt w:val="bullet"/>
      <w:lvlText w:val=""/>
      <w:lvlJc w:val="left"/>
      <w:pPr>
        <w:ind w:left="3436" w:hanging="360"/>
      </w:pPr>
      <w:rPr>
        <w:rFonts w:ascii="Symbol" w:hAnsi="Symbol" w:hint="default"/>
      </w:rPr>
    </w:lvl>
    <w:lvl w:ilvl="4" w:tplc="400A0003" w:tentative="1">
      <w:start w:val="1"/>
      <w:numFmt w:val="bullet"/>
      <w:lvlText w:val="o"/>
      <w:lvlJc w:val="left"/>
      <w:pPr>
        <w:ind w:left="4156" w:hanging="360"/>
      </w:pPr>
      <w:rPr>
        <w:rFonts w:ascii="Courier New" w:hAnsi="Courier New" w:cs="Courier New" w:hint="default"/>
      </w:rPr>
    </w:lvl>
    <w:lvl w:ilvl="5" w:tplc="400A0005" w:tentative="1">
      <w:start w:val="1"/>
      <w:numFmt w:val="bullet"/>
      <w:lvlText w:val=""/>
      <w:lvlJc w:val="left"/>
      <w:pPr>
        <w:ind w:left="4876" w:hanging="360"/>
      </w:pPr>
      <w:rPr>
        <w:rFonts w:ascii="Wingdings" w:hAnsi="Wingdings" w:hint="default"/>
      </w:rPr>
    </w:lvl>
    <w:lvl w:ilvl="6" w:tplc="400A0001" w:tentative="1">
      <w:start w:val="1"/>
      <w:numFmt w:val="bullet"/>
      <w:lvlText w:val=""/>
      <w:lvlJc w:val="left"/>
      <w:pPr>
        <w:ind w:left="5596" w:hanging="360"/>
      </w:pPr>
      <w:rPr>
        <w:rFonts w:ascii="Symbol" w:hAnsi="Symbol" w:hint="default"/>
      </w:rPr>
    </w:lvl>
    <w:lvl w:ilvl="7" w:tplc="400A0003" w:tentative="1">
      <w:start w:val="1"/>
      <w:numFmt w:val="bullet"/>
      <w:lvlText w:val="o"/>
      <w:lvlJc w:val="left"/>
      <w:pPr>
        <w:ind w:left="6316" w:hanging="360"/>
      </w:pPr>
      <w:rPr>
        <w:rFonts w:ascii="Courier New" w:hAnsi="Courier New" w:cs="Courier New" w:hint="default"/>
      </w:rPr>
    </w:lvl>
    <w:lvl w:ilvl="8" w:tplc="400A0005" w:tentative="1">
      <w:start w:val="1"/>
      <w:numFmt w:val="bullet"/>
      <w:lvlText w:val=""/>
      <w:lvlJc w:val="left"/>
      <w:pPr>
        <w:ind w:left="7036" w:hanging="360"/>
      </w:pPr>
      <w:rPr>
        <w:rFonts w:ascii="Wingdings" w:hAnsi="Wingdings" w:hint="default"/>
      </w:rPr>
    </w:lvl>
  </w:abstractNum>
  <w:abstractNum w:abstractNumId="34" w15:restartNumberingAfterBreak="0">
    <w:nsid w:val="6AD24D32"/>
    <w:multiLevelType w:val="hybridMultilevel"/>
    <w:tmpl w:val="788E4FD8"/>
    <w:lvl w:ilvl="0" w:tplc="0C0A000D">
      <w:start w:val="3"/>
      <w:numFmt w:val="bullet"/>
      <w:lvlText w:val="-"/>
      <w:lvlJc w:val="left"/>
      <w:pPr>
        <w:ind w:left="720" w:hanging="360"/>
      </w:pPr>
      <w:rPr>
        <w:rFonts w:ascii="Times New Roman"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D040D46"/>
    <w:multiLevelType w:val="hybridMultilevel"/>
    <w:tmpl w:val="F08A7D44"/>
    <w:lvl w:ilvl="0" w:tplc="400A0019">
      <w:start w:val="1"/>
      <w:numFmt w:val="bullet"/>
      <w:lvlText w:val=""/>
      <w:lvlJc w:val="left"/>
      <w:pPr>
        <w:ind w:left="1068" w:hanging="360"/>
      </w:pPr>
      <w:rPr>
        <w:rFonts w:ascii="Wingdings" w:hAnsi="Wingding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6"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9B022E"/>
    <w:multiLevelType w:val="hybridMultilevel"/>
    <w:tmpl w:val="6714050E"/>
    <w:lvl w:ilvl="0" w:tplc="EFEE384E">
      <w:numFmt w:val="bullet"/>
      <w:lvlText w:val=""/>
      <w:lvlJc w:val="left"/>
      <w:pPr>
        <w:ind w:left="720" w:hanging="360"/>
      </w:pPr>
      <w:rPr>
        <w:rFonts w:ascii="Symbol" w:eastAsiaTheme="minorHAnsi" w:hAnsi="Symbo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6F4C7474"/>
    <w:multiLevelType w:val="hybridMultilevel"/>
    <w:tmpl w:val="8FC02334"/>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9" w15:restartNumberingAfterBreak="0">
    <w:nsid w:val="6F4E635C"/>
    <w:multiLevelType w:val="hybridMultilevel"/>
    <w:tmpl w:val="B824F5DA"/>
    <w:lvl w:ilvl="0" w:tplc="9AB45B82">
      <w:start w:val="1"/>
      <w:numFmt w:val="bullet"/>
      <w:lvlText w:val=""/>
      <w:lvlJc w:val="left"/>
      <w:pPr>
        <w:ind w:left="6598" w:hanging="360"/>
      </w:pPr>
      <w:rPr>
        <w:rFonts w:ascii="Wingdings" w:hAnsi="Wingdings"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40" w15:restartNumberingAfterBreak="0">
    <w:nsid w:val="741B6E1A"/>
    <w:multiLevelType w:val="hybridMultilevel"/>
    <w:tmpl w:val="60447DA6"/>
    <w:lvl w:ilvl="0" w:tplc="40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77346214"/>
    <w:multiLevelType w:val="hybridMultilevel"/>
    <w:tmpl w:val="E2A6AEB4"/>
    <w:lvl w:ilvl="0" w:tplc="87FC6F4C">
      <w:start w:val="1"/>
      <w:numFmt w:val="bullet"/>
      <w:lvlText w:val=""/>
      <w:lvlJc w:val="left"/>
      <w:pPr>
        <w:ind w:left="1146" w:hanging="360"/>
      </w:pPr>
      <w:rPr>
        <w:rFonts w:ascii="Wingdings" w:hAnsi="Wingdings" w:hint="default"/>
      </w:rPr>
    </w:lvl>
    <w:lvl w:ilvl="1" w:tplc="56B00730">
      <w:start w:val="1"/>
      <w:numFmt w:val="bullet"/>
      <w:lvlText w:val="o"/>
      <w:lvlJc w:val="left"/>
      <w:pPr>
        <w:ind w:left="1866" w:hanging="360"/>
      </w:pPr>
      <w:rPr>
        <w:rFonts w:ascii="Courier New" w:hAnsi="Courier New" w:cs="Courier New" w:hint="default"/>
      </w:rPr>
    </w:lvl>
    <w:lvl w:ilvl="2" w:tplc="3C3E7BB0" w:tentative="1">
      <w:start w:val="1"/>
      <w:numFmt w:val="bullet"/>
      <w:lvlText w:val=""/>
      <w:lvlJc w:val="left"/>
      <w:pPr>
        <w:ind w:left="2586" w:hanging="360"/>
      </w:pPr>
      <w:rPr>
        <w:rFonts w:ascii="Wingdings" w:hAnsi="Wingdings" w:hint="default"/>
      </w:rPr>
    </w:lvl>
    <w:lvl w:ilvl="3" w:tplc="894239CA" w:tentative="1">
      <w:start w:val="1"/>
      <w:numFmt w:val="bullet"/>
      <w:lvlText w:val=""/>
      <w:lvlJc w:val="left"/>
      <w:pPr>
        <w:ind w:left="3306" w:hanging="360"/>
      </w:pPr>
      <w:rPr>
        <w:rFonts w:ascii="Symbol" w:hAnsi="Symbol" w:hint="default"/>
      </w:rPr>
    </w:lvl>
    <w:lvl w:ilvl="4" w:tplc="47F868CA" w:tentative="1">
      <w:start w:val="1"/>
      <w:numFmt w:val="bullet"/>
      <w:lvlText w:val="o"/>
      <w:lvlJc w:val="left"/>
      <w:pPr>
        <w:ind w:left="4026" w:hanging="360"/>
      </w:pPr>
      <w:rPr>
        <w:rFonts w:ascii="Courier New" w:hAnsi="Courier New" w:cs="Courier New" w:hint="default"/>
      </w:rPr>
    </w:lvl>
    <w:lvl w:ilvl="5" w:tplc="7DD0F522" w:tentative="1">
      <w:start w:val="1"/>
      <w:numFmt w:val="bullet"/>
      <w:lvlText w:val=""/>
      <w:lvlJc w:val="left"/>
      <w:pPr>
        <w:ind w:left="4746" w:hanging="360"/>
      </w:pPr>
      <w:rPr>
        <w:rFonts w:ascii="Wingdings" w:hAnsi="Wingdings" w:hint="default"/>
      </w:rPr>
    </w:lvl>
    <w:lvl w:ilvl="6" w:tplc="9C46B5C4" w:tentative="1">
      <w:start w:val="1"/>
      <w:numFmt w:val="bullet"/>
      <w:lvlText w:val=""/>
      <w:lvlJc w:val="left"/>
      <w:pPr>
        <w:ind w:left="5466" w:hanging="360"/>
      </w:pPr>
      <w:rPr>
        <w:rFonts w:ascii="Symbol" w:hAnsi="Symbol" w:hint="default"/>
      </w:rPr>
    </w:lvl>
    <w:lvl w:ilvl="7" w:tplc="BCCA28FE" w:tentative="1">
      <w:start w:val="1"/>
      <w:numFmt w:val="bullet"/>
      <w:lvlText w:val="o"/>
      <w:lvlJc w:val="left"/>
      <w:pPr>
        <w:ind w:left="6186" w:hanging="360"/>
      </w:pPr>
      <w:rPr>
        <w:rFonts w:ascii="Courier New" w:hAnsi="Courier New" w:cs="Courier New" w:hint="default"/>
      </w:rPr>
    </w:lvl>
    <w:lvl w:ilvl="8" w:tplc="16528552" w:tentative="1">
      <w:start w:val="1"/>
      <w:numFmt w:val="bullet"/>
      <w:lvlText w:val=""/>
      <w:lvlJc w:val="left"/>
      <w:pPr>
        <w:ind w:left="6906" w:hanging="360"/>
      </w:pPr>
      <w:rPr>
        <w:rFonts w:ascii="Wingdings" w:hAnsi="Wingdings" w:hint="default"/>
      </w:rPr>
    </w:lvl>
  </w:abstractNum>
  <w:abstractNum w:abstractNumId="42" w15:restartNumberingAfterBreak="0">
    <w:nsid w:val="7B082634"/>
    <w:multiLevelType w:val="multilevel"/>
    <w:tmpl w:val="0578316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402479"/>
    <w:multiLevelType w:val="hybridMultilevel"/>
    <w:tmpl w:val="D130AA94"/>
    <w:lvl w:ilvl="0" w:tplc="0C0A000D">
      <w:start w:val="1"/>
      <w:numFmt w:val="bullet"/>
      <w:lvlText w:val=""/>
      <w:lvlJc w:val="left"/>
      <w:pPr>
        <w:ind w:left="928" w:hanging="360"/>
      </w:pPr>
      <w:rPr>
        <w:rFonts w:ascii="Wingdings" w:hAnsi="Wingdings" w:hint="default"/>
      </w:rPr>
    </w:lvl>
    <w:lvl w:ilvl="1" w:tplc="B312676E" w:tentative="1">
      <w:start w:val="1"/>
      <w:numFmt w:val="bullet"/>
      <w:lvlText w:val="o"/>
      <w:lvlJc w:val="left"/>
      <w:pPr>
        <w:ind w:left="1648" w:hanging="360"/>
      </w:pPr>
      <w:rPr>
        <w:rFonts w:ascii="Courier New" w:hAnsi="Courier New" w:cs="Courier New" w:hint="default"/>
      </w:rPr>
    </w:lvl>
    <w:lvl w:ilvl="2" w:tplc="7CBCB366" w:tentative="1">
      <w:start w:val="1"/>
      <w:numFmt w:val="bullet"/>
      <w:lvlText w:val=""/>
      <w:lvlJc w:val="left"/>
      <w:pPr>
        <w:ind w:left="2368" w:hanging="360"/>
      </w:pPr>
      <w:rPr>
        <w:rFonts w:ascii="Wingdings" w:hAnsi="Wingdings" w:hint="default"/>
      </w:rPr>
    </w:lvl>
    <w:lvl w:ilvl="3" w:tplc="C1600F5A" w:tentative="1">
      <w:start w:val="1"/>
      <w:numFmt w:val="bullet"/>
      <w:lvlText w:val=""/>
      <w:lvlJc w:val="left"/>
      <w:pPr>
        <w:ind w:left="3088" w:hanging="360"/>
      </w:pPr>
      <w:rPr>
        <w:rFonts w:ascii="Symbol" w:hAnsi="Symbol" w:hint="default"/>
      </w:rPr>
    </w:lvl>
    <w:lvl w:ilvl="4" w:tplc="509604C8" w:tentative="1">
      <w:start w:val="1"/>
      <w:numFmt w:val="bullet"/>
      <w:lvlText w:val="o"/>
      <w:lvlJc w:val="left"/>
      <w:pPr>
        <w:ind w:left="3808" w:hanging="360"/>
      </w:pPr>
      <w:rPr>
        <w:rFonts w:ascii="Courier New" w:hAnsi="Courier New" w:cs="Courier New" w:hint="default"/>
      </w:rPr>
    </w:lvl>
    <w:lvl w:ilvl="5" w:tplc="CD248AE0" w:tentative="1">
      <w:start w:val="1"/>
      <w:numFmt w:val="bullet"/>
      <w:lvlText w:val=""/>
      <w:lvlJc w:val="left"/>
      <w:pPr>
        <w:ind w:left="4528" w:hanging="360"/>
      </w:pPr>
      <w:rPr>
        <w:rFonts w:ascii="Wingdings" w:hAnsi="Wingdings" w:hint="default"/>
      </w:rPr>
    </w:lvl>
    <w:lvl w:ilvl="6" w:tplc="2FEA692C" w:tentative="1">
      <w:start w:val="1"/>
      <w:numFmt w:val="bullet"/>
      <w:lvlText w:val=""/>
      <w:lvlJc w:val="left"/>
      <w:pPr>
        <w:ind w:left="5248" w:hanging="360"/>
      </w:pPr>
      <w:rPr>
        <w:rFonts w:ascii="Symbol" w:hAnsi="Symbol" w:hint="default"/>
      </w:rPr>
    </w:lvl>
    <w:lvl w:ilvl="7" w:tplc="1F36D5DA" w:tentative="1">
      <w:start w:val="1"/>
      <w:numFmt w:val="bullet"/>
      <w:lvlText w:val="o"/>
      <w:lvlJc w:val="left"/>
      <w:pPr>
        <w:ind w:left="5968" w:hanging="360"/>
      </w:pPr>
      <w:rPr>
        <w:rFonts w:ascii="Courier New" w:hAnsi="Courier New" w:cs="Courier New" w:hint="default"/>
      </w:rPr>
    </w:lvl>
    <w:lvl w:ilvl="8" w:tplc="A30A2E40" w:tentative="1">
      <w:start w:val="1"/>
      <w:numFmt w:val="bullet"/>
      <w:lvlText w:val=""/>
      <w:lvlJc w:val="left"/>
      <w:pPr>
        <w:ind w:left="6688" w:hanging="360"/>
      </w:pPr>
      <w:rPr>
        <w:rFonts w:ascii="Wingdings" w:hAnsi="Wingdings" w:hint="default"/>
      </w:rPr>
    </w:lvl>
  </w:abstractNum>
  <w:abstractNum w:abstractNumId="44" w15:restartNumberingAfterBreak="0">
    <w:nsid w:val="7F890D4C"/>
    <w:multiLevelType w:val="multilevel"/>
    <w:tmpl w:val="8C74A998"/>
    <w:lvl w:ilvl="0">
      <w:start w:val="1"/>
      <w:numFmt w:val="upperRoman"/>
      <w:lvlText w:val="%1."/>
      <w:lvlJc w:val="right"/>
      <w:pPr>
        <w:ind w:left="1146" w:hanging="360"/>
      </w:pPr>
    </w:lvl>
    <w:lvl w:ilvl="1">
      <w:start w:val="6"/>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num w:numId="1">
    <w:abstractNumId w:val="30"/>
  </w:num>
  <w:num w:numId="2">
    <w:abstractNumId w:val="4"/>
  </w:num>
  <w:num w:numId="3">
    <w:abstractNumId w:val="36"/>
  </w:num>
  <w:num w:numId="4">
    <w:abstractNumId w:val="26"/>
  </w:num>
  <w:num w:numId="5">
    <w:abstractNumId w:val="32"/>
  </w:num>
  <w:num w:numId="6">
    <w:abstractNumId w:val="19"/>
  </w:num>
  <w:num w:numId="7">
    <w:abstractNumId w:val="16"/>
  </w:num>
  <w:num w:numId="8">
    <w:abstractNumId w:val="42"/>
  </w:num>
  <w:num w:numId="9">
    <w:abstractNumId w:val="33"/>
  </w:num>
  <w:num w:numId="10">
    <w:abstractNumId w:val="11"/>
  </w:num>
  <w:num w:numId="11">
    <w:abstractNumId w:val="17"/>
  </w:num>
  <w:num w:numId="12">
    <w:abstractNumId w:val="40"/>
  </w:num>
  <w:num w:numId="13">
    <w:abstractNumId w:val="9"/>
  </w:num>
  <w:num w:numId="14">
    <w:abstractNumId w:val="14"/>
  </w:num>
  <w:num w:numId="15">
    <w:abstractNumId w:val="37"/>
  </w:num>
  <w:num w:numId="16">
    <w:abstractNumId w:val="29"/>
  </w:num>
  <w:num w:numId="17">
    <w:abstractNumId w:val="12"/>
  </w:num>
  <w:num w:numId="18">
    <w:abstractNumId w:val="20"/>
  </w:num>
  <w:num w:numId="19">
    <w:abstractNumId w:val="21"/>
  </w:num>
  <w:num w:numId="20">
    <w:abstractNumId w:val="15"/>
  </w:num>
  <w:num w:numId="21">
    <w:abstractNumId w:val="41"/>
  </w:num>
  <w:num w:numId="22">
    <w:abstractNumId w:val="10"/>
  </w:num>
  <w:num w:numId="23">
    <w:abstractNumId w:val="39"/>
  </w:num>
  <w:num w:numId="24">
    <w:abstractNumId w:val="18"/>
  </w:num>
  <w:num w:numId="25">
    <w:abstractNumId w:val="34"/>
  </w:num>
  <w:num w:numId="26">
    <w:abstractNumId w:val="28"/>
  </w:num>
  <w:num w:numId="27">
    <w:abstractNumId w:val="0"/>
  </w:num>
  <w:num w:numId="28">
    <w:abstractNumId w:val="1"/>
  </w:num>
  <w:num w:numId="29">
    <w:abstractNumId w:val="2"/>
  </w:num>
  <w:num w:numId="30">
    <w:abstractNumId w:val="25"/>
  </w:num>
  <w:num w:numId="31">
    <w:abstractNumId w:val="35"/>
  </w:num>
  <w:num w:numId="32">
    <w:abstractNumId w:val="43"/>
  </w:num>
  <w:num w:numId="33">
    <w:abstractNumId w:val="7"/>
  </w:num>
  <w:num w:numId="34">
    <w:abstractNumId w:val="8"/>
  </w:num>
  <w:num w:numId="35">
    <w:abstractNumId w:val="22"/>
  </w:num>
  <w:num w:numId="36">
    <w:abstractNumId w:val="5"/>
  </w:num>
  <w:num w:numId="37">
    <w:abstractNumId w:val="13"/>
  </w:num>
  <w:num w:numId="38">
    <w:abstractNumId w:val="23"/>
  </w:num>
  <w:num w:numId="39">
    <w:abstractNumId w:val="38"/>
  </w:num>
  <w:num w:numId="40">
    <w:abstractNumId w:val="27"/>
  </w:num>
  <w:num w:numId="41">
    <w:abstractNumId w:val="31"/>
  </w:num>
  <w:num w:numId="42">
    <w:abstractNumId w:val="3"/>
  </w:num>
  <w:num w:numId="43">
    <w:abstractNumId w:val="44"/>
  </w:num>
  <w:num w:numId="44">
    <w:abstractNumId w:val="24"/>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27784"/>
    <w:rsid w:val="00016E77"/>
    <w:rsid w:val="0003426E"/>
    <w:rsid w:val="00061314"/>
    <w:rsid w:val="00076BFB"/>
    <w:rsid w:val="000B208B"/>
    <w:rsid w:val="000C2776"/>
    <w:rsid w:val="00123CA3"/>
    <w:rsid w:val="00127D68"/>
    <w:rsid w:val="001433FE"/>
    <w:rsid w:val="00181E46"/>
    <w:rsid w:val="001A2541"/>
    <w:rsid w:val="00232073"/>
    <w:rsid w:val="002B2F73"/>
    <w:rsid w:val="002D5AFE"/>
    <w:rsid w:val="00306569"/>
    <w:rsid w:val="00307BA3"/>
    <w:rsid w:val="00310B42"/>
    <w:rsid w:val="003277B0"/>
    <w:rsid w:val="00366507"/>
    <w:rsid w:val="003701D0"/>
    <w:rsid w:val="00374C5D"/>
    <w:rsid w:val="003C3BDD"/>
    <w:rsid w:val="00457D10"/>
    <w:rsid w:val="004A406C"/>
    <w:rsid w:val="004B77EF"/>
    <w:rsid w:val="00506992"/>
    <w:rsid w:val="005216E6"/>
    <w:rsid w:val="005247CD"/>
    <w:rsid w:val="005614D2"/>
    <w:rsid w:val="00596614"/>
    <w:rsid w:val="005972FF"/>
    <w:rsid w:val="005C5987"/>
    <w:rsid w:val="005C5C96"/>
    <w:rsid w:val="005F2BF2"/>
    <w:rsid w:val="00615112"/>
    <w:rsid w:val="00635C92"/>
    <w:rsid w:val="0066187B"/>
    <w:rsid w:val="00661F11"/>
    <w:rsid w:val="0066497A"/>
    <w:rsid w:val="00691430"/>
    <w:rsid w:val="006A2CD4"/>
    <w:rsid w:val="006B74DF"/>
    <w:rsid w:val="006C1685"/>
    <w:rsid w:val="006C1780"/>
    <w:rsid w:val="006E62D9"/>
    <w:rsid w:val="00706759"/>
    <w:rsid w:val="007445B1"/>
    <w:rsid w:val="00745A92"/>
    <w:rsid w:val="007979AF"/>
    <w:rsid w:val="007D005C"/>
    <w:rsid w:val="007D4C37"/>
    <w:rsid w:val="00827AF9"/>
    <w:rsid w:val="00860D70"/>
    <w:rsid w:val="008644F0"/>
    <w:rsid w:val="00864F4E"/>
    <w:rsid w:val="00866F4C"/>
    <w:rsid w:val="008A1676"/>
    <w:rsid w:val="008B058F"/>
    <w:rsid w:val="008C05BD"/>
    <w:rsid w:val="00971B82"/>
    <w:rsid w:val="009A44E0"/>
    <w:rsid w:val="009E5BDC"/>
    <w:rsid w:val="00A07BD6"/>
    <w:rsid w:val="00A27784"/>
    <w:rsid w:val="00A97466"/>
    <w:rsid w:val="00AA50A9"/>
    <w:rsid w:val="00AA59E8"/>
    <w:rsid w:val="00AA6939"/>
    <w:rsid w:val="00AB2A95"/>
    <w:rsid w:val="00AC4CD6"/>
    <w:rsid w:val="00B06F6C"/>
    <w:rsid w:val="00B267E8"/>
    <w:rsid w:val="00B32ED0"/>
    <w:rsid w:val="00B47990"/>
    <w:rsid w:val="00B64401"/>
    <w:rsid w:val="00B91081"/>
    <w:rsid w:val="00BE1FDB"/>
    <w:rsid w:val="00BF70B0"/>
    <w:rsid w:val="00C01F12"/>
    <w:rsid w:val="00C37BB9"/>
    <w:rsid w:val="00C76344"/>
    <w:rsid w:val="00C7742F"/>
    <w:rsid w:val="00C85466"/>
    <w:rsid w:val="00C93768"/>
    <w:rsid w:val="00CE56BB"/>
    <w:rsid w:val="00D06011"/>
    <w:rsid w:val="00D12786"/>
    <w:rsid w:val="00D56936"/>
    <w:rsid w:val="00D76321"/>
    <w:rsid w:val="00D7741A"/>
    <w:rsid w:val="00D82956"/>
    <w:rsid w:val="00D82C8B"/>
    <w:rsid w:val="00D97C56"/>
    <w:rsid w:val="00DA7B8B"/>
    <w:rsid w:val="00DA7C9D"/>
    <w:rsid w:val="00DB7D7A"/>
    <w:rsid w:val="00ED0C79"/>
    <w:rsid w:val="00EE6BEF"/>
    <w:rsid w:val="00F25568"/>
    <w:rsid w:val="00F3128A"/>
    <w:rsid w:val="00F46664"/>
    <w:rsid w:val="00F476F6"/>
    <w:rsid w:val="00FB7332"/>
    <w:rsid w:val="00FD4A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5BBBE0-B914-4680-A4CE-2724494B7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itulo 5"/>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semiHidden/>
    <w:unhideWhenUsed/>
    <w:rsid w:val="008644F0"/>
    <w:pPr>
      <w:spacing w:after="120"/>
    </w:pPr>
  </w:style>
  <w:style w:type="character" w:customStyle="1" w:styleId="BodyTextChar">
    <w:name w:val="Body Text Char"/>
    <w:basedOn w:val="DefaultParagraphFont"/>
    <w:link w:val="BodyText"/>
    <w:uiPriority w:val="99"/>
    <w:semiHidden/>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aliases w:val="titulo 5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paragraph" w:styleId="NoSpacing">
    <w:name w:val="No Spacing"/>
    <w:link w:val="NoSpacingChar"/>
    <w:uiPriority w:val="1"/>
    <w:qFormat/>
    <w:rsid w:val="00B32ED0"/>
    <w:pPr>
      <w:spacing w:after="0" w:line="240" w:lineRule="auto"/>
    </w:pPr>
    <w:rPr>
      <w:lang w:val="es-ES"/>
    </w:rPr>
  </w:style>
  <w:style w:type="character" w:customStyle="1" w:styleId="NoSpacingChar">
    <w:name w:val="No Spacing Char"/>
    <w:link w:val="NoSpacing"/>
    <w:uiPriority w:val="1"/>
    <w:rsid w:val="00B32ED0"/>
    <w:rPr>
      <w:lang w:val="es-ES"/>
    </w:rPr>
  </w:style>
  <w:style w:type="paragraph" w:customStyle="1" w:styleId="Default">
    <w:name w:val="Default"/>
    <w:rsid w:val="00B32ED0"/>
    <w:pPr>
      <w:autoSpaceDE w:val="0"/>
      <w:autoSpaceDN w:val="0"/>
      <w:adjustRightInd w:val="0"/>
      <w:spacing w:after="0" w:line="240" w:lineRule="auto"/>
    </w:pPr>
    <w:rPr>
      <w:rFonts w:ascii="Arial" w:hAnsi="Arial" w:cs="Arial"/>
      <w:color w:val="000000"/>
      <w:sz w:val="24"/>
      <w:szCs w:val="24"/>
      <w:lang w:val="es-ES"/>
    </w:rPr>
  </w:style>
  <w:style w:type="paragraph" w:styleId="Title">
    <w:name w:val="Title"/>
    <w:basedOn w:val="Normal"/>
    <w:link w:val="TitleChar"/>
    <w:qFormat/>
    <w:rsid w:val="00ED0C79"/>
    <w:pPr>
      <w:jc w:val="center"/>
    </w:pPr>
    <w:rPr>
      <w:rFonts w:ascii="CG Times" w:hAnsi="CG Times"/>
      <w:b/>
      <w:sz w:val="22"/>
      <w:u w:val="single"/>
      <w:lang w:val="es-ES_tradnl"/>
    </w:rPr>
  </w:style>
  <w:style w:type="character" w:customStyle="1" w:styleId="TitleChar">
    <w:name w:val="Title Char"/>
    <w:basedOn w:val="DefaultParagraphFont"/>
    <w:link w:val="Title"/>
    <w:rsid w:val="00ED0C79"/>
    <w:rPr>
      <w:rFonts w:ascii="CG Times" w:eastAsia="Times New Roman" w:hAnsi="CG Times" w:cs="Times New Roman"/>
      <w:b/>
      <w:szCs w:val="20"/>
      <w:u w:val="single"/>
      <w:lang w:val="es-ES_tradnl"/>
    </w:rPr>
  </w:style>
  <w:style w:type="paragraph" w:styleId="DocumentMap">
    <w:name w:val="Document Map"/>
    <w:basedOn w:val="Normal"/>
    <w:link w:val="DocumentMapChar"/>
    <w:uiPriority w:val="99"/>
    <w:semiHidden/>
    <w:unhideWhenUsed/>
    <w:rsid w:val="005614D2"/>
    <w:rPr>
      <w:rFonts w:ascii="Tahoma" w:hAnsi="Tahoma" w:cs="Tahoma"/>
      <w:sz w:val="16"/>
      <w:szCs w:val="16"/>
    </w:rPr>
  </w:style>
  <w:style w:type="character" w:customStyle="1" w:styleId="DocumentMapChar">
    <w:name w:val="Document Map Char"/>
    <w:basedOn w:val="DefaultParagraphFont"/>
    <w:link w:val="DocumentMap"/>
    <w:uiPriority w:val="99"/>
    <w:semiHidden/>
    <w:rsid w:val="005614D2"/>
    <w:rPr>
      <w:rFonts w:ascii="Tahoma" w:eastAsia="Times New Roman" w:hAnsi="Tahoma" w:cs="Tahoma"/>
      <w:sz w:val="16"/>
      <w:szCs w:val="16"/>
    </w:rPr>
  </w:style>
  <w:style w:type="paragraph" w:customStyle="1" w:styleId="Chapter">
    <w:name w:val="Chapter"/>
    <w:basedOn w:val="Normal"/>
    <w:next w:val="Normal"/>
    <w:rsid w:val="005614D2"/>
    <w:pPr>
      <w:numPr>
        <w:numId w:val="44"/>
      </w:numPr>
      <w:tabs>
        <w:tab w:val="left" w:pos="1440"/>
      </w:tabs>
      <w:spacing w:before="240" w:after="240"/>
      <w:jc w:val="center"/>
    </w:pPr>
    <w:rPr>
      <w:rFonts w:ascii="Times New Roman" w:hAnsi="Times New Roman"/>
      <w:b/>
      <w:smallCaps/>
      <w:sz w:val="24"/>
      <w:lang w:val="es-ES_tradnl"/>
    </w:rPr>
  </w:style>
  <w:style w:type="paragraph" w:customStyle="1" w:styleId="Paragraph">
    <w:name w:val="Paragraph"/>
    <w:aliases w:val="paragraph,p,PARAGRAPH,PG,pa,at"/>
    <w:basedOn w:val="BodyTextIndent"/>
    <w:link w:val="ParagraphChar"/>
    <w:qFormat/>
    <w:rsid w:val="005614D2"/>
    <w:pPr>
      <w:numPr>
        <w:ilvl w:val="1"/>
        <w:numId w:val="44"/>
      </w:numPr>
      <w:tabs>
        <w:tab w:val="clear" w:pos="1386"/>
      </w:tabs>
      <w:ind w:left="360" w:firstLine="0"/>
    </w:pPr>
  </w:style>
  <w:style w:type="paragraph" w:customStyle="1" w:styleId="subpar">
    <w:name w:val="subpar"/>
    <w:basedOn w:val="BodyTextIndent3"/>
    <w:rsid w:val="005614D2"/>
    <w:pPr>
      <w:widowControl/>
      <w:numPr>
        <w:ilvl w:val="2"/>
        <w:numId w:val="44"/>
      </w:numPr>
      <w:tabs>
        <w:tab w:val="clear" w:pos="2304"/>
      </w:tabs>
      <w:autoSpaceDE/>
      <w:autoSpaceDN/>
      <w:adjustRightInd/>
      <w:spacing w:before="120"/>
      <w:ind w:left="864"/>
      <w:jc w:val="both"/>
      <w:outlineLvl w:val="2"/>
    </w:pPr>
    <w:rPr>
      <w:rFonts w:ascii="Times New Roman" w:eastAsia="Times New Roman" w:hAnsi="Times New Roman" w:cs="Times New Roman"/>
      <w:color w:val="auto"/>
      <w:sz w:val="24"/>
      <w:lang w:val="es-ES_tradnl" w:eastAsia="en-US"/>
    </w:rPr>
  </w:style>
  <w:style w:type="paragraph" w:customStyle="1" w:styleId="SubSubPar">
    <w:name w:val="SubSubPar"/>
    <w:basedOn w:val="subpar"/>
    <w:uiPriority w:val="99"/>
    <w:rsid w:val="005614D2"/>
    <w:pPr>
      <w:numPr>
        <w:ilvl w:val="3"/>
      </w:numPr>
      <w:tabs>
        <w:tab w:val="clear" w:pos="2736"/>
        <w:tab w:val="left" w:pos="0"/>
        <w:tab w:val="num" w:pos="1296"/>
      </w:tabs>
      <w:ind w:left="1296"/>
    </w:pPr>
  </w:style>
  <w:style w:type="paragraph" w:styleId="FootnoteText">
    <w:name w:val="footnote text"/>
    <w:aliases w:val="fn,Footnote Text Char Char Char Char Char Char,Footnote Text Char Char,Footnote Text1 Char,Footnote Text Char Char Char Char,single space,FOOTNOTES,Fußnotentextr,Char,foottextfra,texto de nota al pie,Footnote Text Char1 Char Char,Geneva 9"/>
    <w:basedOn w:val="Normal"/>
    <w:link w:val="FootnoteTextChar"/>
    <w:uiPriority w:val="99"/>
    <w:unhideWhenUsed/>
    <w:qFormat/>
    <w:rsid w:val="005614D2"/>
    <w:pPr>
      <w:widowControl w:val="0"/>
    </w:pPr>
    <w:rPr>
      <w:rFonts w:eastAsia="Arial" w:cs="Arial"/>
      <w:lang w:val="en-US"/>
    </w:rPr>
  </w:style>
  <w:style w:type="character" w:customStyle="1" w:styleId="FootnoteTextChar">
    <w:name w:val="Footnote Text Char"/>
    <w:aliases w:val="fn Char,Footnote Text Char Char Char Char Char Char Char,Footnote Text Char Char Char,Footnote Text1 Char Char,Footnote Text Char Char Char Char Char,single space Char,FOOTNOTES Char,Fußnotentextr Char,Char Char,foottextfra Char"/>
    <w:basedOn w:val="DefaultParagraphFont"/>
    <w:link w:val="FootnoteText"/>
    <w:uiPriority w:val="99"/>
    <w:rsid w:val="005614D2"/>
    <w:rPr>
      <w:rFonts w:ascii="Arial" w:eastAsia="Arial" w:hAnsi="Arial" w:cs="Arial"/>
      <w:sz w:val="20"/>
      <w:szCs w:val="20"/>
      <w:lang w:val="en-US"/>
    </w:rPr>
  </w:style>
  <w:style w:type="character" w:styleId="FootnoteReference">
    <w:name w:val="footnote reference"/>
    <w:aliases w:val="referencia nota al pie,Fußnotenzeichen DISS,16 Point,Superscript 6 Point,ftref,FC,Style 24,titulo 2,pie pddes,Ref. de nota al pie.,(Ref. de nota al pie),Referência a notas de rodapé"/>
    <w:basedOn w:val="DefaultParagraphFont"/>
    <w:uiPriority w:val="99"/>
    <w:unhideWhenUsed/>
    <w:qFormat/>
    <w:rsid w:val="005614D2"/>
    <w:rPr>
      <w:vertAlign w:val="superscript"/>
    </w:rPr>
  </w:style>
  <w:style w:type="character" w:customStyle="1" w:styleId="ParagraphChar">
    <w:name w:val="Paragraph Char"/>
    <w:link w:val="Paragraph"/>
    <w:locked/>
    <w:rsid w:val="005614D2"/>
    <w:rPr>
      <w:rFonts w:ascii="Arial" w:eastAsia="Times New Roman" w:hAnsi="Arial" w:cs="Times New Roman"/>
      <w:sz w:val="20"/>
      <w:szCs w:val="20"/>
    </w:rPr>
  </w:style>
  <w:style w:type="table" w:styleId="LightGrid-Accent1">
    <w:name w:val="Light Grid Accent 1"/>
    <w:basedOn w:val="TableNormal"/>
    <w:uiPriority w:val="62"/>
    <w:rsid w:val="00B9108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customXml" Target="../customXml/item8.xml"/><Relationship Id="rId20" Type="http://schemas.openxmlformats.org/officeDocument/2006/relationships/footer" Target="footer2.xml"/><Relationship Id="rId16" Type="http://schemas.openxmlformats.org/officeDocument/2006/relationships/image" Target="media/image3.emf"/><Relationship Id="rId24" Type="http://schemas.openxmlformats.org/officeDocument/2006/relationships/theme" Target="theme/theme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6" ma:contentTypeDescription="The corporate content type from which other content types in the corporate content type track inherit their information." ma:contentTypeScope="" ma:versionID="f7e53e1a468c0e0423d1ba0a5da45639">
  <xsd:schema xmlns:xsd="http://www.w3.org/2001/XMLSchema" xmlns:xs="http://www.w3.org/2001/XMLSchema" xmlns:p="http://schemas.microsoft.com/office/2006/metadata/properties" xmlns:ns2="cdc7663a-08f0-4737-9e8c-148ce897a09c" targetNamespace="http://schemas.microsoft.com/office/2006/metadata/properties" ma:root="true" ma:fieldsID="6bbe10e62ab43ec941c2b1678ea775d3"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FD68D7C1955E745B075977F4FC56B1A" ma:contentTypeVersion="28" ma:contentTypeDescription="A content type to manage public (operations) IDB documents" ma:contentTypeScope="" ma:versionID="2b35d1f7f795645db9b4bfedfdb6924e">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Division_x0020_or_x0020_Unit xmlns="cdc7663a-08f0-4737-9e8c-148ce897a09c">INE/WSA</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Guerrero Rivera, Marilyn Ivette</Document_x0020_Author>
    <Document_x0020_Language_x0020_IDB xmlns="cdc7663a-08f0-4737-9e8c-148ce897a09c">Spanish</Document_x0020_Language_x0020_IDB>
    <TaxCatchAll xmlns="cdc7663a-08f0-4737-9e8c-148ce897a09c">
      <Value>34</Value>
      <Value>33</Value>
      <Value>3</Value>
      <Value>31</Value>
      <Value>141</Value>
    </TaxCatchAll>
    <Identifier xmlns="cdc7663a-08f0-4737-9e8c-148ce897a09c" xsi:nil="true"/>
    <_dlc_DocId xmlns="cdc7663a-08f0-4737-9e8c-148ce897a09c">EZSHARE-381181156-12</_dlc_DocId>
    <_dlc_DocIdUrl xmlns="cdc7663a-08f0-4737-9e8c-148ce897a09c">
      <Url>https://idbg.sharepoint.com/teams/EZ-BO-TCP/BO-T1301/_layouts/15/DocIdRedir.aspx?ID=EZSHARE-381181156-12</Url>
      <Description>EZSHARE-381181156-12</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pproval_x0020_Number xmlns="cdc7663a-08f0-4737-9e8c-148ce897a09c">ATN/OC-16304-BO;ATN/OC-16305-BO;</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BO-T1301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R0000577118</Record_x0020_Number>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F68319FC-423B-4FA6-9143-6BAD8178A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F46A1D-EF82-4B57-B897-F307373EC6F5}"/>
</file>

<file path=customXml/itemProps3.xml><?xml version="1.0" encoding="utf-8"?>
<ds:datastoreItem xmlns:ds="http://schemas.openxmlformats.org/officeDocument/2006/customXml" ds:itemID="{18A2DCF5-886C-4A5C-B0AE-012D5E5BAAE5}"/>
</file>

<file path=customXml/itemProps4.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5.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6.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BFF4A1AC-6DE5-4190-9956-2DBC0C186879}">
  <ds:schemaRefs>
    <ds:schemaRef ds:uri="http://schemas.openxmlformats.org/officeDocument/2006/bibliography"/>
  </ds:schemaRefs>
</ds:datastoreItem>
</file>

<file path=customXml/itemProps8.xml><?xml version="1.0" encoding="utf-8"?>
<ds:datastoreItem xmlns:ds="http://schemas.openxmlformats.org/officeDocument/2006/customXml" ds:itemID="{92463681-3EF9-4D22-9323-4CE3F65A34C2}"/>
</file>

<file path=docProps/app.xml><?xml version="1.0" encoding="utf-8"?>
<Properties xmlns="http://schemas.openxmlformats.org/officeDocument/2006/extended-properties" xmlns:vt="http://schemas.openxmlformats.org/officeDocument/2006/docPropsVTypes">
  <Template>Normal.dotm</Template>
  <TotalTime>12</TotalTime>
  <Pages>7</Pages>
  <Words>2775</Words>
  <Characters>15822</Characters>
  <Application>Microsoft Office Word</Application>
  <DocSecurity>0</DocSecurity>
  <Lines>131</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18560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Pelaez Gunther, Georgia</cp:lastModifiedBy>
  <cp:revision>6</cp:revision>
  <dcterms:created xsi:type="dcterms:W3CDTF">2017-05-30T23:32:00Z</dcterms:created>
  <dcterms:modified xsi:type="dcterms:W3CDTF">2017-06-01T18:28:00Z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33;#Bolivia|6445a937-aea4-4907-9f24-bff96a7c61c8</vt:lpwstr>
  </property>
  <property fmtid="{D5CDD505-2E9C-101B-9397-08002B2CF9AE}" pid="8" name="_dlc_DocIdItemGuid">
    <vt:lpwstr>63faf537-9852-492d-a162-0feb26d6d83e</vt:lpwstr>
  </property>
  <property fmtid="{D5CDD505-2E9C-101B-9397-08002B2CF9AE}" pid="9" name="SharedWithUsers">
    <vt:lpwstr>1906;#Arvizu Machado, Carina;#2713;#Suarez Vazquez, Gines;#3003;#Esquivel Gallegos, Maricarmen</vt:lpwstr>
  </property>
  <property fmtid="{D5CDD505-2E9C-101B-9397-08002B2CF9AE}" pid="10" name="Series Operations IDB">
    <vt:lpwstr/>
  </property>
  <property fmtid="{D5CDD505-2E9C-101B-9397-08002B2CF9AE}" pid="11" name="Sub-Sector">
    <vt:lpwstr>141;#WATER SUPPLY URBAN|28df1b5d-8f50-49f8-b50a-8bcbae67d2a4</vt:lpwstr>
  </property>
  <property fmtid="{D5CDD505-2E9C-101B-9397-08002B2CF9AE}" pid="12" name="Fund IDB">
    <vt:lpwstr>31;#TBD|d62f6e05-3e80-4abd-9bb4-5f10b4906ff6</vt:lpwstr>
  </property>
  <property fmtid="{D5CDD505-2E9C-101B-9397-08002B2CF9AE}" pid="13" name="Sector IDB">
    <vt:lpwstr>34;#WATER AND SANITATION|ba6b63cd-e402-47cb-9357-08149f7ce046</vt:lpwstr>
  </property>
  <property fmtid="{D5CDD505-2E9C-101B-9397-08002B2CF9AE}" pid="14" name="Function Operations IDB">
    <vt:lpwstr>3;#Monitoring and Reporting|df3c2aa1-d63e-41aa-b1f5-bb15dee691ca</vt:lpwstr>
  </property>
  <property fmtid="{D5CDD505-2E9C-101B-9397-08002B2CF9AE}" pid="15" name="RecordPoint_ActiveItemMoved">
    <vt:lpwstr>/teams/EZ-BO-TCP/BO-T1301/15 LifeCycle Milestones/Draft Area/11.TDR Represa Kelluani.DOCX</vt:lpwstr>
  </property>
  <property fmtid="{D5CDD505-2E9C-101B-9397-08002B2CF9AE}" pid="16" name="RecordStorageActiveId">
    <vt:lpwstr>c770ffba-7f22-4105-a8cb-dbb6f81316d4</vt:lpwstr>
  </property>
  <property fmtid="{D5CDD505-2E9C-101B-9397-08002B2CF9AE}" pid="17" name="Disclosure Activity">
    <vt:lpwstr>Approved TC document</vt:lpwstr>
  </property>
  <property fmtid="{D5CDD505-2E9C-101B-9397-08002B2CF9AE}" pid="18" name="ContentTypeId">
    <vt:lpwstr>0x0101001A458A224826124E8B45B1D613300CFC006FD68D7C1955E745B075977F4FC56B1A</vt:lpwstr>
  </property>
</Properties>
</file>