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1.xml" ContentType="application/vnd.openxmlformats-officedocument.theme+xml"/>
  <Override PartName="/word/charts/chart3.xml" ContentType="application/vnd.openxmlformats-officedocument.drawingml.chart+xml"/>
  <Override PartName="/word/charts/chart1.xml" ContentType="application/vnd.openxmlformats-officedocument.drawingml.chart+xml"/>
  <Override PartName="/word/charts/style3.xml" ContentType="application/vnd.ms-office.chartstyle+xml"/>
  <Override PartName="/word/charts/style1.xml" ContentType="application/vnd.ms-office.chartstyle+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2.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0DE01" w14:textId="05A38BD9" w:rsidR="00552540" w:rsidRDefault="00542C8C" w:rsidP="00552540">
      <w:pPr>
        <w:pStyle w:val="IntenseQuote"/>
        <w:spacing w:before="0" w:after="0" w:line="0" w:lineRule="atLeast"/>
        <w:ind w:right="0" w:hanging="936"/>
        <w:jc w:val="right"/>
        <w:rPr>
          <w:rFonts w:ascii="Times New Roman" w:hAnsi="Times New Roman" w:cs="Times New Roman"/>
          <w:i w:val="0"/>
          <w:color w:val="002060"/>
          <w:sz w:val="24"/>
          <w:szCs w:val="24"/>
          <w:lang w:val="es-ES"/>
        </w:rPr>
      </w:pPr>
      <w:r>
        <w:rPr>
          <w:rFonts w:ascii="Times New Roman" w:hAnsi="Times New Roman" w:cs="Times New Roman"/>
          <w:i w:val="0"/>
          <w:color w:val="002060"/>
          <w:sz w:val="24"/>
          <w:szCs w:val="24"/>
          <w:lang w:val="es-ES"/>
        </w:rPr>
        <w:t>Apoyo al Programa de Reformas del Sector Transporte y Logística de Panamá. Fase</w:t>
      </w:r>
      <w:r w:rsidR="00552540">
        <w:rPr>
          <w:rFonts w:ascii="Times New Roman" w:hAnsi="Times New Roman" w:cs="Times New Roman"/>
          <w:i w:val="0"/>
          <w:color w:val="002060"/>
          <w:sz w:val="24"/>
          <w:szCs w:val="24"/>
          <w:lang w:val="es-ES"/>
        </w:rPr>
        <w:t xml:space="preserve"> I</w:t>
      </w:r>
      <w:r w:rsidR="00552540" w:rsidRPr="0069241B">
        <w:rPr>
          <w:rFonts w:ascii="Times New Roman" w:hAnsi="Times New Roman" w:cs="Times New Roman"/>
          <w:i w:val="0"/>
          <w:color w:val="002060"/>
          <w:sz w:val="24"/>
          <w:szCs w:val="24"/>
          <w:lang w:val="es-ES"/>
        </w:rPr>
        <w:t>II</w:t>
      </w:r>
    </w:p>
    <w:p w14:paraId="125B48C6" w14:textId="3544882B" w:rsidR="00552540" w:rsidRPr="000143BF" w:rsidRDefault="00552540" w:rsidP="00541719">
      <w:pPr>
        <w:pStyle w:val="IntenseQuote"/>
        <w:spacing w:before="0" w:after="0" w:line="0" w:lineRule="atLeast"/>
        <w:ind w:left="0" w:right="0"/>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Anexo Técnico </w:t>
      </w:r>
      <w:r w:rsidR="00542C8C" w:rsidRPr="00542C8C">
        <w:rPr>
          <w:rFonts w:ascii="Times New Roman" w:hAnsi="Times New Roman" w:cs="Times New Roman"/>
          <w:b w:val="0"/>
          <w:color w:val="002060"/>
          <w:sz w:val="24"/>
          <w:szCs w:val="24"/>
          <w:lang w:val="es-ES"/>
        </w:rPr>
        <w:t>PN-L1151</w:t>
      </w:r>
      <w:r w:rsidR="00541719">
        <w:rPr>
          <w:rFonts w:ascii="Times New Roman" w:hAnsi="Times New Roman" w:cs="Times New Roman"/>
          <w:b w:val="0"/>
          <w:color w:val="002060"/>
          <w:sz w:val="24"/>
          <w:szCs w:val="24"/>
          <w:lang w:val="es-ES"/>
        </w:rPr>
        <w:t xml:space="preserve"> - </w:t>
      </w:r>
      <w:r w:rsidRPr="000143BF">
        <w:rPr>
          <w:rFonts w:ascii="Times New Roman" w:hAnsi="Times New Roman" w:cs="Times New Roman"/>
          <w:b w:val="0"/>
          <w:color w:val="002060"/>
          <w:sz w:val="24"/>
          <w:szCs w:val="24"/>
          <w:lang w:val="es-ES"/>
        </w:rPr>
        <w:t xml:space="preserve">Integración </w:t>
      </w:r>
      <w:r>
        <w:rPr>
          <w:rFonts w:ascii="Times New Roman" w:hAnsi="Times New Roman" w:cs="Times New Roman"/>
          <w:b w:val="0"/>
          <w:color w:val="002060"/>
          <w:sz w:val="24"/>
          <w:szCs w:val="24"/>
          <w:lang w:val="es-ES"/>
        </w:rPr>
        <w:t>Económica</w:t>
      </w:r>
    </w:p>
    <w:p w14:paraId="530385E8" w14:textId="77777777" w:rsidR="00552540" w:rsidRDefault="00552540" w:rsidP="00552540">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
        </w:rPr>
      </w:pPr>
      <w:r>
        <w:rPr>
          <w:b/>
          <w:noProof/>
        </w:rPr>
        <mc:AlternateContent>
          <mc:Choice Requires="wps">
            <w:drawing>
              <wp:anchor distT="0" distB="0" distL="114300" distR="114300" simplePos="0" relativeHeight="251659264" behindDoc="0" locked="0" layoutInCell="1" allowOverlap="1" wp14:anchorId="3B95029C" wp14:editId="1C442301">
                <wp:simplePos x="0" y="0"/>
                <wp:positionH relativeFrom="margin">
                  <wp:align>left</wp:align>
                </wp:positionH>
                <wp:positionV relativeFrom="paragraph">
                  <wp:posOffset>173795</wp:posOffset>
                </wp:positionV>
                <wp:extent cx="5991225" cy="367284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5991225" cy="36728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ABC01E" w14:textId="77777777" w:rsidR="00E55246" w:rsidRPr="00022B77" w:rsidRDefault="00E55246"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33F5EF61" w14:textId="77777777" w:rsidR="00E55246" w:rsidRPr="008D7838" w:rsidRDefault="00E55246" w:rsidP="00552540">
                            <w:pPr>
                              <w:keepNext/>
                              <w:keepLines/>
                              <w:spacing w:after="0"/>
                              <w:jc w:val="both"/>
                              <w:outlineLvl w:val="1"/>
                              <w:rPr>
                                <w:rFonts w:ascii="Times New Roman" w:hAnsi="Times New Roman"/>
                                <w:sz w:val="21"/>
                                <w:szCs w:val="21"/>
                                <w:lang w:val="es-ES_tradnl"/>
                              </w:rPr>
                            </w:pPr>
                          </w:p>
                          <w:p w14:paraId="7CED23B7" w14:textId="62191886" w:rsidR="00E55246" w:rsidRDefault="00E55246" w:rsidP="00507DC7">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E</w:t>
                            </w:r>
                            <w:r w:rsidRPr="00D768CA">
                              <w:rPr>
                                <w:rFonts w:ascii="Times New Roman" w:hAnsi="Times New Roman" w:cs="Times New Roman"/>
                                <w:sz w:val="20"/>
                                <w:szCs w:val="20"/>
                                <w:lang w:val="es-ES"/>
                              </w:rPr>
                              <w:t xml:space="preserve">l desempeño logístico de Panamá es relevante </w:t>
                            </w:r>
                            <w:r w:rsidR="000E6ACC">
                              <w:rPr>
                                <w:rFonts w:ascii="Times New Roman" w:hAnsi="Times New Roman" w:cs="Times New Roman"/>
                                <w:sz w:val="20"/>
                                <w:szCs w:val="20"/>
                                <w:lang w:val="es-ES"/>
                              </w:rPr>
                              <w:t>a nivel global</w:t>
                            </w:r>
                            <w:r w:rsidRPr="00D768CA">
                              <w:rPr>
                                <w:rFonts w:ascii="Times New Roman" w:hAnsi="Times New Roman" w:cs="Times New Roman"/>
                                <w:sz w:val="20"/>
                                <w:szCs w:val="20"/>
                                <w:lang w:val="es-ES"/>
                              </w:rPr>
                              <w:t xml:space="preserve"> y constituye un marco de oportunidades para los países vecinos. </w:t>
                            </w:r>
                            <w:r>
                              <w:rPr>
                                <w:rFonts w:ascii="Times New Roman" w:hAnsi="Times New Roman" w:cs="Times New Roman"/>
                                <w:sz w:val="20"/>
                                <w:szCs w:val="20"/>
                                <w:lang w:val="es-ES"/>
                              </w:rPr>
                              <w:t>Esto es así debido</w:t>
                            </w:r>
                            <w:r w:rsidR="000E6ACC">
                              <w:rPr>
                                <w:rFonts w:ascii="Times New Roman" w:hAnsi="Times New Roman" w:cs="Times New Roman"/>
                                <w:sz w:val="20"/>
                                <w:szCs w:val="20"/>
                                <w:lang w:val="es-ES"/>
                              </w:rPr>
                              <w:t xml:space="preserve"> al impacto a nivel internacional del canal y</w:t>
                            </w:r>
                            <w:r>
                              <w:rPr>
                                <w:rFonts w:ascii="Times New Roman" w:hAnsi="Times New Roman" w:cs="Times New Roman"/>
                                <w:sz w:val="20"/>
                                <w:szCs w:val="20"/>
                                <w:lang w:val="es-ES"/>
                              </w:rPr>
                              <w:t xml:space="preserve"> a las infraestructuras</w:t>
                            </w:r>
                            <w:r w:rsidR="000E6ACC">
                              <w:rPr>
                                <w:rFonts w:ascii="Times New Roman" w:hAnsi="Times New Roman" w:cs="Times New Roman"/>
                                <w:sz w:val="20"/>
                                <w:szCs w:val="20"/>
                                <w:lang w:val="es-ES"/>
                              </w:rPr>
                              <w:t xml:space="preserve"> y servicios logísticos</w:t>
                            </w:r>
                            <w:r>
                              <w:rPr>
                                <w:rFonts w:ascii="Times New Roman" w:hAnsi="Times New Roman" w:cs="Times New Roman"/>
                                <w:sz w:val="20"/>
                                <w:szCs w:val="20"/>
                                <w:lang w:val="es-ES"/>
                              </w:rPr>
                              <w:t xml:space="preserve"> </w:t>
                            </w:r>
                            <w:r w:rsidR="000E6ACC">
                              <w:rPr>
                                <w:rFonts w:ascii="Times New Roman" w:hAnsi="Times New Roman" w:cs="Times New Roman"/>
                                <w:sz w:val="20"/>
                                <w:szCs w:val="20"/>
                                <w:lang w:val="es-ES"/>
                              </w:rPr>
                              <w:t>de escala regional</w:t>
                            </w:r>
                            <w:r>
                              <w:rPr>
                                <w:rFonts w:ascii="Times New Roman" w:hAnsi="Times New Roman" w:cs="Times New Roman"/>
                                <w:sz w:val="20"/>
                                <w:szCs w:val="20"/>
                                <w:lang w:val="es-ES"/>
                              </w:rPr>
                              <w:t xml:space="preserve"> </w:t>
                            </w:r>
                            <w:r w:rsidR="000E6ACC">
                              <w:rPr>
                                <w:rFonts w:ascii="Times New Roman" w:hAnsi="Times New Roman" w:cs="Times New Roman"/>
                                <w:sz w:val="20"/>
                                <w:szCs w:val="20"/>
                                <w:lang w:val="es-ES"/>
                              </w:rPr>
                              <w:t>que Panamá ofrece</w:t>
                            </w:r>
                            <w:r>
                              <w:rPr>
                                <w:rFonts w:ascii="Times New Roman" w:hAnsi="Times New Roman" w:cs="Times New Roman"/>
                                <w:sz w:val="20"/>
                                <w:szCs w:val="20"/>
                                <w:lang w:val="es-ES"/>
                              </w:rPr>
                              <w:t>. En el ámbito de integración física regional</w:t>
                            </w:r>
                            <w:r w:rsidR="000E6ACC">
                              <w:rPr>
                                <w:rFonts w:ascii="Times New Roman" w:hAnsi="Times New Roman" w:cs="Times New Roman"/>
                                <w:sz w:val="20"/>
                                <w:szCs w:val="20"/>
                                <w:lang w:val="es-ES"/>
                              </w:rPr>
                              <w:t xml:space="preserve"> terrestre</w:t>
                            </w:r>
                            <w:r>
                              <w:rPr>
                                <w:rFonts w:ascii="Times New Roman" w:hAnsi="Times New Roman" w:cs="Times New Roman"/>
                                <w:sz w:val="20"/>
                                <w:szCs w:val="20"/>
                                <w:lang w:val="es-ES"/>
                              </w:rPr>
                              <w:t xml:space="preserve">, por Panamá </w:t>
                            </w:r>
                            <w:r w:rsidRPr="00D768CA">
                              <w:rPr>
                                <w:rFonts w:ascii="Times New Roman" w:hAnsi="Times New Roman" w:cs="Times New Roman"/>
                                <w:sz w:val="20"/>
                                <w:szCs w:val="20"/>
                                <w:lang w:val="es-ES"/>
                              </w:rPr>
                              <w:t xml:space="preserve">atraviesan importantes corredores logísticos de integración centroamericana </w:t>
                            </w:r>
                            <w:r w:rsidR="000E6ACC">
                              <w:rPr>
                                <w:rFonts w:ascii="Times New Roman" w:hAnsi="Times New Roman" w:cs="Times New Roman"/>
                                <w:sz w:val="20"/>
                                <w:szCs w:val="20"/>
                                <w:lang w:val="es-ES"/>
                              </w:rPr>
                              <w:t>que dan además acceso a las cadenas come</w:t>
                            </w:r>
                            <w:r w:rsidR="00E631F0">
                              <w:rPr>
                                <w:rFonts w:ascii="Times New Roman" w:hAnsi="Times New Roman" w:cs="Times New Roman"/>
                                <w:sz w:val="20"/>
                                <w:szCs w:val="20"/>
                                <w:lang w:val="es-ES"/>
                              </w:rPr>
                              <w:t>rciales internacionales</w:t>
                            </w:r>
                            <w:r w:rsidRPr="00D768CA">
                              <w:rPr>
                                <w:rFonts w:ascii="Times New Roman" w:hAnsi="Times New Roman" w:cs="Times New Roman"/>
                                <w:sz w:val="20"/>
                                <w:szCs w:val="20"/>
                                <w:lang w:val="es-ES"/>
                              </w:rPr>
                              <w:t>.</w:t>
                            </w:r>
                            <w:r>
                              <w:rPr>
                                <w:rFonts w:ascii="Times New Roman" w:hAnsi="Times New Roman" w:cs="Times New Roman"/>
                                <w:sz w:val="20"/>
                                <w:szCs w:val="20"/>
                                <w:lang w:val="es-ES"/>
                              </w:rPr>
                              <w:t xml:space="preserve"> A pesar de los avances en el ámbito del desarrollo logístico de Panamá, todavía se detectan oportunidades de mejoras que permitan </w:t>
                            </w:r>
                            <w:r w:rsidRPr="0095048D">
                              <w:rPr>
                                <w:rFonts w:ascii="Times New Roman" w:hAnsi="Times New Roman" w:cs="Times New Roman"/>
                                <w:sz w:val="20"/>
                                <w:szCs w:val="20"/>
                                <w:lang w:val="es-ES"/>
                              </w:rPr>
                              <w:t xml:space="preserve">continuar avanzando en la agenda de integración económica de </w:t>
                            </w:r>
                            <w:r>
                              <w:rPr>
                                <w:rFonts w:ascii="Times New Roman" w:hAnsi="Times New Roman" w:cs="Times New Roman"/>
                                <w:sz w:val="20"/>
                                <w:szCs w:val="20"/>
                                <w:lang w:val="es-ES"/>
                              </w:rPr>
                              <w:t>Panamá</w:t>
                            </w:r>
                            <w:r w:rsidRPr="0095048D">
                              <w:rPr>
                                <w:rFonts w:ascii="Times New Roman" w:hAnsi="Times New Roman" w:cs="Times New Roman"/>
                                <w:sz w:val="20"/>
                                <w:szCs w:val="20"/>
                                <w:lang w:val="es-ES"/>
                              </w:rPr>
                              <w:t xml:space="preserve"> a los mercados regionales y globales y al mismo tiempo </w:t>
                            </w:r>
                            <w:r>
                              <w:rPr>
                                <w:rFonts w:ascii="Times New Roman" w:hAnsi="Times New Roman" w:cs="Times New Roman"/>
                                <w:sz w:val="20"/>
                                <w:szCs w:val="20"/>
                                <w:lang w:val="es-ES"/>
                              </w:rPr>
                              <w:t>aportar a</w:t>
                            </w:r>
                            <w:r w:rsidRPr="0095048D">
                              <w:rPr>
                                <w:rFonts w:ascii="Times New Roman" w:hAnsi="Times New Roman" w:cs="Times New Roman"/>
                                <w:sz w:val="20"/>
                                <w:szCs w:val="20"/>
                                <w:lang w:val="es-ES"/>
                              </w:rPr>
                              <w:t xml:space="preserve"> la evolución de las principales iniciativas de integración regional a las cuales </w:t>
                            </w:r>
                            <w:r>
                              <w:rPr>
                                <w:rFonts w:ascii="Times New Roman" w:hAnsi="Times New Roman" w:cs="Times New Roman"/>
                                <w:sz w:val="20"/>
                                <w:szCs w:val="20"/>
                                <w:lang w:val="es-ES"/>
                              </w:rPr>
                              <w:t>Panamá</w:t>
                            </w:r>
                            <w:r w:rsidRPr="0095048D">
                              <w:rPr>
                                <w:rFonts w:ascii="Times New Roman" w:hAnsi="Times New Roman" w:cs="Times New Roman"/>
                                <w:sz w:val="20"/>
                                <w:szCs w:val="20"/>
                                <w:lang w:val="es-ES"/>
                              </w:rPr>
                              <w:t xml:space="preserve"> pertenece. </w:t>
                            </w:r>
                          </w:p>
                          <w:p w14:paraId="2BE5F6B7" w14:textId="10D03467" w:rsidR="00EE04A7" w:rsidRPr="00EE04A7" w:rsidRDefault="00E55246" w:rsidP="001D2271">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La operación objeto de análisis, es parte de una serie de Programas del BID enfocados en la mejora </w:t>
                            </w:r>
                            <w:r w:rsidRPr="007065D5">
                              <w:rPr>
                                <w:rFonts w:ascii="Times New Roman" w:hAnsi="Times New Roman" w:cs="Times New Roman"/>
                                <w:sz w:val="20"/>
                                <w:szCs w:val="20"/>
                                <w:lang w:val="es-ES"/>
                              </w:rPr>
                              <w:t>de la competitividad</w:t>
                            </w:r>
                            <w:r>
                              <w:rPr>
                                <w:rFonts w:ascii="Times New Roman" w:hAnsi="Times New Roman" w:cs="Times New Roman"/>
                                <w:sz w:val="20"/>
                                <w:szCs w:val="20"/>
                                <w:lang w:val="es-ES"/>
                              </w:rPr>
                              <w:t xml:space="preserve"> sectorial. </w:t>
                            </w:r>
                            <w:r w:rsidRPr="00F77787">
                              <w:rPr>
                                <w:rFonts w:ascii="Times New Roman" w:hAnsi="Times New Roman" w:cs="Times New Roman"/>
                                <w:sz w:val="20"/>
                                <w:szCs w:val="20"/>
                                <w:lang w:val="es-ES"/>
                              </w:rPr>
                              <w:t xml:space="preserve">La primera operación (PN-L1110) se enfocó en establecer las prioridades de reforma y la institucionalidad necesaria </w:t>
                            </w:r>
                            <w:r>
                              <w:rPr>
                                <w:rFonts w:ascii="Times New Roman" w:hAnsi="Times New Roman" w:cs="Times New Roman"/>
                                <w:sz w:val="20"/>
                                <w:szCs w:val="20"/>
                                <w:lang w:val="es-ES"/>
                              </w:rPr>
                              <w:t>la mejorar la coordinación institucional y ambiente legal,</w:t>
                            </w:r>
                            <w:r w:rsidRPr="00F77787">
                              <w:rPr>
                                <w:rFonts w:ascii="Times New Roman" w:hAnsi="Times New Roman" w:cs="Times New Roman"/>
                                <w:sz w:val="20"/>
                                <w:szCs w:val="20"/>
                                <w:lang w:val="es-ES"/>
                              </w:rPr>
                              <w:t xml:space="preserve"> </w:t>
                            </w:r>
                            <w:r>
                              <w:rPr>
                                <w:rFonts w:ascii="Times New Roman" w:hAnsi="Times New Roman" w:cs="Times New Roman"/>
                                <w:sz w:val="20"/>
                                <w:szCs w:val="20"/>
                                <w:lang w:val="es-ES"/>
                              </w:rPr>
                              <w:t>l</w:t>
                            </w:r>
                            <w:r w:rsidRPr="00F77787">
                              <w:rPr>
                                <w:rFonts w:ascii="Times New Roman" w:hAnsi="Times New Roman" w:cs="Times New Roman"/>
                                <w:sz w:val="20"/>
                                <w:szCs w:val="20"/>
                                <w:lang w:val="es-ES"/>
                              </w:rPr>
                              <w:t>a segunda operación (PN-L1119) se enfocó en la elaboración de los instrumentos legales, de planificación y de mejora de procesos. Esta tercera operación, se enfocará en concretar los instrumentos legales y los instrumentos de planificación, permitiendo un vínculo concreto y de largo plazo con las políticas públicas.</w:t>
                            </w:r>
                            <w:r>
                              <w:rPr>
                                <w:rFonts w:ascii="Times New Roman" w:hAnsi="Times New Roman" w:cs="Times New Roman"/>
                                <w:sz w:val="20"/>
                                <w:szCs w:val="20"/>
                                <w:lang w:val="es-ES"/>
                              </w:rPr>
                              <w:t xml:space="preserve"> El </w:t>
                            </w:r>
                            <w:r w:rsidRPr="007065D5">
                              <w:rPr>
                                <w:rFonts w:ascii="Times New Roman" w:hAnsi="Times New Roman" w:cs="Times New Roman"/>
                                <w:sz w:val="20"/>
                                <w:szCs w:val="20"/>
                                <w:lang w:val="es-ES"/>
                              </w:rPr>
                              <w:t>Programa de Reformas del Sector Transporte y Logística de Panamá</w:t>
                            </w:r>
                            <w:r>
                              <w:rPr>
                                <w:rFonts w:ascii="Times New Roman" w:hAnsi="Times New Roman" w:cs="Times New Roman"/>
                                <w:sz w:val="20"/>
                                <w:szCs w:val="20"/>
                                <w:lang w:val="es-ES"/>
                              </w:rPr>
                              <w:t>,</w:t>
                            </w:r>
                            <w:r w:rsidRPr="007065D5">
                              <w:rPr>
                                <w:rFonts w:ascii="Times New Roman" w:hAnsi="Times New Roman" w:cs="Times New Roman"/>
                                <w:sz w:val="20"/>
                                <w:szCs w:val="20"/>
                                <w:lang w:val="es-ES"/>
                              </w:rPr>
                              <w:t xml:space="preserve"> Fase III</w:t>
                            </w:r>
                            <w:r>
                              <w:rPr>
                                <w:rFonts w:ascii="Times New Roman" w:hAnsi="Times New Roman" w:cs="Times New Roman"/>
                                <w:sz w:val="20"/>
                                <w:szCs w:val="20"/>
                                <w:lang w:val="es-ES"/>
                              </w:rPr>
                              <w:t xml:space="preserve"> (PN-L1151), tiene por objetivo</w:t>
                            </w:r>
                            <w:r w:rsidRPr="001D2271">
                              <w:rPr>
                                <w:rFonts w:ascii="Times New Roman" w:hAnsi="Times New Roman" w:cs="Times New Roman"/>
                                <w:sz w:val="20"/>
                                <w:szCs w:val="20"/>
                                <w:lang w:val="es-ES"/>
                              </w:rPr>
                              <w:t xml:space="preserve"> </w:t>
                            </w:r>
                            <w:r w:rsidRPr="0095048D">
                              <w:rPr>
                                <w:rFonts w:ascii="Times New Roman" w:hAnsi="Times New Roman" w:cs="Times New Roman"/>
                                <w:sz w:val="20"/>
                                <w:szCs w:val="20"/>
                                <w:lang w:val="es-ES"/>
                              </w:rPr>
                              <w:t xml:space="preserve">contribuir a la mejora de la </w:t>
                            </w:r>
                            <w:r>
                              <w:rPr>
                                <w:rFonts w:ascii="Times New Roman" w:hAnsi="Times New Roman" w:cs="Times New Roman"/>
                                <w:sz w:val="20"/>
                                <w:szCs w:val="20"/>
                                <w:lang w:val="es-ES"/>
                              </w:rPr>
                              <w:t>competitividad</w:t>
                            </w:r>
                            <w:r w:rsidRPr="0095048D">
                              <w:rPr>
                                <w:rFonts w:ascii="Times New Roman" w:hAnsi="Times New Roman" w:cs="Times New Roman"/>
                                <w:sz w:val="20"/>
                                <w:szCs w:val="20"/>
                                <w:lang w:val="es-ES"/>
                              </w:rPr>
                              <w:t xml:space="preserve"> y la integración </w:t>
                            </w:r>
                            <w:r>
                              <w:rPr>
                                <w:rFonts w:ascii="Times New Roman" w:hAnsi="Times New Roman" w:cs="Times New Roman"/>
                                <w:sz w:val="20"/>
                                <w:szCs w:val="20"/>
                                <w:lang w:val="es-ES"/>
                              </w:rPr>
                              <w:t xml:space="preserve">regional de Panamá </w:t>
                            </w:r>
                            <w:r w:rsidRPr="0095048D">
                              <w:rPr>
                                <w:rFonts w:ascii="Times New Roman" w:hAnsi="Times New Roman" w:cs="Times New Roman"/>
                                <w:sz w:val="20"/>
                                <w:szCs w:val="20"/>
                                <w:lang w:val="es-ES"/>
                              </w:rPr>
                              <w:t xml:space="preserve">mediante </w:t>
                            </w:r>
                            <w:r>
                              <w:rPr>
                                <w:rFonts w:ascii="Times New Roman" w:hAnsi="Times New Roman" w:cs="Times New Roman"/>
                                <w:sz w:val="20"/>
                                <w:szCs w:val="20"/>
                                <w:lang w:val="es-ES"/>
                              </w:rPr>
                              <w:t>el fortalecimiento institucional, legal y regulatorio.</w:t>
                            </w:r>
                            <w:r w:rsidR="00F67EAF" w:rsidRPr="00F67EAF">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S</w:t>
                            </w:r>
                            <w:r w:rsidR="00F67EAF">
                              <w:rPr>
                                <w:rFonts w:ascii="Times New Roman" w:hAnsi="Times New Roman" w:cs="Times New Roman"/>
                                <w:sz w:val="20"/>
                                <w:szCs w:val="20"/>
                                <w:lang w:val="es-ES"/>
                              </w:rPr>
                              <w:t>e espera que</w:t>
                            </w:r>
                            <w:r w:rsidR="00F67EAF">
                              <w:rPr>
                                <w:rFonts w:ascii="Times New Roman" w:hAnsi="Times New Roman" w:cs="Times New Roman"/>
                                <w:sz w:val="20"/>
                                <w:szCs w:val="20"/>
                                <w:lang w:val="es-ES"/>
                              </w:rPr>
                              <w:t xml:space="preserve"> el programa</w:t>
                            </w:r>
                            <w:r w:rsidR="00F67EAF">
                              <w:rPr>
                                <w:rFonts w:ascii="Times New Roman" w:hAnsi="Times New Roman" w:cs="Times New Roman"/>
                                <w:sz w:val="20"/>
                                <w:szCs w:val="20"/>
                                <w:lang w:val="es-ES"/>
                              </w:rPr>
                              <w:t xml:space="preserve"> tenga efectos tanto a nivel microeconómico como a nivel </w:t>
                            </w:r>
                            <w:r w:rsidR="00F67EAF">
                              <w:rPr>
                                <w:rFonts w:ascii="Times New Roman" w:hAnsi="Times New Roman" w:cs="Times New Roman"/>
                                <w:sz w:val="20"/>
                                <w:szCs w:val="20"/>
                                <w:lang w:val="es-ES"/>
                              </w:rPr>
                              <w:t>macro-</w:t>
                            </w:r>
                            <w:r w:rsidR="00F67EAF">
                              <w:rPr>
                                <w:rFonts w:ascii="Times New Roman" w:hAnsi="Times New Roman" w:cs="Times New Roman"/>
                                <w:sz w:val="20"/>
                                <w:szCs w:val="20"/>
                                <w:lang w:val="es-ES"/>
                              </w:rPr>
                              <w:t>global.</w:t>
                            </w:r>
                            <w:r>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A nivel de los efectos económicos globales</w:t>
                            </w:r>
                            <w:r w:rsidR="005E0E28">
                              <w:rPr>
                                <w:rFonts w:ascii="Times New Roman" w:hAnsi="Times New Roman" w:cs="Times New Roman"/>
                                <w:sz w:val="20"/>
                                <w:szCs w:val="20"/>
                                <w:lang w:val="es-ES"/>
                              </w:rPr>
                              <w:t xml:space="preserve">, se realizó un análisis de los efectos de las reformas legales para el clima de negocios en Panamá y se encuentran que </w:t>
                            </w:r>
                            <w:r w:rsidR="005E0E28" w:rsidRPr="005E0E28">
                              <w:rPr>
                                <w:rFonts w:ascii="Times New Roman" w:hAnsi="Times New Roman" w:cs="Times New Roman"/>
                                <w:sz w:val="20"/>
                                <w:szCs w:val="20"/>
                                <w:lang w:val="es-ES"/>
                              </w:rPr>
                              <w:t>cada reforma regulatoria del clima de negocios está asociada, en promedio, con un aumento de 0.03% en el crecimiento económico</w:t>
                            </w:r>
                            <w:r w:rsidR="00EE04A7">
                              <w:rPr>
                                <w:rFonts w:ascii="Times New Roman" w:hAnsi="Times New Roman" w:cs="Times New Roman"/>
                                <w:sz w:val="20"/>
                                <w:szCs w:val="20"/>
                                <w:lang w:val="es-ES"/>
                              </w:rPr>
                              <w:t xml:space="preserve">, lo anterior refuerza la importancia de llevar a cabo </w:t>
                            </w:r>
                            <w:r w:rsidR="00EE04A7" w:rsidRPr="00EE04A7">
                              <w:rPr>
                                <w:rFonts w:ascii="Times New Roman" w:hAnsi="Times New Roman" w:cs="Times New Roman"/>
                                <w:sz w:val="20"/>
                                <w:szCs w:val="20"/>
                                <w:lang w:val="es-ES"/>
                              </w:rPr>
                              <w:t>reforma</w:t>
                            </w:r>
                            <w:r w:rsidR="00EE04A7">
                              <w:rPr>
                                <w:rFonts w:ascii="Times New Roman" w:hAnsi="Times New Roman" w:cs="Times New Roman"/>
                                <w:sz w:val="20"/>
                                <w:szCs w:val="20"/>
                                <w:lang w:val="es-ES"/>
                              </w:rPr>
                              <w:t xml:space="preserve">s que mejoren el entorno para las firmas a través de mejoras en las </w:t>
                            </w:r>
                            <w:r w:rsidR="00EE04A7" w:rsidRPr="00EE04A7">
                              <w:rPr>
                                <w:rFonts w:ascii="Times New Roman" w:hAnsi="Times New Roman" w:cs="Times New Roman"/>
                                <w:sz w:val="20"/>
                                <w:szCs w:val="20"/>
                                <w:lang w:val="es-ES"/>
                              </w:rPr>
                              <w:t xml:space="preserve">regulaciones comerciales, de transporte y logística </w:t>
                            </w:r>
                            <w:r w:rsidR="00EE04A7">
                              <w:rPr>
                                <w:rFonts w:ascii="Times New Roman" w:hAnsi="Times New Roman" w:cs="Times New Roman"/>
                                <w:sz w:val="20"/>
                                <w:szCs w:val="20"/>
                                <w:lang w:val="es-ES"/>
                              </w:rPr>
                              <w:t>en el país.</w:t>
                            </w:r>
                          </w:p>
                          <w:p w14:paraId="40896F71" w14:textId="77777777" w:rsidR="00E55246" w:rsidRPr="0095048D" w:rsidRDefault="00E55246" w:rsidP="00552540">
                            <w:pPr>
                              <w:tabs>
                                <w:tab w:val="left" w:pos="2085"/>
                              </w:tabs>
                              <w:spacing w:line="0" w:lineRule="atLeast"/>
                              <w:jc w:val="both"/>
                              <w:rPr>
                                <w:rFonts w:ascii="Times New Roman" w:hAnsi="Times New Roman" w:cs="Times New Roman"/>
                                <w:sz w:val="20"/>
                                <w:szCs w:val="20"/>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029C" id="_x0000_t202" coordsize="21600,21600" o:spt="202" path="m,l,21600r21600,l21600,xe">
                <v:stroke joinstyle="miter"/>
                <v:path gradientshapeok="t" o:connecttype="rect"/>
              </v:shapetype>
              <v:shape id="Text Box 1" o:spid="_x0000_s1026" type="#_x0000_t202" style="position:absolute;left:0;text-align:left;margin-left:0;margin-top:13.7pt;width:471.75pt;height:289.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" fillcolor="white [3201]" strokeweight=".5pt">
                <v:textbox>
                  <w:txbxContent>
                    <w:p w14:paraId="0CABC01E" w14:textId="77777777" w:rsidR="00E55246" w:rsidRPr="00022B77" w:rsidRDefault="00E55246"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33F5EF61" w14:textId="77777777" w:rsidR="00E55246" w:rsidRPr="008D7838" w:rsidRDefault="00E55246" w:rsidP="00552540">
                      <w:pPr>
                        <w:keepNext/>
                        <w:keepLines/>
                        <w:spacing w:after="0"/>
                        <w:jc w:val="both"/>
                        <w:outlineLvl w:val="1"/>
                        <w:rPr>
                          <w:rFonts w:ascii="Times New Roman" w:hAnsi="Times New Roman"/>
                          <w:sz w:val="21"/>
                          <w:szCs w:val="21"/>
                          <w:lang w:val="es-ES_tradnl"/>
                        </w:rPr>
                      </w:pPr>
                    </w:p>
                    <w:p w14:paraId="7CED23B7" w14:textId="62191886" w:rsidR="00E55246" w:rsidRDefault="00E55246" w:rsidP="00507DC7">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E</w:t>
                      </w:r>
                      <w:r w:rsidRPr="00D768CA">
                        <w:rPr>
                          <w:rFonts w:ascii="Times New Roman" w:hAnsi="Times New Roman" w:cs="Times New Roman"/>
                          <w:sz w:val="20"/>
                          <w:szCs w:val="20"/>
                          <w:lang w:val="es-ES"/>
                        </w:rPr>
                        <w:t xml:space="preserve">l desempeño logístico de Panamá es relevante </w:t>
                      </w:r>
                      <w:r w:rsidR="000E6ACC">
                        <w:rPr>
                          <w:rFonts w:ascii="Times New Roman" w:hAnsi="Times New Roman" w:cs="Times New Roman"/>
                          <w:sz w:val="20"/>
                          <w:szCs w:val="20"/>
                          <w:lang w:val="es-ES"/>
                        </w:rPr>
                        <w:t>a nivel global</w:t>
                      </w:r>
                      <w:r w:rsidRPr="00D768CA">
                        <w:rPr>
                          <w:rFonts w:ascii="Times New Roman" w:hAnsi="Times New Roman" w:cs="Times New Roman"/>
                          <w:sz w:val="20"/>
                          <w:szCs w:val="20"/>
                          <w:lang w:val="es-ES"/>
                        </w:rPr>
                        <w:t xml:space="preserve"> y constituye un marco de oportunidades para los países vecinos. </w:t>
                      </w:r>
                      <w:r>
                        <w:rPr>
                          <w:rFonts w:ascii="Times New Roman" w:hAnsi="Times New Roman" w:cs="Times New Roman"/>
                          <w:sz w:val="20"/>
                          <w:szCs w:val="20"/>
                          <w:lang w:val="es-ES"/>
                        </w:rPr>
                        <w:t>Esto es así debido</w:t>
                      </w:r>
                      <w:r w:rsidR="000E6ACC">
                        <w:rPr>
                          <w:rFonts w:ascii="Times New Roman" w:hAnsi="Times New Roman" w:cs="Times New Roman"/>
                          <w:sz w:val="20"/>
                          <w:szCs w:val="20"/>
                          <w:lang w:val="es-ES"/>
                        </w:rPr>
                        <w:t xml:space="preserve"> al impacto a nivel internacional del canal y</w:t>
                      </w:r>
                      <w:r>
                        <w:rPr>
                          <w:rFonts w:ascii="Times New Roman" w:hAnsi="Times New Roman" w:cs="Times New Roman"/>
                          <w:sz w:val="20"/>
                          <w:szCs w:val="20"/>
                          <w:lang w:val="es-ES"/>
                        </w:rPr>
                        <w:t xml:space="preserve"> a las infraestructuras</w:t>
                      </w:r>
                      <w:r w:rsidR="000E6ACC">
                        <w:rPr>
                          <w:rFonts w:ascii="Times New Roman" w:hAnsi="Times New Roman" w:cs="Times New Roman"/>
                          <w:sz w:val="20"/>
                          <w:szCs w:val="20"/>
                          <w:lang w:val="es-ES"/>
                        </w:rPr>
                        <w:t xml:space="preserve"> y servicios logísticos</w:t>
                      </w:r>
                      <w:r>
                        <w:rPr>
                          <w:rFonts w:ascii="Times New Roman" w:hAnsi="Times New Roman" w:cs="Times New Roman"/>
                          <w:sz w:val="20"/>
                          <w:szCs w:val="20"/>
                          <w:lang w:val="es-ES"/>
                        </w:rPr>
                        <w:t xml:space="preserve"> </w:t>
                      </w:r>
                      <w:r w:rsidR="000E6ACC">
                        <w:rPr>
                          <w:rFonts w:ascii="Times New Roman" w:hAnsi="Times New Roman" w:cs="Times New Roman"/>
                          <w:sz w:val="20"/>
                          <w:szCs w:val="20"/>
                          <w:lang w:val="es-ES"/>
                        </w:rPr>
                        <w:t>de escala regional</w:t>
                      </w:r>
                      <w:r>
                        <w:rPr>
                          <w:rFonts w:ascii="Times New Roman" w:hAnsi="Times New Roman" w:cs="Times New Roman"/>
                          <w:sz w:val="20"/>
                          <w:szCs w:val="20"/>
                          <w:lang w:val="es-ES"/>
                        </w:rPr>
                        <w:t xml:space="preserve"> </w:t>
                      </w:r>
                      <w:r w:rsidR="000E6ACC">
                        <w:rPr>
                          <w:rFonts w:ascii="Times New Roman" w:hAnsi="Times New Roman" w:cs="Times New Roman"/>
                          <w:sz w:val="20"/>
                          <w:szCs w:val="20"/>
                          <w:lang w:val="es-ES"/>
                        </w:rPr>
                        <w:t>que Panamá ofrece</w:t>
                      </w:r>
                      <w:r>
                        <w:rPr>
                          <w:rFonts w:ascii="Times New Roman" w:hAnsi="Times New Roman" w:cs="Times New Roman"/>
                          <w:sz w:val="20"/>
                          <w:szCs w:val="20"/>
                          <w:lang w:val="es-ES"/>
                        </w:rPr>
                        <w:t>. En el ámbito de integración física regional</w:t>
                      </w:r>
                      <w:r w:rsidR="000E6ACC">
                        <w:rPr>
                          <w:rFonts w:ascii="Times New Roman" w:hAnsi="Times New Roman" w:cs="Times New Roman"/>
                          <w:sz w:val="20"/>
                          <w:szCs w:val="20"/>
                          <w:lang w:val="es-ES"/>
                        </w:rPr>
                        <w:t xml:space="preserve"> terrestre</w:t>
                      </w:r>
                      <w:r>
                        <w:rPr>
                          <w:rFonts w:ascii="Times New Roman" w:hAnsi="Times New Roman" w:cs="Times New Roman"/>
                          <w:sz w:val="20"/>
                          <w:szCs w:val="20"/>
                          <w:lang w:val="es-ES"/>
                        </w:rPr>
                        <w:t xml:space="preserve">, por Panamá </w:t>
                      </w:r>
                      <w:r w:rsidRPr="00D768CA">
                        <w:rPr>
                          <w:rFonts w:ascii="Times New Roman" w:hAnsi="Times New Roman" w:cs="Times New Roman"/>
                          <w:sz w:val="20"/>
                          <w:szCs w:val="20"/>
                          <w:lang w:val="es-ES"/>
                        </w:rPr>
                        <w:t xml:space="preserve">atraviesan importantes corredores logísticos de integración centroamericana </w:t>
                      </w:r>
                      <w:r w:rsidR="000E6ACC">
                        <w:rPr>
                          <w:rFonts w:ascii="Times New Roman" w:hAnsi="Times New Roman" w:cs="Times New Roman"/>
                          <w:sz w:val="20"/>
                          <w:szCs w:val="20"/>
                          <w:lang w:val="es-ES"/>
                        </w:rPr>
                        <w:t>que dan además acceso a las cadenas come</w:t>
                      </w:r>
                      <w:r w:rsidR="00E631F0">
                        <w:rPr>
                          <w:rFonts w:ascii="Times New Roman" w:hAnsi="Times New Roman" w:cs="Times New Roman"/>
                          <w:sz w:val="20"/>
                          <w:szCs w:val="20"/>
                          <w:lang w:val="es-ES"/>
                        </w:rPr>
                        <w:t>rciales internacionales</w:t>
                      </w:r>
                      <w:r w:rsidRPr="00D768CA">
                        <w:rPr>
                          <w:rFonts w:ascii="Times New Roman" w:hAnsi="Times New Roman" w:cs="Times New Roman"/>
                          <w:sz w:val="20"/>
                          <w:szCs w:val="20"/>
                          <w:lang w:val="es-ES"/>
                        </w:rPr>
                        <w:t>.</w:t>
                      </w:r>
                      <w:r>
                        <w:rPr>
                          <w:rFonts w:ascii="Times New Roman" w:hAnsi="Times New Roman" w:cs="Times New Roman"/>
                          <w:sz w:val="20"/>
                          <w:szCs w:val="20"/>
                          <w:lang w:val="es-ES"/>
                        </w:rPr>
                        <w:t xml:space="preserve"> A pesar de los avances en el ámbito del desarrollo logístico de Panamá, todavía se detectan oportunidades de mejoras que permitan </w:t>
                      </w:r>
                      <w:r w:rsidRPr="0095048D">
                        <w:rPr>
                          <w:rFonts w:ascii="Times New Roman" w:hAnsi="Times New Roman" w:cs="Times New Roman"/>
                          <w:sz w:val="20"/>
                          <w:szCs w:val="20"/>
                          <w:lang w:val="es-ES"/>
                        </w:rPr>
                        <w:t xml:space="preserve">continuar avanzando en la agenda de integración económica de </w:t>
                      </w:r>
                      <w:r>
                        <w:rPr>
                          <w:rFonts w:ascii="Times New Roman" w:hAnsi="Times New Roman" w:cs="Times New Roman"/>
                          <w:sz w:val="20"/>
                          <w:szCs w:val="20"/>
                          <w:lang w:val="es-ES"/>
                        </w:rPr>
                        <w:t>Panamá</w:t>
                      </w:r>
                      <w:r w:rsidRPr="0095048D">
                        <w:rPr>
                          <w:rFonts w:ascii="Times New Roman" w:hAnsi="Times New Roman" w:cs="Times New Roman"/>
                          <w:sz w:val="20"/>
                          <w:szCs w:val="20"/>
                          <w:lang w:val="es-ES"/>
                        </w:rPr>
                        <w:t xml:space="preserve"> a los mercados regionales y globales y al mismo tiempo </w:t>
                      </w:r>
                      <w:r>
                        <w:rPr>
                          <w:rFonts w:ascii="Times New Roman" w:hAnsi="Times New Roman" w:cs="Times New Roman"/>
                          <w:sz w:val="20"/>
                          <w:szCs w:val="20"/>
                          <w:lang w:val="es-ES"/>
                        </w:rPr>
                        <w:t>aportar a</w:t>
                      </w:r>
                      <w:r w:rsidRPr="0095048D">
                        <w:rPr>
                          <w:rFonts w:ascii="Times New Roman" w:hAnsi="Times New Roman" w:cs="Times New Roman"/>
                          <w:sz w:val="20"/>
                          <w:szCs w:val="20"/>
                          <w:lang w:val="es-ES"/>
                        </w:rPr>
                        <w:t xml:space="preserve"> la evolución de las principales iniciativas de integración regional a las cuales </w:t>
                      </w:r>
                      <w:r>
                        <w:rPr>
                          <w:rFonts w:ascii="Times New Roman" w:hAnsi="Times New Roman" w:cs="Times New Roman"/>
                          <w:sz w:val="20"/>
                          <w:szCs w:val="20"/>
                          <w:lang w:val="es-ES"/>
                        </w:rPr>
                        <w:t>Panamá</w:t>
                      </w:r>
                      <w:r w:rsidRPr="0095048D">
                        <w:rPr>
                          <w:rFonts w:ascii="Times New Roman" w:hAnsi="Times New Roman" w:cs="Times New Roman"/>
                          <w:sz w:val="20"/>
                          <w:szCs w:val="20"/>
                          <w:lang w:val="es-ES"/>
                        </w:rPr>
                        <w:t xml:space="preserve"> pertenece. </w:t>
                      </w:r>
                    </w:p>
                    <w:p w14:paraId="2BE5F6B7" w14:textId="10D03467" w:rsidR="00EE04A7" w:rsidRPr="00EE04A7" w:rsidRDefault="00E55246" w:rsidP="001D2271">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La operación objeto de análisis, es parte de una serie de Programas del BID enfocados en la mejora </w:t>
                      </w:r>
                      <w:r w:rsidRPr="007065D5">
                        <w:rPr>
                          <w:rFonts w:ascii="Times New Roman" w:hAnsi="Times New Roman" w:cs="Times New Roman"/>
                          <w:sz w:val="20"/>
                          <w:szCs w:val="20"/>
                          <w:lang w:val="es-ES"/>
                        </w:rPr>
                        <w:t>de la competitividad</w:t>
                      </w:r>
                      <w:r>
                        <w:rPr>
                          <w:rFonts w:ascii="Times New Roman" w:hAnsi="Times New Roman" w:cs="Times New Roman"/>
                          <w:sz w:val="20"/>
                          <w:szCs w:val="20"/>
                          <w:lang w:val="es-ES"/>
                        </w:rPr>
                        <w:t xml:space="preserve"> sectorial. </w:t>
                      </w:r>
                      <w:r w:rsidRPr="00F77787">
                        <w:rPr>
                          <w:rFonts w:ascii="Times New Roman" w:hAnsi="Times New Roman" w:cs="Times New Roman"/>
                          <w:sz w:val="20"/>
                          <w:szCs w:val="20"/>
                          <w:lang w:val="es-ES"/>
                        </w:rPr>
                        <w:t xml:space="preserve">La primera operación (PN-L1110) se enfocó en establecer las prioridades de reforma y la institucionalidad necesaria </w:t>
                      </w:r>
                      <w:r>
                        <w:rPr>
                          <w:rFonts w:ascii="Times New Roman" w:hAnsi="Times New Roman" w:cs="Times New Roman"/>
                          <w:sz w:val="20"/>
                          <w:szCs w:val="20"/>
                          <w:lang w:val="es-ES"/>
                        </w:rPr>
                        <w:t>la mejorar la coordinación institucional y ambiente legal,</w:t>
                      </w:r>
                      <w:r w:rsidRPr="00F77787">
                        <w:rPr>
                          <w:rFonts w:ascii="Times New Roman" w:hAnsi="Times New Roman" w:cs="Times New Roman"/>
                          <w:sz w:val="20"/>
                          <w:szCs w:val="20"/>
                          <w:lang w:val="es-ES"/>
                        </w:rPr>
                        <w:t xml:space="preserve"> </w:t>
                      </w:r>
                      <w:r>
                        <w:rPr>
                          <w:rFonts w:ascii="Times New Roman" w:hAnsi="Times New Roman" w:cs="Times New Roman"/>
                          <w:sz w:val="20"/>
                          <w:szCs w:val="20"/>
                          <w:lang w:val="es-ES"/>
                        </w:rPr>
                        <w:t>l</w:t>
                      </w:r>
                      <w:r w:rsidRPr="00F77787">
                        <w:rPr>
                          <w:rFonts w:ascii="Times New Roman" w:hAnsi="Times New Roman" w:cs="Times New Roman"/>
                          <w:sz w:val="20"/>
                          <w:szCs w:val="20"/>
                          <w:lang w:val="es-ES"/>
                        </w:rPr>
                        <w:t>a segunda operación (PN-L1119) se enfocó en la elaboración de los instrumentos legales, de planificación y de mejora de procesos. Esta tercera operación, se enfocará en concretar los instrumentos legales y los instrumentos de planificación, permitiendo un vínculo concreto y de largo plazo con las políticas públicas.</w:t>
                      </w:r>
                      <w:r>
                        <w:rPr>
                          <w:rFonts w:ascii="Times New Roman" w:hAnsi="Times New Roman" w:cs="Times New Roman"/>
                          <w:sz w:val="20"/>
                          <w:szCs w:val="20"/>
                          <w:lang w:val="es-ES"/>
                        </w:rPr>
                        <w:t xml:space="preserve"> El </w:t>
                      </w:r>
                      <w:r w:rsidRPr="007065D5">
                        <w:rPr>
                          <w:rFonts w:ascii="Times New Roman" w:hAnsi="Times New Roman" w:cs="Times New Roman"/>
                          <w:sz w:val="20"/>
                          <w:szCs w:val="20"/>
                          <w:lang w:val="es-ES"/>
                        </w:rPr>
                        <w:t>Programa de Reformas del Sector Transporte y Logística de Panamá</w:t>
                      </w:r>
                      <w:r>
                        <w:rPr>
                          <w:rFonts w:ascii="Times New Roman" w:hAnsi="Times New Roman" w:cs="Times New Roman"/>
                          <w:sz w:val="20"/>
                          <w:szCs w:val="20"/>
                          <w:lang w:val="es-ES"/>
                        </w:rPr>
                        <w:t>,</w:t>
                      </w:r>
                      <w:r w:rsidRPr="007065D5">
                        <w:rPr>
                          <w:rFonts w:ascii="Times New Roman" w:hAnsi="Times New Roman" w:cs="Times New Roman"/>
                          <w:sz w:val="20"/>
                          <w:szCs w:val="20"/>
                          <w:lang w:val="es-ES"/>
                        </w:rPr>
                        <w:t xml:space="preserve"> Fase III</w:t>
                      </w:r>
                      <w:r>
                        <w:rPr>
                          <w:rFonts w:ascii="Times New Roman" w:hAnsi="Times New Roman" w:cs="Times New Roman"/>
                          <w:sz w:val="20"/>
                          <w:szCs w:val="20"/>
                          <w:lang w:val="es-ES"/>
                        </w:rPr>
                        <w:t xml:space="preserve"> (PN-L1151), tiene por objetivo</w:t>
                      </w:r>
                      <w:r w:rsidRPr="001D2271">
                        <w:rPr>
                          <w:rFonts w:ascii="Times New Roman" w:hAnsi="Times New Roman" w:cs="Times New Roman"/>
                          <w:sz w:val="20"/>
                          <w:szCs w:val="20"/>
                          <w:lang w:val="es-ES"/>
                        </w:rPr>
                        <w:t xml:space="preserve"> </w:t>
                      </w:r>
                      <w:r w:rsidRPr="0095048D">
                        <w:rPr>
                          <w:rFonts w:ascii="Times New Roman" w:hAnsi="Times New Roman" w:cs="Times New Roman"/>
                          <w:sz w:val="20"/>
                          <w:szCs w:val="20"/>
                          <w:lang w:val="es-ES"/>
                        </w:rPr>
                        <w:t xml:space="preserve">contribuir a la mejora de la </w:t>
                      </w:r>
                      <w:r>
                        <w:rPr>
                          <w:rFonts w:ascii="Times New Roman" w:hAnsi="Times New Roman" w:cs="Times New Roman"/>
                          <w:sz w:val="20"/>
                          <w:szCs w:val="20"/>
                          <w:lang w:val="es-ES"/>
                        </w:rPr>
                        <w:t>competitividad</w:t>
                      </w:r>
                      <w:r w:rsidRPr="0095048D">
                        <w:rPr>
                          <w:rFonts w:ascii="Times New Roman" w:hAnsi="Times New Roman" w:cs="Times New Roman"/>
                          <w:sz w:val="20"/>
                          <w:szCs w:val="20"/>
                          <w:lang w:val="es-ES"/>
                        </w:rPr>
                        <w:t xml:space="preserve"> y la integración </w:t>
                      </w:r>
                      <w:r>
                        <w:rPr>
                          <w:rFonts w:ascii="Times New Roman" w:hAnsi="Times New Roman" w:cs="Times New Roman"/>
                          <w:sz w:val="20"/>
                          <w:szCs w:val="20"/>
                          <w:lang w:val="es-ES"/>
                        </w:rPr>
                        <w:t xml:space="preserve">regional de Panamá </w:t>
                      </w:r>
                      <w:r w:rsidRPr="0095048D">
                        <w:rPr>
                          <w:rFonts w:ascii="Times New Roman" w:hAnsi="Times New Roman" w:cs="Times New Roman"/>
                          <w:sz w:val="20"/>
                          <w:szCs w:val="20"/>
                          <w:lang w:val="es-ES"/>
                        </w:rPr>
                        <w:t xml:space="preserve">mediante </w:t>
                      </w:r>
                      <w:r>
                        <w:rPr>
                          <w:rFonts w:ascii="Times New Roman" w:hAnsi="Times New Roman" w:cs="Times New Roman"/>
                          <w:sz w:val="20"/>
                          <w:szCs w:val="20"/>
                          <w:lang w:val="es-ES"/>
                        </w:rPr>
                        <w:t>el fortalecimiento institucional, legal y regulatorio.</w:t>
                      </w:r>
                      <w:r w:rsidR="00F67EAF" w:rsidRPr="00F67EAF">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S</w:t>
                      </w:r>
                      <w:r w:rsidR="00F67EAF">
                        <w:rPr>
                          <w:rFonts w:ascii="Times New Roman" w:hAnsi="Times New Roman" w:cs="Times New Roman"/>
                          <w:sz w:val="20"/>
                          <w:szCs w:val="20"/>
                          <w:lang w:val="es-ES"/>
                        </w:rPr>
                        <w:t>e espera que</w:t>
                      </w:r>
                      <w:r w:rsidR="00F67EAF">
                        <w:rPr>
                          <w:rFonts w:ascii="Times New Roman" w:hAnsi="Times New Roman" w:cs="Times New Roman"/>
                          <w:sz w:val="20"/>
                          <w:szCs w:val="20"/>
                          <w:lang w:val="es-ES"/>
                        </w:rPr>
                        <w:t xml:space="preserve"> el programa</w:t>
                      </w:r>
                      <w:r w:rsidR="00F67EAF">
                        <w:rPr>
                          <w:rFonts w:ascii="Times New Roman" w:hAnsi="Times New Roman" w:cs="Times New Roman"/>
                          <w:sz w:val="20"/>
                          <w:szCs w:val="20"/>
                          <w:lang w:val="es-ES"/>
                        </w:rPr>
                        <w:t xml:space="preserve"> tenga efectos tanto a nivel microeconómico como a nivel </w:t>
                      </w:r>
                      <w:r w:rsidR="00F67EAF">
                        <w:rPr>
                          <w:rFonts w:ascii="Times New Roman" w:hAnsi="Times New Roman" w:cs="Times New Roman"/>
                          <w:sz w:val="20"/>
                          <w:szCs w:val="20"/>
                          <w:lang w:val="es-ES"/>
                        </w:rPr>
                        <w:t>macro-</w:t>
                      </w:r>
                      <w:r w:rsidR="00F67EAF">
                        <w:rPr>
                          <w:rFonts w:ascii="Times New Roman" w:hAnsi="Times New Roman" w:cs="Times New Roman"/>
                          <w:sz w:val="20"/>
                          <w:szCs w:val="20"/>
                          <w:lang w:val="es-ES"/>
                        </w:rPr>
                        <w:t>global.</w:t>
                      </w:r>
                      <w:r>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A nivel de los efectos económicos globales</w:t>
                      </w:r>
                      <w:r w:rsidR="005E0E28">
                        <w:rPr>
                          <w:rFonts w:ascii="Times New Roman" w:hAnsi="Times New Roman" w:cs="Times New Roman"/>
                          <w:sz w:val="20"/>
                          <w:szCs w:val="20"/>
                          <w:lang w:val="es-ES"/>
                        </w:rPr>
                        <w:t xml:space="preserve">, se realizó un análisis de los efectos de las reformas legales para el clima de negocios en Panamá y se encuentran que </w:t>
                      </w:r>
                      <w:r w:rsidR="005E0E28" w:rsidRPr="005E0E28">
                        <w:rPr>
                          <w:rFonts w:ascii="Times New Roman" w:hAnsi="Times New Roman" w:cs="Times New Roman"/>
                          <w:sz w:val="20"/>
                          <w:szCs w:val="20"/>
                          <w:lang w:val="es-ES"/>
                        </w:rPr>
                        <w:t>cada reforma regulatoria del clima de negocios está asociada, en promedio, con un aumento de 0.03% en el crecimiento económico</w:t>
                      </w:r>
                      <w:r w:rsidR="00EE04A7">
                        <w:rPr>
                          <w:rFonts w:ascii="Times New Roman" w:hAnsi="Times New Roman" w:cs="Times New Roman"/>
                          <w:sz w:val="20"/>
                          <w:szCs w:val="20"/>
                          <w:lang w:val="es-ES"/>
                        </w:rPr>
                        <w:t xml:space="preserve">, lo anterior refuerza la importancia de llevar a cabo </w:t>
                      </w:r>
                      <w:r w:rsidR="00EE04A7" w:rsidRPr="00EE04A7">
                        <w:rPr>
                          <w:rFonts w:ascii="Times New Roman" w:hAnsi="Times New Roman" w:cs="Times New Roman"/>
                          <w:sz w:val="20"/>
                          <w:szCs w:val="20"/>
                          <w:lang w:val="es-ES"/>
                        </w:rPr>
                        <w:t>reforma</w:t>
                      </w:r>
                      <w:r w:rsidR="00EE04A7">
                        <w:rPr>
                          <w:rFonts w:ascii="Times New Roman" w:hAnsi="Times New Roman" w:cs="Times New Roman"/>
                          <w:sz w:val="20"/>
                          <w:szCs w:val="20"/>
                          <w:lang w:val="es-ES"/>
                        </w:rPr>
                        <w:t xml:space="preserve">s que mejoren el entorno para las firmas a través de mejoras en las </w:t>
                      </w:r>
                      <w:r w:rsidR="00EE04A7" w:rsidRPr="00EE04A7">
                        <w:rPr>
                          <w:rFonts w:ascii="Times New Roman" w:hAnsi="Times New Roman" w:cs="Times New Roman"/>
                          <w:sz w:val="20"/>
                          <w:szCs w:val="20"/>
                          <w:lang w:val="es-ES"/>
                        </w:rPr>
                        <w:t xml:space="preserve">regulaciones comerciales, de transporte y logística </w:t>
                      </w:r>
                      <w:r w:rsidR="00EE04A7">
                        <w:rPr>
                          <w:rFonts w:ascii="Times New Roman" w:hAnsi="Times New Roman" w:cs="Times New Roman"/>
                          <w:sz w:val="20"/>
                          <w:szCs w:val="20"/>
                          <w:lang w:val="es-ES"/>
                        </w:rPr>
                        <w:t>en el país.</w:t>
                      </w:r>
                    </w:p>
                    <w:p w14:paraId="40896F71" w14:textId="77777777" w:rsidR="00E55246" w:rsidRPr="0095048D" w:rsidRDefault="00E55246" w:rsidP="00552540">
                      <w:pPr>
                        <w:tabs>
                          <w:tab w:val="left" w:pos="2085"/>
                        </w:tabs>
                        <w:spacing w:line="0" w:lineRule="atLeast"/>
                        <w:jc w:val="both"/>
                        <w:rPr>
                          <w:rFonts w:ascii="Times New Roman" w:hAnsi="Times New Roman" w:cs="Times New Roman"/>
                          <w:sz w:val="20"/>
                          <w:szCs w:val="20"/>
                          <w:lang w:val="es-ES"/>
                        </w:rPr>
                      </w:pPr>
                    </w:p>
                  </w:txbxContent>
                </v:textbox>
                <w10:wrap anchorx="margin"/>
              </v:shape>
            </w:pict>
          </mc:Fallback>
        </mc:AlternateContent>
      </w:r>
    </w:p>
    <w:p w14:paraId="4934F50A"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0FA95FB8"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6FC9DC93"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2E1FDF3A"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7C3763C"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09B9E2F"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D10485E"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4B5091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02A1052"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8C0DB4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9A90331"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3EC44D2"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A18F3D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A4F913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982CC7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9EAB0C6"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B8C509A"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0FD186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89D4BC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5710BE0"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CE1708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FA606CB" w14:textId="09E026E3" w:rsidR="00775548" w:rsidRDefault="00775548" w:rsidP="00552540">
      <w:pPr>
        <w:autoSpaceDE w:val="0"/>
        <w:autoSpaceDN w:val="0"/>
        <w:adjustRightInd w:val="0"/>
        <w:spacing w:after="0" w:line="240" w:lineRule="auto"/>
        <w:rPr>
          <w:rFonts w:ascii="Arial" w:hAnsi="Arial" w:cs="Arial"/>
          <w:sz w:val="20"/>
          <w:szCs w:val="20"/>
          <w:lang w:val="es-ES_tradnl"/>
        </w:rPr>
      </w:pPr>
    </w:p>
    <w:p w14:paraId="1843D3CA" w14:textId="0FCEAF80" w:rsidR="00541719" w:rsidRDefault="00541719" w:rsidP="00007B13">
      <w:pPr>
        <w:rPr>
          <w:rFonts w:ascii="Times New Roman" w:hAnsi="Times New Roman"/>
          <w:b/>
          <w:color w:val="1F497D"/>
          <w:sz w:val="24"/>
          <w:lang w:val="es-ES"/>
        </w:rPr>
      </w:pPr>
    </w:p>
    <w:p w14:paraId="072F6F49" w14:textId="41CCF652" w:rsidR="00333D46" w:rsidRDefault="00333D46" w:rsidP="00007B13">
      <w:pPr>
        <w:rPr>
          <w:rFonts w:ascii="Times New Roman" w:hAnsi="Times New Roman"/>
          <w:b/>
          <w:color w:val="1F497D"/>
          <w:sz w:val="24"/>
          <w:lang w:val="es-ES"/>
        </w:rPr>
      </w:pPr>
    </w:p>
    <w:p w14:paraId="53D99A75" w14:textId="7CC77211" w:rsidR="00775548" w:rsidRDefault="00775548" w:rsidP="00775548">
      <w:pPr>
        <w:pStyle w:val="ListParagraph"/>
        <w:numPr>
          <w:ilvl w:val="0"/>
          <w:numId w:val="1"/>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t>Introducción</w:t>
      </w:r>
      <w:r>
        <w:rPr>
          <w:rFonts w:ascii="Times New Roman" w:hAnsi="Times New Roman"/>
          <w:b/>
          <w:color w:val="1F497D"/>
          <w:sz w:val="24"/>
          <w:lang w:val="es-ES"/>
        </w:rPr>
        <w:t>.</w:t>
      </w:r>
    </w:p>
    <w:p w14:paraId="5E076008" w14:textId="77777777" w:rsidR="00775548" w:rsidRDefault="00775548" w:rsidP="00775548">
      <w:pPr>
        <w:pStyle w:val="ListParagraph"/>
        <w:tabs>
          <w:tab w:val="left" w:pos="360"/>
          <w:tab w:val="left" w:pos="450"/>
        </w:tabs>
        <w:spacing w:line="240" w:lineRule="auto"/>
        <w:jc w:val="both"/>
        <w:rPr>
          <w:rFonts w:ascii="Times New Roman" w:hAnsi="Times New Roman"/>
          <w:b/>
          <w:color w:val="1F497D"/>
          <w:sz w:val="24"/>
          <w:lang w:val="es-ES"/>
        </w:rPr>
      </w:pPr>
    </w:p>
    <w:p w14:paraId="5C89C5D0" w14:textId="46C46B12" w:rsidR="00490D1A" w:rsidRPr="00490D1A" w:rsidRDefault="00490D1A" w:rsidP="00490D1A">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490D1A">
        <w:rPr>
          <w:rFonts w:ascii="Times New Roman" w:hAnsi="Times New Roman" w:cs="Times New Roman"/>
          <w:sz w:val="24"/>
          <w:szCs w:val="24"/>
          <w:lang w:val="es-ES"/>
        </w:rPr>
        <w:t xml:space="preserve">Panamá es en la actualidad un </w:t>
      </w:r>
      <w:r w:rsidRPr="00490D1A">
        <w:rPr>
          <w:rFonts w:ascii="Times New Roman" w:hAnsi="Times New Roman" w:cs="Times New Roman"/>
          <w:i/>
          <w:sz w:val="24"/>
          <w:szCs w:val="24"/>
          <w:lang w:val="es-ES"/>
        </w:rPr>
        <w:t>hub</w:t>
      </w:r>
      <w:r w:rsidRPr="00490D1A">
        <w:rPr>
          <w:rFonts w:ascii="Times New Roman" w:hAnsi="Times New Roman" w:cs="Times New Roman"/>
          <w:sz w:val="24"/>
          <w:szCs w:val="24"/>
          <w:lang w:val="es-ES"/>
        </w:rPr>
        <w:t xml:space="preserve"> de tránsito y trasbordo de carga a nivel global, especialmente gracias al Canal de Panamá (CdP). La ubicación espacial de Panamá, la diversificación de la infraestructura multimodal y, ante todo, su adaptación continua a las demandas de la logística internacional atendiendo las demandas de los países de Meso y Sur América, posicionan progresivamente a Panamá como </w:t>
      </w:r>
      <w:r w:rsidRPr="00490D1A">
        <w:rPr>
          <w:rFonts w:ascii="Times New Roman" w:hAnsi="Times New Roman" w:cs="Times New Roman"/>
          <w:i/>
          <w:sz w:val="24"/>
          <w:szCs w:val="24"/>
          <w:lang w:val="es-ES"/>
        </w:rPr>
        <w:t>hub</w:t>
      </w:r>
      <w:r w:rsidRPr="00490D1A">
        <w:rPr>
          <w:rFonts w:ascii="Times New Roman" w:hAnsi="Times New Roman" w:cs="Times New Roman"/>
          <w:sz w:val="24"/>
          <w:szCs w:val="24"/>
          <w:lang w:val="es-ES"/>
        </w:rPr>
        <w:t xml:space="preserve"> de servicios logísticos. Al respecto, la configuración actual de un conglomerado logístico internacional es una de las fortalezas del país, sin embargo; aún tiene entre sus principales retos la integración de nuevos procesos y servicios asociados a la distribución física internacional de </w:t>
      </w:r>
      <w:r w:rsidR="003F5CC0">
        <w:rPr>
          <w:rFonts w:ascii="Times New Roman" w:hAnsi="Times New Roman" w:cs="Times New Roman"/>
          <w:sz w:val="24"/>
          <w:szCs w:val="24"/>
          <w:lang w:val="es-ES"/>
        </w:rPr>
        <w:t>las mercancías</w:t>
      </w:r>
      <w:r w:rsidRPr="00490D1A">
        <w:rPr>
          <w:rFonts w:ascii="Times New Roman" w:hAnsi="Times New Roman" w:cs="Times New Roman"/>
          <w:sz w:val="24"/>
          <w:szCs w:val="24"/>
          <w:lang w:val="es-ES"/>
        </w:rPr>
        <w:t xml:space="preserve"> a lo largo de la cadena logística que permitan dar valor agregado </w:t>
      </w:r>
      <w:r w:rsidR="003F5CC0">
        <w:rPr>
          <w:rFonts w:ascii="Times New Roman" w:hAnsi="Times New Roman" w:cs="Times New Roman"/>
          <w:sz w:val="24"/>
          <w:szCs w:val="24"/>
          <w:lang w:val="es-ES"/>
        </w:rPr>
        <w:t>e incrementar</w:t>
      </w:r>
      <w:r w:rsidRPr="00490D1A">
        <w:rPr>
          <w:rFonts w:ascii="Times New Roman" w:hAnsi="Times New Roman" w:cs="Times New Roman"/>
          <w:sz w:val="24"/>
          <w:szCs w:val="24"/>
          <w:lang w:val="es-ES"/>
        </w:rPr>
        <w:t xml:space="preserve"> el valor final de los productos transportados o comercializados</w:t>
      </w:r>
      <w:r w:rsidR="003F5CC0">
        <w:rPr>
          <w:rFonts w:ascii="Times New Roman" w:hAnsi="Times New Roman" w:cs="Times New Roman"/>
          <w:sz w:val="24"/>
          <w:szCs w:val="24"/>
          <w:lang w:val="es-ES"/>
        </w:rPr>
        <w:t>,</w:t>
      </w:r>
      <w:r w:rsidRPr="00490D1A">
        <w:rPr>
          <w:rFonts w:ascii="Times New Roman" w:hAnsi="Times New Roman" w:cs="Times New Roman"/>
          <w:sz w:val="24"/>
          <w:szCs w:val="24"/>
          <w:lang w:val="es-ES"/>
        </w:rPr>
        <w:t xml:space="preserve"> además de mejorar la logística comercial</w:t>
      </w:r>
      <w:r>
        <w:rPr>
          <w:rStyle w:val="FootnoteReference"/>
          <w:rFonts w:cs="Times New Roman"/>
          <w:szCs w:val="24"/>
          <w:lang w:val="es-ES"/>
        </w:rPr>
        <w:footnoteReference w:id="1"/>
      </w:r>
    </w:p>
    <w:p w14:paraId="3039164F" w14:textId="77777777" w:rsidR="00490D1A" w:rsidRPr="00490D1A" w:rsidRDefault="00490D1A" w:rsidP="00490D1A">
      <w:pPr>
        <w:tabs>
          <w:tab w:val="left" w:pos="270"/>
          <w:tab w:val="left" w:pos="2085"/>
        </w:tabs>
        <w:spacing w:after="0" w:line="0" w:lineRule="atLeast"/>
        <w:jc w:val="both"/>
        <w:rPr>
          <w:rFonts w:ascii="Times New Roman" w:hAnsi="Times New Roman" w:cs="Times New Roman"/>
          <w:sz w:val="24"/>
          <w:szCs w:val="24"/>
          <w:lang w:val="es-ES"/>
        </w:rPr>
      </w:pPr>
    </w:p>
    <w:p w14:paraId="74A41C5E" w14:textId="398E98F9" w:rsidR="001A7A6F" w:rsidRPr="001A7A6F" w:rsidRDefault="002A021B" w:rsidP="001A7A6F">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BA5D80">
        <w:rPr>
          <w:rFonts w:ascii="Times New Roman" w:hAnsi="Times New Roman" w:cs="Times New Roman"/>
          <w:sz w:val="24"/>
          <w:szCs w:val="24"/>
          <w:lang w:val="es-ES"/>
        </w:rPr>
        <w:t xml:space="preserve">El conglomerado del Canal de Panamá, integrado por el Canal, los puertos y la red vial y ferroviaria que los conecta, así como </w:t>
      </w:r>
      <w:r w:rsidR="0061722C">
        <w:rPr>
          <w:rFonts w:ascii="Times New Roman" w:hAnsi="Times New Roman" w:cs="Times New Roman"/>
          <w:sz w:val="24"/>
          <w:szCs w:val="24"/>
          <w:lang w:val="es-ES"/>
        </w:rPr>
        <w:t>los servicios</w:t>
      </w:r>
      <w:r w:rsidRPr="00BA5D80">
        <w:rPr>
          <w:rFonts w:ascii="Times New Roman" w:hAnsi="Times New Roman" w:cs="Times New Roman"/>
          <w:sz w:val="24"/>
          <w:szCs w:val="24"/>
          <w:lang w:val="es-ES"/>
        </w:rPr>
        <w:t xml:space="preserve"> logístic</w:t>
      </w:r>
      <w:r w:rsidR="0061722C">
        <w:rPr>
          <w:rFonts w:ascii="Times New Roman" w:hAnsi="Times New Roman" w:cs="Times New Roman"/>
          <w:sz w:val="24"/>
          <w:szCs w:val="24"/>
          <w:lang w:val="es-ES"/>
        </w:rPr>
        <w:t>os</w:t>
      </w:r>
      <w:r w:rsidRPr="00BA5D80">
        <w:rPr>
          <w:rFonts w:ascii="Times New Roman" w:hAnsi="Times New Roman" w:cs="Times New Roman"/>
          <w:sz w:val="24"/>
          <w:szCs w:val="24"/>
          <w:lang w:val="es-ES"/>
        </w:rPr>
        <w:t xml:space="preserve"> existente</w:t>
      </w:r>
      <w:r w:rsidR="0061722C">
        <w:rPr>
          <w:rFonts w:ascii="Times New Roman" w:hAnsi="Times New Roman" w:cs="Times New Roman"/>
          <w:sz w:val="24"/>
          <w:szCs w:val="24"/>
          <w:lang w:val="es-ES"/>
        </w:rPr>
        <w:t>s</w:t>
      </w:r>
      <w:r w:rsidRPr="00BA5D80">
        <w:rPr>
          <w:rFonts w:ascii="Times New Roman" w:hAnsi="Times New Roman" w:cs="Times New Roman"/>
          <w:sz w:val="24"/>
          <w:szCs w:val="24"/>
          <w:lang w:val="es-ES"/>
        </w:rPr>
        <w:t xml:space="preserve"> se configura en torno a los nodos logísticos principales, Ciudad de Panamá́ y Col</w:t>
      </w:r>
      <w:r w:rsidR="00842391" w:rsidRPr="00BA5D80">
        <w:rPr>
          <w:rFonts w:ascii="Times New Roman" w:hAnsi="Times New Roman" w:cs="Times New Roman"/>
          <w:sz w:val="24"/>
          <w:szCs w:val="24"/>
          <w:lang w:val="es-ES"/>
        </w:rPr>
        <w:t>ó</w:t>
      </w:r>
      <w:r w:rsidRPr="00BA5D80">
        <w:rPr>
          <w:rFonts w:ascii="Times New Roman" w:hAnsi="Times New Roman" w:cs="Times New Roman"/>
          <w:sz w:val="24"/>
          <w:szCs w:val="24"/>
          <w:lang w:val="es-ES"/>
        </w:rPr>
        <w:t>n. Este conjunto posiciona al país como actor clave en la distribución física internacional de mercancías</w:t>
      </w:r>
      <w:r w:rsidR="00842391" w:rsidRPr="00BA5D80">
        <w:rPr>
          <w:rFonts w:ascii="Times New Roman" w:hAnsi="Times New Roman" w:cs="Times New Roman"/>
          <w:sz w:val="24"/>
          <w:szCs w:val="24"/>
          <w:lang w:val="es-ES"/>
        </w:rPr>
        <w:t xml:space="preserve"> y movilizando gran parte de las mercancías con origen y destino </w:t>
      </w:r>
      <w:r w:rsidR="0013738A">
        <w:rPr>
          <w:rFonts w:ascii="Times New Roman" w:hAnsi="Times New Roman" w:cs="Times New Roman"/>
          <w:sz w:val="24"/>
          <w:szCs w:val="24"/>
          <w:lang w:val="es-ES"/>
        </w:rPr>
        <w:t xml:space="preserve">Latinoamericano, recalcando que </w:t>
      </w:r>
      <w:r w:rsidR="00E46FD5" w:rsidRPr="00BA5D80">
        <w:rPr>
          <w:rFonts w:ascii="Times New Roman" w:hAnsi="Times New Roman" w:cs="Times New Roman"/>
          <w:sz w:val="24"/>
          <w:szCs w:val="24"/>
          <w:lang w:val="es-ES"/>
        </w:rPr>
        <w:t xml:space="preserve">parte de la agenda </w:t>
      </w:r>
      <w:r w:rsidR="00E46FD5" w:rsidRPr="00BA5D80">
        <w:rPr>
          <w:rFonts w:ascii="Times New Roman" w:hAnsi="Times New Roman" w:cs="Times New Roman"/>
          <w:sz w:val="24"/>
          <w:szCs w:val="24"/>
          <w:lang w:val="es-ES"/>
        </w:rPr>
        <w:lastRenderedPageBreak/>
        <w:t>estratégica de Panamá</w:t>
      </w:r>
      <w:r w:rsidR="0013738A">
        <w:rPr>
          <w:rFonts w:ascii="Times New Roman" w:hAnsi="Times New Roman" w:cs="Times New Roman"/>
          <w:sz w:val="24"/>
          <w:szCs w:val="24"/>
          <w:lang w:val="es-ES"/>
        </w:rPr>
        <w:t xml:space="preserve"> está</w:t>
      </w:r>
      <w:r w:rsidR="00E46FD5" w:rsidRPr="00BA5D80">
        <w:rPr>
          <w:rFonts w:ascii="Times New Roman" w:hAnsi="Times New Roman" w:cs="Times New Roman"/>
          <w:sz w:val="24"/>
          <w:szCs w:val="24"/>
          <w:lang w:val="es-ES"/>
        </w:rPr>
        <w:t xml:space="preserve"> la</w:t>
      </w:r>
      <w:r w:rsidR="00842391" w:rsidRPr="00BA5D80">
        <w:rPr>
          <w:rFonts w:ascii="Times New Roman" w:hAnsi="Times New Roman" w:cs="Times New Roman"/>
          <w:sz w:val="24"/>
          <w:szCs w:val="24"/>
          <w:lang w:val="es-ES"/>
        </w:rPr>
        <w:t xml:space="preserve"> </w:t>
      </w:r>
      <w:r w:rsidR="00E46FD5" w:rsidRPr="00BA5D80">
        <w:rPr>
          <w:rFonts w:ascii="Times New Roman" w:hAnsi="Times New Roman" w:cs="Times New Roman"/>
          <w:sz w:val="24"/>
          <w:szCs w:val="24"/>
          <w:lang w:val="es-ES"/>
        </w:rPr>
        <w:t>definición y desarrollo del subsistema estratégico Logística de apoyo al Comercio Regional</w:t>
      </w:r>
      <w:r w:rsidR="00B8133F">
        <w:rPr>
          <w:rStyle w:val="FootnoteReference"/>
          <w:rFonts w:cs="Times New Roman"/>
          <w:szCs w:val="24"/>
          <w:lang w:val="es-ES"/>
        </w:rPr>
        <w:footnoteReference w:id="2"/>
      </w:r>
      <w:r w:rsidR="00E46FD5" w:rsidRPr="00BA5D80">
        <w:rPr>
          <w:rFonts w:ascii="Times New Roman" w:hAnsi="Times New Roman" w:cs="Times New Roman"/>
          <w:sz w:val="24"/>
          <w:szCs w:val="24"/>
          <w:lang w:val="es-ES"/>
        </w:rPr>
        <w:t>.</w:t>
      </w:r>
      <w:r w:rsidR="00DA49FA" w:rsidRPr="00BA5D80">
        <w:rPr>
          <w:rFonts w:ascii="Times New Roman" w:hAnsi="Times New Roman" w:cs="Times New Roman"/>
          <w:sz w:val="24"/>
          <w:szCs w:val="24"/>
          <w:lang w:val="es-ES"/>
        </w:rPr>
        <w:t xml:space="preserve"> L</w:t>
      </w:r>
      <w:r w:rsidR="00DA49FA" w:rsidRPr="00BA5D80">
        <w:rPr>
          <w:rFonts w:ascii="Times New Roman" w:hAnsi="Times New Roman"/>
          <w:sz w:val="24"/>
          <w:szCs w:val="24"/>
          <w:lang w:val="es-ES_tradnl"/>
        </w:rPr>
        <w:t xml:space="preserve">a logística de cargas </w:t>
      </w:r>
      <w:r w:rsidR="0051041B" w:rsidRPr="00BA5D80">
        <w:rPr>
          <w:rFonts w:ascii="Times New Roman" w:hAnsi="Times New Roman"/>
          <w:sz w:val="24"/>
          <w:szCs w:val="24"/>
          <w:lang w:val="es-ES_tradnl"/>
        </w:rPr>
        <w:t>representa un</w:t>
      </w:r>
      <w:r w:rsidR="00DA49FA" w:rsidRPr="00BA5D80">
        <w:rPr>
          <w:rFonts w:ascii="Times New Roman" w:hAnsi="Times New Roman"/>
          <w:sz w:val="24"/>
          <w:szCs w:val="24"/>
          <w:lang w:val="es-ES_tradnl"/>
        </w:rPr>
        <w:t xml:space="preserve"> factor crítico para reducir</w:t>
      </w:r>
      <w:r w:rsidR="00335BB8">
        <w:rPr>
          <w:rFonts w:ascii="Times New Roman" w:hAnsi="Times New Roman"/>
          <w:sz w:val="24"/>
          <w:szCs w:val="24"/>
          <w:lang w:val="es-ES_tradnl"/>
        </w:rPr>
        <w:t xml:space="preserve"> los costos generalizados al comercio exterior, incluyendo las </w:t>
      </w:r>
      <w:r w:rsidR="00DA49FA" w:rsidRPr="00BA5D80">
        <w:rPr>
          <w:rFonts w:ascii="Times New Roman" w:hAnsi="Times New Roman"/>
          <w:sz w:val="24"/>
          <w:szCs w:val="24"/>
          <w:lang w:val="es-ES_tradnl"/>
        </w:rPr>
        <w:t xml:space="preserve">barreras tarifarias </w:t>
      </w:r>
      <w:r w:rsidR="00335BB8">
        <w:rPr>
          <w:rFonts w:ascii="Times New Roman" w:hAnsi="Times New Roman"/>
          <w:sz w:val="24"/>
          <w:szCs w:val="24"/>
          <w:lang w:val="es-ES_tradnl"/>
        </w:rPr>
        <w:t>y no tarifarias</w:t>
      </w:r>
      <w:r w:rsidR="00AF26B8">
        <w:rPr>
          <w:rFonts w:ascii="Times New Roman" w:hAnsi="Times New Roman"/>
          <w:sz w:val="24"/>
          <w:szCs w:val="24"/>
          <w:lang w:val="es-ES_tradnl"/>
        </w:rPr>
        <w:t>,</w:t>
      </w:r>
      <w:r w:rsidR="00335BB8">
        <w:rPr>
          <w:rFonts w:ascii="Times New Roman" w:hAnsi="Times New Roman"/>
          <w:sz w:val="24"/>
          <w:szCs w:val="24"/>
          <w:lang w:val="es-ES_tradnl"/>
        </w:rPr>
        <w:t xml:space="preserve"> </w:t>
      </w:r>
      <w:r w:rsidR="00DA49FA" w:rsidRPr="00BA5D80">
        <w:rPr>
          <w:rFonts w:ascii="Times New Roman" w:hAnsi="Times New Roman"/>
          <w:sz w:val="24"/>
          <w:szCs w:val="24"/>
          <w:lang w:val="es-ES_tradnl"/>
        </w:rPr>
        <w:t xml:space="preserve">y contribuir a la competitividad en términos del </w:t>
      </w:r>
      <w:r w:rsidR="0013738A">
        <w:rPr>
          <w:rFonts w:ascii="Times New Roman" w:hAnsi="Times New Roman"/>
          <w:sz w:val="24"/>
          <w:szCs w:val="24"/>
          <w:lang w:val="es-ES_tradnl"/>
        </w:rPr>
        <w:t>Í</w:t>
      </w:r>
      <w:r w:rsidR="00DA49FA" w:rsidRPr="00BA5D80">
        <w:rPr>
          <w:rFonts w:ascii="Times New Roman" w:hAnsi="Times New Roman"/>
          <w:sz w:val="24"/>
          <w:szCs w:val="24"/>
          <w:lang w:val="es-ES_tradnl"/>
        </w:rPr>
        <w:t xml:space="preserve">ndice de </w:t>
      </w:r>
      <w:r w:rsidR="0013738A">
        <w:rPr>
          <w:rFonts w:ascii="Times New Roman" w:hAnsi="Times New Roman"/>
          <w:sz w:val="24"/>
          <w:szCs w:val="24"/>
          <w:lang w:val="es-ES_tradnl"/>
        </w:rPr>
        <w:t>D</w:t>
      </w:r>
      <w:r w:rsidR="00DA49FA" w:rsidRPr="00BA5D80">
        <w:rPr>
          <w:rFonts w:ascii="Times New Roman" w:hAnsi="Times New Roman"/>
          <w:sz w:val="24"/>
          <w:szCs w:val="24"/>
          <w:lang w:val="es-ES_tradnl"/>
        </w:rPr>
        <w:t xml:space="preserve">esempeño </w:t>
      </w:r>
      <w:r w:rsidR="0013738A">
        <w:rPr>
          <w:rFonts w:ascii="Times New Roman" w:hAnsi="Times New Roman"/>
          <w:sz w:val="24"/>
          <w:szCs w:val="24"/>
          <w:lang w:val="es-ES_tradnl"/>
        </w:rPr>
        <w:t>L</w:t>
      </w:r>
      <w:r w:rsidR="00DA49FA" w:rsidRPr="00BA5D80">
        <w:rPr>
          <w:rFonts w:ascii="Times New Roman" w:hAnsi="Times New Roman"/>
          <w:sz w:val="24"/>
          <w:szCs w:val="24"/>
          <w:lang w:val="es-ES_tradnl"/>
        </w:rPr>
        <w:t>ogístico</w:t>
      </w:r>
      <w:r w:rsidR="0013738A">
        <w:rPr>
          <w:rStyle w:val="FootnoteReference"/>
          <w:szCs w:val="24"/>
          <w:lang w:val="es-ES_tradnl"/>
        </w:rPr>
        <w:footnoteReference w:id="3"/>
      </w:r>
      <w:r w:rsidR="007A4330">
        <w:rPr>
          <w:rFonts w:ascii="Times New Roman" w:hAnsi="Times New Roman"/>
          <w:sz w:val="24"/>
          <w:szCs w:val="24"/>
          <w:lang w:val="es-ES_tradnl"/>
        </w:rPr>
        <w:t>.</w:t>
      </w:r>
      <w:r w:rsidR="0051041B" w:rsidRPr="00BA5D80">
        <w:rPr>
          <w:rFonts w:ascii="Times New Roman" w:hAnsi="Times New Roman"/>
          <w:sz w:val="24"/>
          <w:szCs w:val="24"/>
          <w:lang w:val="es-ES_tradnl"/>
        </w:rPr>
        <w:t xml:space="preserve"> </w:t>
      </w:r>
      <w:r w:rsidR="007A4330">
        <w:rPr>
          <w:rFonts w:ascii="Times New Roman" w:hAnsi="Times New Roman"/>
          <w:sz w:val="24"/>
          <w:szCs w:val="24"/>
          <w:lang w:val="es-ES_tradnl"/>
        </w:rPr>
        <w:t xml:space="preserve">En lo que respecta a </w:t>
      </w:r>
      <w:r w:rsidR="0051041B" w:rsidRPr="00BA5D80">
        <w:rPr>
          <w:rFonts w:ascii="Times New Roman" w:hAnsi="Times New Roman"/>
          <w:sz w:val="24"/>
          <w:szCs w:val="24"/>
          <w:lang w:val="es-ES_tradnl"/>
        </w:rPr>
        <w:t xml:space="preserve">la mejora del entorno para hacer negocios a través de la promulgación de leyes y mejoras institucionales </w:t>
      </w:r>
      <w:r w:rsidR="007A4330">
        <w:rPr>
          <w:rFonts w:ascii="Times New Roman" w:hAnsi="Times New Roman"/>
          <w:sz w:val="24"/>
          <w:szCs w:val="24"/>
          <w:lang w:val="es-ES_tradnl"/>
        </w:rPr>
        <w:t xml:space="preserve">que </w:t>
      </w:r>
      <w:r w:rsidR="0051041B" w:rsidRPr="00BA5D80">
        <w:rPr>
          <w:rFonts w:ascii="Times New Roman" w:hAnsi="Times New Roman"/>
          <w:sz w:val="24"/>
          <w:szCs w:val="24"/>
          <w:lang w:val="es-ES_tradnl"/>
        </w:rPr>
        <w:t>favorecen el crecimiento económico</w:t>
      </w:r>
      <w:r w:rsidR="007A4330">
        <w:rPr>
          <w:rFonts w:ascii="Times New Roman" w:hAnsi="Times New Roman"/>
          <w:sz w:val="24"/>
          <w:szCs w:val="24"/>
          <w:lang w:val="es-ES_tradnl"/>
        </w:rPr>
        <w:t>,</w:t>
      </w:r>
      <w:r w:rsidR="0051041B" w:rsidRPr="00BA5D80">
        <w:rPr>
          <w:rFonts w:ascii="Times New Roman" w:hAnsi="Times New Roman"/>
          <w:sz w:val="24"/>
          <w:szCs w:val="24"/>
          <w:lang w:val="es-ES_tradnl"/>
        </w:rPr>
        <w:t xml:space="preserve"> </w:t>
      </w:r>
      <w:r w:rsidR="007A4330">
        <w:rPr>
          <w:rFonts w:ascii="Times New Roman" w:hAnsi="Times New Roman"/>
          <w:sz w:val="24"/>
          <w:szCs w:val="24"/>
          <w:lang w:val="es-ES_tradnl"/>
        </w:rPr>
        <w:t>e</w:t>
      </w:r>
      <w:r w:rsidR="0051041B" w:rsidRPr="00BA5D80">
        <w:rPr>
          <w:rFonts w:ascii="Times New Roman" w:hAnsi="Times New Roman"/>
          <w:sz w:val="24"/>
          <w:szCs w:val="24"/>
          <w:lang w:val="es-ES_tradnl"/>
        </w:rPr>
        <w:t xml:space="preserve">n el caso de Panamá se observa </w:t>
      </w:r>
      <w:r w:rsidR="00280FCC">
        <w:rPr>
          <w:rFonts w:ascii="Times New Roman" w:hAnsi="Times New Roman"/>
          <w:sz w:val="24"/>
          <w:szCs w:val="24"/>
          <w:lang w:val="es-ES_tradnl"/>
        </w:rPr>
        <w:t>que</w:t>
      </w:r>
      <w:r w:rsidR="001A7A6F" w:rsidRPr="001A7A6F">
        <w:rPr>
          <w:rFonts w:ascii="Times New Roman" w:hAnsi="Times New Roman" w:cs="Times New Roman"/>
          <w:sz w:val="24"/>
          <w:szCs w:val="24"/>
          <w:lang w:val="es-ES"/>
        </w:rPr>
        <w:t xml:space="preserve"> pesar de los grandes avances en materia de infraestructura con la finalización de las obras relacionadas al canal, existen espacios de mejora en el fortalecimiento y coordinación </w:t>
      </w:r>
      <w:r w:rsidR="007A4330">
        <w:rPr>
          <w:rFonts w:ascii="Times New Roman" w:hAnsi="Times New Roman" w:cs="Times New Roman"/>
          <w:sz w:val="24"/>
          <w:szCs w:val="24"/>
          <w:lang w:val="es-ES"/>
        </w:rPr>
        <w:t>inter</w:t>
      </w:r>
      <w:r w:rsidR="001A7A6F" w:rsidRPr="001A7A6F">
        <w:rPr>
          <w:rFonts w:ascii="Times New Roman" w:hAnsi="Times New Roman" w:cs="Times New Roman"/>
          <w:sz w:val="24"/>
          <w:szCs w:val="24"/>
          <w:lang w:val="es-ES"/>
        </w:rPr>
        <w:t>institucional y en la gestión logística que permitirían mejorar el desempeño de Panamá</w:t>
      </w:r>
      <w:r w:rsidR="00280FCC">
        <w:rPr>
          <w:rStyle w:val="FootnoteReference"/>
          <w:rFonts w:cs="Times New Roman"/>
          <w:szCs w:val="24"/>
          <w:lang w:val="es-ES"/>
        </w:rPr>
        <w:footnoteReference w:id="4"/>
      </w:r>
      <w:r w:rsidR="00280FCC">
        <w:rPr>
          <w:rFonts w:ascii="Times New Roman" w:hAnsi="Times New Roman" w:cs="Times New Roman"/>
          <w:sz w:val="24"/>
          <w:szCs w:val="24"/>
          <w:lang w:val="es-ES"/>
        </w:rPr>
        <w:t>.</w:t>
      </w:r>
      <w:r w:rsidR="001A7A6F" w:rsidRPr="001A7A6F">
        <w:rPr>
          <w:rFonts w:ascii="Times New Roman" w:hAnsi="Times New Roman" w:cs="Times New Roman"/>
          <w:sz w:val="24"/>
          <w:szCs w:val="24"/>
          <w:lang w:val="es-ES"/>
        </w:rPr>
        <w:t xml:space="preserve"> </w:t>
      </w:r>
    </w:p>
    <w:p w14:paraId="0DF805E5" w14:textId="77777777" w:rsidR="00DE7551" w:rsidRPr="00DE7551" w:rsidRDefault="00DE7551" w:rsidP="00DE7551">
      <w:pPr>
        <w:pStyle w:val="ListParagraph"/>
        <w:rPr>
          <w:rFonts w:ascii="Times New Roman" w:hAnsi="Times New Roman" w:cs="Times New Roman"/>
          <w:sz w:val="24"/>
          <w:szCs w:val="24"/>
          <w:lang w:val="es-ES"/>
        </w:rPr>
      </w:pPr>
    </w:p>
    <w:p w14:paraId="1E83D915" w14:textId="4DCEEE60" w:rsidR="00211161" w:rsidRPr="00294C3A" w:rsidRDefault="00211161" w:rsidP="00294C3A">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294C3A">
        <w:rPr>
          <w:rFonts w:ascii="Times New Roman" w:hAnsi="Times New Roman"/>
          <w:sz w:val="24"/>
          <w:szCs w:val="24"/>
          <w:lang w:val="es-ES_tradnl"/>
        </w:rPr>
        <w:t>En Panamá existe una</w:t>
      </w:r>
      <w:r w:rsidR="00AF26B8">
        <w:rPr>
          <w:rFonts w:ascii="Times New Roman" w:hAnsi="Times New Roman"/>
          <w:sz w:val="24"/>
          <w:szCs w:val="24"/>
          <w:lang w:val="es-ES_tradnl"/>
        </w:rPr>
        <w:t xml:space="preserve"> </w:t>
      </w:r>
      <w:r w:rsidRPr="00294C3A">
        <w:rPr>
          <w:rFonts w:ascii="Times New Roman" w:hAnsi="Times New Roman"/>
          <w:sz w:val="24"/>
          <w:szCs w:val="24"/>
          <w:lang w:val="es-ES_tradnl"/>
        </w:rPr>
        <w:t>alta concentración de la actividad económica medida por el Producto Interno Bruto (PIB) en las zonas del Canal y las Zonas de Libre Comercio (ZLC).</w:t>
      </w:r>
      <w:r w:rsidR="007B7566" w:rsidRPr="00294C3A">
        <w:rPr>
          <w:rFonts w:ascii="Times New Roman" w:hAnsi="Times New Roman"/>
          <w:sz w:val="24"/>
          <w:szCs w:val="24"/>
          <w:lang w:val="es-ES_tradnl"/>
        </w:rPr>
        <w:t xml:space="preserve"> Con datos del Instituto Nacional de Estadísticas y Censo (INEC)</w:t>
      </w:r>
      <w:r w:rsidR="00E67058" w:rsidRPr="00294C3A">
        <w:rPr>
          <w:rFonts w:ascii="Times New Roman" w:hAnsi="Times New Roman"/>
          <w:sz w:val="24"/>
          <w:szCs w:val="24"/>
          <w:lang w:val="es-ES_tradnl"/>
        </w:rPr>
        <w:t>,</w:t>
      </w:r>
      <w:r w:rsidRPr="00294C3A">
        <w:rPr>
          <w:rFonts w:ascii="Times New Roman" w:hAnsi="Times New Roman"/>
          <w:sz w:val="24"/>
          <w:szCs w:val="24"/>
          <w:lang w:val="es-ES_tradnl"/>
        </w:rPr>
        <w:t xml:space="preserve"> </w:t>
      </w:r>
      <w:r w:rsidR="00E67058" w:rsidRPr="00294C3A">
        <w:rPr>
          <w:rFonts w:ascii="Times New Roman" w:hAnsi="Times New Roman"/>
          <w:sz w:val="24"/>
          <w:szCs w:val="24"/>
          <w:lang w:val="es-ES_tradnl"/>
        </w:rPr>
        <w:t xml:space="preserve">se puede constatar que la Ciudad de Panamá concentra el 75% del PIB real del país. Juntos, Ciudad de Panamá y Colón, representan el 86% del PIB real total, siendo la participación en la producción del resto de regiones marginal. Estas disparidades </w:t>
      </w:r>
      <w:r w:rsidR="00D740F5">
        <w:rPr>
          <w:rFonts w:ascii="Times New Roman" w:hAnsi="Times New Roman"/>
          <w:sz w:val="24"/>
          <w:szCs w:val="24"/>
          <w:lang w:val="es-ES_tradnl"/>
        </w:rPr>
        <w:t>nacionales</w:t>
      </w:r>
      <w:r w:rsidR="00D740F5" w:rsidRPr="00294C3A">
        <w:rPr>
          <w:rFonts w:ascii="Times New Roman" w:hAnsi="Times New Roman"/>
          <w:sz w:val="24"/>
          <w:szCs w:val="24"/>
          <w:lang w:val="es-ES_tradnl"/>
        </w:rPr>
        <w:t xml:space="preserve"> </w:t>
      </w:r>
      <w:r w:rsidR="00E67058" w:rsidRPr="00294C3A">
        <w:rPr>
          <w:rFonts w:ascii="Times New Roman" w:hAnsi="Times New Roman"/>
          <w:sz w:val="24"/>
          <w:szCs w:val="24"/>
          <w:lang w:val="es-ES_tradnl"/>
        </w:rPr>
        <w:t>se evidencian también en el sector logístico</w:t>
      </w:r>
      <w:r w:rsidR="00294C3A" w:rsidRPr="00294C3A">
        <w:rPr>
          <w:rFonts w:ascii="Times New Roman" w:hAnsi="Times New Roman"/>
          <w:sz w:val="24"/>
          <w:szCs w:val="24"/>
          <w:lang w:val="es-ES_tradnl"/>
        </w:rPr>
        <w:t xml:space="preserve">, donde se observa que la zona del canal </w:t>
      </w:r>
      <w:r w:rsidR="00E67058" w:rsidRPr="00294C3A">
        <w:rPr>
          <w:rFonts w:ascii="Times New Roman" w:hAnsi="Times New Roman"/>
          <w:sz w:val="24"/>
          <w:szCs w:val="24"/>
          <w:lang w:val="es-ES_tradnl"/>
        </w:rPr>
        <w:t xml:space="preserve"> </w:t>
      </w:r>
      <w:r w:rsidR="00294C3A" w:rsidRPr="00294C3A">
        <w:rPr>
          <w:rFonts w:ascii="Times New Roman" w:hAnsi="Times New Roman"/>
          <w:sz w:val="24"/>
          <w:szCs w:val="24"/>
          <w:lang w:val="es-ES_tradnl"/>
        </w:rPr>
        <w:t xml:space="preserve">posee infraestructuras y servicios de clase mundial, y el resto del país </w:t>
      </w:r>
      <w:r w:rsidR="007A4330">
        <w:rPr>
          <w:rFonts w:ascii="Times New Roman" w:hAnsi="Times New Roman"/>
          <w:sz w:val="24"/>
          <w:szCs w:val="24"/>
          <w:lang w:val="es-ES_tradnl"/>
        </w:rPr>
        <w:t>se observa con</w:t>
      </w:r>
      <w:r w:rsidR="00294C3A" w:rsidRPr="00294C3A">
        <w:rPr>
          <w:rFonts w:ascii="Times New Roman" w:hAnsi="Times New Roman"/>
          <w:sz w:val="24"/>
          <w:szCs w:val="24"/>
          <w:lang w:val="es-ES_tradnl"/>
        </w:rPr>
        <w:t xml:space="preserve"> un fuerte déficit en la infraestructura de transporte y en los servicios logísticos, con lo cual reformas de política orientadas a mejorar las planificación territorial bajo criterios de desarrollo inclusivo y sostenible, permitirían ampliar las posibilidades económicas de la población en general y reducir las brechas antes mencionadas.</w:t>
      </w:r>
    </w:p>
    <w:p w14:paraId="2788C839" w14:textId="45760833" w:rsidR="002A021B" w:rsidRPr="007A4330" w:rsidRDefault="002A021B" w:rsidP="002F0C97">
      <w:pPr>
        <w:pStyle w:val="ListParagraph"/>
        <w:tabs>
          <w:tab w:val="left" w:pos="270"/>
          <w:tab w:val="left" w:pos="2085"/>
        </w:tabs>
        <w:spacing w:after="0" w:line="240" w:lineRule="auto"/>
        <w:ind w:left="270"/>
        <w:jc w:val="both"/>
        <w:rPr>
          <w:rFonts w:ascii="Times New Roman" w:hAnsi="Times New Roman" w:cs="Times New Roman"/>
          <w:sz w:val="24"/>
          <w:szCs w:val="24"/>
          <w:lang w:val="es-ES"/>
        </w:rPr>
      </w:pPr>
    </w:p>
    <w:p w14:paraId="71C99630" w14:textId="61C5598D" w:rsidR="00976E87" w:rsidRPr="00A87494" w:rsidRDefault="00F77787" w:rsidP="002F0C97">
      <w:pPr>
        <w:pStyle w:val="ListParagraph"/>
        <w:numPr>
          <w:ilvl w:val="1"/>
          <w:numId w:val="2"/>
        </w:numPr>
        <w:tabs>
          <w:tab w:val="left" w:pos="270"/>
          <w:tab w:val="left" w:pos="2085"/>
        </w:tabs>
        <w:spacing w:after="0" w:line="240" w:lineRule="auto"/>
        <w:ind w:left="270" w:hanging="450"/>
        <w:jc w:val="both"/>
        <w:rPr>
          <w:rFonts w:ascii="Times New Roman" w:hAnsi="Times New Roman" w:cs="Times New Roman"/>
          <w:sz w:val="24"/>
          <w:szCs w:val="24"/>
          <w:lang w:val="es-ES"/>
        </w:rPr>
      </w:pPr>
      <w:r w:rsidRPr="00A87494">
        <w:rPr>
          <w:rFonts w:ascii="Times New Roman" w:hAnsi="Times New Roman" w:cs="Times New Roman"/>
          <w:sz w:val="24"/>
          <w:szCs w:val="24"/>
          <w:lang w:val="es-ES"/>
        </w:rPr>
        <w:t xml:space="preserve">El </w:t>
      </w:r>
      <w:r w:rsidR="00D740F5">
        <w:rPr>
          <w:rFonts w:ascii="Times New Roman" w:hAnsi="Times New Roman" w:cs="Times New Roman"/>
          <w:sz w:val="24"/>
          <w:szCs w:val="24"/>
          <w:lang w:val="es-ES"/>
        </w:rPr>
        <w:t>Banco Interamericano de Desarrollo (BID o Banco)</w:t>
      </w:r>
      <w:r w:rsidR="00D740F5" w:rsidRPr="00A87494">
        <w:rPr>
          <w:rFonts w:ascii="Times New Roman" w:hAnsi="Times New Roman" w:cs="Times New Roman"/>
          <w:sz w:val="24"/>
          <w:szCs w:val="24"/>
          <w:lang w:val="es-ES"/>
        </w:rPr>
        <w:t xml:space="preserve"> </w:t>
      </w:r>
      <w:r w:rsidRPr="00A87494">
        <w:rPr>
          <w:rFonts w:ascii="Times New Roman" w:hAnsi="Times New Roman" w:cs="Times New Roman"/>
          <w:sz w:val="24"/>
          <w:szCs w:val="24"/>
          <w:lang w:val="es-ES"/>
        </w:rPr>
        <w:t xml:space="preserve">ha apoyado al Gobierno de Panamá en su compromiso de mejora de la competitividad y productividad. </w:t>
      </w:r>
      <w:r w:rsidR="000C15DF">
        <w:rPr>
          <w:rFonts w:ascii="Times New Roman" w:hAnsi="Times New Roman" w:cs="Times New Roman"/>
          <w:sz w:val="24"/>
          <w:szCs w:val="24"/>
          <w:lang w:val="es-ES"/>
        </w:rPr>
        <w:t>La acción del Gobierno de Panamá conjuntamente con la contribución del Banco en</w:t>
      </w:r>
      <w:r w:rsidR="00D740F5">
        <w:rPr>
          <w:rFonts w:ascii="Times New Roman" w:hAnsi="Times New Roman" w:cs="Times New Roman"/>
          <w:sz w:val="24"/>
          <w:szCs w:val="24"/>
          <w:lang w:val="es-ES"/>
        </w:rPr>
        <w:t xml:space="preserve"> el fortalecimiento institucional, capacitación, asesoramiento, elaboración de planes estratégicos</w:t>
      </w:r>
      <w:r w:rsidR="000C15DF">
        <w:rPr>
          <w:rFonts w:ascii="Times New Roman" w:hAnsi="Times New Roman" w:cs="Times New Roman"/>
          <w:sz w:val="24"/>
          <w:szCs w:val="24"/>
          <w:lang w:val="es-ES"/>
        </w:rPr>
        <w:t xml:space="preserve">, </w:t>
      </w:r>
      <w:r w:rsidR="00AF26B8">
        <w:rPr>
          <w:rFonts w:ascii="Times New Roman" w:hAnsi="Times New Roman" w:cs="Times New Roman"/>
          <w:sz w:val="24"/>
          <w:szCs w:val="24"/>
          <w:lang w:val="es-ES"/>
        </w:rPr>
        <w:t>etc.</w:t>
      </w:r>
      <w:r w:rsidR="000C15DF">
        <w:rPr>
          <w:rFonts w:ascii="Times New Roman" w:hAnsi="Times New Roman" w:cs="Times New Roman"/>
          <w:sz w:val="24"/>
          <w:szCs w:val="24"/>
          <w:lang w:val="es-ES"/>
        </w:rPr>
        <w:t>,</w:t>
      </w:r>
      <w:r w:rsidR="00D740F5">
        <w:rPr>
          <w:rFonts w:ascii="Times New Roman" w:hAnsi="Times New Roman" w:cs="Times New Roman"/>
          <w:sz w:val="24"/>
          <w:szCs w:val="24"/>
          <w:lang w:val="es-ES"/>
        </w:rPr>
        <w:t xml:space="preserve"> se ha visto reflejado en </w:t>
      </w:r>
      <w:r w:rsidR="000C15DF">
        <w:rPr>
          <w:rFonts w:ascii="Times New Roman" w:hAnsi="Times New Roman" w:cs="Times New Roman"/>
          <w:sz w:val="24"/>
          <w:szCs w:val="24"/>
          <w:lang w:val="es-ES"/>
        </w:rPr>
        <w:t>la implementación del Programa</w:t>
      </w:r>
      <w:r w:rsidR="00D740F5">
        <w:rPr>
          <w:rFonts w:ascii="Times New Roman" w:hAnsi="Times New Roman" w:cs="Times New Roman"/>
          <w:sz w:val="24"/>
          <w:szCs w:val="24"/>
          <w:lang w:val="es-ES"/>
        </w:rPr>
        <w:t xml:space="preserve"> </w:t>
      </w:r>
      <w:r w:rsidRPr="00A87494">
        <w:rPr>
          <w:rFonts w:ascii="Times New Roman" w:hAnsi="Times New Roman" w:cs="Times New Roman"/>
          <w:sz w:val="24"/>
          <w:szCs w:val="24"/>
          <w:lang w:val="es-ES"/>
        </w:rPr>
        <w:t xml:space="preserve">de </w:t>
      </w:r>
      <w:r w:rsidR="000C15DF" w:rsidRPr="00A87494">
        <w:rPr>
          <w:rFonts w:ascii="Times New Roman" w:hAnsi="Times New Roman" w:cs="Times New Roman"/>
          <w:sz w:val="24"/>
          <w:szCs w:val="24"/>
          <w:lang w:val="es-ES"/>
        </w:rPr>
        <w:t xml:space="preserve">Apoyo a la Política Nacional Logística </w:t>
      </w:r>
      <w:r w:rsidR="000C15DF">
        <w:rPr>
          <w:rFonts w:ascii="Times New Roman" w:hAnsi="Times New Roman" w:cs="Times New Roman"/>
          <w:sz w:val="24"/>
          <w:szCs w:val="24"/>
          <w:lang w:val="es-ES"/>
        </w:rPr>
        <w:t>(PBL)</w:t>
      </w:r>
      <w:r w:rsidRPr="00A87494">
        <w:rPr>
          <w:rFonts w:ascii="Times New Roman" w:hAnsi="Times New Roman" w:cs="Times New Roman"/>
          <w:sz w:val="24"/>
          <w:szCs w:val="24"/>
          <w:lang w:val="es-ES"/>
        </w:rPr>
        <w:t>, bajo la modalidad programática</w:t>
      </w:r>
      <w:r w:rsidR="00AF26B8">
        <w:rPr>
          <w:rStyle w:val="FootnoteReference"/>
          <w:rFonts w:cs="Times New Roman"/>
          <w:szCs w:val="24"/>
          <w:lang w:val="es-ES"/>
        </w:rPr>
        <w:footnoteReference w:id="5"/>
      </w:r>
      <w:r w:rsidRPr="00A87494">
        <w:rPr>
          <w:rFonts w:ascii="Times New Roman" w:hAnsi="Times New Roman" w:cs="Times New Roman"/>
          <w:sz w:val="24"/>
          <w:szCs w:val="24"/>
          <w:lang w:val="es-ES"/>
        </w:rPr>
        <w:t>.</w:t>
      </w:r>
      <w:r w:rsidR="000C15DF">
        <w:rPr>
          <w:rFonts w:ascii="Times New Roman" w:hAnsi="Times New Roman" w:cs="Times New Roman"/>
          <w:sz w:val="24"/>
          <w:szCs w:val="24"/>
          <w:lang w:val="es-ES"/>
        </w:rPr>
        <w:t xml:space="preserve"> El PBL conformado por dos fases ya ejecutadas y una tercera operación, objeto de este análisis, definió</w:t>
      </w:r>
      <w:r w:rsidR="000C15DF" w:rsidRPr="00A87494">
        <w:rPr>
          <w:rFonts w:ascii="Times New Roman" w:hAnsi="Times New Roman" w:cs="Times New Roman"/>
          <w:sz w:val="24"/>
          <w:szCs w:val="24"/>
          <w:lang w:val="es-ES"/>
        </w:rPr>
        <w:t xml:space="preserve"> </w:t>
      </w:r>
      <w:r w:rsidRPr="00A87494">
        <w:rPr>
          <w:rFonts w:ascii="Times New Roman" w:hAnsi="Times New Roman" w:cs="Times New Roman"/>
          <w:sz w:val="24"/>
          <w:szCs w:val="24"/>
          <w:lang w:val="es-ES"/>
        </w:rPr>
        <w:t>una serie de condiciones de políticas sectoriales previas al desembolso</w:t>
      </w:r>
      <w:r w:rsidR="00976E87" w:rsidRPr="00A87494">
        <w:rPr>
          <w:rFonts w:ascii="Times New Roman" w:hAnsi="Times New Roman" w:cs="Times New Roman"/>
          <w:sz w:val="24"/>
          <w:szCs w:val="24"/>
          <w:lang w:val="es-ES"/>
        </w:rPr>
        <w:t xml:space="preserve"> relacionadas al fortalecimiento del marco organizacional y el contexto institucional de logística, así como también mejoras normativas </w:t>
      </w:r>
      <w:r w:rsidR="00A87494">
        <w:rPr>
          <w:rFonts w:ascii="Times New Roman" w:hAnsi="Times New Roman" w:cs="Times New Roman"/>
          <w:sz w:val="24"/>
          <w:szCs w:val="24"/>
          <w:lang w:val="es-ES"/>
        </w:rPr>
        <w:t>relacionadas a la</w:t>
      </w:r>
      <w:r w:rsidR="00256E44" w:rsidRPr="00A87494">
        <w:rPr>
          <w:rFonts w:ascii="Times New Roman" w:hAnsi="Times New Roman" w:cs="Times New Roman"/>
          <w:sz w:val="24"/>
          <w:szCs w:val="24"/>
          <w:lang w:val="es-ES"/>
        </w:rPr>
        <w:t xml:space="preserve"> armonización comercial regional y </w:t>
      </w:r>
      <w:r w:rsidR="00A87494">
        <w:rPr>
          <w:rFonts w:ascii="Times New Roman" w:hAnsi="Times New Roman" w:cs="Times New Roman"/>
          <w:sz w:val="24"/>
          <w:szCs w:val="24"/>
          <w:lang w:val="es-ES"/>
        </w:rPr>
        <w:t>mejora de</w:t>
      </w:r>
      <w:r w:rsidR="00256E44" w:rsidRPr="00A87494">
        <w:rPr>
          <w:rFonts w:ascii="Times New Roman" w:hAnsi="Times New Roman" w:cs="Times New Roman"/>
          <w:sz w:val="24"/>
          <w:szCs w:val="24"/>
          <w:lang w:val="es-ES"/>
        </w:rPr>
        <w:t xml:space="preserve"> procesos</w:t>
      </w:r>
      <w:r w:rsidR="00A87494">
        <w:rPr>
          <w:rFonts w:ascii="Times New Roman" w:hAnsi="Times New Roman" w:cs="Times New Roman"/>
          <w:sz w:val="24"/>
          <w:szCs w:val="24"/>
          <w:lang w:val="es-ES"/>
        </w:rPr>
        <w:t xml:space="preserve"> de comercio exterior. </w:t>
      </w:r>
    </w:p>
    <w:p w14:paraId="6B6B44E9" w14:textId="77777777" w:rsidR="001D27B9" w:rsidRDefault="001D27B9" w:rsidP="001D27B9">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0105FB1C" w14:textId="6B096317" w:rsidR="00BE67A2" w:rsidRPr="00007B13" w:rsidRDefault="00F22176" w:rsidP="00007B13">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A87806">
        <w:rPr>
          <w:rFonts w:ascii="Times New Roman" w:hAnsi="Times New Roman" w:cs="Times New Roman"/>
          <w:sz w:val="24"/>
          <w:szCs w:val="24"/>
          <w:lang w:val="es-ES"/>
        </w:rPr>
        <w:t xml:space="preserve">En el presente documento </w:t>
      </w:r>
      <w:r w:rsidR="007014A8" w:rsidRPr="00A87806">
        <w:rPr>
          <w:rFonts w:ascii="Times New Roman" w:hAnsi="Times New Roman" w:cs="Times New Roman"/>
          <w:sz w:val="24"/>
          <w:szCs w:val="24"/>
          <w:lang w:val="es-ES"/>
        </w:rPr>
        <w:t>se analiza</w:t>
      </w:r>
      <w:r w:rsidR="00496B79">
        <w:rPr>
          <w:rFonts w:ascii="Times New Roman" w:hAnsi="Times New Roman" w:cs="Times New Roman"/>
          <w:sz w:val="24"/>
          <w:szCs w:val="24"/>
          <w:lang w:val="es-ES"/>
        </w:rPr>
        <w:t xml:space="preserve"> el</w:t>
      </w:r>
      <w:r w:rsidR="007014A8" w:rsidRPr="00A87806">
        <w:rPr>
          <w:rFonts w:ascii="Times New Roman" w:hAnsi="Times New Roman" w:cs="Times New Roman"/>
          <w:sz w:val="24"/>
          <w:szCs w:val="24"/>
          <w:lang w:val="es-ES"/>
        </w:rPr>
        <w:t xml:space="preserve"> </w:t>
      </w:r>
      <w:r w:rsidR="00256E44" w:rsidRPr="00256E44">
        <w:rPr>
          <w:rFonts w:ascii="Times New Roman" w:hAnsi="Times New Roman" w:cs="Times New Roman"/>
          <w:i/>
          <w:sz w:val="24"/>
          <w:szCs w:val="24"/>
          <w:lang w:val="es-ES"/>
        </w:rPr>
        <w:t>Programa de Reformas del Sector Transporte y Logística de Panamá. Fase III (PN-L1151)</w:t>
      </w:r>
      <w:r w:rsidR="00256E44">
        <w:rPr>
          <w:rFonts w:ascii="Times New Roman" w:hAnsi="Times New Roman" w:cs="Times New Roman"/>
          <w:sz w:val="24"/>
          <w:szCs w:val="24"/>
          <w:lang w:val="es-ES"/>
        </w:rPr>
        <w:t xml:space="preserve"> </w:t>
      </w:r>
      <w:r w:rsidR="007014A8" w:rsidRPr="00256E44">
        <w:rPr>
          <w:rFonts w:ascii="Times New Roman" w:hAnsi="Times New Roman" w:cs="Times New Roman"/>
          <w:sz w:val="24"/>
          <w:szCs w:val="24"/>
          <w:lang w:val="es-ES"/>
        </w:rPr>
        <w:t xml:space="preserve">exponiendo los argumentos que explican </w:t>
      </w:r>
      <w:r w:rsidR="00D86946" w:rsidRPr="00256E44">
        <w:rPr>
          <w:rFonts w:ascii="Times New Roman" w:hAnsi="Times New Roman" w:cs="Times New Roman"/>
          <w:sz w:val="24"/>
          <w:szCs w:val="24"/>
          <w:lang w:val="es-ES"/>
        </w:rPr>
        <w:t>cómo</w:t>
      </w:r>
      <w:r w:rsidR="007014A8" w:rsidRPr="00256E44">
        <w:rPr>
          <w:rFonts w:ascii="Times New Roman" w:hAnsi="Times New Roman" w:cs="Times New Roman"/>
          <w:sz w:val="24"/>
          <w:szCs w:val="24"/>
          <w:lang w:val="es-ES"/>
        </w:rPr>
        <w:t xml:space="preserve"> dicho proyecto </w:t>
      </w:r>
      <w:r w:rsidR="00D86946" w:rsidRPr="00256E44">
        <w:rPr>
          <w:rFonts w:ascii="Times New Roman" w:hAnsi="Times New Roman" w:cs="Times New Roman"/>
          <w:sz w:val="24"/>
          <w:szCs w:val="24"/>
          <w:lang w:val="es-ES"/>
        </w:rPr>
        <w:t xml:space="preserve">contribuye </w:t>
      </w:r>
      <w:r w:rsidR="007014A8" w:rsidRPr="00256E44">
        <w:rPr>
          <w:rFonts w:ascii="Times New Roman" w:hAnsi="Times New Roman" w:cs="Times New Roman"/>
          <w:sz w:val="24"/>
          <w:szCs w:val="24"/>
          <w:lang w:val="es-ES"/>
        </w:rPr>
        <w:t xml:space="preserve">a la </w:t>
      </w:r>
      <w:r w:rsidR="00D86946" w:rsidRPr="00256E44">
        <w:rPr>
          <w:rFonts w:ascii="Times New Roman" w:hAnsi="Times New Roman" w:cs="Times New Roman"/>
          <w:sz w:val="24"/>
          <w:szCs w:val="24"/>
          <w:lang w:val="es-ES"/>
        </w:rPr>
        <w:t xml:space="preserve">integración de </w:t>
      </w:r>
      <w:r w:rsidR="00496B79">
        <w:rPr>
          <w:rFonts w:ascii="Times New Roman" w:hAnsi="Times New Roman" w:cs="Times New Roman"/>
          <w:sz w:val="24"/>
          <w:szCs w:val="24"/>
          <w:lang w:val="es-ES"/>
        </w:rPr>
        <w:t>Panamá</w:t>
      </w:r>
      <w:r w:rsidR="00D86946" w:rsidRPr="00256E44">
        <w:rPr>
          <w:rFonts w:ascii="Times New Roman" w:hAnsi="Times New Roman" w:cs="Times New Roman"/>
          <w:sz w:val="24"/>
          <w:szCs w:val="24"/>
          <w:lang w:val="es-ES"/>
        </w:rPr>
        <w:t xml:space="preserve"> a nivel regional y global</w:t>
      </w:r>
      <w:r w:rsidR="007014A8" w:rsidRPr="00256E44">
        <w:rPr>
          <w:rFonts w:ascii="Times New Roman" w:hAnsi="Times New Roman" w:cs="Times New Roman"/>
          <w:sz w:val="24"/>
          <w:szCs w:val="24"/>
          <w:lang w:val="es-ES"/>
        </w:rPr>
        <w:t xml:space="preserve">, validando por tanto su alineación con el desafío regional de Integración Económica planteado en la Estrategia </w:t>
      </w:r>
      <w:r w:rsidR="007014A8" w:rsidRPr="00256E44">
        <w:rPr>
          <w:rFonts w:ascii="Times New Roman" w:hAnsi="Times New Roman" w:cs="Times New Roman"/>
          <w:sz w:val="24"/>
          <w:szCs w:val="24"/>
          <w:lang w:val="es-ES"/>
        </w:rPr>
        <w:lastRenderedPageBreak/>
        <w:t>Institucional del Banco (EIB) 2010-2020 (GN-2788-5). El documento está organizado de la siguiente manera.</w:t>
      </w:r>
      <w:r w:rsidR="00A87806" w:rsidRPr="00256E44">
        <w:rPr>
          <w:rFonts w:ascii="Times New Roman" w:hAnsi="Times New Roman" w:cs="Times New Roman"/>
          <w:sz w:val="24"/>
          <w:szCs w:val="24"/>
          <w:lang w:val="es-ES"/>
        </w:rPr>
        <w:t xml:space="preserve"> En la sección número II, </w:t>
      </w:r>
      <w:r w:rsidR="007014A8" w:rsidRPr="00256E44">
        <w:rPr>
          <w:rFonts w:ascii="Times New Roman" w:hAnsi="Times New Roman" w:cs="Times New Roman"/>
          <w:sz w:val="24"/>
          <w:szCs w:val="24"/>
          <w:lang w:val="es-ES"/>
        </w:rPr>
        <w:t xml:space="preserve">se describe </w:t>
      </w:r>
      <w:r w:rsidR="00A87806" w:rsidRPr="00256E44">
        <w:rPr>
          <w:rFonts w:ascii="Times New Roman" w:hAnsi="Times New Roman" w:cs="Times New Roman"/>
          <w:sz w:val="24"/>
          <w:szCs w:val="24"/>
          <w:lang w:val="es-ES"/>
        </w:rPr>
        <w:t>la coyuntura global a fin de entender el contexto y la importancia de la integración</w:t>
      </w:r>
      <w:r w:rsidR="003D3F4C">
        <w:rPr>
          <w:rFonts w:ascii="Times New Roman" w:hAnsi="Times New Roman" w:cs="Times New Roman"/>
          <w:sz w:val="24"/>
          <w:szCs w:val="24"/>
          <w:lang w:val="es-ES"/>
        </w:rPr>
        <w:t xml:space="preserve"> económica</w:t>
      </w:r>
      <w:r w:rsidR="00A87806" w:rsidRPr="00256E44">
        <w:rPr>
          <w:rFonts w:ascii="Times New Roman" w:hAnsi="Times New Roman" w:cs="Times New Roman"/>
          <w:sz w:val="24"/>
          <w:szCs w:val="24"/>
          <w:lang w:val="es-ES"/>
        </w:rPr>
        <w:t>, seguidamente se describe el contexto regional y el estado</w:t>
      </w:r>
      <w:r w:rsidR="007014A8" w:rsidRPr="00256E44">
        <w:rPr>
          <w:rFonts w:ascii="Times New Roman" w:hAnsi="Times New Roman" w:cs="Times New Roman"/>
          <w:sz w:val="24"/>
          <w:szCs w:val="24"/>
          <w:lang w:val="es-ES"/>
        </w:rPr>
        <w:t xml:space="preserve"> de</w:t>
      </w:r>
      <w:r w:rsidR="00A87806" w:rsidRPr="00256E44">
        <w:rPr>
          <w:rFonts w:ascii="Times New Roman" w:hAnsi="Times New Roman" w:cs="Times New Roman"/>
          <w:sz w:val="24"/>
          <w:szCs w:val="24"/>
          <w:lang w:val="es-ES"/>
        </w:rPr>
        <w:t xml:space="preserve"> la</w:t>
      </w:r>
      <w:r w:rsidR="007014A8" w:rsidRPr="00256E44">
        <w:rPr>
          <w:rFonts w:ascii="Times New Roman" w:hAnsi="Times New Roman" w:cs="Times New Roman"/>
          <w:sz w:val="24"/>
          <w:szCs w:val="24"/>
          <w:lang w:val="es-ES"/>
        </w:rPr>
        <w:t xml:space="preserve"> integración </w:t>
      </w:r>
      <w:r w:rsidR="00837033">
        <w:rPr>
          <w:rFonts w:ascii="Times New Roman" w:hAnsi="Times New Roman" w:cs="Times New Roman"/>
          <w:sz w:val="24"/>
          <w:szCs w:val="24"/>
          <w:lang w:val="es-ES"/>
        </w:rPr>
        <w:t>económica</w:t>
      </w:r>
      <w:r w:rsidR="007014A8" w:rsidRPr="00256E44">
        <w:rPr>
          <w:rFonts w:ascii="Times New Roman" w:hAnsi="Times New Roman" w:cs="Times New Roman"/>
          <w:sz w:val="24"/>
          <w:szCs w:val="24"/>
          <w:lang w:val="es-ES"/>
        </w:rPr>
        <w:t xml:space="preserve"> en el marco del proce</w:t>
      </w:r>
      <w:r w:rsidR="00A87806" w:rsidRPr="00256E44">
        <w:rPr>
          <w:rFonts w:ascii="Times New Roman" w:hAnsi="Times New Roman" w:cs="Times New Roman"/>
          <w:sz w:val="24"/>
          <w:szCs w:val="24"/>
          <w:lang w:val="es-ES"/>
        </w:rPr>
        <w:t xml:space="preserve">so de integración </w:t>
      </w:r>
      <w:r w:rsidR="00837033">
        <w:rPr>
          <w:rFonts w:ascii="Times New Roman" w:hAnsi="Times New Roman" w:cs="Times New Roman"/>
          <w:sz w:val="24"/>
          <w:szCs w:val="24"/>
          <w:lang w:val="es-ES"/>
        </w:rPr>
        <w:t xml:space="preserve">centroamericana, </w:t>
      </w:r>
      <w:r w:rsidR="00A87806" w:rsidRPr="00256E44">
        <w:rPr>
          <w:rFonts w:ascii="Times New Roman" w:hAnsi="Times New Roman" w:cs="Times New Roman"/>
          <w:sz w:val="24"/>
          <w:szCs w:val="24"/>
          <w:lang w:val="es-ES"/>
        </w:rPr>
        <w:t xml:space="preserve">haciendo énfasis en el caso particular de </w:t>
      </w:r>
      <w:r w:rsidR="00837033">
        <w:rPr>
          <w:rFonts w:ascii="Times New Roman" w:hAnsi="Times New Roman" w:cs="Times New Roman"/>
          <w:sz w:val="24"/>
          <w:szCs w:val="24"/>
          <w:lang w:val="es-ES"/>
        </w:rPr>
        <w:t>Panamá</w:t>
      </w:r>
      <w:r w:rsidR="00A87806" w:rsidRPr="00256E44">
        <w:rPr>
          <w:rFonts w:ascii="Times New Roman" w:hAnsi="Times New Roman" w:cs="Times New Roman"/>
          <w:sz w:val="24"/>
          <w:szCs w:val="24"/>
          <w:lang w:val="es-ES"/>
        </w:rPr>
        <w:t xml:space="preserve">. En la sección número III </w:t>
      </w:r>
      <w:r w:rsidR="007014A8" w:rsidRPr="00256E44">
        <w:rPr>
          <w:rFonts w:ascii="Times New Roman" w:hAnsi="Times New Roman" w:cs="Times New Roman"/>
          <w:sz w:val="24"/>
          <w:szCs w:val="24"/>
          <w:lang w:val="es-ES"/>
        </w:rPr>
        <w:t>se presentan los argumentos cualitativos y cuantitativos que demuestran que la operación contribuye a mejorar la integración económica</w:t>
      </w:r>
      <w:r w:rsidR="00837033">
        <w:rPr>
          <w:rFonts w:ascii="Times New Roman" w:hAnsi="Times New Roman" w:cs="Times New Roman"/>
          <w:sz w:val="24"/>
          <w:szCs w:val="24"/>
          <w:lang w:val="es-ES"/>
        </w:rPr>
        <w:t xml:space="preserve"> regional y global</w:t>
      </w:r>
      <w:r w:rsidR="007014A8" w:rsidRPr="00256E44">
        <w:rPr>
          <w:rFonts w:ascii="Times New Roman" w:hAnsi="Times New Roman" w:cs="Times New Roman"/>
          <w:sz w:val="24"/>
          <w:szCs w:val="24"/>
          <w:lang w:val="es-ES"/>
        </w:rPr>
        <w:t xml:space="preserve">. </w:t>
      </w:r>
      <w:r w:rsidR="00A87806" w:rsidRPr="00256E44">
        <w:rPr>
          <w:rFonts w:ascii="Times New Roman" w:hAnsi="Times New Roman" w:cs="Times New Roman"/>
          <w:sz w:val="24"/>
          <w:szCs w:val="24"/>
          <w:lang w:val="es-ES"/>
        </w:rPr>
        <w:t>Finalmente, en la sección número IV se</w:t>
      </w:r>
      <w:r w:rsidR="007014A8" w:rsidRPr="00256E44">
        <w:rPr>
          <w:rFonts w:ascii="Times New Roman" w:hAnsi="Times New Roman" w:cs="Times New Roman"/>
          <w:sz w:val="24"/>
          <w:szCs w:val="24"/>
          <w:lang w:val="es-ES"/>
        </w:rPr>
        <w:t xml:space="preserve"> valida la alineación de la operación con el Desafío de Integración Económica de acuerdo con la EIB y con la Estrategia Sectorial del Banco de Apoyo a la Integración Competitiva, Regional y Global (GN-2564-4).</w:t>
      </w:r>
    </w:p>
    <w:p w14:paraId="70032BE2" w14:textId="77777777" w:rsidR="00232BDF" w:rsidRDefault="00232BDF" w:rsidP="00BE67A2">
      <w:pPr>
        <w:tabs>
          <w:tab w:val="left" w:pos="270"/>
          <w:tab w:val="left" w:pos="2085"/>
        </w:tabs>
        <w:spacing w:after="0" w:line="0" w:lineRule="atLeast"/>
        <w:jc w:val="both"/>
        <w:rPr>
          <w:rFonts w:ascii="Times New Roman" w:hAnsi="Times New Roman" w:cs="Times New Roman"/>
          <w:sz w:val="24"/>
          <w:szCs w:val="24"/>
          <w:lang w:val="es-ES"/>
        </w:rPr>
      </w:pPr>
    </w:p>
    <w:p w14:paraId="2E615A07" w14:textId="77777777" w:rsidR="00153695" w:rsidRDefault="00B6736B" w:rsidP="00153695">
      <w:pPr>
        <w:pStyle w:val="ListParagraph"/>
        <w:numPr>
          <w:ilvl w:val="0"/>
          <w:numId w:val="1"/>
        </w:numPr>
        <w:tabs>
          <w:tab w:val="left" w:pos="360"/>
          <w:tab w:val="left" w:pos="450"/>
        </w:tabs>
        <w:spacing w:after="0" w:line="240" w:lineRule="auto"/>
        <w:ind w:hanging="630"/>
        <w:jc w:val="both"/>
        <w:rPr>
          <w:rFonts w:ascii="Times New Roman" w:hAnsi="Times New Roman"/>
          <w:b/>
          <w:color w:val="1F497D"/>
          <w:sz w:val="24"/>
          <w:szCs w:val="24"/>
          <w:lang w:val="es-ES"/>
        </w:rPr>
      </w:pPr>
      <w:r w:rsidRPr="00FA63CA">
        <w:rPr>
          <w:rFonts w:ascii="Times New Roman" w:hAnsi="Times New Roman"/>
          <w:b/>
          <w:color w:val="1F497D"/>
          <w:sz w:val="24"/>
          <w:szCs w:val="24"/>
          <w:lang w:val="es-ES"/>
        </w:rPr>
        <w:t>Infraestructura e Integración Económica</w:t>
      </w:r>
    </w:p>
    <w:p w14:paraId="67C778C3" w14:textId="77777777" w:rsidR="00153695" w:rsidRDefault="00153695" w:rsidP="00153695">
      <w:pPr>
        <w:pStyle w:val="ListParagraph"/>
        <w:tabs>
          <w:tab w:val="left" w:pos="360"/>
          <w:tab w:val="left" w:pos="450"/>
        </w:tabs>
        <w:spacing w:after="0" w:line="240" w:lineRule="auto"/>
        <w:jc w:val="both"/>
        <w:rPr>
          <w:rFonts w:ascii="Times New Roman" w:hAnsi="Times New Roman"/>
          <w:b/>
          <w:color w:val="1F497D"/>
          <w:sz w:val="24"/>
          <w:szCs w:val="24"/>
          <w:lang w:val="es-ES"/>
        </w:rPr>
      </w:pPr>
    </w:p>
    <w:p w14:paraId="6A70AFD9" w14:textId="77777777" w:rsidR="00F52EA4" w:rsidRPr="00153695" w:rsidRDefault="004A7318" w:rsidP="00153695">
      <w:pPr>
        <w:tabs>
          <w:tab w:val="left" w:pos="360"/>
          <w:tab w:val="left" w:pos="450"/>
        </w:tabs>
        <w:spacing w:after="0" w:line="240" w:lineRule="auto"/>
        <w:jc w:val="both"/>
        <w:rPr>
          <w:rFonts w:ascii="Times New Roman" w:hAnsi="Times New Roman"/>
          <w:b/>
          <w:color w:val="1F497D"/>
          <w:sz w:val="24"/>
          <w:szCs w:val="24"/>
          <w:lang w:val="es-ES"/>
        </w:rPr>
      </w:pPr>
      <w:r w:rsidRPr="00153695">
        <w:rPr>
          <w:rFonts w:ascii="Times New Roman" w:hAnsi="Times New Roman"/>
          <w:b/>
          <w:sz w:val="24"/>
          <w:szCs w:val="24"/>
          <w:u w:val="single"/>
          <w:lang w:val="es-ES"/>
        </w:rPr>
        <w:t xml:space="preserve">Contexto Global </w:t>
      </w:r>
    </w:p>
    <w:p w14:paraId="0016FDF7" w14:textId="77777777" w:rsidR="00F52EA4" w:rsidRPr="00F52EA4" w:rsidRDefault="00F52EA4" w:rsidP="00F52EA4">
      <w:pPr>
        <w:pStyle w:val="ListParagraph"/>
        <w:tabs>
          <w:tab w:val="left" w:pos="360"/>
          <w:tab w:val="left" w:pos="450"/>
        </w:tabs>
        <w:spacing w:after="0" w:line="240" w:lineRule="auto"/>
        <w:ind w:left="765"/>
        <w:jc w:val="both"/>
        <w:rPr>
          <w:rFonts w:ascii="Times New Roman" w:hAnsi="Times New Roman"/>
          <w:b/>
          <w:color w:val="1F497D"/>
          <w:sz w:val="24"/>
          <w:szCs w:val="24"/>
          <w:lang w:val="es-ES"/>
        </w:rPr>
      </w:pPr>
    </w:p>
    <w:p w14:paraId="0D198FF3" w14:textId="77777777" w:rsidR="00153695" w:rsidRPr="00153695" w:rsidRDefault="00153695" w:rsidP="00153695">
      <w:pPr>
        <w:pStyle w:val="ListParagraph"/>
        <w:numPr>
          <w:ilvl w:val="0"/>
          <w:numId w:val="2"/>
        </w:numPr>
        <w:tabs>
          <w:tab w:val="left" w:pos="270"/>
          <w:tab w:val="left" w:pos="2085"/>
        </w:tabs>
        <w:spacing w:after="0" w:line="0" w:lineRule="atLeast"/>
        <w:jc w:val="both"/>
        <w:rPr>
          <w:rFonts w:ascii="Times New Roman" w:hAnsi="Times New Roman" w:cs="Times New Roman"/>
          <w:vanish/>
          <w:sz w:val="24"/>
          <w:szCs w:val="24"/>
          <w:lang w:val="es-ES"/>
        </w:rPr>
      </w:pPr>
    </w:p>
    <w:p w14:paraId="28B41EFE" w14:textId="622B66A2" w:rsidR="00153695" w:rsidRPr="009B715C" w:rsidRDefault="0034645A"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9B715C">
        <w:rPr>
          <w:rFonts w:ascii="Times New Roman" w:hAnsi="Times New Roman"/>
          <w:sz w:val="24"/>
          <w:szCs w:val="24"/>
          <w:lang w:val="es-ES_tradnl"/>
        </w:rPr>
        <w:t>En un entorno globalizado como el actual,</w:t>
      </w:r>
      <w:r w:rsidR="000F0A57" w:rsidRPr="009B715C">
        <w:rPr>
          <w:rFonts w:ascii="Times New Roman" w:hAnsi="Times New Roman"/>
          <w:sz w:val="24"/>
          <w:szCs w:val="24"/>
          <w:lang w:val="es-ES_tradnl"/>
        </w:rPr>
        <w:t xml:space="preserve"> </w:t>
      </w:r>
      <w:r w:rsidRPr="009B715C">
        <w:rPr>
          <w:rFonts w:ascii="Times New Roman" w:hAnsi="Times New Roman"/>
          <w:sz w:val="24"/>
          <w:szCs w:val="24"/>
          <w:lang w:val="es-ES_tradnl"/>
        </w:rPr>
        <w:t>los</w:t>
      </w:r>
      <w:r w:rsidR="000F0A57" w:rsidRPr="009B715C">
        <w:rPr>
          <w:rFonts w:ascii="Times New Roman" w:hAnsi="Times New Roman"/>
          <w:sz w:val="24"/>
          <w:szCs w:val="24"/>
          <w:lang w:val="es-ES_tradnl"/>
        </w:rPr>
        <w:t xml:space="preserve"> choques</w:t>
      </w:r>
      <w:r w:rsidR="004C0613" w:rsidRPr="009B715C">
        <w:rPr>
          <w:rFonts w:ascii="Times New Roman" w:hAnsi="Times New Roman"/>
          <w:sz w:val="24"/>
          <w:szCs w:val="24"/>
          <w:lang w:val="es-ES_tradnl"/>
        </w:rPr>
        <w:t xml:space="preserve"> económicos</w:t>
      </w:r>
      <w:r w:rsidR="000F0A57" w:rsidRPr="009B715C">
        <w:rPr>
          <w:rFonts w:ascii="Times New Roman" w:hAnsi="Times New Roman"/>
          <w:sz w:val="24"/>
          <w:szCs w:val="24"/>
          <w:lang w:val="es-ES_tradnl"/>
        </w:rPr>
        <w:t xml:space="preserve"> provenientes de los países con los cuales </w:t>
      </w:r>
      <w:r w:rsidRPr="009B715C">
        <w:rPr>
          <w:rFonts w:ascii="Times New Roman" w:hAnsi="Times New Roman"/>
          <w:sz w:val="24"/>
          <w:szCs w:val="24"/>
          <w:lang w:val="es-ES_tradnl"/>
        </w:rPr>
        <w:t>América Latina y el Caribe</w:t>
      </w:r>
      <w:r w:rsidR="000F0A57" w:rsidRPr="009B715C">
        <w:rPr>
          <w:rFonts w:ascii="Times New Roman" w:hAnsi="Times New Roman"/>
          <w:sz w:val="24"/>
          <w:szCs w:val="24"/>
          <w:lang w:val="es-ES_tradnl"/>
        </w:rPr>
        <w:t xml:space="preserve"> mantiene importantes vínculos económicos impactan en </w:t>
      </w:r>
      <w:r w:rsidR="004C0613" w:rsidRPr="009B715C">
        <w:rPr>
          <w:rFonts w:ascii="Times New Roman" w:hAnsi="Times New Roman"/>
          <w:sz w:val="24"/>
          <w:szCs w:val="24"/>
          <w:lang w:val="es-ES_tradnl"/>
        </w:rPr>
        <w:t>las economías de los</w:t>
      </w:r>
      <w:r w:rsidR="000F0A57" w:rsidRPr="009B715C">
        <w:rPr>
          <w:rFonts w:ascii="Times New Roman" w:hAnsi="Times New Roman"/>
          <w:sz w:val="24"/>
          <w:szCs w:val="24"/>
          <w:lang w:val="es-ES_tradnl"/>
        </w:rPr>
        <w:t xml:space="preserve"> países y en el contexto regional en general. </w:t>
      </w:r>
      <w:r w:rsidR="000E48F0" w:rsidRPr="009B715C">
        <w:rPr>
          <w:rFonts w:ascii="Times New Roman" w:hAnsi="Times New Roman"/>
          <w:sz w:val="24"/>
          <w:szCs w:val="24"/>
          <w:lang w:val="es-ES"/>
        </w:rPr>
        <w:t>El</w:t>
      </w:r>
      <w:r w:rsidR="00CD1F3F" w:rsidRPr="009B715C">
        <w:rPr>
          <w:rFonts w:ascii="Times New Roman" w:hAnsi="Times New Roman"/>
          <w:sz w:val="24"/>
          <w:szCs w:val="24"/>
          <w:lang w:val="es-ES"/>
        </w:rPr>
        <w:t xml:space="preserve"> año 201</w:t>
      </w:r>
      <w:r w:rsidR="00172C51" w:rsidRPr="009B715C">
        <w:rPr>
          <w:rFonts w:ascii="Times New Roman" w:hAnsi="Times New Roman"/>
          <w:sz w:val="24"/>
          <w:szCs w:val="24"/>
          <w:lang w:val="es-ES"/>
        </w:rPr>
        <w:t>7</w:t>
      </w:r>
      <w:r w:rsidR="00CD1F3F" w:rsidRPr="009B715C">
        <w:rPr>
          <w:rFonts w:ascii="Times New Roman" w:hAnsi="Times New Roman"/>
          <w:sz w:val="24"/>
          <w:szCs w:val="24"/>
          <w:lang w:val="es-ES"/>
        </w:rPr>
        <w:t xml:space="preserve"> fue un año de</w:t>
      </w:r>
      <w:r w:rsidR="00172C51" w:rsidRPr="009B715C">
        <w:rPr>
          <w:rFonts w:ascii="Times New Roman" w:hAnsi="Times New Roman"/>
          <w:sz w:val="24"/>
          <w:szCs w:val="24"/>
          <w:lang w:val="es-ES"/>
        </w:rPr>
        <w:t xml:space="preserve"> recuperación </w:t>
      </w:r>
      <w:r w:rsidR="00CD1F3F" w:rsidRPr="009B715C">
        <w:rPr>
          <w:rFonts w:ascii="Times New Roman" w:hAnsi="Times New Roman"/>
          <w:sz w:val="24"/>
          <w:szCs w:val="24"/>
          <w:lang w:val="es-ES"/>
        </w:rPr>
        <w:t>del</w:t>
      </w:r>
      <w:r w:rsidR="000E48F0" w:rsidRPr="009B715C">
        <w:rPr>
          <w:rFonts w:ascii="Times New Roman" w:hAnsi="Times New Roman"/>
          <w:sz w:val="24"/>
          <w:szCs w:val="24"/>
          <w:lang w:val="es-ES"/>
        </w:rPr>
        <w:t xml:space="preserve"> crecimiento</w:t>
      </w:r>
      <w:r w:rsidR="00CD1F3F" w:rsidRPr="009B715C">
        <w:rPr>
          <w:rFonts w:ascii="Times New Roman" w:hAnsi="Times New Roman"/>
          <w:sz w:val="24"/>
          <w:szCs w:val="24"/>
          <w:lang w:val="es-ES"/>
        </w:rPr>
        <w:t xml:space="preserve"> económico</w:t>
      </w:r>
      <w:r w:rsidR="000E48F0" w:rsidRPr="009B715C">
        <w:rPr>
          <w:rFonts w:ascii="Times New Roman" w:hAnsi="Times New Roman"/>
          <w:sz w:val="24"/>
          <w:szCs w:val="24"/>
          <w:lang w:val="es-ES"/>
        </w:rPr>
        <w:t xml:space="preserve"> global</w:t>
      </w:r>
      <w:r w:rsidR="00CD1F3F" w:rsidRPr="009B715C">
        <w:rPr>
          <w:rFonts w:ascii="Times New Roman" w:hAnsi="Times New Roman"/>
          <w:sz w:val="24"/>
          <w:szCs w:val="24"/>
          <w:lang w:val="es-ES"/>
        </w:rPr>
        <w:t xml:space="preserve"> sobre todo para las economías avanzadas</w:t>
      </w:r>
      <w:r w:rsidR="004C215A" w:rsidRPr="009B715C">
        <w:rPr>
          <w:rFonts w:ascii="Times New Roman" w:hAnsi="Times New Roman"/>
          <w:sz w:val="24"/>
          <w:szCs w:val="24"/>
          <w:lang w:val="es-ES"/>
        </w:rPr>
        <w:t xml:space="preserve">. </w:t>
      </w:r>
      <w:r w:rsidR="002A24EF" w:rsidRPr="009B715C">
        <w:rPr>
          <w:rFonts w:ascii="Times New Roman" w:hAnsi="Times New Roman"/>
          <w:sz w:val="24"/>
          <w:szCs w:val="24"/>
          <w:lang w:val="es-ES"/>
        </w:rPr>
        <w:t>L</w:t>
      </w:r>
      <w:r w:rsidR="004C215A" w:rsidRPr="009B715C">
        <w:rPr>
          <w:rFonts w:ascii="Times New Roman" w:hAnsi="Times New Roman"/>
          <w:sz w:val="24"/>
          <w:szCs w:val="24"/>
          <w:lang w:val="es-ES"/>
        </w:rPr>
        <w:t>a producción mundial creció un 3.7 por ciento en 2017</w:t>
      </w:r>
      <w:r w:rsidR="00B050BB" w:rsidRPr="009B715C">
        <w:rPr>
          <w:rFonts w:ascii="Times New Roman" w:hAnsi="Times New Roman"/>
          <w:sz w:val="24"/>
          <w:szCs w:val="24"/>
          <w:lang w:val="es-ES"/>
        </w:rPr>
        <w:t xml:space="preserve"> y</w:t>
      </w:r>
      <w:r w:rsidR="00CD1F3F" w:rsidRPr="009B715C">
        <w:rPr>
          <w:rFonts w:ascii="Times New Roman" w:hAnsi="Times New Roman"/>
          <w:sz w:val="24"/>
          <w:szCs w:val="24"/>
          <w:lang w:val="es-ES"/>
        </w:rPr>
        <w:t xml:space="preserve"> </w:t>
      </w:r>
      <w:r w:rsidR="009B715C" w:rsidRPr="009B715C">
        <w:rPr>
          <w:rFonts w:ascii="Times New Roman" w:hAnsi="Times New Roman"/>
          <w:sz w:val="24"/>
          <w:szCs w:val="24"/>
          <w:lang w:val="es-ES"/>
        </w:rPr>
        <w:t>de acuerdo con</w:t>
      </w:r>
      <w:r w:rsidR="00CD1F3F" w:rsidRPr="009B715C">
        <w:rPr>
          <w:rFonts w:ascii="Times New Roman" w:hAnsi="Times New Roman"/>
          <w:sz w:val="24"/>
          <w:szCs w:val="24"/>
          <w:lang w:val="es-ES"/>
        </w:rPr>
        <w:t xml:space="preserve"> </w:t>
      </w:r>
      <w:r w:rsidR="009B715C" w:rsidRPr="009B715C">
        <w:rPr>
          <w:rFonts w:ascii="Times New Roman" w:hAnsi="Times New Roman"/>
          <w:sz w:val="24"/>
          <w:szCs w:val="24"/>
          <w:lang w:val="es-ES"/>
        </w:rPr>
        <w:t xml:space="preserve">las </w:t>
      </w:r>
      <w:r w:rsidR="00CD1F3F" w:rsidRPr="009B715C">
        <w:rPr>
          <w:rFonts w:ascii="Times New Roman" w:hAnsi="Times New Roman"/>
          <w:sz w:val="24"/>
          <w:szCs w:val="24"/>
          <w:lang w:val="es-ES"/>
        </w:rPr>
        <w:t>estimaciones del Fondo Monetario Internacional</w:t>
      </w:r>
      <w:r w:rsidR="00CE2ED1" w:rsidRPr="009B715C">
        <w:rPr>
          <w:rFonts w:ascii="Times New Roman" w:hAnsi="Times New Roman"/>
          <w:sz w:val="24"/>
          <w:szCs w:val="24"/>
          <w:lang w:val="es-ES"/>
        </w:rPr>
        <w:t xml:space="preserve"> (FMI)</w:t>
      </w:r>
      <w:r w:rsidR="00CD1F3F" w:rsidRPr="009B715C">
        <w:rPr>
          <w:rFonts w:ascii="Times New Roman" w:hAnsi="Times New Roman"/>
          <w:sz w:val="24"/>
          <w:szCs w:val="24"/>
          <w:lang w:val="es-ES"/>
        </w:rPr>
        <w:t xml:space="preserve">, </w:t>
      </w:r>
      <w:r w:rsidR="009B715C" w:rsidRPr="009B715C">
        <w:rPr>
          <w:rFonts w:ascii="Times New Roman" w:hAnsi="Times New Roman"/>
          <w:sz w:val="24"/>
          <w:szCs w:val="24"/>
          <w:lang w:val="es-ES"/>
        </w:rPr>
        <w:t>el crecimiento de la economía mundial en 2018 será de 3,9%,</w:t>
      </w:r>
      <w:r w:rsidR="001F0F01">
        <w:rPr>
          <w:rFonts w:ascii="Times New Roman" w:hAnsi="Times New Roman"/>
          <w:sz w:val="24"/>
          <w:szCs w:val="24"/>
          <w:lang w:val="es-ES"/>
        </w:rPr>
        <w:t xml:space="preserve"> este último representa</w:t>
      </w:r>
      <w:r w:rsidR="009B715C" w:rsidRPr="009B715C">
        <w:rPr>
          <w:rFonts w:ascii="Times New Roman" w:hAnsi="Times New Roman"/>
          <w:sz w:val="24"/>
          <w:szCs w:val="24"/>
          <w:lang w:val="es-ES"/>
        </w:rPr>
        <w:t xml:space="preserve"> un nivel no visto desde 2011, lo cual significa un contexto favorable para la región</w:t>
      </w:r>
      <w:r w:rsidR="00F412E8">
        <w:rPr>
          <w:rFonts w:ascii="Times New Roman" w:hAnsi="Times New Roman"/>
          <w:sz w:val="24"/>
          <w:szCs w:val="24"/>
          <w:lang w:val="es-ES"/>
        </w:rPr>
        <w:t>.</w:t>
      </w:r>
    </w:p>
    <w:p w14:paraId="2115C2DF" w14:textId="77777777" w:rsidR="00153695" w:rsidRPr="00153695" w:rsidRDefault="00153695" w:rsidP="00153695">
      <w:pPr>
        <w:pStyle w:val="ListParagraph"/>
        <w:rPr>
          <w:rFonts w:ascii="Times New Roman" w:hAnsi="Times New Roman"/>
          <w:sz w:val="24"/>
          <w:szCs w:val="24"/>
          <w:lang w:val="es-ES"/>
        </w:rPr>
      </w:pPr>
    </w:p>
    <w:p w14:paraId="6B4747E9" w14:textId="1E868E7D" w:rsidR="00240EF9" w:rsidRDefault="008256FC"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240EF9">
        <w:rPr>
          <w:rFonts w:ascii="Times New Roman" w:hAnsi="Times New Roman"/>
          <w:sz w:val="24"/>
          <w:szCs w:val="24"/>
          <w:lang w:val="es-ES"/>
        </w:rPr>
        <w:t xml:space="preserve">Con respecto a la situación del comercio global, </w:t>
      </w:r>
      <w:r w:rsidR="00693DAC" w:rsidRPr="00240EF9">
        <w:rPr>
          <w:rFonts w:ascii="Times New Roman" w:hAnsi="Times New Roman"/>
          <w:sz w:val="24"/>
          <w:szCs w:val="24"/>
          <w:lang w:val="es-ES"/>
        </w:rPr>
        <w:t xml:space="preserve">de acuerdo </w:t>
      </w:r>
      <w:r w:rsidR="00B32C7A">
        <w:rPr>
          <w:rFonts w:ascii="Times New Roman" w:hAnsi="Times New Roman"/>
          <w:sz w:val="24"/>
          <w:szCs w:val="24"/>
          <w:lang w:val="es-ES"/>
        </w:rPr>
        <w:t>el informe macroeconómico 2018</w:t>
      </w:r>
      <w:r w:rsidR="002C2FD5">
        <w:rPr>
          <w:rFonts w:ascii="Times New Roman" w:hAnsi="Times New Roman"/>
          <w:sz w:val="24"/>
          <w:szCs w:val="24"/>
          <w:lang w:val="es-ES"/>
        </w:rPr>
        <w:t xml:space="preserve">, </w:t>
      </w:r>
      <w:r w:rsidRPr="00240EF9">
        <w:rPr>
          <w:rFonts w:ascii="Times New Roman" w:hAnsi="Times New Roman"/>
          <w:sz w:val="24"/>
          <w:szCs w:val="24"/>
          <w:lang w:val="es-ES"/>
        </w:rPr>
        <w:t>del Banco Interamericano de Desarrollo</w:t>
      </w:r>
      <w:r w:rsidR="00A27896" w:rsidRPr="00240EF9">
        <w:rPr>
          <w:rFonts w:ascii="Times New Roman" w:hAnsi="Times New Roman"/>
          <w:sz w:val="24"/>
          <w:szCs w:val="24"/>
          <w:lang w:val="es-ES"/>
        </w:rPr>
        <w:t xml:space="preserve"> (BID)</w:t>
      </w:r>
      <w:r w:rsidR="00053CA0" w:rsidRPr="00240EF9">
        <w:rPr>
          <w:rFonts w:ascii="Times New Roman" w:hAnsi="Times New Roman"/>
          <w:sz w:val="24"/>
          <w:szCs w:val="24"/>
          <w:lang w:val="es-ES"/>
        </w:rPr>
        <w:t>;</w:t>
      </w:r>
      <w:r w:rsidRPr="00240EF9">
        <w:rPr>
          <w:rFonts w:ascii="Times New Roman" w:hAnsi="Times New Roman"/>
          <w:sz w:val="24"/>
          <w:szCs w:val="24"/>
          <w:lang w:val="es-ES"/>
        </w:rPr>
        <w:t xml:space="preserve"> </w:t>
      </w:r>
      <w:r w:rsidR="00FA6C56" w:rsidRPr="00240EF9">
        <w:rPr>
          <w:rFonts w:ascii="Times New Roman" w:hAnsi="Times New Roman"/>
          <w:sz w:val="24"/>
          <w:szCs w:val="24"/>
          <w:lang w:val="es-ES"/>
        </w:rPr>
        <w:t>los valores del</w:t>
      </w:r>
      <w:r w:rsidRPr="00240EF9">
        <w:rPr>
          <w:rFonts w:ascii="Times New Roman" w:hAnsi="Times New Roman"/>
          <w:sz w:val="24"/>
          <w:szCs w:val="24"/>
          <w:lang w:val="es-ES"/>
        </w:rPr>
        <w:t xml:space="preserve"> comercio mundial </w:t>
      </w:r>
      <w:r w:rsidR="009C195B" w:rsidRPr="00240EF9">
        <w:rPr>
          <w:rFonts w:ascii="Times New Roman" w:hAnsi="Times New Roman"/>
          <w:sz w:val="24"/>
          <w:szCs w:val="24"/>
          <w:lang w:val="es-ES"/>
        </w:rPr>
        <w:t xml:space="preserve">disminuyeron </w:t>
      </w:r>
      <w:r w:rsidRPr="00240EF9">
        <w:rPr>
          <w:rFonts w:ascii="Times New Roman" w:hAnsi="Times New Roman"/>
          <w:sz w:val="24"/>
          <w:szCs w:val="24"/>
          <w:lang w:val="es-ES"/>
        </w:rPr>
        <w:t>en aproximadamente un 20% entre 2014 y 2016, y solo ha</w:t>
      </w:r>
      <w:r w:rsidR="009C195B" w:rsidRPr="00240EF9">
        <w:rPr>
          <w:rFonts w:ascii="Times New Roman" w:hAnsi="Times New Roman"/>
          <w:sz w:val="24"/>
          <w:szCs w:val="24"/>
          <w:lang w:val="es-ES"/>
        </w:rPr>
        <w:t>n</w:t>
      </w:r>
      <w:r w:rsidRPr="00240EF9">
        <w:rPr>
          <w:rFonts w:ascii="Times New Roman" w:hAnsi="Times New Roman"/>
          <w:sz w:val="24"/>
          <w:szCs w:val="24"/>
          <w:lang w:val="es-ES"/>
        </w:rPr>
        <w:t xml:space="preserve"> aumentado marginalmente a partir de su punto más bajo en enero de ese año.</w:t>
      </w:r>
      <w:r w:rsidR="00053CA0" w:rsidRPr="00240EF9">
        <w:rPr>
          <w:rFonts w:ascii="Times New Roman" w:hAnsi="Times New Roman"/>
          <w:sz w:val="24"/>
          <w:szCs w:val="24"/>
          <w:lang w:val="es-ES"/>
        </w:rPr>
        <w:t xml:space="preserve"> </w:t>
      </w:r>
      <w:r w:rsidR="006F1B82" w:rsidRPr="00240EF9">
        <w:rPr>
          <w:rFonts w:ascii="Times New Roman" w:hAnsi="Times New Roman"/>
          <w:sz w:val="24"/>
          <w:szCs w:val="24"/>
          <w:lang w:val="es-ES"/>
        </w:rPr>
        <w:t>P</w:t>
      </w:r>
      <w:r w:rsidR="00053CA0" w:rsidRPr="00240EF9">
        <w:rPr>
          <w:rFonts w:ascii="Times New Roman" w:hAnsi="Times New Roman"/>
          <w:sz w:val="24"/>
          <w:szCs w:val="24"/>
          <w:lang w:val="es-ES"/>
        </w:rPr>
        <w:t>ara el año 2018, el FMI pronostica un aumento del volumen del comercio global de bienes y servicios, sin embargo,</w:t>
      </w:r>
      <w:r w:rsidRPr="00240EF9">
        <w:rPr>
          <w:rFonts w:ascii="Times New Roman" w:hAnsi="Times New Roman"/>
          <w:sz w:val="24"/>
          <w:szCs w:val="24"/>
          <w:lang w:val="es-ES"/>
        </w:rPr>
        <w:t xml:space="preserve"> </w:t>
      </w:r>
      <w:r w:rsidR="00053CA0" w:rsidRPr="00240EF9">
        <w:rPr>
          <w:rFonts w:ascii="Times New Roman" w:hAnsi="Times New Roman"/>
          <w:sz w:val="24"/>
          <w:szCs w:val="24"/>
          <w:lang w:val="es-ES"/>
        </w:rPr>
        <w:t>dicho crecimiento es bajo</w:t>
      </w:r>
      <w:r w:rsidR="00771D8F" w:rsidRPr="00240EF9">
        <w:rPr>
          <w:rFonts w:ascii="Times New Roman" w:hAnsi="Times New Roman"/>
          <w:sz w:val="24"/>
          <w:szCs w:val="24"/>
          <w:lang w:val="es-ES"/>
        </w:rPr>
        <w:t xml:space="preserve"> (</w:t>
      </w:r>
      <w:r w:rsidR="00A043DD" w:rsidRPr="00240EF9">
        <w:rPr>
          <w:rFonts w:ascii="Times New Roman" w:hAnsi="Times New Roman"/>
          <w:sz w:val="24"/>
          <w:szCs w:val="24"/>
          <w:lang w:val="es-ES"/>
        </w:rPr>
        <w:t>4</w:t>
      </w:r>
      <w:r w:rsidR="00771D8F" w:rsidRPr="00240EF9">
        <w:rPr>
          <w:rFonts w:ascii="Times New Roman" w:hAnsi="Times New Roman"/>
          <w:sz w:val="24"/>
          <w:szCs w:val="24"/>
          <w:lang w:val="es-ES"/>
        </w:rPr>
        <w:t>.</w:t>
      </w:r>
      <w:r w:rsidR="00B020B6" w:rsidRPr="00240EF9">
        <w:rPr>
          <w:rFonts w:ascii="Times New Roman" w:hAnsi="Times New Roman"/>
          <w:sz w:val="24"/>
          <w:szCs w:val="24"/>
          <w:lang w:val="es-ES"/>
        </w:rPr>
        <w:t>6</w:t>
      </w:r>
      <w:r w:rsidR="003177C4" w:rsidRPr="00240EF9">
        <w:rPr>
          <w:rFonts w:ascii="Times New Roman" w:hAnsi="Times New Roman"/>
          <w:sz w:val="24"/>
          <w:szCs w:val="24"/>
          <w:lang w:val="es-ES"/>
        </w:rPr>
        <w:t>%</w:t>
      </w:r>
      <w:r w:rsidR="00771D8F" w:rsidRPr="00240EF9">
        <w:rPr>
          <w:rFonts w:ascii="Times New Roman" w:hAnsi="Times New Roman"/>
          <w:sz w:val="24"/>
          <w:szCs w:val="24"/>
          <w:lang w:val="es-ES"/>
        </w:rPr>
        <w:t xml:space="preserve"> para 201</w:t>
      </w:r>
      <w:r w:rsidR="00B020B6" w:rsidRPr="00240EF9">
        <w:rPr>
          <w:rFonts w:ascii="Times New Roman" w:hAnsi="Times New Roman"/>
          <w:sz w:val="24"/>
          <w:szCs w:val="24"/>
          <w:lang w:val="es-ES"/>
        </w:rPr>
        <w:t>8</w:t>
      </w:r>
      <w:r w:rsidR="00771D8F" w:rsidRPr="00240EF9">
        <w:rPr>
          <w:rFonts w:ascii="Times New Roman" w:hAnsi="Times New Roman"/>
          <w:sz w:val="24"/>
          <w:szCs w:val="24"/>
          <w:lang w:val="es-ES"/>
        </w:rPr>
        <w:t>) en comparación con el crecimiento promedio anual de 7.1</w:t>
      </w:r>
      <w:r w:rsidR="003177C4" w:rsidRPr="00240EF9">
        <w:rPr>
          <w:rFonts w:ascii="Times New Roman" w:hAnsi="Times New Roman"/>
          <w:sz w:val="24"/>
          <w:szCs w:val="24"/>
          <w:lang w:val="es-ES"/>
        </w:rPr>
        <w:t>%</w:t>
      </w:r>
      <w:r w:rsidR="00771D8F" w:rsidRPr="00240EF9">
        <w:rPr>
          <w:rFonts w:ascii="Times New Roman" w:hAnsi="Times New Roman"/>
          <w:sz w:val="24"/>
          <w:szCs w:val="24"/>
          <w:lang w:val="es-ES"/>
        </w:rPr>
        <w:t xml:space="preserve"> observado </w:t>
      </w:r>
      <w:r w:rsidR="003177C4" w:rsidRPr="00240EF9">
        <w:rPr>
          <w:rFonts w:ascii="Times New Roman" w:hAnsi="Times New Roman"/>
          <w:sz w:val="24"/>
          <w:szCs w:val="24"/>
          <w:lang w:val="es-ES"/>
        </w:rPr>
        <w:t>para</w:t>
      </w:r>
      <w:r w:rsidR="00771D8F" w:rsidRPr="00240EF9">
        <w:rPr>
          <w:rFonts w:ascii="Times New Roman" w:hAnsi="Times New Roman"/>
          <w:sz w:val="24"/>
          <w:szCs w:val="24"/>
          <w:lang w:val="es-ES"/>
        </w:rPr>
        <w:t xml:space="preserve"> los años 1999-2006 anteriores a la crisis</w:t>
      </w:r>
      <w:r w:rsidR="00D405E9" w:rsidRPr="00240EF9">
        <w:rPr>
          <w:rFonts w:ascii="Times New Roman" w:hAnsi="Times New Roman"/>
          <w:sz w:val="24"/>
          <w:szCs w:val="24"/>
          <w:lang w:val="es-ES"/>
        </w:rPr>
        <w:t>,</w:t>
      </w:r>
      <w:r w:rsidR="00053CA0" w:rsidRPr="00240EF9">
        <w:rPr>
          <w:rFonts w:ascii="Times New Roman" w:hAnsi="Times New Roman"/>
          <w:sz w:val="24"/>
          <w:szCs w:val="24"/>
          <w:lang w:val="es-ES"/>
        </w:rPr>
        <w:t xml:space="preserve"> y sujeto a importantes incertidumbres relacionadas al posible aumento de las restricciones de la política comercial y global </w:t>
      </w:r>
      <w:r w:rsidR="006F1B82" w:rsidRPr="00240EF9">
        <w:rPr>
          <w:rFonts w:ascii="Times New Roman" w:hAnsi="Times New Roman"/>
          <w:sz w:val="24"/>
          <w:szCs w:val="24"/>
          <w:lang w:val="es-ES"/>
        </w:rPr>
        <w:t xml:space="preserve">establecidas por </w:t>
      </w:r>
      <w:r w:rsidR="008E5414" w:rsidRPr="00240EF9">
        <w:rPr>
          <w:rFonts w:ascii="Times New Roman" w:hAnsi="Times New Roman"/>
          <w:sz w:val="24"/>
          <w:szCs w:val="24"/>
          <w:lang w:val="es-ES"/>
        </w:rPr>
        <w:t xml:space="preserve">parte de </w:t>
      </w:r>
      <w:r w:rsidR="006F1B82" w:rsidRPr="00240EF9">
        <w:rPr>
          <w:rFonts w:ascii="Times New Roman" w:hAnsi="Times New Roman"/>
          <w:sz w:val="24"/>
          <w:szCs w:val="24"/>
          <w:lang w:val="es-ES"/>
        </w:rPr>
        <w:t>las</w:t>
      </w:r>
      <w:r w:rsidR="00053CA0" w:rsidRPr="00240EF9">
        <w:rPr>
          <w:rFonts w:ascii="Times New Roman" w:hAnsi="Times New Roman"/>
          <w:sz w:val="24"/>
          <w:szCs w:val="24"/>
          <w:lang w:val="es-ES"/>
        </w:rPr>
        <w:t xml:space="preserve"> economías avanzadas</w:t>
      </w:r>
      <w:r w:rsidR="001A1001" w:rsidRPr="00240EF9">
        <w:rPr>
          <w:rFonts w:ascii="Times New Roman" w:hAnsi="Times New Roman"/>
          <w:sz w:val="24"/>
          <w:szCs w:val="24"/>
          <w:lang w:val="es-ES"/>
        </w:rPr>
        <w:t>,</w:t>
      </w:r>
      <w:r w:rsidR="00053CA0" w:rsidRPr="00240EF9">
        <w:rPr>
          <w:rFonts w:ascii="Times New Roman" w:hAnsi="Times New Roman"/>
          <w:sz w:val="24"/>
          <w:szCs w:val="24"/>
          <w:lang w:val="es-ES"/>
        </w:rPr>
        <w:t xml:space="preserve"> </w:t>
      </w:r>
      <w:r w:rsidR="00BA3914" w:rsidRPr="00240EF9">
        <w:rPr>
          <w:rFonts w:ascii="Times New Roman" w:hAnsi="Times New Roman"/>
          <w:sz w:val="24"/>
          <w:szCs w:val="24"/>
          <w:lang w:val="es-ES"/>
        </w:rPr>
        <w:t>lo que podría afectar</w:t>
      </w:r>
      <w:r w:rsidR="00053CA0" w:rsidRPr="00240EF9">
        <w:rPr>
          <w:rFonts w:ascii="Times New Roman" w:hAnsi="Times New Roman"/>
          <w:sz w:val="24"/>
          <w:szCs w:val="24"/>
          <w:lang w:val="es-ES"/>
        </w:rPr>
        <w:t xml:space="preserve"> principalmente al comercio</w:t>
      </w:r>
      <w:r w:rsidR="00F412E8">
        <w:rPr>
          <w:rFonts w:ascii="Times New Roman" w:hAnsi="Times New Roman"/>
          <w:sz w:val="24"/>
          <w:szCs w:val="24"/>
          <w:lang w:val="es-ES"/>
        </w:rPr>
        <w:t xml:space="preserve"> internacional en el que Panamá juega un papel clave como </w:t>
      </w:r>
      <w:r w:rsidR="00F412E8" w:rsidRPr="00007B13">
        <w:rPr>
          <w:rFonts w:ascii="Times New Roman" w:hAnsi="Times New Roman"/>
          <w:i/>
          <w:sz w:val="24"/>
          <w:szCs w:val="24"/>
          <w:lang w:val="es-ES"/>
        </w:rPr>
        <w:t>hub logístico</w:t>
      </w:r>
      <w:r w:rsidR="00F412E8">
        <w:rPr>
          <w:rFonts w:ascii="Times New Roman" w:hAnsi="Times New Roman"/>
          <w:sz w:val="24"/>
          <w:szCs w:val="24"/>
          <w:lang w:val="es-ES"/>
        </w:rPr>
        <w:t>,</w:t>
      </w:r>
      <w:r w:rsidR="00053CA0" w:rsidRPr="00240EF9">
        <w:rPr>
          <w:rFonts w:ascii="Times New Roman" w:hAnsi="Times New Roman"/>
          <w:sz w:val="24"/>
          <w:szCs w:val="24"/>
          <w:lang w:val="es-ES"/>
        </w:rPr>
        <w:t xml:space="preserve"> y a los flujos migratorios mundiales. </w:t>
      </w:r>
    </w:p>
    <w:p w14:paraId="49160DC4" w14:textId="77777777" w:rsidR="00240EF9" w:rsidRDefault="00240EF9" w:rsidP="00240EF9">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289EAE35" w14:textId="6E1AE42E" w:rsidR="00240EF9" w:rsidRPr="00240EF9" w:rsidRDefault="00240EF9" w:rsidP="00240EF9">
      <w:pPr>
        <w:tabs>
          <w:tab w:val="left" w:pos="270"/>
          <w:tab w:val="left" w:pos="360"/>
          <w:tab w:val="left" w:pos="450"/>
          <w:tab w:val="left" w:pos="2085"/>
        </w:tabs>
        <w:spacing w:after="0" w:line="240" w:lineRule="auto"/>
        <w:jc w:val="both"/>
        <w:rPr>
          <w:rFonts w:ascii="Times New Roman" w:hAnsi="Times New Roman"/>
          <w:b/>
          <w:sz w:val="24"/>
          <w:szCs w:val="24"/>
          <w:u w:val="single"/>
          <w:lang w:val="es-ES"/>
        </w:rPr>
      </w:pPr>
      <w:r w:rsidRPr="00240EF9">
        <w:rPr>
          <w:rFonts w:ascii="Times New Roman" w:hAnsi="Times New Roman"/>
          <w:b/>
          <w:sz w:val="24"/>
          <w:szCs w:val="24"/>
          <w:u w:val="single"/>
          <w:lang w:val="es-ES"/>
        </w:rPr>
        <w:t>Contexto Regional</w:t>
      </w:r>
    </w:p>
    <w:p w14:paraId="47104366" w14:textId="77777777" w:rsidR="00240EF9" w:rsidRPr="00240EF9" w:rsidRDefault="00240EF9" w:rsidP="00240EF9">
      <w:pPr>
        <w:pStyle w:val="ListParagraph"/>
        <w:rPr>
          <w:rFonts w:ascii="Times New Roman" w:hAnsi="Times New Roman"/>
          <w:b/>
          <w:sz w:val="24"/>
          <w:szCs w:val="24"/>
          <w:u w:val="single"/>
          <w:lang w:val="es-ES"/>
        </w:rPr>
      </w:pPr>
    </w:p>
    <w:p w14:paraId="6EF21BA2" w14:textId="0DD46066" w:rsidR="002C2FD5" w:rsidRPr="002C2FD5" w:rsidRDefault="00836AAC"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2C2FD5">
        <w:rPr>
          <w:rFonts w:ascii="Times New Roman" w:hAnsi="Times New Roman"/>
          <w:sz w:val="24"/>
          <w:szCs w:val="24"/>
          <w:lang w:val="es-ES"/>
        </w:rPr>
        <w:t xml:space="preserve">En el contexto internacional actual de bajo crecimiento económico global, el estado de la integración económica regional de los países de América Latina y el Caribe cobra vital importancia. </w:t>
      </w:r>
      <w:r w:rsidR="002C2FD5">
        <w:rPr>
          <w:rFonts w:ascii="Times New Roman" w:hAnsi="Times New Roman"/>
          <w:sz w:val="24"/>
          <w:szCs w:val="24"/>
          <w:lang w:val="es-ES"/>
        </w:rPr>
        <w:t>Lo anterior, fue empíricamente demostrado</w:t>
      </w:r>
      <w:r w:rsidR="002C2FD5" w:rsidRPr="00240EF9">
        <w:rPr>
          <w:rFonts w:ascii="Times New Roman" w:hAnsi="Times New Roman"/>
          <w:sz w:val="24"/>
          <w:szCs w:val="24"/>
          <w:lang w:val="es-ES"/>
        </w:rPr>
        <w:t xml:space="preserve">, </w:t>
      </w:r>
      <w:r w:rsidR="001F0F01">
        <w:rPr>
          <w:rFonts w:ascii="Times New Roman" w:hAnsi="Times New Roman"/>
          <w:sz w:val="24"/>
          <w:szCs w:val="24"/>
          <w:lang w:val="es-ES"/>
        </w:rPr>
        <w:t>e</w:t>
      </w:r>
      <w:r w:rsidR="001F0F01" w:rsidRPr="002C2FD5">
        <w:rPr>
          <w:rFonts w:ascii="Times New Roman" w:hAnsi="Times New Roman"/>
          <w:sz w:val="24"/>
          <w:szCs w:val="24"/>
          <w:lang w:val="es-ES"/>
        </w:rPr>
        <w:t xml:space="preserve">n el Informe macroeconómico </w:t>
      </w:r>
      <w:r w:rsidR="001F0F01">
        <w:rPr>
          <w:rFonts w:ascii="Times New Roman" w:hAnsi="Times New Roman"/>
          <w:sz w:val="24"/>
          <w:szCs w:val="24"/>
          <w:lang w:val="es-ES"/>
        </w:rPr>
        <w:t xml:space="preserve">del BID </w:t>
      </w:r>
      <w:r w:rsidR="001F0F01" w:rsidRPr="002C2FD5">
        <w:rPr>
          <w:rFonts w:ascii="Times New Roman" w:hAnsi="Times New Roman"/>
          <w:sz w:val="24"/>
          <w:szCs w:val="24"/>
          <w:lang w:val="es-ES"/>
        </w:rPr>
        <w:t xml:space="preserve">del año pasado, </w:t>
      </w:r>
      <w:r w:rsidR="001F0F01">
        <w:rPr>
          <w:rFonts w:ascii="Times New Roman" w:hAnsi="Times New Roman"/>
          <w:sz w:val="24"/>
          <w:szCs w:val="24"/>
          <w:lang w:val="es-ES"/>
        </w:rPr>
        <w:t xml:space="preserve">en el cual, </w:t>
      </w:r>
      <w:r w:rsidR="002C2FD5" w:rsidRPr="00240EF9">
        <w:rPr>
          <w:rFonts w:ascii="Times New Roman" w:hAnsi="Times New Roman"/>
          <w:sz w:val="24"/>
          <w:szCs w:val="24"/>
          <w:lang w:val="es-ES"/>
        </w:rPr>
        <w:t xml:space="preserve">basándose en el análisis de los shocks externos relacionados a los fenómenos que afectan el flujo de recursos de las economías (como los precios internacionales de las materias primas, la demanda mundial de bienes y servicios y la tasa de interés de EEUU), la situación interna de los países de América Latina y el avance en el desarrollo de los mercados regionales, </w:t>
      </w:r>
      <w:r w:rsidR="001F0F01">
        <w:rPr>
          <w:rFonts w:ascii="Times New Roman" w:hAnsi="Times New Roman"/>
          <w:sz w:val="24"/>
          <w:szCs w:val="24"/>
          <w:lang w:val="es-ES"/>
        </w:rPr>
        <w:t>se concluye que</w:t>
      </w:r>
      <w:r w:rsidR="002C2FD5" w:rsidRPr="00240EF9">
        <w:rPr>
          <w:rFonts w:ascii="Times New Roman" w:hAnsi="Times New Roman"/>
          <w:sz w:val="24"/>
          <w:szCs w:val="24"/>
          <w:lang w:val="es-ES"/>
        </w:rPr>
        <w:t xml:space="preserve"> independientemente del escenario comercial predominante, la región sólo puede ganar con un mercado interno más fuerte, más eficiente y plenamente integrado.</w:t>
      </w:r>
    </w:p>
    <w:p w14:paraId="7E1E94EE" w14:textId="77777777" w:rsidR="002C2FD5" w:rsidRDefault="002C2FD5" w:rsidP="002C2FD5">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77648878" w14:textId="4B09C69A" w:rsidR="00770A57" w:rsidRPr="000A2292" w:rsidRDefault="009E2F30" w:rsidP="009E21C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Pr>
          <w:rFonts w:ascii="Times New Roman" w:hAnsi="Times New Roman"/>
          <w:sz w:val="24"/>
          <w:szCs w:val="24"/>
          <w:lang w:val="es-ES"/>
        </w:rPr>
        <w:t>En el ámbito regional, e</w:t>
      </w:r>
      <w:r w:rsidR="00812016" w:rsidRPr="000A2292">
        <w:rPr>
          <w:rFonts w:ascii="Times New Roman" w:hAnsi="Times New Roman"/>
          <w:sz w:val="24"/>
          <w:szCs w:val="24"/>
          <w:lang w:val="es-ES"/>
        </w:rPr>
        <w:t>l crecimiento promedio del PIB real de Panamá ha sido de los más altos de Centroamérica, por el orden de 7.4</w:t>
      </w:r>
      <w:r w:rsidR="00F577E9" w:rsidRPr="000A2292">
        <w:rPr>
          <w:rFonts w:ascii="Times New Roman" w:hAnsi="Times New Roman"/>
          <w:sz w:val="24"/>
          <w:szCs w:val="24"/>
          <w:lang w:val="es-ES"/>
        </w:rPr>
        <w:t>%</w:t>
      </w:r>
      <w:r w:rsidR="007638B9" w:rsidRPr="000A2292">
        <w:rPr>
          <w:rFonts w:ascii="Times New Roman" w:hAnsi="Times New Roman"/>
          <w:sz w:val="24"/>
          <w:szCs w:val="24"/>
          <w:lang w:val="es-ES"/>
        </w:rPr>
        <w:t xml:space="preserve"> para los últimos diez años</w:t>
      </w:r>
      <w:r w:rsidR="00B22882">
        <w:rPr>
          <w:rFonts w:ascii="Times New Roman" w:hAnsi="Times New Roman"/>
          <w:sz w:val="24"/>
          <w:szCs w:val="24"/>
          <w:lang w:val="es-ES"/>
        </w:rPr>
        <w:t xml:space="preserve"> (Ver figura No. </w:t>
      </w:r>
      <w:r w:rsidR="00F83464">
        <w:rPr>
          <w:rFonts w:ascii="Times New Roman" w:hAnsi="Times New Roman"/>
          <w:sz w:val="24"/>
          <w:szCs w:val="24"/>
          <w:lang w:val="es-ES"/>
        </w:rPr>
        <w:t>1</w:t>
      </w:r>
      <w:r w:rsidR="00F444B7">
        <w:rPr>
          <w:rFonts w:ascii="Times New Roman" w:hAnsi="Times New Roman"/>
          <w:sz w:val="24"/>
          <w:szCs w:val="24"/>
          <w:lang w:val="es-ES"/>
        </w:rPr>
        <w:t>)</w:t>
      </w:r>
      <w:r w:rsidR="00812016" w:rsidRPr="000A2292">
        <w:rPr>
          <w:rFonts w:ascii="Times New Roman" w:hAnsi="Times New Roman"/>
          <w:sz w:val="24"/>
          <w:szCs w:val="24"/>
          <w:lang w:val="es-ES"/>
        </w:rPr>
        <w:t xml:space="preserve">. </w:t>
      </w:r>
      <w:r w:rsidR="00EA3AF1" w:rsidRPr="000A2292">
        <w:rPr>
          <w:rFonts w:ascii="Times New Roman" w:hAnsi="Times New Roman"/>
          <w:sz w:val="24"/>
          <w:szCs w:val="24"/>
          <w:lang w:val="es-ES"/>
        </w:rPr>
        <w:t xml:space="preserve">Igualmente, </w:t>
      </w:r>
      <w:r w:rsidRPr="000A2292">
        <w:rPr>
          <w:rFonts w:ascii="Times New Roman" w:hAnsi="Times New Roman"/>
          <w:sz w:val="24"/>
          <w:szCs w:val="24"/>
          <w:lang w:val="es-ES"/>
        </w:rPr>
        <w:t>para el año 2016</w:t>
      </w:r>
      <w:r>
        <w:rPr>
          <w:rFonts w:ascii="Times New Roman" w:hAnsi="Times New Roman"/>
          <w:sz w:val="24"/>
          <w:szCs w:val="24"/>
          <w:lang w:val="es-ES"/>
        </w:rPr>
        <w:t xml:space="preserve"> </w:t>
      </w:r>
      <w:r w:rsidR="00EA3AF1" w:rsidRPr="000A2292">
        <w:rPr>
          <w:rFonts w:ascii="Times New Roman" w:hAnsi="Times New Roman"/>
          <w:sz w:val="24"/>
          <w:szCs w:val="24"/>
          <w:lang w:val="es-ES"/>
        </w:rPr>
        <w:t>l</w:t>
      </w:r>
      <w:r w:rsidR="00880836" w:rsidRPr="000A2292">
        <w:rPr>
          <w:rFonts w:ascii="Times New Roman" w:hAnsi="Times New Roman"/>
          <w:sz w:val="24"/>
          <w:szCs w:val="24"/>
          <w:lang w:val="es-ES"/>
        </w:rPr>
        <w:t xml:space="preserve">a economía de Panamá representó el </w:t>
      </w:r>
      <w:r w:rsidR="00203C7B" w:rsidRPr="000A2292">
        <w:rPr>
          <w:rFonts w:ascii="Times New Roman" w:hAnsi="Times New Roman"/>
          <w:sz w:val="24"/>
          <w:szCs w:val="24"/>
          <w:lang w:val="es-ES"/>
        </w:rPr>
        <w:t xml:space="preserve">22.7% del Producto Interno Bruto total de Centroamérica, </w:t>
      </w:r>
      <w:r w:rsidR="00F577E9" w:rsidRPr="000A2292">
        <w:rPr>
          <w:rFonts w:ascii="Times New Roman" w:hAnsi="Times New Roman"/>
          <w:sz w:val="24"/>
          <w:szCs w:val="24"/>
          <w:lang w:val="es-ES"/>
        </w:rPr>
        <w:t>por debajo</w:t>
      </w:r>
      <w:r w:rsidR="00203C7B" w:rsidRPr="000A2292">
        <w:rPr>
          <w:rFonts w:ascii="Times New Roman" w:hAnsi="Times New Roman"/>
          <w:sz w:val="24"/>
          <w:szCs w:val="24"/>
          <w:lang w:val="es-ES"/>
        </w:rPr>
        <w:t xml:space="preserve"> únicamente </w:t>
      </w:r>
      <w:r w:rsidR="00F577E9" w:rsidRPr="000A2292">
        <w:rPr>
          <w:rFonts w:ascii="Times New Roman" w:hAnsi="Times New Roman"/>
          <w:sz w:val="24"/>
          <w:szCs w:val="24"/>
          <w:lang w:val="es-ES"/>
        </w:rPr>
        <w:t>de</w:t>
      </w:r>
      <w:r w:rsidR="00203C7B" w:rsidRPr="000A2292">
        <w:rPr>
          <w:rFonts w:ascii="Times New Roman" w:hAnsi="Times New Roman"/>
          <w:sz w:val="24"/>
          <w:szCs w:val="24"/>
          <w:lang w:val="es-ES"/>
        </w:rPr>
        <w:t xml:space="preserve"> Costa Rica (23.5%) y Guatemala (28.2%). </w:t>
      </w:r>
      <w:r w:rsidR="00A92DF0" w:rsidRPr="000A2292">
        <w:rPr>
          <w:rFonts w:ascii="Times New Roman" w:hAnsi="Times New Roman"/>
          <w:sz w:val="24"/>
          <w:szCs w:val="24"/>
          <w:lang w:val="es-ES"/>
        </w:rPr>
        <w:t xml:space="preserve">Para este mismo año, el índice de apertura comercial </w:t>
      </w:r>
      <w:r w:rsidR="00F92174">
        <w:rPr>
          <w:rFonts w:ascii="Times New Roman" w:hAnsi="Times New Roman"/>
          <w:sz w:val="24"/>
          <w:szCs w:val="24"/>
          <w:lang w:val="es-ES"/>
        </w:rPr>
        <w:t xml:space="preserve">de Panamá </w:t>
      </w:r>
      <w:r w:rsidR="00A92DF0" w:rsidRPr="000A2292">
        <w:rPr>
          <w:rFonts w:ascii="Times New Roman" w:hAnsi="Times New Roman"/>
          <w:sz w:val="24"/>
          <w:szCs w:val="24"/>
          <w:lang w:val="es-ES"/>
        </w:rPr>
        <w:t xml:space="preserve">medido por la ratio </w:t>
      </w:r>
      <w:r w:rsidR="00F577E9" w:rsidRPr="000A2292">
        <w:rPr>
          <w:rFonts w:ascii="Times New Roman" w:hAnsi="Times New Roman"/>
          <w:sz w:val="24"/>
          <w:szCs w:val="24"/>
          <w:lang w:val="es-ES"/>
        </w:rPr>
        <w:t>C</w:t>
      </w:r>
      <w:r w:rsidR="00A92DF0" w:rsidRPr="000A2292">
        <w:rPr>
          <w:rFonts w:ascii="Times New Roman" w:hAnsi="Times New Roman"/>
          <w:sz w:val="24"/>
          <w:szCs w:val="24"/>
          <w:lang w:val="es-ES"/>
        </w:rPr>
        <w:t xml:space="preserve">omercio </w:t>
      </w:r>
      <w:r w:rsidR="00F577E9" w:rsidRPr="000A2292">
        <w:rPr>
          <w:rFonts w:ascii="Times New Roman" w:hAnsi="Times New Roman"/>
          <w:sz w:val="24"/>
          <w:szCs w:val="24"/>
          <w:lang w:val="es-ES"/>
        </w:rPr>
        <w:t>T</w:t>
      </w:r>
      <w:r w:rsidR="00A92DF0" w:rsidRPr="000A2292">
        <w:rPr>
          <w:rFonts w:ascii="Times New Roman" w:hAnsi="Times New Roman"/>
          <w:sz w:val="24"/>
          <w:szCs w:val="24"/>
          <w:lang w:val="es-ES"/>
        </w:rPr>
        <w:t>otal/PIB</w:t>
      </w:r>
      <w:r w:rsidR="00A92DF0">
        <w:rPr>
          <w:rStyle w:val="FootnoteReference"/>
          <w:szCs w:val="24"/>
          <w:lang w:val="es-ES"/>
        </w:rPr>
        <w:footnoteReference w:id="6"/>
      </w:r>
      <w:r w:rsidR="00A92DF0" w:rsidRPr="000A2292">
        <w:rPr>
          <w:rFonts w:ascii="Times New Roman" w:hAnsi="Times New Roman"/>
          <w:sz w:val="24"/>
          <w:szCs w:val="24"/>
          <w:lang w:val="es-ES"/>
        </w:rPr>
        <w:t xml:space="preserve"> fue de </w:t>
      </w:r>
      <w:r w:rsidR="00770A57" w:rsidRPr="000A2292">
        <w:rPr>
          <w:rFonts w:ascii="Times New Roman" w:hAnsi="Times New Roman"/>
          <w:sz w:val="24"/>
          <w:szCs w:val="24"/>
          <w:lang w:val="es-ES"/>
        </w:rPr>
        <w:t>22%</w:t>
      </w:r>
      <w:r w:rsidR="00150A66">
        <w:rPr>
          <w:rFonts w:ascii="Times New Roman" w:hAnsi="Times New Roman"/>
          <w:sz w:val="24"/>
          <w:szCs w:val="24"/>
          <w:lang w:val="es-ES"/>
        </w:rPr>
        <w:t xml:space="preserve"> (Ver Figura No. 2)</w:t>
      </w:r>
      <w:r w:rsidR="00770A57" w:rsidRPr="000A2292">
        <w:rPr>
          <w:rFonts w:ascii="Times New Roman" w:hAnsi="Times New Roman"/>
          <w:sz w:val="24"/>
          <w:szCs w:val="24"/>
          <w:lang w:val="es-ES"/>
        </w:rPr>
        <w:t xml:space="preserve">, </w:t>
      </w:r>
      <w:r>
        <w:rPr>
          <w:rFonts w:ascii="Times New Roman" w:hAnsi="Times New Roman"/>
          <w:sz w:val="24"/>
          <w:szCs w:val="24"/>
          <w:lang w:val="es-ES"/>
        </w:rPr>
        <w:t xml:space="preserve">lo cual indica un grado de apertura comercial </w:t>
      </w:r>
      <w:r w:rsidR="00770A57" w:rsidRPr="000A2292">
        <w:rPr>
          <w:rFonts w:ascii="Times New Roman" w:hAnsi="Times New Roman"/>
          <w:sz w:val="24"/>
          <w:szCs w:val="24"/>
          <w:lang w:val="es-ES"/>
        </w:rPr>
        <w:t>relativamente baj</w:t>
      </w:r>
      <w:r>
        <w:rPr>
          <w:rFonts w:ascii="Times New Roman" w:hAnsi="Times New Roman"/>
          <w:sz w:val="24"/>
          <w:szCs w:val="24"/>
          <w:lang w:val="es-ES"/>
        </w:rPr>
        <w:t>a</w:t>
      </w:r>
      <w:r w:rsidR="00770A57" w:rsidRPr="000A2292">
        <w:rPr>
          <w:rFonts w:ascii="Times New Roman" w:hAnsi="Times New Roman"/>
          <w:sz w:val="24"/>
          <w:szCs w:val="24"/>
          <w:lang w:val="es-ES"/>
        </w:rPr>
        <w:t xml:space="preserve"> en comparación con </w:t>
      </w:r>
      <w:r>
        <w:rPr>
          <w:rFonts w:ascii="Times New Roman" w:hAnsi="Times New Roman"/>
          <w:sz w:val="24"/>
          <w:szCs w:val="24"/>
          <w:lang w:val="es-ES"/>
        </w:rPr>
        <w:t>lo</w:t>
      </w:r>
      <w:r w:rsidR="00770A57" w:rsidRPr="000A2292">
        <w:rPr>
          <w:rFonts w:ascii="Times New Roman" w:hAnsi="Times New Roman"/>
          <w:sz w:val="24"/>
          <w:szCs w:val="24"/>
          <w:lang w:val="es-ES"/>
        </w:rPr>
        <w:t xml:space="preserve"> que se observa para el resto de los países de Centroamérica. Lo anterior, permite establecer que el comercio externo</w:t>
      </w:r>
      <w:r w:rsidR="00150A66">
        <w:rPr>
          <w:rFonts w:ascii="Times New Roman" w:hAnsi="Times New Roman"/>
          <w:sz w:val="24"/>
          <w:szCs w:val="24"/>
          <w:lang w:val="es-ES"/>
        </w:rPr>
        <w:t xml:space="preserve"> de bienes</w:t>
      </w:r>
      <w:r w:rsidR="00770A57" w:rsidRPr="000A2292">
        <w:rPr>
          <w:rFonts w:ascii="Times New Roman" w:hAnsi="Times New Roman"/>
          <w:sz w:val="24"/>
          <w:szCs w:val="24"/>
          <w:lang w:val="es-ES"/>
        </w:rPr>
        <w:t xml:space="preserve"> </w:t>
      </w:r>
      <w:r w:rsidR="000A2292">
        <w:rPr>
          <w:rFonts w:ascii="Times New Roman" w:hAnsi="Times New Roman"/>
          <w:sz w:val="24"/>
          <w:szCs w:val="24"/>
          <w:lang w:val="es-ES"/>
        </w:rPr>
        <w:t>(exportaciones e importaciones)</w:t>
      </w:r>
      <w:r w:rsidR="000A2292" w:rsidRPr="000A2292">
        <w:rPr>
          <w:rFonts w:ascii="Times New Roman" w:hAnsi="Times New Roman"/>
          <w:sz w:val="24"/>
          <w:szCs w:val="24"/>
          <w:lang w:val="es-ES"/>
        </w:rPr>
        <w:t xml:space="preserve">, </w:t>
      </w:r>
      <w:r w:rsidR="00150A66">
        <w:rPr>
          <w:rFonts w:ascii="Times New Roman" w:hAnsi="Times New Roman"/>
          <w:sz w:val="24"/>
          <w:szCs w:val="24"/>
          <w:lang w:val="es-ES"/>
        </w:rPr>
        <w:t>no tienen tanto peso económico</w:t>
      </w:r>
      <w:r w:rsidR="000A2292" w:rsidRPr="000A2292">
        <w:rPr>
          <w:rFonts w:ascii="Times New Roman" w:hAnsi="Times New Roman"/>
          <w:sz w:val="24"/>
          <w:szCs w:val="24"/>
          <w:lang w:val="es-ES"/>
        </w:rPr>
        <w:t xml:space="preserve"> otros sectores relacionados a los servicios</w:t>
      </w:r>
      <w:r w:rsidR="000A2292">
        <w:rPr>
          <w:rStyle w:val="FootnoteReference"/>
          <w:szCs w:val="24"/>
          <w:lang w:val="es-ES"/>
        </w:rPr>
        <w:footnoteReference w:id="7"/>
      </w:r>
      <w:r w:rsidR="000A2292" w:rsidRPr="000A2292">
        <w:rPr>
          <w:rFonts w:ascii="Times New Roman" w:hAnsi="Times New Roman"/>
          <w:sz w:val="24"/>
          <w:szCs w:val="24"/>
          <w:lang w:val="es-ES"/>
        </w:rPr>
        <w:t xml:space="preserve">. </w:t>
      </w:r>
    </w:p>
    <w:p w14:paraId="7B2EB024" w14:textId="492844A5" w:rsidR="00C72A13" w:rsidRDefault="00C72A13" w:rsidP="006E4FEA">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28DE599D" w14:textId="47C8129B" w:rsidR="00C72A13" w:rsidRPr="00BC4A3E" w:rsidRDefault="00C72A13" w:rsidP="00C72A13">
      <w:pPr>
        <w:tabs>
          <w:tab w:val="left" w:pos="270"/>
          <w:tab w:val="left" w:pos="360"/>
          <w:tab w:val="left" w:pos="450"/>
          <w:tab w:val="left" w:pos="2085"/>
        </w:tabs>
        <w:spacing w:after="0" w:line="240" w:lineRule="auto"/>
        <w:jc w:val="center"/>
        <w:rPr>
          <w:rFonts w:ascii="Times New Roman" w:hAnsi="Times New Roman"/>
          <w:b/>
          <w:color w:val="3B3838" w:themeColor="background2" w:themeShade="40"/>
          <w:sz w:val="24"/>
          <w:szCs w:val="24"/>
          <w:lang w:val="es-ES_tradnl"/>
        </w:rPr>
      </w:pPr>
      <w:r w:rsidRPr="00BC4A3E">
        <w:rPr>
          <w:rFonts w:ascii="Times New Roman" w:hAnsi="Times New Roman"/>
          <w:b/>
          <w:color w:val="3B3838" w:themeColor="background2" w:themeShade="40"/>
          <w:sz w:val="24"/>
          <w:szCs w:val="24"/>
          <w:lang w:val="es-ES_tradnl"/>
        </w:rPr>
        <w:t xml:space="preserve">Figura No. </w:t>
      </w:r>
      <w:r w:rsidR="00150A66">
        <w:rPr>
          <w:rFonts w:ascii="Times New Roman" w:hAnsi="Times New Roman"/>
          <w:b/>
          <w:color w:val="3B3838" w:themeColor="background2" w:themeShade="40"/>
          <w:sz w:val="24"/>
          <w:szCs w:val="24"/>
          <w:lang w:val="es-ES_tradnl"/>
        </w:rPr>
        <w:t>1</w:t>
      </w:r>
      <w:r w:rsidRPr="00BC4A3E">
        <w:rPr>
          <w:rFonts w:ascii="Times New Roman" w:hAnsi="Times New Roman"/>
          <w:b/>
          <w:color w:val="3B3838" w:themeColor="background2" w:themeShade="40"/>
          <w:sz w:val="24"/>
          <w:szCs w:val="24"/>
          <w:lang w:val="es-ES_tradnl"/>
        </w:rPr>
        <w:t xml:space="preserve"> Producto Interno Bruto a precios constantes – Panamá</w:t>
      </w:r>
    </w:p>
    <w:p w14:paraId="392281B2" w14:textId="77777777" w:rsidR="00C72A13" w:rsidRDefault="00C72A13" w:rsidP="00C72A13">
      <w:pPr>
        <w:tabs>
          <w:tab w:val="left" w:pos="270"/>
          <w:tab w:val="left" w:pos="360"/>
          <w:tab w:val="left" w:pos="450"/>
          <w:tab w:val="left" w:pos="2085"/>
        </w:tabs>
        <w:spacing w:after="0" w:line="240" w:lineRule="auto"/>
        <w:jc w:val="center"/>
        <w:rPr>
          <w:rFonts w:ascii="Times New Roman" w:hAnsi="Times New Roman"/>
          <w:sz w:val="24"/>
          <w:szCs w:val="24"/>
          <w:lang w:val="es-ES"/>
        </w:rPr>
      </w:pPr>
    </w:p>
    <w:p w14:paraId="0A83B407" w14:textId="7CF109B7" w:rsidR="00A92DF0" w:rsidRDefault="00A92DF0" w:rsidP="00116B3B">
      <w:pPr>
        <w:tabs>
          <w:tab w:val="left" w:pos="270"/>
          <w:tab w:val="left" w:pos="360"/>
          <w:tab w:val="left" w:pos="450"/>
          <w:tab w:val="left" w:pos="2085"/>
        </w:tabs>
        <w:spacing w:after="0" w:line="240" w:lineRule="auto"/>
        <w:jc w:val="center"/>
        <w:rPr>
          <w:rFonts w:ascii="Times New Roman" w:hAnsi="Times New Roman"/>
          <w:sz w:val="24"/>
          <w:szCs w:val="24"/>
          <w:lang w:val="es-ES"/>
        </w:rPr>
      </w:pPr>
      <w:r w:rsidRPr="00116B3B">
        <w:rPr>
          <w:noProof/>
          <w:color w:val="0000FF"/>
        </w:rPr>
        <w:drawing>
          <wp:inline distT="0" distB="0" distL="0" distR="0" wp14:anchorId="6382BFCD" wp14:editId="285EBBAF">
            <wp:extent cx="4164965" cy="1926590"/>
            <wp:effectExtent l="0" t="0" r="6985" b="16510"/>
            <wp:docPr id="5" name="Chart 5">
              <a:extLst xmlns:a="http://schemas.openxmlformats.org/drawingml/2006/main">
                <a:ext uri="{FF2B5EF4-FFF2-40B4-BE49-F238E27FC236}">
                  <a16:creationId xmlns:a16="http://schemas.microsoft.com/office/drawing/2014/main" id="{E2E67D86-597F-4B79-917C-0B1DC689BF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0EB6ED" w14:textId="5A22129C" w:rsidR="00F577E9" w:rsidRPr="00F577E9" w:rsidRDefault="00F577E9" w:rsidP="00116B3B">
      <w:pPr>
        <w:tabs>
          <w:tab w:val="left" w:pos="270"/>
          <w:tab w:val="left" w:pos="360"/>
          <w:tab w:val="left" w:pos="450"/>
          <w:tab w:val="left" w:pos="2085"/>
        </w:tabs>
        <w:spacing w:after="0" w:line="240" w:lineRule="auto"/>
        <w:jc w:val="center"/>
        <w:rPr>
          <w:rFonts w:ascii="Times New Roman" w:hAnsi="Times New Roman"/>
          <w:i/>
          <w:sz w:val="20"/>
          <w:szCs w:val="24"/>
          <w:lang w:val="es-ES"/>
        </w:rPr>
      </w:pPr>
      <w:r w:rsidRPr="007C2677">
        <w:rPr>
          <w:rFonts w:ascii="Times New Roman" w:hAnsi="Times New Roman"/>
          <w:i/>
          <w:sz w:val="18"/>
          <w:szCs w:val="24"/>
          <w:lang w:val="es-ES"/>
        </w:rPr>
        <w:t>Fuente:</w:t>
      </w:r>
      <w:r w:rsidR="009E21C8" w:rsidRPr="007C2677">
        <w:rPr>
          <w:sz w:val="20"/>
          <w:lang w:val="es-ES_tradnl"/>
        </w:rPr>
        <w:t xml:space="preserve"> </w:t>
      </w:r>
      <w:r w:rsidR="009E21C8" w:rsidRPr="007C2677">
        <w:rPr>
          <w:rFonts w:ascii="Times New Roman" w:hAnsi="Times New Roman"/>
          <w:i/>
          <w:sz w:val="18"/>
          <w:szCs w:val="24"/>
          <w:lang w:val="es-ES"/>
        </w:rPr>
        <w:t xml:space="preserve">Instituto </w:t>
      </w:r>
      <w:r w:rsidR="00534D8F">
        <w:rPr>
          <w:rFonts w:ascii="Times New Roman" w:hAnsi="Times New Roman"/>
          <w:i/>
          <w:sz w:val="18"/>
          <w:szCs w:val="24"/>
          <w:lang w:val="es-ES"/>
        </w:rPr>
        <w:t>N</w:t>
      </w:r>
      <w:r w:rsidR="009E21C8" w:rsidRPr="007C2677">
        <w:rPr>
          <w:rFonts w:ascii="Times New Roman" w:hAnsi="Times New Roman"/>
          <w:i/>
          <w:sz w:val="18"/>
          <w:szCs w:val="24"/>
          <w:lang w:val="es-ES"/>
        </w:rPr>
        <w:t xml:space="preserve">acional de </w:t>
      </w:r>
      <w:r w:rsidR="00534D8F">
        <w:rPr>
          <w:rFonts w:ascii="Times New Roman" w:hAnsi="Times New Roman"/>
          <w:i/>
          <w:sz w:val="18"/>
          <w:szCs w:val="24"/>
          <w:lang w:val="es-ES"/>
        </w:rPr>
        <w:t>E</w:t>
      </w:r>
      <w:r w:rsidR="009E21C8" w:rsidRPr="007C2677">
        <w:rPr>
          <w:rFonts w:ascii="Times New Roman" w:hAnsi="Times New Roman"/>
          <w:i/>
          <w:sz w:val="18"/>
          <w:szCs w:val="24"/>
          <w:lang w:val="es-ES"/>
        </w:rPr>
        <w:t xml:space="preserve">stadística y </w:t>
      </w:r>
      <w:r w:rsidR="00534D8F">
        <w:rPr>
          <w:rFonts w:ascii="Times New Roman" w:hAnsi="Times New Roman"/>
          <w:i/>
          <w:sz w:val="18"/>
          <w:szCs w:val="24"/>
          <w:lang w:val="es-ES"/>
        </w:rPr>
        <w:t>C</w:t>
      </w:r>
      <w:r w:rsidR="009E21C8" w:rsidRPr="007C2677">
        <w:rPr>
          <w:rFonts w:ascii="Times New Roman" w:hAnsi="Times New Roman"/>
          <w:i/>
          <w:sz w:val="18"/>
          <w:szCs w:val="24"/>
          <w:lang w:val="es-ES"/>
        </w:rPr>
        <w:t>enso</w:t>
      </w:r>
      <w:r w:rsidR="00260333">
        <w:rPr>
          <w:rFonts w:ascii="Times New Roman" w:hAnsi="Times New Roman"/>
          <w:i/>
          <w:sz w:val="18"/>
          <w:szCs w:val="24"/>
          <w:lang w:val="es-ES"/>
        </w:rPr>
        <w:t xml:space="preserve"> (INEC)</w:t>
      </w:r>
      <w:r w:rsidR="00534D8F">
        <w:rPr>
          <w:rFonts w:ascii="Times New Roman" w:hAnsi="Times New Roman"/>
          <w:i/>
          <w:sz w:val="18"/>
          <w:szCs w:val="24"/>
          <w:lang w:val="es-ES"/>
        </w:rPr>
        <w:t xml:space="preserve"> de Panamá</w:t>
      </w:r>
    </w:p>
    <w:p w14:paraId="6853C250" w14:textId="5110128D" w:rsidR="00BA25DE" w:rsidRDefault="00BA25DE" w:rsidP="00116B3B">
      <w:pPr>
        <w:tabs>
          <w:tab w:val="left" w:pos="270"/>
          <w:tab w:val="left" w:pos="360"/>
          <w:tab w:val="left" w:pos="450"/>
          <w:tab w:val="left" w:pos="2085"/>
        </w:tabs>
        <w:spacing w:after="0" w:line="240" w:lineRule="auto"/>
        <w:jc w:val="center"/>
        <w:rPr>
          <w:rFonts w:ascii="Times New Roman" w:hAnsi="Times New Roman"/>
          <w:sz w:val="24"/>
          <w:szCs w:val="24"/>
          <w:lang w:val="es-ES"/>
        </w:rPr>
      </w:pPr>
    </w:p>
    <w:p w14:paraId="70A47B18" w14:textId="39107C79" w:rsidR="00BA25DE" w:rsidRPr="00BC4A3E" w:rsidRDefault="00C72A13" w:rsidP="00116B3B">
      <w:pPr>
        <w:tabs>
          <w:tab w:val="left" w:pos="270"/>
          <w:tab w:val="left" w:pos="360"/>
          <w:tab w:val="left" w:pos="450"/>
          <w:tab w:val="left" w:pos="2085"/>
        </w:tabs>
        <w:spacing w:after="0" w:line="240" w:lineRule="auto"/>
        <w:jc w:val="center"/>
        <w:rPr>
          <w:rFonts w:ascii="Times New Roman" w:hAnsi="Times New Roman"/>
          <w:b/>
          <w:color w:val="3B3838" w:themeColor="background2" w:themeShade="40"/>
          <w:sz w:val="24"/>
          <w:szCs w:val="24"/>
          <w:lang w:val="es-ES_tradnl"/>
        </w:rPr>
      </w:pPr>
      <w:r w:rsidRPr="00BC4A3E">
        <w:rPr>
          <w:rFonts w:ascii="Times New Roman" w:hAnsi="Times New Roman"/>
          <w:b/>
          <w:color w:val="3B3838" w:themeColor="background2" w:themeShade="40"/>
          <w:sz w:val="24"/>
          <w:szCs w:val="24"/>
          <w:lang w:val="es-ES_tradnl"/>
        </w:rPr>
        <w:t xml:space="preserve">Figura No. </w:t>
      </w:r>
      <w:r w:rsidR="00150A66">
        <w:rPr>
          <w:rFonts w:ascii="Times New Roman" w:hAnsi="Times New Roman"/>
          <w:b/>
          <w:color w:val="3B3838" w:themeColor="background2" w:themeShade="40"/>
          <w:sz w:val="24"/>
          <w:szCs w:val="24"/>
          <w:lang w:val="es-ES_tradnl"/>
        </w:rPr>
        <w:t>2</w:t>
      </w:r>
      <w:r w:rsidRPr="00BC4A3E">
        <w:rPr>
          <w:rFonts w:ascii="Times New Roman" w:hAnsi="Times New Roman"/>
          <w:b/>
          <w:color w:val="3B3838" w:themeColor="background2" w:themeShade="40"/>
          <w:sz w:val="24"/>
          <w:szCs w:val="24"/>
          <w:lang w:val="es-ES_tradnl"/>
        </w:rPr>
        <w:t xml:space="preserve"> </w:t>
      </w:r>
      <w:r w:rsidR="00BA25DE" w:rsidRPr="00BC4A3E">
        <w:rPr>
          <w:rFonts w:ascii="Times New Roman" w:hAnsi="Times New Roman"/>
          <w:b/>
          <w:color w:val="3B3838" w:themeColor="background2" w:themeShade="40"/>
          <w:sz w:val="24"/>
          <w:szCs w:val="24"/>
          <w:lang w:val="es-ES_tradnl"/>
        </w:rPr>
        <w:t xml:space="preserve">Índice de Apertura Comercial de los países de </w:t>
      </w:r>
      <w:r w:rsidR="0091009F" w:rsidRPr="00BC4A3E">
        <w:rPr>
          <w:rFonts w:ascii="Times New Roman" w:hAnsi="Times New Roman"/>
          <w:b/>
          <w:color w:val="3B3838" w:themeColor="background2" w:themeShade="40"/>
          <w:sz w:val="24"/>
          <w:szCs w:val="24"/>
          <w:lang w:val="es-ES_tradnl"/>
        </w:rPr>
        <w:t>Centroamérica</w:t>
      </w:r>
      <w:r w:rsidR="00CC659F" w:rsidRPr="00BC4A3E">
        <w:rPr>
          <w:rFonts w:ascii="Times New Roman" w:hAnsi="Times New Roman"/>
          <w:b/>
          <w:color w:val="3B3838" w:themeColor="background2" w:themeShade="40"/>
          <w:sz w:val="24"/>
          <w:szCs w:val="24"/>
          <w:lang w:val="es-ES_tradnl"/>
        </w:rPr>
        <w:t xml:space="preserve"> </w:t>
      </w:r>
      <w:r w:rsidR="0091009F" w:rsidRPr="00BC4A3E">
        <w:rPr>
          <w:rFonts w:ascii="Times New Roman" w:hAnsi="Times New Roman"/>
          <w:b/>
          <w:color w:val="3B3838" w:themeColor="background2" w:themeShade="40"/>
          <w:sz w:val="24"/>
          <w:szCs w:val="24"/>
          <w:lang w:val="es-ES_tradnl"/>
        </w:rPr>
        <w:t>A</w:t>
      </w:r>
      <w:r w:rsidR="00BA25DE" w:rsidRPr="00BC4A3E">
        <w:rPr>
          <w:rFonts w:ascii="Times New Roman" w:hAnsi="Times New Roman"/>
          <w:b/>
          <w:color w:val="3B3838" w:themeColor="background2" w:themeShade="40"/>
          <w:sz w:val="24"/>
          <w:szCs w:val="24"/>
          <w:lang w:val="es-ES_tradnl"/>
        </w:rPr>
        <w:t>ño 201</w:t>
      </w:r>
      <w:r w:rsidR="0091009F" w:rsidRPr="00BC4A3E">
        <w:rPr>
          <w:rFonts w:ascii="Times New Roman" w:hAnsi="Times New Roman"/>
          <w:b/>
          <w:color w:val="3B3838" w:themeColor="background2" w:themeShade="40"/>
          <w:sz w:val="24"/>
          <w:szCs w:val="24"/>
          <w:lang w:val="es-ES_tradnl"/>
        </w:rPr>
        <w:t>6</w:t>
      </w:r>
      <w:r w:rsidR="00BA25DE" w:rsidRPr="00BC4A3E">
        <w:rPr>
          <w:rFonts w:ascii="Times New Roman" w:hAnsi="Times New Roman"/>
          <w:b/>
          <w:color w:val="3B3838" w:themeColor="background2" w:themeShade="40"/>
          <w:sz w:val="24"/>
          <w:szCs w:val="24"/>
          <w:lang w:val="es-ES_tradnl"/>
        </w:rPr>
        <w:t>.</w:t>
      </w:r>
    </w:p>
    <w:p w14:paraId="1B912D92" w14:textId="10C5380B" w:rsidR="00BA25DE" w:rsidRDefault="00BA25DE" w:rsidP="00116B3B">
      <w:pPr>
        <w:tabs>
          <w:tab w:val="left" w:pos="270"/>
          <w:tab w:val="left" w:pos="360"/>
          <w:tab w:val="left" w:pos="450"/>
          <w:tab w:val="left" w:pos="2085"/>
        </w:tabs>
        <w:spacing w:after="0" w:line="240" w:lineRule="auto"/>
        <w:jc w:val="center"/>
        <w:rPr>
          <w:rFonts w:ascii="Times New Roman" w:hAnsi="Times New Roman"/>
          <w:sz w:val="24"/>
          <w:szCs w:val="24"/>
          <w:lang w:val="es-ES"/>
        </w:rPr>
      </w:pPr>
    </w:p>
    <w:p w14:paraId="7903C793" w14:textId="5B54BB96" w:rsidR="00BA25DE" w:rsidRDefault="00DF7448" w:rsidP="00116B3B">
      <w:pPr>
        <w:tabs>
          <w:tab w:val="left" w:pos="270"/>
          <w:tab w:val="left" w:pos="360"/>
          <w:tab w:val="left" w:pos="450"/>
          <w:tab w:val="left" w:pos="2085"/>
        </w:tabs>
        <w:spacing w:after="0" w:line="240" w:lineRule="auto"/>
        <w:jc w:val="center"/>
        <w:rPr>
          <w:rFonts w:ascii="Times New Roman" w:hAnsi="Times New Roman"/>
          <w:sz w:val="24"/>
          <w:szCs w:val="24"/>
          <w:lang w:val="es-ES"/>
        </w:rPr>
      </w:pPr>
      <w:r w:rsidRPr="00150A66">
        <w:rPr>
          <w:noProof/>
          <w:color w:val="0000FF"/>
        </w:rPr>
        <w:drawing>
          <wp:inline distT="0" distB="0" distL="0" distR="0" wp14:anchorId="1990A103" wp14:editId="421B7BEF">
            <wp:extent cx="4185285" cy="1996440"/>
            <wp:effectExtent l="0" t="0" r="5715" b="3810"/>
            <wp:docPr id="9" name="Chart 9">
              <a:extLst xmlns:a="http://schemas.openxmlformats.org/drawingml/2006/main">
                <a:ext uri="{FF2B5EF4-FFF2-40B4-BE49-F238E27FC236}">
                  <a16:creationId xmlns:a16="http://schemas.microsoft.com/office/drawing/2014/main" id="{282EEFD5-377E-42E2-99C9-65772529E2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691F26" w14:textId="6D858FA0" w:rsidR="007C2677" w:rsidRPr="007C2677" w:rsidRDefault="007C2677" w:rsidP="007C2677">
      <w:pPr>
        <w:pStyle w:val="Heading2"/>
        <w:jc w:val="center"/>
        <w:rPr>
          <w:i/>
          <w:sz w:val="24"/>
          <w:lang w:val="es-ES_tradnl"/>
        </w:rPr>
      </w:pPr>
      <w:r w:rsidRPr="007C2677">
        <w:rPr>
          <w:i/>
          <w:sz w:val="24"/>
          <w:lang w:val="es-ES_tradnl"/>
        </w:rPr>
        <w:t xml:space="preserve">Índice de apertura comercial promedio de los países de Centroamérica es 38% </w:t>
      </w:r>
      <w:r w:rsidR="00163B8C">
        <w:rPr>
          <w:i/>
          <w:sz w:val="24"/>
          <w:lang w:val="es-ES_tradnl"/>
        </w:rPr>
        <w:t>para el a</w:t>
      </w:r>
      <w:r w:rsidRPr="007C2677">
        <w:rPr>
          <w:i/>
          <w:sz w:val="24"/>
          <w:lang w:val="es-ES_tradnl"/>
        </w:rPr>
        <w:t>ño 2016</w:t>
      </w:r>
    </w:p>
    <w:p w14:paraId="5CAD419B" w14:textId="0545706C" w:rsidR="007C2677" w:rsidRDefault="007C2677" w:rsidP="007C2677">
      <w:pPr>
        <w:tabs>
          <w:tab w:val="left" w:pos="270"/>
          <w:tab w:val="left" w:pos="360"/>
          <w:tab w:val="left" w:pos="450"/>
          <w:tab w:val="left" w:pos="2085"/>
        </w:tabs>
        <w:spacing w:after="0" w:line="240" w:lineRule="auto"/>
        <w:jc w:val="center"/>
        <w:rPr>
          <w:rFonts w:ascii="Times New Roman" w:hAnsi="Times New Roman"/>
          <w:sz w:val="24"/>
          <w:szCs w:val="24"/>
          <w:lang w:val="es-ES"/>
        </w:rPr>
      </w:pPr>
      <w:r w:rsidRPr="007C2677">
        <w:rPr>
          <w:rFonts w:ascii="Times New Roman" w:hAnsi="Times New Roman" w:cs="Times New Roman"/>
          <w:i/>
          <w:iCs/>
          <w:color w:val="000000"/>
          <w:sz w:val="18"/>
          <w:szCs w:val="18"/>
          <w:lang w:val="es-ES_tradnl"/>
        </w:rPr>
        <w:t>Fuente Elaboración Propia en base a Centro de Estudios para la Integraci</w:t>
      </w:r>
      <w:r>
        <w:rPr>
          <w:rFonts w:ascii="Times New Roman" w:hAnsi="Times New Roman" w:cs="Times New Roman"/>
          <w:i/>
          <w:iCs/>
          <w:color w:val="000000"/>
          <w:sz w:val="18"/>
          <w:szCs w:val="18"/>
          <w:lang w:val="es-ES_tradnl"/>
        </w:rPr>
        <w:t>ó</w:t>
      </w:r>
      <w:r w:rsidRPr="007C2677">
        <w:rPr>
          <w:rFonts w:ascii="Times New Roman" w:hAnsi="Times New Roman" w:cs="Times New Roman"/>
          <w:i/>
          <w:iCs/>
          <w:color w:val="000000"/>
          <w:sz w:val="18"/>
          <w:szCs w:val="18"/>
          <w:lang w:val="es-ES_tradnl"/>
        </w:rPr>
        <w:t>n Econ</w:t>
      </w:r>
      <w:r>
        <w:rPr>
          <w:rFonts w:ascii="Times New Roman" w:hAnsi="Times New Roman" w:cs="Times New Roman"/>
          <w:i/>
          <w:iCs/>
          <w:color w:val="000000"/>
          <w:sz w:val="18"/>
          <w:szCs w:val="18"/>
          <w:lang w:val="es-ES_tradnl"/>
        </w:rPr>
        <w:t>ó</w:t>
      </w:r>
      <w:r w:rsidRPr="007C2677">
        <w:rPr>
          <w:rFonts w:ascii="Times New Roman" w:hAnsi="Times New Roman" w:cs="Times New Roman"/>
          <w:i/>
          <w:iCs/>
          <w:color w:val="000000"/>
          <w:sz w:val="18"/>
          <w:szCs w:val="18"/>
          <w:lang w:val="es-ES_tradnl"/>
        </w:rPr>
        <w:t>mica (SIECA).</w:t>
      </w:r>
    </w:p>
    <w:p w14:paraId="11C043FD" w14:textId="5D00DA5C" w:rsidR="00E77D57" w:rsidRDefault="0008310A" w:rsidP="00D5463E">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E77D57">
        <w:rPr>
          <w:rFonts w:ascii="Times New Roman" w:hAnsi="Times New Roman"/>
          <w:sz w:val="24"/>
          <w:szCs w:val="24"/>
          <w:lang w:val="es-ES"/>
        </w:rPr>
        <w:lastRenderedPageBreak/>
        <w:t>Con datos del Instituto Nacional de Estadísticas y Censo, s</w:t>
      </w:r>
      <w:r w:rsidR="00CB29B5" w:rsidRPr="00E77D57">
        <w:rPr>
          <w:rFonts w:ascii="Times New Roman" w:hAnsi="Times New Roman"/>
          <w:sz w:val="24"/>
          <w:szCs w:val="24"/>
          <w:lang w:val="es-ES"/>
        </w:rPr>
        <w:t xml:space="preserve">e observa </w:t>
      </w:r>
      <w:r w:rsidRPr="00E77D57">
        <w:rPr>
          <w:rFonts w:ascii="Times New Roman" w:hAnsi="Times New Roman"/>
          <w:sz w:val="24"/>
          <w:szCs w:val="24"/>
          <w:lang w:val="es-ES"/>
        </w:rPr>
        <w:t>que,</w:t>
      </w:r>
      <w:r w:rsidR="00CB29B5" w:rsidRPr="00E77D57">
        <w:rPr>
          <w:rFonts w:ascii="Times New Roman" w:hAnsi="Times New Roman"/>
          <w:sz w:val="24"/>
          <w:szCs w:val="24"/>
          <w:lang w:val="es-ES"/>
        </w:rPr>
        <w:t xml:space="preserve"> en la estructura económica de Panamá, las actividades de mayor importancia son el comercio al por mayor y menor</w:t>
      </w:r>
      <w:r w:rsidRPr="00E77D57">
        <w:rPr>
          <w:rFonts w:ascii="Times New Roman" w:hAnsi="Times New Roman"/>
          <w:sz w:val="24"/>
          <w:szCs w:val="24"/>
          <w:lang w:val="es-ES"/>
        </w:rPr>
        <w:t xml:space="preserve"> incluyendo zonas francas</w:t>
      </w:r>
      <w:r w:rsidR="00CB29B5" w:rsidRPr="00E77D57">
        <w:rPr>
          <w:rFonts w:ascii="Times New Roman" w:hAnsi="Times New Roman"/>
          <w:sz w:val="24"/>
          <w:szCs w:val="24"/>
          <w:lang w:val="es-ES"/>
        </w:rPr>
        <w:t xml:space="preserve"> (</w:t>
      </w:r>
      <w:r w:rsidR="00D63C6B" w:rsidRPr="00E77D57">
        <w:rPr>
          <w:rFonts w:ascii="Times New Roman" w:hAnsi="Times New Roman"/>
          <w:sz w:val="24"/>
          <w:szCs w:val="24"/>
          <w:lang w:val="es-ES"/>
        </w:rPr>
        <w:t>20</w:t>
      </w:r>
      <w:r w:rsidR="00CB29B5" w:rsidRPr="00E77D57">
        <w:rPr>
          <w:rFonts w:ascii="Times New Roman" w:hAnsi="Times New Roman"/>
          <w:sz w:val="24"/>
          <w:szCs w:val="24"/>
          <w:lang w:val="es-ES"/>
        </w:rPr>
        <w:t>% del PIB),</w:t>
      </w:r>
      <w:r w:rsidRPr="00E77D57">
        <w:rPr>
          <w:rFonts w:ascii="Times New Roman" w:hAnsi="Times New Roman"/>
          <w:sz w:val="24"/>
          <w:szCs w:val="24"/>
          <w:lang w:val="es-ES"/>
        </w:rPr>
        <w:t xml:space="preserve"> la construcción (16% del PIB) y el transporte, almacenamiento y comunicaciones (12%)</w:t>
      </w:r>
      <w:r w:rsidR="00E77D57" w:rsidRPr="00E77D57">
        <w:rPr>
          <w:rFonts w:ascii="Times New Roman" w:hAnsi="Times New Roman"/>
          <w:sz w:val="24"/>
          <w:szCs w:val="24"/>
          <w:lang w:val="es-ES"/>
        </w:rPr>
        <w:t>, actividades inmobiliarias empresariales (8.5%) e intermediación financiera (7.1%)</w:t>
      </w:r>
      <w:r w:rsidR="00CB29B5" w:rsidRPr="00E77D57">
        <w:rPr>
          <w:rFonts w:ascii="Times New Roman" w:hAnsi="Times New Roman"/>
          <w:sz w:val="24"/>
          <w:szCs w:val="24"/>
          <w:lang w:val="es-ES"/>
        </w:rPr>
        <w:t xml:space="preserve">. </w:t>
      </w:r>
      <w:r w:rsidR="00E77D57" w:rsidRPr="00E77D57">
        <w:rPr>
          <w:rFonts w:ascii="Times New Roman" w:hAnsi="Times New Roman"/>
          <w:sz w:val="24"/>
          <w:szCs w:val="24"/>
          <w:lang w:val="es-ES"/>
        </w:rPr>
        <w:t xml:space="preserve">En </w:t>
      </w:r>
      <w:r w:rsidRPr="00E77D57">
        <w:rPr>
          <w:rFonts w:ascii="Times New Roman" w:hAnsi="Times New Roman"/>
          <w:sz w:val="24"/>
          <w:szCs w:val="24"/>
          <w:lang w:val="es-ES"/>
        </w:rPr>
        <w:t>la estructura económica se observa que el sector terciario o s</w:t>
      </w:r>
      <w:r w:rsidR="00CB29B5" w:rsidRPr="00E77D57">
        <w:rPr>
          <w:rFonts w:ascii="Times New Roman" w:hAnsi="Times New Roman"/>
          <w:sz w:val="24"/>
          <w:szCs w:val="24"/>
          <w:lang w:val="es-ES"/>
        </w:rPr>
        <w:t xml:space="preserve">ervicios suman </w:t>
      </w:r>
      <w:r w:rsidRPr="00E77D57">
        <w:rPr>
          <w:rFonts w:ascii="Times New Roman" w:hAnsi="Times New Roman"/>
          <w:sz w:val="24"/>
          <w:szCs w:val="24"/>
          <w:lang w:val="es-ES"/>
        </w:rPr>
        <w:t xml:space="preserve">en total </w:t>
      </w:r>
      <w:r w:rsidR="00E77D57" w:rsidRPr="00E77D57">
        <w:rPr>
          <w:rFonts w:ascii="Times New Roman" w:hAnsi="Times New Roman"/>
          <w:sz w:val="24"/>
          <w:szCs w:val="24"/>
          <w:lang w:val="es-ES"/>
        </w:rPr>
        <w:t>64</w:t>
      </w:r>
      <w:r w:rsidRPr="00E77D57">
        <w:rPr>
          <w:rFonts w:ascii="Times New Roman" w:hAnsi="Times New Roman"/>
          <w:sz w:val="24"/>
          <w:szCs w:val="24"/>
          <w:lang w:val="es-ES"/>
        </w:rPr>
        <w:t>% del PIB total del a</w:t>
      </w:r>
      <w:r w:rsidR="00E11BFA" w:rsidRPr="00E77D57">
        <w:rPr>
          <w:rFonts w:ascii="Times New Roman" w:hAnsi="Times New Roman"/>
          <w:sz w:val="24"/>
          <w:szCs w:val="24"/>
          <w:lang w:val="es-ES"/>
        </w:rPr>
        <w:t>ñ</w:t>
      </w:r>
      <w:r w:rsidRPr="00E77D57">
        <w:rPr>
          <w:rFonts w:ascii="Times New Roman" w:hAnsi="Times New Roman"/>
          <w:sz w:val="24"/>
          <w:szCs w:val="24"/>
          <w:lang w:val="es-ES"/>
        </w:rPr>
        <w:t>o 201</w:t>
      </w:r>
      <w:r w:rsidR="00E77D57" w:rsidRPr="00E77D57">
        <w:rPr>
          <w:rFonts w:ascii="Times New Roman" w:hAnsi="Times New Roman"/>
          <w:sz w:val="24"/>
          <w:szCs w:val="24"/>
          <w:lang w:val="es-ES"/>
        </w:rPr>
        <w:t>6,</w:t>
      </w:r>
      <w:r w:rsidR="00E11BFA" w:rsidRPr="00E77D57">
        <w:rPr>
          <w:rFonts w:ascii="Times New Roman" w:hAnsi="Times New Roman"/>
          <w:sz w:val="24"/>
          <w:szCs w:val="24"/>
          <w:lang w:val="es-ES"/>
        </w:rPr>
        <w:t xml:space="preserve"> representando el principal pilar de la economía panameña</w:t>
      </w:r>
      <w:r w:rsidR="00E77D57" w:rsidRPr="00E77D57">
        <w:rPr>
          <w:rFonts w:ascii="Times New Roman" w:hAnsi="Times New Roman"/>
          <w:sz w:val="24"/>
          <w:szCs w:val="24"/>
          <w:lang w:val="es-ES"/>
        </w:rPr>
        <w:t xml:space="preserve">, destacando que todas estas actividades se concentran </w:t>
      </w:r>
      <w:r w:rsidR="00E77D57" w:rsidRPr="00E77D57">
        <w:rPr>
          <w:rFonts w:ascii="Times New Roman" w:hAnsi="Times New Roman"/>
          <w:sz w:val="24"/>
          <w:szCs w:val="24"/>
          <w:lang w:val="es-ES_tradnl"/>
        </w:rPr>
        <w:t>en las principales ciudades del país y en torno al Canal de Panamá, la Zona Libre de Colón y el Área Económica Especial de Panamá Pacífico.</w:t>
      </w:r>
    </w:p>
    <w:p w14:paraId="04C5F20A" w14:textId="77777777" w:rsidR="009006B2" w:rsidRDefault="009006B2" w:rsidP="009006B2">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152DD41E" w14:textId="4BB7D2B9" w:rsidR="00E31C18" w:rsidRDefault="009006B2" w:rsidP="00E31C1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9006B2">
        <w:rPr>
          <w:rFonts w:ascii="Times New Roman" w:hAnsi="Times New Roman"/>
          <w:sz w:val="24"/>
          <w:szCs w:val="24"/>
          <w:lang w:val="es-ES_tradnl"/>
        </w:rPr>
        <w:t>El peso de la agricultura es bajo en Panamá, destacando que la producción agrícola tiene como destino el consumo interno</w:t>
      </w:r>
      <w:r w:rsidR="00D5463E">
        <w:rPr>
          <w:rFonts w:ascii="Times New Roman" w:hAnsi="Times New Roman"/>
          <w:sz w:val="24"/>
          <w:szCs w:val="24"/>
          <w:lang w:val="es-ES_tradnl"/>
        </w:rPr>
        <w:t xml:space="preserve">. </w:t>
      </w:r>
      <w:r w:rsidR="00E83F37">
        <w:rPr>
          <w:rFonts w:ascii="Times New Roman" w:hAnsi="Times New Roman"/>
          <w:sz w:val="24"/>
          <w:szCs w:val="24"/>
          <w:lang w:val="es-ES_tradnl"/>
        </w:rPr>
        <w:t>A pesar de lo anterior</w:t>
      </w:r>
      <w:r w:rsidR="00D5463E">
        <w:rPr>
          <w:rFonts w:ascii="Times New Roman" w:hAnsi="Times New Roman"/>
          <w:sz w:val="24"/>
          <w:szCs w:val="24"/>
          <w:lang w:val="es-ES_tradnl"/>
        </w:rPr>
        <w:t xml:space="preserve">, </w:t>
      </w:r>
      <w:r w:rsidR="009E4A3B">
        <w:rPr>
          <w:rFonts w:ascii="Times New Roman" w:hAnsi="Times New Roman"/>
          <w:sz w:val="24"/>
          <w:szCs w:val="24"/>
          <w:lang w:val="es-ES_tradnl"/>
        </w:rPr>
        <w:t>la agricultura tiene mucha relevancia social</w:t>
      </w:r>
      <w:r w:rsidRPr="009006B2">
        <w:rPr>
          <w:rFonts w:ascii="Times New Roman" w:hAnsi="Times New Roman"/>
          <w:sz w:val="24"/>
          <w:szCs w:val="24"/>
          <w:lang w:val="es-ES_tradnl"/>
        </w:rPr>
        <w:t xml:space="preserve"> en el sentido de que las actividades agrícolas relacionadas a los rubros de cereales, frutas, hortalizas, legumbres y silvicultura son fundamentales para la ocupación </w:t>
      </w:r>
      <w:r>
        <w:rPr>
          <w:rFonts w:ascii="Times New Roman" w:hAnsi="Times New Roman"/>
          <w:sz w:val="24"/>
          <w:szCs w:val="24"/>
          <w:lang w:val="es-ES_tradnl"/>
        </w:rPr>
        <w:t>y</w:t>
      </w:r>
      <w:r w:rsidRPr="009006B2">
        <w:rPr>
          <w:rFonts w:ascii="Times New Roman" w:hAnsi="Times New Roman"/>
          <w:sz w:val="24"/>
          <w:szCs w:val="24"/>
          <w:lang w:val="es-ES_tradnl"/>
        </w:rPr>
        <w:t xml:space="preserve"> la seguridad alimentaria en la mayoría de las provincias del interior y comarcas indígenas.</w:t>
      </w:r>
      <w:r w:rsidR="00BC4A3E">
        <w:rPr>
          <w:rFonts w:ascii="Times New Roman" w:hAnsi="Times New Roman"/>
          <w:sz w:val="24"/>
          <w:szCs w:val="24"/>
          <w:lang w:val="es-ES_tradnl"/>
        </w:rPr>
        <w:t xml:space="preserve"> De acuerdo con el documento </w:t>
      </w:r>
      <w:r w:rsidR="008959D8" w:rsidRPr="00A2700F">
        <w:rPr>
          <w:rFonts w:ascii="Times New Roman" w:hAnsi="Times New Roman"/>
          <w:i/>
          <w:sz w:val="24"/>
          <w:szCs w:val="24"/>
          <w:lang w:val="es-ES_tradnl"/>
        </w:rPr>
        <w:t>Estratégica Logística de Panamá 2030</w:t>
      </w:r>
      <w:r w:rsidR="00BC4A3E">
        <w:rPr>
          <w:rFonts w:ascii="Times New Roman" w:hAnsi="Times New Roman"/>
          <w:sz w:val="24"/>
          <w:szCs w:val="24"/>
          <w:lang w:val="es-ES_tradnl"/>
        </w:rPr>
        <w:t>,</w:t>
      </w:r>
      <w:r w:rsidRPr="009006B2">
        <w:rPr>
          <w:rFonts w:ascii="Times New Roman" w:hAnsi="Times New Roman"/>
          <w:sz w:val="24"/>
          <w:szCs w:val="24"/>
          <w:lang w:val="es-ES_tradnl"/>
        </w:rPr>
        <w:t xml:space="preserve"> </w:t>
      </w:r>
      <w:r w:rsidR="00BC4A3E">
        <w:rPr>
          <w:rFonts w:ascii="Times New Roman" w:hAnsi="Times New Roman"/>
          <w:sz w:val="24"/>
          <w:szCs w:val="24"/>
          <w:lang w:val="es-ES_tradnl"/>
        </w:rPr>
        <w:t>e</w:t>
      </w:r>
      <w:r w:rsidR="00B11272">
        <w:rPr>
          <w:rFonts w:ascii="Times New Roman" w:hAnsi="Times New Roman"/>
          <w:sz w:val="24"/>
          <w:szCs w:val="24"/>
          <w:lang w:val="es-ES_tradnl"/>
        </w:rPr>
        <w:t>sta actividad, a</w:t>
      </w:r>
      <w:r w:rsidRPr="009006B2">
        <w:rPr>
          <w:rFonts w:ascii="Times New Roman" w:hAnsi="Times New Roman"/>
          <w:sz w:val="24"/>
          <w:szCs w:val="24"/>
          <w:lang w:val="es-ES_tradnl"/>
        </w:rPr>
        <w:t>ctualmente concentra alrededor del 15% de la población ocupada del país, cifra que en las provincias occidentales se eleva al 20% y hasta el 40%.</w:t>
      </w:r>
      <w:r w:rsidR="00E31C18">
        <w:rPr>
          <w:rFonts w:ascii="Times New Roman" w:hAnsi="Times New Roman"/>
          <w:sz w:val="24"/>
          <w:szCs w:val="24"/>
          <w:lang w:val="es-ES_tradnl"/>
        </w:rPr>
        <w:t xml:space="preserve"> </w:t>
      </w:r>
    </w:p>
    <w:p w14:paraId="25685D2F" w14:textId="77777777" w:rsidR="00E31C18" w:rsidRPr="00E31C18" w:rsidRDefault="00E31C18" w:rsidP="00E31C18">
      <w:pPr>
        <w:pStyle w:val="ListParagraph"/>
        <w:rPr>
          <w:rFonts w:ascii="Times New Roman" w:hAnsi="Times New Roman"/>
          <w:sz w:val="24"/>
          <w:szCs w:val="24"/>
          <w:lang w:val="es-ES_tradnl"/>
        </w:rPr>
      </w:pPr>
    </w:p>
    <w:p w14:paraId="3C57A44A" w14:textId="76445587" w:rsidR="008E33E6" w:rsidRPr="00F3747A" w:rsidRDefault="00C94381"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F3747A">
        <w:rPr>
          <w:rFonts w:ascii="Times New Roman" w:hAnsi="Times New Roman"/>
          <w:sz w:val="24"/>
          <w:szCs w:val="24"/>
          <w:lang w:val="es-ES_tradnl"/>
        </w:rPr>
        <w:t>Los principales productos de exportación de Panamá para el año 2016 fueron el banano, representan</w:t>
      </w:r>
      <w:r w:rsidR="00D102CD" w:rsidRPr="00F3747A">
        <w:rPr>
          <w:rFonts w:ascii="Times New Roman" w:hAnsi="Times New Roman"/>
          <w:sz w:val="24"/>
          <w:szCs w:val="24"/>
          <w:lang w:val="es-ES_tradnl"/>
        </w:rPr>
        <w:t>do</w:t>
      </w:r>
      <w:r w:rsidRPr="00F3747A">
        <w:rPr>
          <w:rFonts w:ascii="Times New Roman" w:hAnsi="Times New Roman"/>
          <w:sz w:val="24"/>
          <w:szCs w:val="24"/>
          <w:lang w:val="es-ES_tradnl"/>
        </w:rPr>
        <w:t xml:space="preserve"> 14% del total exportado, seguido de pescado fresco, refrigerado y congelado (11%) y en tercer lugar se encuentra el camarón (10%). Los principales productos de importación de Panamá para el año 2016 fueron las materias primas y productos intermedios para la industria (15.2</w:t>
      </w:r>
      <w:r w:rsidR="00F3747A" w:rsidRPr="00F3747A">
        <w:rPr>
          <w:rFonts w:ascii="Times New Roman" w:hAnsi="Times New Roman"/>
          <w:sz w:val="24"/>
          <w:szCs w:val="24"/>
          <w:lang w:val="es-ES_tradnl"/>
        </w:rPr>
        <w:t>%</w:t>
      </w:r>
      <w:r w:rsidRPr="00F3747A">
        <w:rPr>
          <w:rFonts w:ascii="Times New Roman" w:hAnsi="Times New Roman"/>
          <w:sz w:val="24"/>
          <w:szCs w:val="24"/>
          <w:lang w:val="es-ES_tradnl"/>
        </w:rPr>
        <w:t xml:space="preserve">) seguido por bienes de consumo no duradero </w:t>
      </w:r>
      <w:r w:rsidR="00F3747A" w:rsidRPr="00F3747A">
        <w:rPr>
          <w:rFonts w:ascii="Times New Roman" w:hAnsi="Times New Roman"/>
          <w:sz w:val="24"/>
          <w:szCs w:val="24"/>
          <w:lang w:val="es-ES_tradnl"/>
        </w:rPr>
        <w:t>(</w:t>
      </w:r>
      <w:r w:rsidRPr="00F3747A">
        <w:rPr>
          <w:rFonts w:ascii="Times New Roman" w:hAnsi="Times New Roman"/>
          <w:sz w:val="24"/>
          <w:szCs w:val="24"/>
          <w:lang w:val="es-ES_tradnl"/>
        </w:rPr>
        <w:t>14.6%</w:t>
      </w:r>
      <w:r w:rsidR="00F3747A" w:rsidRPr="00F3747A">
        <w:rPr>
          <w:rFonts w:ascii="Times New Roman" w:hAnsi="Times New Roman"/>
          <w:sz w:val="24"/>
          <w:szCs w:val="24"/>
          <w:lang w:val="es-ES_tradnl"/>
        </w:rPr>
        <w:t>)</w:t>
      </w:r>
      <w:r w:rsidRPr="00F3747A">
        <w:rPr>
          <w:rFonts w:ascii="Times New Roman" w:hAnsi="Times New Roman"/>
          <w:sz w:val="24"/>
          <w:szCs w:val="24"/>
          <w:lang w:val="es-ES_tradnl"/>
        </w:rPr>
        <w:t>. Las reexportaciones son</w:t>
      </w:r>
      <w:r w:rsidR="00BC4A3E" w:rsidRPr="00F3747A">
        <w:rPr>
          <w:rFonts w:ascii="Times New Roman" w:hAnsi="Times New Roman"/>
          <w:sz w:val="24"/>
          <w:szCs w:val="24"/>
          <w:lang w:val="es-ES_tradnl"/>
        </w:rPr>
        <w:t xml:space="preserve"> </w:t>
      </w:r>
      <w:r w:rsidRPr="00F3747A">
        <w:rPr>
          <w:rFonts w:ascii="Times New Roman" w:hAnsi="Times New Roman"/>
          <w:sz w:val="24"/>
          <w:szCs w:val="24"/>
          <w:lang w:val="es-ES_tradnl"/>
        </w:rPr>
        <w:t>muy importantes para el comercio de Panamá</w:t>
      </w:r>
      <w:r w:rsidR="00BC4A3E" w:rsidRPr="00F3747A">
        <w:rPr>
          <w:rFonts w:ascii="Times New Roman" w:hAnsi="Times New Roman"/>
          <w:sz w:val="24"/>
          <w:szCs w:val="24"/>
          <w:lang w:val="es-ES_tradnl"/>
        </w:rPr>
        <w:t xml:space="preserve"> (95%)</w:t>
      </w:r>
      <w:r w:rsidRPr="00F3747A">
        <w:rPr>
          <w:rFonts w:ascii="Times New Roman" w:hAnsi="Times New Roman"/>
          <w:sz w:val="24"/>
          <w:szCs w:val="24"/>
          <w:lang w:val="es-ES_tradnl"/>
        </w:rPr>
        <w:t>, más que los bienes de producción interna.</w:t>
      </w:r>
      <w:r w:rsidR="00F3747A" w:rsidRPr="00F3747A">
        <w:rPr>
          <w:rFonts w:ascii="Times New Roman" w:hAnsi="Times New Roman"/>
          <w:sz w:val="24"/>
          <w:szCs w:val="24"/>
          <w:lang w:val="es-ES_tradnl"/>
        </w:rPr>
        <w:t xml:space="preserve"> De lo anterior se puede concluir que las exportaciones panameñas corresponden mayormente a productos primarios y productos de la pesca de bajo valor agregado y las importaciones se concentran en productos industrializados como vehículos, medicamentos y materiales para la construcción.</w:t>
      </w:r>
      <w:r w:rsidR="00F3747A">
        <w:rPr>
          <w:rFonts w:ascii="Times New Roman" w:hAnsi="Times New Roman"/>
          <w:sz w:val="24"/>
          <w:szCs w:val="24"/>
          <w:lang w:val="es-ES_tradnl"/>
        </w:rPr>
        <w:t xml:space="preserve"> </w:t>
      </w:r>
      <w:r w:rsidR="008E33E6" w:rsidRPr="00F3747A">
        <w:rPr>
          <w:rFonts w:ascii="Times New Roman" w:hAnsi="Times New Roman"/>
          <w:sz w:val="24"/>
          <w:szCs w:val="24"/>
          <w:lang w:val="es-ES"/>
        </w:rPr>
        <w:t xml:space="preserve">Es de destacar que las exportaciones e importaciones de Panamá son mayoritariamente transportadas por vía marítima. </w:t>
      </w:r>
    </w:p>
    <w:p w14:paraId="2D07927F" w14:textId="77777777" w:rsidR="004904E9" w:rsidRPr="004904E9" w:rsidRDefault="004904E9" w:rsidP="004904E9">
      <w:pPr>
        <w:pStyle w:val="ListParagraph"/>
        <w:rPr>
          <w:rFonts w:ascii="Times New Roman" w:hAnsi="Times New Roman"/>
          <w:sz w:val="24"/>
          <w:szCs w:val="24"/>
          <w:lang w:val="es-ES_tradnl"/>
        </w:rPr>
      </w:pPr>
    </w:p>
    <w:p w14:paraId="65B4D5A9" w14:textId="47C6D483" w:rsidR="00251568" w:rsidRDefault="004904E9" w:rsidP="0025156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193373">
        <w:rPr>
          <w:rFonts w:ascii="Times New Roman" w:hAnsi="Times New Roman"/>
          <w:sz w:val="24"/>
          <w:szCs w:val="24"/>
          <w:lang w:val="es-ES_tradnl"/>
        </w:rPr>
        <w:t>Con respecto al comercio bilateral, Estados Unidos se ha constituido en el principal destino de las exportaciones de Panamá. En el año 2016, las exportaciones hacia Estados Unidos representaron el 20% del valor de las exportaciones totales, seguido en orden de importancia por Países Bajos con el 17% y China ocupa el tercer lugar en comercio bilateral con el 6% del valor de las exportaciones totales. En relación con la estructura de las importaciones, el principal país de origen de las importaciones de Panamá para el año 2016 fue Estados Unidos con 26% de importancia, seguido de Zonas libres de Petróleo con el 9% y China con el 9%</w:t>
      </w:r>
      <w:r w:rsidR="002D7335">
        <w:rPr>
          <w:rFonts w:ascii="Times New Roman" w:hAnsi="Times New Roman"/>
          <w:sz w:val="24"/>
          <w:szCs w:val="24"/>
          <w:lang w:val="es-ES_tradnl"/>
        </w:rPr>
        <w:t xml:space="preserve"> (Figura No. </w:t>
      </w:r>
      <w:r w:rsidR="00715812">
        <w:rPr>
          <w:rFonts w:ascii="Times New Roman" w:hAnsi="Times New Roman"/>
          <w:sz w:val="24"/>
          <w:szCs w:val="24"/>
          <w:lang w:val="es-ES_tradnl"/>
        </w:rPr>
        <w:t>4</w:t>
      </w:r>
      <w:r w:rsidR="002D7335">
        <w:rPr>
          <w:rFonts w:ascii="Times New Roman" w:hAnsi="Times New Roman"/>
          <w:sz w:val="24"/>
          <w:szCs w:val="24"/>
          <w:lang w:val="es-ES_tradnl"/>
        </w:rPr>
        <w:t>)</w:t>
      </w:r>
      <w:r w:rsidRPr="00193373">
        <w:rPr>
          <w:rFonts w:ascii="Times New Roman" w:hAnsi="Times New Roman"/>
          <w:sz w:val="24"/>
          <w:szCs w:val="24"/>
          <w:lang w:val="es-ES_tradnl"/>
        </w:rPr>
        <w:t xml:space="preserve">. </w:t>
      </w:r>
      <w:r w:rsidR="00326964" w:rsidRPr="00193373">
        <w:rPr>
          <w:rFonts w:ascii="Times New Roman" w:hAnsi="Times New Roman"/>
          <w:sz w:val="24"/>
          <w:szCs w:val="24"/>
          <w:lang w:val="es-ES_tradnl"/>
        </w:rPr>
        <w:t xml:space="preserve">Al observar los patrones de comercio por bloque económico, se observa que el Mercado Común Centroamericano constituye el segundo mercado de importancia, seguido del grupo de países del Tratado de Libre Comercio con América del Norte (México, </w:t>
      </w:r>
      <w:r w:rsidR="007C15BB" w:rsidRPr="00193373">
        <w:rPr>
          <w:rFonts w:ascii="Times New Roman" w:hAnsi="Times New Roman"/>
          <w:sz w:val="24"/>
          <w:szCs w:val="24"/>
          <w:lang w:val="es-ES_tradnl"/>
        </w:rPr>
        <w:t>EE. UU.</w:t>
      </w:r>
      <w:r w:rsidR="00326964" w:rsidRPr="00193373">
        <w:rPr>
          <w:rFonts w:ascii="Times New Roman" w:hAnsi="Times New Roman"/>
          <w:sz w:val="24"/>
          <w:szCs w:val="24"/>
          <w:lang w:val="es-ES_tradnl"/>
        </w:rPr>
        <w:t xml:space="preserve"> y </w:t>
      </w:r>
      <w:r w:rsidR="00193373" w:rsidRPr="00193373">
        <w:rPr>
          <w:rFonts w:ascii="Times New Roman" w:hAnsi="Times New Roman"/>
          <w:sz w:val="24"/>
          <w:szCs w:val="24"/>
          <w:lang w:val="es-ES_tradnl"/>
        </w:rPr>
        <w:t>Canadá) y en tercer lugar se ubica la Asociación Latino Americana de Integración</w:t>
      </w:r>
      <w:r w:rsidR="00D102CD">
        <w:rPr>
          <w:rFonts w:ascii="Times New Roman" w:hAnsi="Times New Roman"/>
          <w:sz w:val="24"/>
          <w:szCs w:val="24"/>
          <w:lang w:val="es-ES_tradnl"/>
        </w:rPr>
        <w:t xml:space="preserve"> (ALADI)</w:t>
      </w:r>
      <w:r w:rsidR="002D7335">
        <w:rPr>
          <w:rFonts w:ascii="Times New Roman" w:hAnsi="Times New Roman"/>
          <w:sz w:val="24"/>
          <w:szCs w:val="24"/>
          <w:lang w:val="es-ES_tradnl"/>
        </w:rPr>
        <w:t xml:space="preserve"> (Figura No. </w:t>
      </w:r>
      <w:r w:rsidR="00B7618D">
        <w:rPr>
          <w:rFonts w:ascii="Times New Roman" w:hAnsi="Times New Roman"/>
          <w:sz w:val="24"/>
          <w:szCs w:val="24"/>
          <w:lang w:val="es-ES_tradnl"/>
        </w:rPr>
        <w:t>5</w:t>
      </w:r>
      <w:r w:rsidR="002D7335">
        <w:rPr>
          <w:rFonts w:ascii="Times New Roman" w:hAnsi="Times New Roman"/>
          <w:sz w:val="24"/>
          <w:szCs w:val="24"/>
          <w:lang w:val="es-ES_tradnl"/>
        </w:rPr>
        <w:t>)</w:t>
      </w:r>
      <w:r w:rsidR="00193373" w:rsidRPr="00193373">
        <w:rPr>
          <w:rFonts w:ascii="Times New Roman" w:hAnsi="Times New Roman"/>
          <w:sz w:val="24"/>
          <w:szCs w:val="24"/>
          <w:lang w:val="es-ES_tradnl"/>
        </w:rPr>
        <w:t xml:space="preserve">. </w:t>
      </w:r>
    </w:p>
    <w:p w14:paraId="3E7FF49A" w14:textId="3BBEE0EF" w:rsidR="00251568" w:rsidRPr="00251568" w:rsidRDefault="00251568" w:rsidP="00251568">
      <w:pPr>
        <w:pStyle w:val="ListParagraph"/>
        <w:rPr>
          <w:rFonts w:ascii="Times New Roman" w:hAnsi="Times New Roman"/>
          <w:sz w:val="24"/>
          <w:szCs w:val="24"/>
          <w:lang w:val="es-ES_tradnl"/>
        </w:rPr>
      </w:pPr>
    </w:p>
    <w:p w14:paraId="17DBB506" w14:textId="36CFDF6B" w:rsidR="002A008F" w:rsidRDefault="006F01B5" w:rsidP="00102D0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1F38D8">
        <w:rPr>
          <w:rFonts w:ascii="Times New Roman" w:hAnsi="Times New Roman"/>
          <w:sz w:val="24"/>
          <w:szCs w:val="24"/>
          <w:lang w:val="es-ES_tradnl"/>
        </w:rPr>
        <w:t xml:space="preserve">Al analizar las relaciones comerciales intrarregionales, se destaca que el comercio intrarregional es muy importante para la región Centroamericana, siendo que este representa el 32.4% de sus exportaciones totales y el 14.8% de sus importaciones totales. Lo anterior, permite inferir que </w:t>
      </w:r>
      <w:r w:rsidR="00852956">
        <w:rPr>
          <w:rFonts w:ascii="Times New Roman" w:hAnsi="Times New Roman"/>
          <w:sz w:val="24"/>
          <w:szCs w:val="24"/>
          <w:lang w:val="es-ES_tradnl"/>
        </w:rPr>
        <w:lastRenderedPageBreak/>
        <w:t>Centroamérica</w:t>
      </w:r>
      <w:r w:rsidRPr="001F38D8">
        <w:rPr>
          <w:rFonts w:ascii="Times New Roman" w:hAnsi="Times New Roman"/>
          <w:sz w:val="24"/>
          <w:szCs w:val="24"/>
          <w:lang w:val="es-ES_tradnl"/>
        </w:rPr>
        <w:t xml:space="preserve"> ha avanzado significativamente en la integración comercial, lo cual le ha permitido aprovecha sinergias económicas y estar mejor preparada para choque externos. </w:t>
      </w:r>
      <w:r w:rsidR="00683582" w:rsidRPr="001F38D8">
        <w:rPr>
          <w:rFonts w:ascii="Times New Roman" w:hAnsi="Times New Roman"/>
          <w:sz w:val="24"/>
          <w:szCs w:val="24"/>
          <w:lang w:val="es-ES_tradnl"/>
        </w:rPr>
        <w:t xml:space="preserve">El </w:t>
      </w:r>
      <w:r w:rsidR="001F38D8" w:rsidRPr="001F38D8">
        <w:rPr>
          <w:rFonts w:ascii="Times New Roman" w:hAnsi="Times New Roman"/>
          <w:sz w:val="24"/>
          <w:szCs w:val="24"/>
          <w:lang w:val="es-ES_tradnl"/>
        </w:rPr>
        <w:t>c</w:t>
      </w:r>
      <w:r w:rsidR="00683582" w:rsidRPr="001F38D8">
        <w:rPr>
          <w:rFonts w:ascii="Times New Roman" w:hAnsi="Times New Roman"/>
          <w:sz w:val="24"/>
          <w:szCs w:val="24"/>
          <w:lang w:val="es-ES_tradnl"/>
        </w:rPr>
        <w:t xml:space="preserve">omercio intrarregional </w:t>
      </w:r>
      <w:r w:rsidR="002A008F" w:rsidRPr="001F38D8">
        <w:rPr>
          <w:rFonts w:ascii="Times New Roman" w:hAnsi="Times New Roman"/>
          <w:sz w:val="24"/>
          <w:szCs w:val="24"/>
          <w:lang w:val="es-ES_tradnl"/>
        </w:rPr>
        <w:t xml:space="preserve">de bienes </w:t>
      </w:r>
      <w:r w:rsidR="00683582" w:rsidRPr="001F38D8">
        <w:rPr>
          <w:rFonts w:ascii="Times New Roman" w:hAnsi="Times New Roman"/>
          <w:sz w:val="24"/>
          <w:szCs w:val="24"/>
          <w:lang w:val="es-ES_tradnl"/>
        </w:rPr>
        <w:t>de Panamá</w:t>
      </w:r>
      <w:r w:rsidR="00082BEB" w:rsidRPr="001F38D8">
        <w:rPr>
          <w:rFonts w:ascii="Times New Roman" w:hAnsi="Times New Roman"/>
          <w:sz w:val="24"/>
          <w:szCs w:val="24"/>
          <w:lang w:val="es-ES_tradnl"/>
        </w:rPr>
        <w:t xml:space="preserve"> </w:t>
      </w:r>
      <w:r w:rsidR="001F38D8" w:rsidRPr="001F38D8">
        <w:rPr>
          <w:rFonts w:ascii="Times New Roman" w:hAnsi="Times New Roman"/>
          <w:sz w:val="24"/>
          <w:szCs w:val="24"/>
          <w:lang w:val="es-ES_tradnl"/>
        </w:rPr>
        <w:t>es el más bajo de la región siendo que únicamente el 1</w:t>
      </w:r>
      <w:r w:rsidR="00697883">
        <w:rPr>
          <w:rFonts w:ascii="Times New Roman" w:hAnsi="Times New Roman"/>
          <w:sz w:val="24"/>
          <w:szCs w:val="24"/>
          <w:lang w:val="es-ES_tradnl"/>
        </w:rPr>
        <w:t>2.7</w:t>
      </w:r>
      <w:r w:rsidR="001F38D8" w:rsidRPr="001F38D8">
        <w:rPr>
          <w:rFonts w:ascii="Times New Roman" w:hAnsi="Times New Roman"/>
          <w:sz w:val="24"/>
          <w:szCs w:val="24"/>
          <w:lang w:val="es-ES_tradnl"/>
        </w:rPr>
        <w:t>% de comercio total es de carácter intrarregional. Sin emb</w:t>
      </w:r>
      <w:r w:rsidR="001F38D8">
        <w:rPr>
          <w:rFonts w:ascii="Times New Roman" w:hAnsi="Times New Roman"/>
          <w:sz w:val="24"/>
          <w:szCs w:val="24"/>
          <w:lang w:val="es-ES_tradnl"/>
        </w:rPr>
        <w:t>a</w:t>
      </w:r>
      <w:r w:rsidR="001F38D8" w:rsidRPr="001F38D8">
        <w:rPr>
          <w:rFonts w:ascii="Times New Roman" w:hAnsi="Times New Roman"/>
          <w:sz w:val="24"/>
          <w:szCs w:val="24"/>
          <w:lang w:val="es-ES_tradnl"/>
        </w:rPr>
        <w:t>rgo</w:t>
      </w:r>
      <w:r w:rsidR="00A40BA8" w:rsidRPr="001F38D8">
        <w:rPr>
          <w:rFonts w:ascii="Times New Roman" w:hAnsi="Times New Roman"/>
          <w:sz w:val="24"/>
          <w:szCs w:val="24"/>
          <w:lang w:val="es-ES_tradnl"/>
        </w:rPr>
        <w:t xml:space="preserve">, en el ámbito de </w:t>
      </w:r>
      <w:r w:rsidR="002A008F" w:rsidRPr="001F38D8">
        <w:rPr>
          <w:rFonts w:ascii="Times New Roman" w:hAnsi="Times New Roman"/>
          <w:sz w:val="24"/>
          <w:szCs w:val="24"/>
          <w:lang w:val="es-ES_tradnl"/>
        </w:rPr>
        <w:t xml:space="preserve">la </w:t>
      </w:r>
      <w:r w:rsidR="00A40BA8" w:rsidRPr="001F38D8">
        <w:rPr>
          <w:rFonts w:ascii="Times New Roman" w:hAnsi="Times New Roman"/>
          <w:sz w:val="24"/>
          <w:szCs w:val="24"/>
          <w:lang w:val="es-ES_tradnl"/>
        </w:rPr>
        <w:t xml:space="preserve">exportación de servicios, definidos como los servicios producidos por un país </w:t>
      </w:r>
      <w:r w:rsidR="002A008F" w:rsidRPr="001F38D8">
        <w:rPr>
          <w:rFonts w:ascii="Times New Roman" w:hAnsi="Times New Roman"/>
          <w:sz w:val="24"/>
          <w:szCs w:val="24"/>
          <w:lang w:val="es-ES_tradnl"/>
        </w:rPr>
        <w:t xml:space="preserve">y contratados o consumido por ciudadanos de otro país, Panamá </w:t>
      </w:r>
      <w:r w:rsidR="00CA1F4C" w:rsidRPr="001F38D8">
        <w:rPr>
          <w:rFonts w:ascii="Times New Roman" w:hAnsi="Times New Roman"/>
          <w:sz w:val="24"/>
          <w:szCs w:val="24"/>
          <w:lang w:val="es-ES_tradnl"/>
        </w:rPr>
        <w:t xml:space="preserve">lidera la exportación de servicios de la región Centroamericana. </w:t>
      </w:r>
      <w:r w:rsidR="00CE2D24" w:rsidRPr="001F38D8">
        <w:rPr>
          <w:rFonts w:ascii="Times New Roman" w:hAnsi="Times New Roman"/>
          <w:sz w:val="24"/>
          <w:szCs w:val="24"/>
          <w:lang w:val="es-ES_tradnl"/>
        </w:rPr>
        <w:t xml:space="preserve">En el año 2016, el país produjo el 41% de los servicios exportados y el 29.2% de los servicios importados </w:t>
      </w:r>
      <w:r w:rsidR="002D7335">
        <w:rPr>
          <w:rFonts w:ascii="Times New Roman" w:hAnsi="Times New Roman"/>
          <w:sz w:val="24"/>
          <w:szCs w:val="24"/>
          <w:lang w:val="es-ES_tradnl"/>
        </w:rPr>
        <w:t>de Centroamérica</w:t>
      </w:r>
      <w:r w:rsidR="00CE2D24" w:rsidRPr="001F38D8">
        <w:rPr>
          <w:rFonts w:ascii="Times New Roman" w:hAnsi="Times New Roman"/>
          <w:sz w:val="24"/>
          <w:szCs w:val="24"/>
          <w:lang w:val="es-ES_tradnl"/>
        </w:rPr>
        <w:t>, presentando un saldo claramente positivo en la balanza de servicios</w:t>
      </w:r>
      <w:r w:rsidR="00B4749F">
        <w:rPr>
          <w:rStyle w:val="FootnoteReference"/>
          <w:szCs w:val="24"/>
          <w:lang w:val="es-ES_tradnl"/>
        </w:rPr>
        <w:footnoteReference w:id="8"/>
      </w:r>
      <w:r w:rsidR="00CE2D24" w:rsidRPr="001F38D8">
        <w:rPr>
          <w:rFonts w:ascii="Times New Roman" w:hAnsi="Times New Roman"/>
          <w:sz w:val="24"/>
          <w:szCs w:val="24"/>
          <w:lang w:val="es-ES_tradnl"/>
        </w:rPr>
        <w:t xml:space="preserve">. </w:t>
      </w:r>
    </w:p>
    <w:p w14:paraId="4414BBC3" w14:textId="7F3001C5" w:rsidR="00B7618D" w:rsidRDefault="00B7618D" w:rsidP="007B2BD9">
      <w:pPr>
        <w:spacing w:after="0" w:line="240" w:lineRule="auto"/>
        <w:jc w:val="center"/>
        <w:rPr>
          <w:rFonts w:ascii="Times New Roman" w:hAnsi="Times New Roman"/>
          <w:b/>
          <w:color w:val="3B3838" w:themeColor="background2" w:themeShade="40"/>
          <w:sz w:val="24"/>
          <w:szCs w:val="24"/>
          <w:lang w:val="es-ES_tradnl"/>
        </w:rPr>
      </w:pPr>
    </w:p>
    <w:p w14:paraId="490B8ADB" w14:textId="25B438DE" w:rsidR="007B2BD9" w:rsidRPr="00BC4A3E" w:rsidRDefault="007B2BD9" w:rsidP="007B2BD9">
      <w:pPr>
        <w:spacing w:after="0" w:line="240" w:lineRule="auto"/>
        <w:jc w:val="center"/>
        <w:rPr>
          <w:rFonts w:ascii="Times New Roman" w:hAnsi="Times New Roman"/>
          <w:b/>
          <w:color w:val="3B3838" w:themeColor="background2" w:themeShade="40"/>
          <w:sz w:val="24"/>
          <w:szCs w:val="24"/>
          <w:lang w:val="es-ES_tradnl"/>
        </w:rPr>
      </w:pPr>
      <w:r w:rsidRPr="00BC4A3E">
        <w:rPr>
          <w:rFonts w:ascii="Times New Roman" w:hAnsi="Times New Roman"/>
          <w:b/>
          <w:color w:val="3B3838" w:themeColor="background2" w:themeShade="40"/>
          <w:sz w:val="24"/>
          <w:szCs w:val="24"/>
          <w:lang w:val="es-ES_tradnl"/>
        </w:rPr>
        <w:t xml:space="preserve">Figura No. </w:t>
      </w:r>
      <w:r w:rsidR="008959D8">
        <w:rPr>
          <w:rFonts w:ascii="Times New Roman" w:hAnsi="Times New Roman"/>
          <w:b/>
          <w:color w:val="3B3838" w:themeColor="background2" w:themeShade="40"/>
          <w:sz w:val="24"/>
          <w:szCs w:val="24"/>
          <w:lang w:val="es-ES_tradnl"/>
        </w:rPr>
        <w:t>4</w:t>
      </w:r>
      <w:r w:rsidRPr="00BC4A3E">
        <w:rPr>
          <w:rFonts w:ascii="Times New Roman" w:hAnsi="Times New Roman"/>
          <w:b/>
          <w:color w:val="3B3838" w:themeColor="background2" w:themeShade="40"/>
          <w:sz w:val="24"/>
          <w:szCs w:val="24"/>
          <w:lang w:val="es-ES_tradnl"/>
        </w:rPr>
        <w:t xml:space="preserve"> Participación de Principales Socios Comerciales de </w:t>
      </w:r>
      <w:r w:rsidRPr="002C2780">
        <w:rPr>
          <w:rFonts w:ascii="Times New Roman" w:hAnsi="Times New Roman"/>
          <w:b/>
          <w:color w:val="3B3838" w:themeColor="background2" w:themeShade="40"/>
          <w:sz w:val="24"/>
          <w:szCs w:val="24"/>
          <w:lang w:val="es-ES_tradnl"/>
        </w:rPr>
        <w:t>Panamá</w:t>
      </w:r>
      <w:r w:rsidRPr="00BC4A3E">
        <w:rPr>
          <w:rFonts w:ascii="Times New Roman" w:hAnsi="Times New Roman"/>
          <w:b/>
          <w:color w:val="3B3838" w:themeColor="background2" w:themeShade="40"/>
          <w:sz w:val="24"/>
          <w:szCs w:val="24"/>
          <w:lang w:val="es-ES_tradnl"/>
        </w:rPr>
        <w:t xml:space="preserve"> 2016</w:t>
      </w:r>
    </w:p>
    <w:p w14:paraId="3C8AFCAD" w14:textId="69E74151"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r w:rsidRPr="00BC4A3E">
        <w:rPr>
          <w:rFonts w:ascii="Times New Roman" w:hAnsi="Times New Roman"/>
          <w:b/>
          <w:noProof/>
          <w:color w:val="3B3838" w:themeColor="background2" w:themeShade="40"/>
          <w:sz w:val="24"/>
          <w:szCs w:val="24"/>
          <w:lang w:val="es-ES_tradnl"/>
        </w:rPr>
        <w:drawing>
          <wp:anchor distT="0" distB="0" distL="114300" distR="114300" simplePos="0" relativeHeight="251661312" behindDoc="0" locked="0" layoutInCell="1" allowOverlap="1" wp14:anchorId="2D285F12" wp14:editId="1A465309">
            <wp:simplePos x="0" y="0"/>
            <wp:positionH relativeFrom="margin">
              <wp:posOffset>469900</wp:posOffset>
            </wp:positionH>
            <wp:positionV relativeFrom="paragraph">
              <wp:posOffset>59055</wp:posOffset>
            </wp:positionV>
            <wp:extent cx="5101590" cy="1886585"/>
            <wp:effectExtent l="0" t="0" r="381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r="1025"/>
                    <a:stretch/>
                  </pic:blipFill>
                  <pic:spPr bwMode="auto">
                    <a:xfrm>
                      <a:off x="0" y="0"/>
                      <a:ext cx="5101590" cy="1886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FD8FD9F" w14:textId="4F7F8391"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21ADF3B6"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170F058D"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6A5C9F11"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3EFC2395"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0CFC89B3"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33E5C1D8"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0AEBF516"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63A1B99B"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7C809CC3" w14:textId="77777777" w:rsidR="00B7618D" w:rsidRDefault="00B7618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485714AA" w14:textId="77777777" w:rsidR="0047667F" w:rsidRPr="007B2BD9" w:rsidRDefault="0047667F" w:rsidP="0047667F">
      <w:pPr>
        <w:pStyle w:val="ListParagraph"/>
        <w:tabs>
          <w:tab w:val="left" w:pos="270"/>
          <w:tab w:val="left" w:pos="360"/>
          <w:tab w:val="left" w:pos="450"/>
          <w:tab w:val="left" w:pos="2085"/>
        </w:tabs>
        <w:spacing w:after="0" w:line="240" w:lineRule="auto"/>
        <w:ind w:left="90"/>
        <w:jc w:val="center"/>
        <w:rPr>
          <w:rFonts w:ascii="Times New Roman" w:hAnsi="Times New Roman"/>
          <w:szCs w:val="24"/>
          <w:lang w:val="es-ES"/>
        </w:rPr>
      </w:pPr>
      <w:r w:rsidRPr="007B2BD9">
        <w:rPr>
          <w:rFonts w:ascii="Times New Roman" w:hAnsi="Times New Roman"/>
          <w:i/>
          <w:szCs w:val="24"/>
          <w:lang w:val="es-ES"/>
        </w:rPr>
        <w:t>Fuente:</w:t>
      </w:r>
      <w:r w:rsidRPr="007B2BD9">
        <w:rPr>
          <w:rFonts w:ascii="Times New Roman" w:hAnsi="Times New Roman"/>
          <w:szCs w:val="24"/>
          <w:lang w:val="es-ES"/>
        </w:rPr>
        <w:t xml:space="preserve"> I</w:t>
      </w:r>
      <w:r>
        <w:rPr>
          <w:rFonts w:ascii="Times New Roman" w:hAnsi="Times New Roman"/>
          <w:szCs w:val="24"/>
          <w:lang w:val="es-ES"/>
        </w:rPr>
        <w:t>nstituto Nacional de Estadísticas y Censo (INEC) de Panamá</w:t>
      </w:r>
    </w:p>
    <w:p w14:paraId="3D288EE4" w14:textId="77777777" w:rsidR="00A1614D" w:rsidRDefault="00A1614D"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p>
    <w:p w14:paraId="187C42EB" w14:textId="12FE3449" w:rsidR="007B2BD9" w:rsidRPr="001E5A51" w:rsidRDefault="007B2BD9" w:rsidP="007B2BD9">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r w:rsidRPr="001E5A51">
        <w:rPr>
          <w:rFonts w:ascii="Times New Roman" w:hAnsi="Times New Roman"/>
          <w:b/>
          <w:color w:val="3B3838" w:themeColor="background2" w:themeShade="40"/>
          <w:sz w:val="24"/>
          <w:szCs w:val="24"/>
          <w:lang w:val="es-ES_tradnl"/>
        </w:rPr>
        <w:t xml:space="preserve">Figura No </w:t>
      </w:r>
      <w:r w:rsidR="008959D8">
        <w:rPr>
          <w:rFonts w:ascii="Times New Roman" w:hAnsi="Times New Roman"/>
          <w:b/>
          <w:color w:val="3B3838" w:themeColor="background2" w:themeShade="40"/>
          <w:sz w:val="24"/>
          <w:szCs w:val="24"/>
          <w:lang w:val="es-ES_tradnl"/>
        </w:rPr>
        <w:t>5</w:t>
      </w:r>
      <w:r w:rsidRPr="001E5A51">
        <w:rPr>
          <w:rFonts w:ascii="Times New Roman" w:hAnsi="Times New Roman"/>
          <w:b/>
          <w:color w:val="3B3838" w:themeColor="background2" w:themeShade="40"/>
          <w:sz w:val="24"/>
          <w:szCs w:val="24"/>
          <w:lang w:val="es-ES_tradnl"/>
        </w:rPr>
        <w:t>. Exportaciones de Panamá a Principales Bloques de Países 2016</w:t>
      </w:r>
    </w:p>
    <w:p w14:paraId="721FE5BE" w14:textId="77777777" w:rsidR="007B2BD9" w:rsidRDefault="007B2BD9" w:rsidP="007B2BD9">
      <w:pPr>
        <w:pStyle w:val="ListParagraph"/>
        <w:tabs>
          <w:tab w:val="left" w:pos="270"/>
          <w:tab w:val="left" w:pos="360"/>
          <w:tab w:val="left" w:pos="450"/>
          <w:tab w:val="left" w:pos="2085"/>
        </w:tabs>
        <w:spacing w:after="0" w:line="240" w:lineRule="auto"/>
        <w:ind w:left="90"/>
        <w:jc w:val="center"/>
        <w:rPr>
          <w:rFonts w:ascii="Times New Roman" w:hAnsi="Times New Roman"/>
          <w:sz w:val="24"/>
          <w:szCs w:val="24"/>
          <w:lang w:val="es-ES_tradnl"/>
        </w:rPr>
      </w:pPr>
      <w:r>
        <w:rPr>
          <w:noProof/>
        </w:rPr>
        <w:drawing>
          <wp:inline distT="0" distB="0" distL="0" distR="0" wp14:anchorId="5DDB41E6" wp14:editId="29365A87">
            <wp:extent cx="5416550" cy="2417618"/>
            <wp:effectExtent l="0" t="0" r="0" b="1905"/>
            <wp:docPr id="15" name="Chart 15">
              <a:extLst xmlns:a="http://schemas.openxmlformats.org/drawingml/2006/main">
                <a:ext uri="{FF2B5EF4-FFF2-40B4-BE49-F238E27FC236}">
                  <a16:creationId xmlns:a16="http://schemas.microsoft.com/office/drawing/2014/main" id="{9F0A91D6-7C1D-4DBC-994E-D4F55A24F3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BDA8F4" w14:textId="3C87FF52" w:rsidR="007B2BD9" w:rsidRPr="007B2BD9" w:rsidRDefault="007B2BD9" w:rsidP="007B2BD9">
      <w:pPr>
        <w:pStyle w:val="ListParagraph"/>
        <w:tabs>
          <w:tab w:val="left" w:pos="270"/>
          <w:tab w:val="left" w:pos="360"/>
          <w:tab w:val="left" w:pos="450"/>
          <w:tab w:val="left" w:pos="2085"/>
        </w:tabs>
        <w:spacing w:after="0" w:line="240" w:lineRule="auto"/>
        <w:ind w:left="90"/>
        <w:jc w:val="center"/>
        <w:rPr>
          <w:rFonts w:ascii="Times New Roman" w:hAnsi="Times New Roman"/>
          <w:szCs w:val="24"/>
          <w:lang w:val="es-ES"/>
        </w:rPr>
      </w:pPr>
      <w:r w:rsidRPr="007B2BD9">
        <w:rPr>
          <w:rFonts w:ascii="Times New Roman" w:hAnsi="Times New Roman"/>
          <w:i/>
          <w:szCs w:val="24"/>
          <w:lang w:val="es-ES"/>
        </w:rPr>
        <w:t>Fuente:</w:t>
      </w:r>
      <w:r w:rsidRPr="007B2BD9">
        <w:rPr>
          <w:rFonts w:ascii="Times New Roman" w:hAnsi="Times New Roman"/>
          <w:szCs w:val="24"/>
          <w:lang w:val="es-ES"/>
        </w:rPr>
        <w:t xml:space="preserve"> I</w:t>
      </w:r>
      <w:r w:rsidR="00EC580B">
        <w:rPr>
          <w:rFonts w:ascii="Times New Roman" w:hAnsi="Times New Roman"/>
          <w:szCs w:val="24"/>
          <w:lang w:val="es-ES"/>
        </w:rPr>
        <w:t>nstituto Nacional de Estadísticas y Censo (INEC) de Panamá</w:t>
      </w:r>
    </w:p>
    <w:p w14:paraId="04CEE40C" w14:textId="77777777" w:rsidR="00362D52" w:rsidRDefault="00362D52" w:rsidP="00B7618D">
      <w:pPr>
        <w:pStyle w:val="ListParagraph"/>
        <w:jc w:val="center"/>
        <w:rPr>
          <w:rFonts w:ascii="Times New Roman" w:hAnsi="Times New Roman"/>
          <w:b/>
          <w:color w:val="3B3838" w:themeColor="background2" w:themeShade="40"/>
          <w:sz w:val="24"/>
          <w:szCs w:val="24"/>
          <w:lang w:val="es-ES_tradnl"/>
        </w:rPr>
      </w:pPr>
    </w:p>
    <w:p w14:paraId="37B1032C" w14:textId="77777777" w:rsidR="00362D52" w:rsidRDefault="00362D52" w:rsidP="00B7618D">
      <w:pPr>
        <w:pStyle w:val="ListParagraph"/>
        <w:jc w:val="center"/>
        <w:rPr>
          <w:rFonts w:ascii="Times New Roman" w:hAnsi="Times New Roman"/>
          <w:b/>
          <w:color w:val="3B3838" w:themeColor="background2" w:themeShade="40"/>
          <w:sz w:val="24"/>
          <w:szCs w:val="24"/>
          <w:lang w:val="es-ES_tradnl"/>
        </w:rPr>
      </w:pPr>
    </w:p>
    <w:p w14:paraId="7A0C9A22" w14:textId="77777777" w:rsidR="00362D52" w:rsidRDefault="00362D52" w:rsidP="00B7618D">
      <w:pPr>
        <w:pStyle w:val="ListParagraph"/>
        <w:jc w:val="center"/>
        <w:rPr>
          <w:rFonts w:ascii="Times New Roman" w:hAnsi="Times New Roman"/>
          <w:b/>
          <w:color w:val="3B3838" w:themeColor="background2" w:themeShade="40"/>
          <w:sz w:val="24"/>
          <w:szCs w:val="24"/>
          <w:lang w:val="es-ES_tradnl"/>
        </w:rPr>
      </w:pPr>
    </w:p>
    <w:p w14:paraId="2132E341" w14:textId="1CD387C7" w:rsidR="00B7618D" w:rsidRPr="00C062C0" w:rsidRDefault="00B7618D" w:rsidP="00B7618D">
      <w:pPr>
        <w:pStyle w:val="ListParagraph"/>
        <w:jc w:val="center"/>
        <w:rPr>
          <w:rFonts w:ascii="Times New Roman" w:hAnsi="Times New Roman"/>
          <w:b/>
          <w:color w:val="3B3838" w:themeColor="background2" w:themeShade="40"/>
          <w:sz w:val="24"/>
          <w:szCs w:val="24"/>
          <w:lang w:val="es-ES_tradnl"/>
        </w:rPr>
      </w:pPr>
      <w:r w:rsidRPr="00C062C0">
        <w:rPr>
          <w:rFonts w:ascii="Times New Roman" w:hAnsi="Times New Roman"/>
          <w:b/>
          <w:color w:val="3B3838" w:themeColor="background2" w:themeShade="40"/>
          <w:sz w:val="24"/>
          <w:szCs w:val="24"/>
          <w:lang w:val="es-ES_tradnl"/>
        </w:rPr>
        <w:lastRenderedPageBreak/>
        <w:t xml:space="preserve">Figura No. </w:t>
      </w:r>
      <w:r w:rsidR="00367311">
        <w:rPr>
          <w:rFonts w:ascii="Times New Roman" w:hAnsi="Times New Roman"/>
          <w:b/>
          <w:color w:val="3B3838" w:themeColor="background2" w:themeShade="40"/>
          <w:sz w:val="24"/>
          <w:szCs w:val="24"/>
          <w:lang w:val="es-ES_tradnl"/>
        </w:rPr>
        <w:t>6</w:t>
      </w:r>
      <w:r w:rsidRPr="00C062C0">
        <w:rPr>
          <w:rFonts w:ascii="Times New Roman" w:hAnsi="Times New Roman"/>
          <w:b/>
          <w:color w:val="3B3838" w:themeColor="background2" w:themeShade="40"/>
          <w:sz w:val="24"/>
          <w:szCs w:val="24"/>
          <w:lang w:val="es-ES_tradnl"/>
        </w:rPr>
        <w:t xml:space="preserve"> Participación de Panamá en el comercio de CA</w:t>
      </w:r>
    </w:p>
    <w:p w14:paraId="384502B0" w14:textId="77777777" w:rsidR="00B7618D" w:rsidRDefault="00B7618D" w:rsidP="00B7618D">
      <w:pPr>
        <w:pStyle w:val="ListParagraph"/>
        <w:jc w:val="center"/>
        <w:rPr>
          <w:rFonts w:ascii="Times New Roman" w:hAnsi="Times New Roman"/>
          <w:sz w:val="24"/>
          <w:szCs w:val="24"/>
          <w:lang w:val="es-ES_tradnl"/>
        </w:rPr>
      </w:pPr>
      <w:r>
        <w:rPr>
          <w:noProof/>
        </w:rPr>
        <w:drawing>
          <wp:inline distT="0" distB="0" distL="0" distR="0" wp14:anchorId="6B15991E" wp14:editId="3789FAB6">
            <wp:extent cx="2811145" cy="1572491"/>
            <wp:effectExtent l="0" t="0" r="8255"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24562" cy="1579996"/>
                    </a:xfrm>
                    <a:prstGeom prst="rect">
                      <a:avLst/>
                    </a:prstGeom>
                  </pic:spPr>
                </pic:pic>
              </a:graphicData>
            </a:graphic>
          </wp:inline>
        </w:drawing>
      </w:r>
    </w:p>
    <w:p w14:paraId="4A84FE1E" w14:textId="5072E3B8" w:rsidR="00B7618D" w:rsidRDefault="00B7618D" w:rsidP="00B7618D">
      <w:pPr>
        <w:pStyle w:val="ListParagraph"/>
        <w:jc w:val="center"/>
        <w:rPr>
          <w:rFonts w:ascii="Times New Roman" w:hAnsi="Times New Roman"/>
          <w:sz w:val="20"/>
          <w:szCs w:val="24"/>
          <w:lang w:val="es-ES_tradnl"/>
        </w:rPr>
      </w:pPr>
      <w:r w:rsidRPr="00902944">
        <w:rPr>
          <w:rFonts w:ascii="Times New Roman" w:hAnsi="Times New Roman"/>
          <w:i/>
          <w:sz w:val="20"/>
          <w:szCs w:val="24"/>
          <w:lang w:val="es-ES_tradnl"/>
        </w:rPr>
        <w:t>Fuente:</w:t>
      </w:r>
      <w:r w:rsidRPr="00902944">
        <w:rPr>
          <w:rFonts w:ascii="Times New Roman" w:hAnsi="Times New Roman"/>
          <w:sz w:val="20"/>
          <w:szCs w:val="24"/>
          <w:lang w:val="es-ES_tradnl"/>
        </w:rPr>
        <w:t xml:space="preserve"> Centro de Estudios para la Integración Económica</w:t>
      </w:r>
      <w:r>
        <w:rPr>
          <w:rFonts w:ascii="Times New Roman" w:hAnsi="Times New Roman"/>
          <w:sz w:val="20"/>
          <w:szCs w:val="24"/>
          <w:lang w:val="es-ES_tradnl"/>
        </w:rPr>
        <w:t>, SIECA</w:t>
      </w:r>
      <w:r w:rsidRPr="00902944">
        <w:rPr>
          <w:rFonts w:ascii="Times New Roman" w:hAnsi="Times New Roman"/>
          <w:sz w:val="20"/>
          <w:szCs w:val="24"/>
          <w:lang w:val="es-ES_tradnl"/>
        </w:rPr>
        <w:t>.</w:t>
      </w:r>
    </w:p>
    <w:p w14:paraId="6296F776" w14:textId="77777777" w:rsidR="00C60F0B" w:rsidRPr="00902944" w:rsidRDefault="00C60F0B" w:rsidP="00B7618D">
      <w:pPr>
        <w:pStyle w:val="ListParagraph"/>
        <w:jc w:val="center"/>
        <w:rPr>
          <w:rFonts w:ascii="Times New Roman" w:hAnsi="Times New Roman"/>
          <w:sz w:val="20"/>
          <w:szCs w:val="24"/>
          <w:lang w:val="es-ES_tradnl"/>
        </w:rPr>
      </w:pPr>
    </w:p>
    <w:p w14:paraId="1E4C7194" w14:textId="6B0070AC" w:rsidR="007B2BD9" w:rsidRPr="007B2BD9" w:rsidRDefault="007B2BD9" w:rsidP="007B2B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7B2BD9">
        <w:rPr>
          <w:rFonts w:ascii="Times New Roman" w:hAnsi="Times New Roman"/>
          <w:sz w:val="24"/>
          <w:szCs w:val="24"/>
          <w:lang w:val="es-ES_tradnl"/>
        </w:rPr>
        <w:t xml:space="preserve">Otra medida del grado en que los mercados nacionales están integrados regionalmente y a nivel mundial está dado por la Inversión Extranjera Directa (IED). Esta variable es relevante porque representa la importancia de los flujos de capitales externos en las economías, para los cuales; la complejidad económica relacionada a la expansión del mercado interno y la dinámica exportadora, así como también el clima de negocios, juegan un rol relevante aunado a los factores de la infraestructura interna y los costos logísticos internos los cuales también condicionan fuertemente la IED. En Centroamérica, la IED representa un motor del crecimiento </w:t>
      </w:r>
      <w:r w:rsidR="00367311">
        <w:rPr>
          <w:rFonts w:ascii="Times New Roman" w:hAnsi="Times New Roman"/>
          <w:sz w:val="24"/>
          <w:szCs w:val="24"/>
          <w:lang w:val="es-ES_tradnl"/>
        </w:rPr>
        <w:t>para</w:t>
      </w:r>
      <w:r w:rsidRPr="007B2BD9">
        <w:rPr>
          <w:rFonts w:ascii="Times New Roman" w:hAnsi="Times New Roman"/>
          <w:sz w:val="24"/>
          <w:szCs w:val="24"/>
          <w:lang w:val="es-ES_tradnl"/>
        </w:rPr>
        <w:t xml:space="preserve"> la región, al respecto, con datos de</w:t>
      </w:r>
      <w:r w:rsidR="00367311">
        <w:rPr>
          <w:rFonts w:ascii="Times New Roman" w:hAnsi="Times New Roman"/>
          <w:sz w:val="24"/>
          <w:szCs w:val="24"/>
          <w:lang w:val="es-ES_tradnl"/>
        </w:rPr>
        <w:t xml:space="preserve"> la </w:t>
      </w:r>
      <w:r w:rsidR="00367311" w:rsidRPr="00367311">
        <w:rPr>
          <w:rFonts w:ascii="Times New Roman" w:hAnsi="Times New Roman"/>
          <w:i/>
          <w:sz w:val="24"/>
          <w:szCs w:val="24"/>
          <w:lang w:val="es-ES_tradnl"/>
        </w:rPr>
        <w:t>Secretaría para la Integración Económica de Centroamérica (</w:t>
      </w:r>
      <w:r w:rsidRPr="00367311">
        <w:rPr>
          <w:rFonts w:ascii="Times New Roman" w:hAnsi="Times New Roman"/>
          <w:i/>
          <w:sz w:val="24"/>
          <w:szCs w:val="24"/>
          <w:lang w:val="es-ES_tradnl"/>
        </w:rPr>
        <w:t>SIECA</w:t>
      </w:r>
      <w:r w:rsidR="00367311" w:rsidRPr="00367311">
        <w:rPr>
          <w:rFonts w:ascii="Times New Roman" w:hAnsi="Times New Roman"/>
          <w:i/>
          <w:sz w:val="24"/>
          <w:szCs w:val="24"/>
          <w:lang w:val="es-ES_tradnl"/>
        </w:rPr>
        <w:t>)</w:t>
      </w:r>
      <w:r w:rsidRPr="007B2BD9">
        <w:rPr>
          <w:rFonts w:ascii="Times New Roman" w:hAnsi="Times New Roman"/>
          <w:sz w:val="24"/>
          <w:szCs w:val="24"/>
          <w:lang w:val="es-ES_tradnl"/>
        </w:rPr>
        <w:t>, se puede constatar que, de todos los países del bloque, Panamá tiene los niveles más altos de IED de toda la región, capt</w:t>
      </w:r>
      <w:r w:rsidR="006C4AE5">
        <w:rPr>
          <w:rFonts w:ascii="Times New Roman" w:hAnsi="Times New Roman"/>
          <w:sz w:val="24"/>
          <w:szCs w:val="24"/>
          <w:lang w:val="es-ES_tradnl"/>
        </w:rPr>
        <w:t>ando</w:t>
      </w:r>
      <w:r w:rsidRPr="007B2BD9">
        <w:rPr>
          <w:rFonts w:ascii="Times New Roman" w:hAnsi="Times New Roman"/>
          <w:sz w:val="24"/>
          <w:szCs w:val="24"/>
          <w:lang w:val="es-ES_tradnl"/>
        </w:rPr>
        <w:t xml:space="preserve"> </w:t>
      </w:r>
      <w:r w:rsidR="006C4AE5">
        <w:rPr>
          <w:rFonts w:ascii="Times New Roman" w:hAnsi="Times New Roman"/>
          <w:sz w:val="24"/>
          <w:szCs w:val="24"/>
          <w:lang w:val="es-ES_tradnl"/>
        </w:rPr>
        <w:t xml:space="preserve">para el año 2016, </w:t>
      </w:r>
      <w:r w:rsidRPr="007B2BD9">
        <w:rPr>
          <w:rFonts w:ascii="Times New Roman" w:hAnsi="Times New Roman"/>
          <w:sz w:val="24"/>
          <w:szCs w:val="24"/>
          <w:lang w:val="es-ES_tradnl"/>
        </w:rPr>
        <w:t>el 46% de la IED total de CA fundamentada</w:t>
      </w:r>
      <w:r w:rsidR="006667EF">
        <w:rPr>
          <w:rFonts w:ascii="Times New Roman" w:hAnsi="Times New Roman"/>
          <w:sz w:val="24"/>
          <w:szCs w:val="24"/>
          <w:lang w:val="es-ES_tradnl"/>
        </w:rPr>
        <w:t>, entre otras cosas,</w:t>
      </w:r>
      <w:r w:rsidRPr="007B2BD9">
        <w:rPr>
          <w:rFonts w:ascii="Times New Roman" w:hAnsi="Times New Roman"/>
          <w:sz w:val="24"/>
          <w:szCs w:val="24"/>
          <w:lang w:val="es-ES_tradnl"/>
        </w:rPr>
        <w:t xml:space="preserve"> por el dinamismo de la construcción, la logística y los servicios. </w:t>
      </w:r>
    </w:p>
    <w:p w14:paraId="31D5691E" w14:textId="77777777" w:rsidR="007B2BD9" w:rsidRPr="007B2BD9" w:rsidRDefault="007B2BD9" w:rsidP="007B2BD9">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5196CBB1" w14:textId="1FB48F2B" w:rsidR="003C56CD" w:rsidRPr="00D41AF9" w:rsidRDefault="003C56CD" w:rsidP="00617150">
      <w:pPr>
        <w:pStyle w:val="ListParagraph"/>
        <w:tabs>
          <w:tab w:val="left" w:pos="270"/>
          <w:tab w:val="left" w:pos="360"/>
          <w:tab w:val="left" w:pos="450"/>
          <w:tab w:val="left" w:pos="2085"/>
        </w:tabs>
        <w:spacing w:after="0" w:line="240" w:lineRule="auto"/>
        <w:ind w:left="90"/>
        <w:jc w:val="center"/>
        <w:rPr>
          <w:rFonts w:ascii="Times New Roman" w:hAnsi="Times New Roman"/>
          <w:b/>
          <w:color w:val="3B3838" w:themeColor="background2" w:themeShade="40"/>
          <w:sz w:val="24"/>
          <w:szCs w:val="24"/>
          <w:lang w:val="es-ES_tradnl"/>
        </w:rPr>
      </w:pPr>
      <w:r w:rsidRPr="00D41AF9">
        <w:rPr>
          <w:rFonts w:ascii="Times New Roman" w:hAnsi="Times New Roman"/>
          <w:b/>
          <w:color w:val="3B3838" w:themeColor="background2" w:themeShade="40"/>
          <w:sz w:val="24"/>
          <w:szCs w:val="24"/>
          <w:lang w:val="es-ES_tradnl"/>
        </w:rPr>
        <w:t>Figura No</w:t>
      </w:r>
      <w:r w:rsidR="00617150" w:rsidRPr="00D41AF9">
        <w:rPr>
          <w:rFonts w:ascii="Times New Roman" w:hAnsi="Times New Roman"/>
          <w:b/>
          <w:color w:val="3B3838" w:themeColor="background2" w:themeShade="40"/>
          <w:sz w:val="24"/>
          <w:szCs w:val="24"/>
          <w:lang w:val="es-ES_tradnl"/>
        </w:rPr>
        <w:t xml:space="preserve"> </w:t>
      </w:r>
      <w:r w:rsidR="006667EF">
        <w:rPr>
          <w:rFonts w:ascii="Times New Roman" w:hAnsi="Times New Roman"/>
          <w:b/>
          <w:color w:val="3B3838" w:themeColor="background2" w:themeShade="40"/>
          <w:sz w:val="24"/>
          <w:szCs w:val="24"/>
          <w:lang w:val="es-ES_tradnl"/>
        </w:rPr>
        <w:t>7</w:t>
      </w:r>
      <w:r w:rsidRPr="00D41AF9">
        <w:rPr>
          <w:rFonts w:ascii="Times New Roman" w:hAnsi="Times New Roman"/>
          <w:b/>
          <w:color w:val="3B3838" w:themeColor="background2" w:themeShade="40"/>
          <w:sz w:val="24"/>
          <w:szCs w:val="24"/>
          <w:lang w:val="es-ES_tradnl"/>
        </w:rPr>
        <w:t xml:space="preserve">. Inversión Extranjera Directa (IED) en </w:t>
      </w:r>
      <w:r w:rsidR="00617150" w:rsidRPr="00D41AF9">
        <w:rPr>
          <w:rFonts w:ascii="Times New Roman" w:hAnsi="Times New Roman"/>
          <w:b/>
          <w:color w:val="3B3838" w:themeColor="background2" w:themeShade="40"/>
          <w:sz w:val="24"/>
          <w:szCs w:val="24"/>
          <w:lang w:val="es-ES_tradnl"/>
        </w:rPr>
        <w:t xml:space="preserve">Centroamérica </w:t>
      </w:r>
      <w:r w:rsidR="00235C02">
        <w:rPr>
          <w:rFonts w:ascii="Times New Roman" w:hAnsi="Times New Roman"/>
          <w:b/>
          <w:color w:val="3B3838" w:themeColor="background2" w:themeShade="40"/>
          <w:sz w:val="24"/>
          <w:szCs w:val="24"/>
          <w:lang w:val="es-ES_tradnl"/>
        </w:rPr>
        <w:t xml:space="preserve">y Panamá </w:t>
      </w:r>
      <w:r w:rsidR="00617150" w:rsidRPr="00D41AF9">
        <w:rPr>
          <w:rFonts w:ascii="Times New Roman" w:hAnsi="Times New Roman"/>
          <w:b/>
          <w:color w:val="3B3838" w:themeColor="background2" w:themeShade="40"/>
          <w:sz w:val="24"/>
          <w:szCs w:val="24"/>
          <w:lang w:val="es-ES_tradnl"/>
        </w:rPr>
        <w:t>año 2016</w:t>
      </w:r>
    </w:p>
    <w:p w14:paraId="57A4700F" w14:textId="77777777" w:rsidR="00102D08" w:rsidRDefault="00102D08" w:rsidP="007D763F">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70FCFDD1" w14:textId="0BA03533" w:rsidR="00102D08" w:rsidRPr="008E33E6" w:rsidRDefault="00235C02" w:rsidP="008E33E6">
      <w:pPr>
        <w:pStyle w:val="ListParagraph"/>
        <w:tabs>
          <w:tab w:val="left" w:pos="270"/>
          <w:tab w:val="left" w:pos="360"/>
          <w:tab w:val="left" w:pos="450"/>
          <w:tab w:val="left" w:pos="2085"/>
        </w:tabs>
        <w:spacing w:after="0" w:line="240" w:lineRule="auto"/>
        <w:ind w:left="90"/>
        <w:jc w:val="center"/>
        <w:rPr>
          <w:rFonts w:ascii="Times New Roman" w:hAnsi="Times New Roman"/>
          <w:b/>
          <w:sz w:val="24"/>
          <w:szCs w:val="24"/>
          <w:lang w:val="es-ES"/>
        </w:rPr>
      </w:pPr>
      <w:r>
        <w:rPr>
          <w:noProof/>
        </w:rPr>
        <w:drawing>
          <wp:inline distT="0" distB="0" distL="0" distR="0" wp14:anchorId="1C25A2D2" wp14:editId="151B5314">
            <wp:extent cx="3337560" cy="1816100"/>
            <wp:effectExtent l="0" t="0" r="15240" b="12700"/>
            <wp:docPr id="3" name="Chart 3">
              <a:extLst xmlns:a="http://schemas.openxmlformats.org/drawingml/2006/main">
                <a:ext uri="{FF2B5EF4-FFF2-40B4-BE49-F238E27FC236}">
                  <a16:creationId xmlns:a16="http://schemas.microsoft.com/office/drawing/2014/main" id="{E58CB422-0AFE-426C-A496-4C55677EBB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0F48C9C" w14:textId="515C98E6" w:rsidR="004B1582" w:rsidRPr="00902944" w:rsidRDefault="004B1582" w:rsidP="004B1582">
      <w:pPr>
        <w:pStyle w:val="ListParagraph"/>
        <w:jc w:val="center"/>
        <w:rPr>
          <w:rFonts w:ascii="Times New Roman" w:hAnsi="Times New Roman"/>
          <w:sz w:val="20"/>
          <w:szCs w:val="24"/>
          <w:lang w:val="es-ES_tradnl"/>
        </w:rPr>
      </w:pPr>
      <w:r w:rsidRPr="00902944">
        <w:rPr>
          <w:rFonts w:ascii="Times New Roman" w:hAnsi="Times New Roman"/>
          <w:i/>
          <w:sz w:val="20"/>
          <w:szCs w:val="24"/>
          <w:lang w:val="es-ES_tradnl"/>
        </w:rPr>
        <w:t>Fuente:</w:t>
      </w:r>
      <w:r w:rsidRPr="00902944">
        <w:rPr>
          <w:rFonts w:ascii="Times New Roman" w:hAnsi="Times New Roman"/>
          <w:sz w:val="20"/>
          <w:szCs w:val="24"/>
          <w:lang w:val="es-ES_tradnl"/>
        </w:rPr>
        <w:t xml:space="preserve"> Centro de Estudios para la Integración Económica</w:t>
      </w:r>
      <w:r>
        <w:rPr>
          <w:rFonts w:ascii="Times New Roman" w:hAnsi="Times New Roman"/>
          <w:sz w:val="20"/>
          <w:szCs w:val="24"/>
          <w:lang w:val="es-ES_tradnl"/>
        </w:rPr>
        <w:t>, SIECA</w:t>
      </w:r>
      <w:r w:rsidRPr="00902944">
        <w:rPr>
          <w:rFonts w:ascii="Times New Roman" w:hAnsi="Times New Roman"/>
          <w:sz w:val="20"/>
          <w:szCs w:val="24"/>
          <w:lang w:val="es-ES_tradnl"/>
        </w:rPr>
        <w:t>.</w:t>
      </w:r>
    </w:p>
    <w:p w14:paraId="3893DB24" w14:textId="77777777" w:rsidR="00102D08" w:rsidRPr="004B1582" w:rsidRDefault="00102D08" w:rsidP="007D763F">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70F4359F" w14:textId="0B9ABFE5" w:rsidR="004B1582" w:rsidRDefault="00773194"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4B1582">
        <w:rPr>
          <w:rFonts w:ascii="Times New Roman" w:hAnsi="Times New Roman"/>
          <w:sz w:val="24"/>
          <w:szCs w:val="24"/>
          <w:lang w:val="es-ES_tradnl"/>
        </w:rPr>
        <w:t>Con respecto a las iniciativas de integración</w:t>
      </w:r>
      <w:r w:rsidR="00001628">
        <w:rPr>
          <w:rFonts w:ascii="Times New Roman" w:hAnsi="Times New Roman"/>
          <w:sz w:val="24"/>
          <w:szCs w:val="24"/>
          <w:lang w:val="es-ES_tradnl"/>
        </w:rPr>
        <w:t xml:space="preserve"> regional</w:t>
      </w:r>
      <w:r w:rsidRPr="004B1582">
        <w:rPr>
          <w:rFonts w:ascii="Times New Roman" w:hAnsi="Times New Roman"/>
          <w:sz w:val="24"/>
          <w:szCs w:val="24"/>
          <w:lang w:val="es-ES_tradnl"/>
        </w:rPr>
        <w:t xml:space="preserve">, </w:t>
      </w:r>
      <w:r w:rsidR="00EC2640" w:rsidRPr="004B1582">
        <w:rPr>
          <w:rFonts w:ascii="Times New Roman" w:hAnsi="Times New Roman"/>
          <w:sz w:val="24"/>
          <w:szCs w:val="24"/>
          <w:lang w:val="es-ES_tradnl"/>
        </w:rPr>
        <w:t xml:space="preserve">Panamá </w:t>
      </w:r>
      <w:r w:rsidR="0073557E">
        <w:rPr>
          <w:rFonts w:ascii="Times New Roman" w:hAnsi="Times New Roman"/>
          <w:sz w:val="24"/>
          <w:szCs w:val="24"/>
          <w:lang w:val="es-ES_tradnl"/>
        </w:rPr>
        <w:t>forma parte del</w:t>
      </w:r>
      <w:r w:rsidR="00EC2640" w:rsidRPr="004B1582">
        <w:rPr>
          <w:rFonts w:ascii="Times New Roman" w:hAnsi="Times New Roman"/>
          <w:sz w:val="24"/>
          <w:szCs w:val="24"/>
          <w:lang w:val="es-ES_tradnl"/>
        </w:rPr>
        <w:t xml:space="preserve"> proceso de integración Centroamericana, siendo miembro del Sistema de Integración Centroamericana (SICA)</w:t>
      </w:r>
      <w:r w:rsidR="00EC2640" w:rsidRPr="00850A96">
        <w:rPr>
          <w:rStyle w:val="FootnoteReference"/>
          <w:szCs w:val="24"/>
          <w:lang w:val="es-ES_tradnl"/>
        </w:rPr>
        <w:footnoteReference w:id="9"/>
      </w:r>
      <w:r w:rsidR="00EC2640" w:rsidRPr="004B1582">
        <w:rPr>
          <w:rFonts w:ascii="Times New Roman" w:hAnsi="Times New Roman"/>
          <w:sz w:val="24"/>
          <w:szCs w:val="24"/>
          <w:lang w:val="es-ES_tradnl"/>
        </w:rPr>
        <w:t xml:space="preserve"> y participando de todas las instancias de coordinación regional</w:t>
      </w:r>
      <w:r w:rsidR="0073557E">
        <w:rPr>
          <w:rFonts w:ascii="Times New Roman" w:hAnsi="Times New Roman"/>
          <w:sz w:val="24"/>
          <w:szCs w:val="24"/>
          <w:lang w:val="es-ES_tradnl"/>
        </w:rPr>
        <w:t>,</w:t>
      </w:r>
      <w:r w:rsidR="00EC2640" w:rsidRPr="004B1582">
        <w:rPr>
          <w:rFonts w:ascii="Times New Roman" w:hAnsi="Times New Roman"/>
          <w:sz w:val="24"/>
          <w:szCs w:val="24"/>
          <w:lang w:val="es-ES_tradnl"/>
        </w:rPr>
        <w:t xml:space="preserve"> que </w:t>
      </w:r>
      <w:r w:rsidR="0073557E">
        <w:rPr>
          <w:rFonts w:ascii="Times New Roman" w:hAnsi="Times New Roman"/>
          <w:sz w:val="24"/>
          <w:szCs w:val="24"/>
          <w:lang w:val="es-ES_tradnl"/>
        </w:rPr>
        <w:t>contribuye a generar economías de escala facilitando su participación</w:t>
      </w:r>
      <w:r w:rsidR="00EC2640" w:rsidRPr="004B1582">
        <w:rPr>
          <w:rFonts w:ascii="Times New Roman" w:hAnsi="Times New Roman"/>
          <w:sz w:val="24"/>
          <w:szCs w:val="24"/>
          <w:lang w:val="es-ES_tradnl"/>
        </w:rPr>
        <w:t xml:space="preserve"> </w:t>
      </w:r>
      <w:r w:rsidR="0073557E">
        <w:rPr>
          <w:rFonts w:ascii="Times New Roman" w:hAnsi="Times New Roman"/>
          <w:sz w:val="24"/>
          <w:szCs w:val="24"/>
          <w:lang w:val="es-ES_tradnl"/>
        </w:rPr>
        <w:t>en el</w:t>
      </w:r>
      <w:r w:rsidR="00EC2640" w:rsidRPr="004B1582">
        <w:rPr>
          <w:rFonts w:ascii="Times New Roman" w:hAnsi="Times New Roman"/>
          <w:sz w:val="24"/>
          <w:szCs w:val="24"/>
          <w:lang w:val="es-ES_tradnl"/>
        </w:rPr>
        <w:t xml:space="preserve"> comercio global. </w:t>
      </w:r>
      <w:r w:rsidR="00091AA9" w:rsidRPr="004B1582">
        <w:rPr>
          <w:rFonts w:ascii="Times New Roman" w:hAnsi="Times New Roman"/>
          <w:sz w:val="24"/>
          <w:szCs w:val="24"/>
          <w:lang w:val="es-ES_tradnl"/>
        </w:rPr>
        <w:t xml:space="preserve">A nivel nacional, existe </w:t>
      </w:r>
      <w:r w:rsidR="00091AA9" w:rsidRPr="004B1582">
        <w:rPr>
          <w:rFonts w:ascii="Times New Roman" w:hAnsi="Times New Roman"/>
          <w:sz w:val="24"/>
          <w:szCs w:val="24"/>
          <w:lang w:val="es-ES_tradnl"/>
        </w:rPr>
        <w:lastRenderedPageBreak/>
        <w:t>una clara decisión del Gobierno de Panamá (G</w:t>
      </w:r>
      <w:r w:rsidR="007F3195" w:rsidRPr="004B1582">
        <w:rPr>
          <w:rFonts w:ascii="Times New Roman" w:hAnsi="Times New Roman"/>
          <w:sz w:val="24"/>
          <w:szCs w:val="24"/>
          <w:lang w:val="es-ES_tradnl"/>
        </w:rPr>
        <w:t>d</w:t>
      </w:r>
      <w:r w:rsidR="00091AA9" w:rsidRPr="004B1582">
        <w:rPr>
          <w:rFonts w:ascii="Times New Roman" w:hAnsi="Times New Roman"/>
          <w:sz w:val="24"/>
          <w:szCs w:val="24"/>
          <w:lang w:val="es-ES_tradnl"/>
        </w:rPr>
        <w:t xml:space="preserve">P) </w:t>
      </w:r>
      <w:r w:rsidR="00F9694F" w:rsidRPr="004B1582">
        <w:rPr>
          <w:rFonts w:ascii="Times New Roman" w:hAnsi="Times New Roman"/>
          <w:sz w:val="24"/>
          <w:szCs w:val="24"/>
          <w:lang w:val="es-ES_tradnl"/>
        </w:rPr>
        <w:t>de promover la integración económica del país</w:t>
      </w:r>
      <w:r w:rsidR="00E403DA" w:rsidRPr="004B1582">
        <w:rPr>
          <w:rFonts w:ascii="Times New Roman" w:hAnsi="Times New Roman"/>
          <w:sz w:val="24"/>
          <w:szCs w:val="24"/>
          <w:lang w:val="es-ES_tradnl"/>
        </w:rPr>
        <w:t xml:space="preserve"> haciendo especial énfasis en el </w:t>
      </w:r>
      <w:r w:rsidR="00030038" w:rsidRPr="004B1582">
        <w:rPr>
          <w:rFonts w:ascii="Times New Roman" w:hAnsi="Times New Roman"/>
          <w:sz w:val="24"/>
          <w:szCs w:val="24"/>
          <w:lang w:val="es-ES_tradnl"/>
        </w:rPr>
        <w:t>desarrollo</w:t>
      </w:r>
      <w:r w:rsidR="00E403DA" w:rsidRPr="004B1582">
        <w:rPr>
          <w:rFonts w:ascii="Times New Roman" w:hAnsi="Times New Roman"/>
          <w:sz w:val="24"/>
          <w:szCs w:val="24"/>
          <w:lang w:val="es-ES_tradnl"/>
        </w:rPr>
        <w:t xml:space="preserve"> logístico</w:t>
      </w:r>
      <w:r w:rsidR="00206540" w:rsidRPr="004B1582">
        <w:rPr>
          <w:rFonts w:ascii="Times New Roman" w:hAnsi="Times New Roman"/>
          <w:sz w:val="24"/>
          <w:szCs w:val="24"/>
          <w:lang w:val="es-ES_tradnl"/>
        </w:rPr>
        <w:t>, esto se expresa concretamente en el</w:t>
      </w:r>
      <w:r w:rsidR="00206540" w:rsidRPr="004B1582">
        <w:rPr>
          <w:rFonts w:ascii="Times New Roman" w:hAnsi="Times New Roman"/>
          <w:i/>
          <w:sz w:val="24"/>
          <w:szCs w:val="24"/>
          <w:lang w:val="es-ES_tradnl"/>
        </w:rPr>
        <w:t xml:space="preserve"> Plan Estratégico de Gobierno 2015-2019 </w:t>
      </w:r>
      <w:r w:rsidR="00206540" w:rsidRPr="004B1582">
        <w:rPr>
          <w:rFonts w:ascii="Times New Roman" w:hAnsi="Times New Roman"/>
          <w:sz w:val="24"/>
          <w:szCs w:val="24"/>
          <w:lang w:val="es-ES_tradnl"/>
        </w:rPr>
        <w:t xml:space="preserve">en el cual se establece </w:t>
      </w:r>
      <w:r w:rsidR="00537E0F" w:rsidRPr="004B1582">
        <w:rPr>
          <w:rFonts w:ascii="Times New Roman" w:hAnsi="Times New Roman"/>
          <w:sz w:val="24"/>
          <w:szCs w:val="24"/>
          <w:lang w:val="es-ES_tradnl"/>
        </w:rPr>
        <w:t>como</w:t>
      </w:r>
      <w:r w:rsidR="00206540" w:rsidRPr="004B1582">
        <w:rPr>
          <w:rFonts w:ascii="Times New Roman" w:hAnsi="Times New Roman"/>
          <w:sz w:val="24"/>
          <w:szCs w:val="24"/>
          <w:lang w:val="es-ES_tradnl"/>
        </w:rPr>
        <w:t xml:space="preserve"> lineamiento estratégico</w:t>
      </w:r>
      <w:r w:rsidR="00537E0F" w:rsidRPr="004B1582">
        <w:rPr>
          <w:rFonts w:ascii="Times New Roman" w:hAnsi="Times New Roman"/>
          <w:sz w:val="24"/>
          <w:szCs w:val="24"/>
          <w:lang w:val="es-ES_tradnl"/>
        </w:rPr>
        <w:t xml:space="preserve"> de política</w:t>
      </w:r>
      <w:r w:rsidR="00AB740F" w:rsidRPr="004B1582">
        <w:rPr>
          <w:rFonts w:ascii="Times New Roman" w:hAnsi="Times New Roman"/>
          <w:sz w:val="24"/>
          <w:szCs w:val="24"/>
          <w:lang w:val="es-ES_tradnl"/>
        </w:rPr>
        <w:t xml:space="preserve"> económica;</w:t>
      </w:r>
      <w:r w:rsidR="00537E0F" w:rsidRPr="004B1582">
        <w:rPr>
          <w:rFonts w:ascii="Times New Roman" w:hAnsi="Times New Roman"/>
          <w:sz w:val="24"/>
          <w:szCs w:val="24"/>
          <w:lang w:val="es-ES_tradnl"/>
        </w:rPr>
        <w:t xml:space="preserve"> </w:t>
      </w:r>
      <w:r w:rsidR="00206540" w:rsidRPr="004B1582">
        <w:rPr>
          <w:rFonts w:ascii="Times New Roman" w:hAnsi="Times New Roman"/>
          <w:sz w:val="24"/>
          <w:szCs w:val="24"/>
          <w:lang w:val="es-ES_tradnl"/>
        </w:rPr>
        <w:t xml:space="preserve">seguir avanzando en la conformación de Panamá como </w:t>
      </w:r>
      <w:r w:rsidR="00206540" w:rsidRPr="004B1582">
        <w:rPr>
          <w:rFonts w:ascii="Times New Roman" w:hAnsi="Times New Roman"/>
          <w:i/>
          <w:sz w:val="24"/>
          <w:szCs w:val="24"/>
          <w:lang w:val="es-ES_tradnl"/>
        </w:rPr>
        <w:t>hub</w:t>
      </w:r>
      <w:r w:rsidR="00206540" w:rsidRPr="004B1582">
        <w:rPr>
          <w:rFonts w:ascii="Times New Roman" w:hAnsi="Times New Roman"/>
          <w:sz w:val="24"/>
          <w:szCs w:val="24"/>
          <w:lang w:val="es-ES_tradnl"/>
        </w:rPr>
        <w:t xml:space="preserve"> económico</w:t>
      </w:r>
      <w:r w:rsidR="00C90144" w:rsidRPr="004B1582">
        <w:rPr>
          <w:rFonts w:ascii="Times New Roman" w:hAnsi="Times New Roman"/>
          <w:sz w:val="24"/>
          <w:szCs w:val="24"/>
          <w:lang w:val="es-ES_tradnl"/>
        </w:rPr>
        <w:t xml:space="preserve"> (logístico, financiero y empresarial)</w:t>
      </w:r>
      <w:r w:rsidR="00206540" w:rsidRPr="004B1582">
        <w:rPr>
          <w:rFonts w:ascii="Times New Roman" w:hAnsi="Times New Roman"/>
          <w:sz w:val="24"/>
          <w:szCs w:val="24"/>
          <w:lang w:val="es-ES_tradnl"/>
        </w:rPr>
        <w:t xml:space="preserve"> del continente </w:t>
      </w:r>
      <w:r w:rsidR="00E165F6" w:rsidRPr="004B1582">
        <w:rPr>
          <w:rFonts w:ascii="Times New Roman" w:hAnsi="Times New Roman"/>
          <w:sz w:val="24"/>
          <w:szCs w:val="24"/>
          <w:lang w:val="es-ES_tradnl"/>
        </w:rPr>
        <w:t>americano</w:t>
      </w:r>
      <w:r w:rsidR="00C90144" w:rsidRPr="004B1582">
        <w:rPr>
          <w:rFonts w:ascii="Times New Roman" w:hAnsi="Times New Roman"/>
          <w:sz w:val="24"/>
          <w:szCs w:val="24"/>
          <w:lang w:val="es-ES_tradnl"/>
        </w:rPr>
        <w:t>.</w:t>
      </w:r>
      <w:r w:rsidR="00AB740F" w:rsidRPr="004B1582">
        <w:rPr>
          <w:rFonts w:ascii="Times New Roman" w:hAnsi="Times New Roman"/>
          <w:sz w:val="24"/>
          <w:szCs w:val="24"/>
          <w:lang w:val="es-ES_tradnl"/>
        </w:rPr>
        <w:t xml:space="preserve"> Bajo</w:t>
      </w:r>
      <w:r w:rsidR="000170D7" w:rsidRPr="004B1582">
        <w:rPr>
          <w:rFonts w:ascii="Times New Roman" w:hAnsi="Times New Roman"/>
          <w:sz w:val="24"/>
          <w:szCs w:val="24"/>
          <w:lang w:val="es-ES_tradnl"/>
        </w:rPr>
        <w:t xml:space="preserve"> dich</w:t>
      </w:r>
      <w:r w:rsidR="00C874F3" w:rsidRPr="004B1582">
        <w:rPr>
          <w:rFonts w:ascii="Times New Roman" w:hAnsi="Times New Roman"/>
          <w:sz w:val="24"/>
          <w:szCs w:val="24"/>
          <w:lang w:val="es-ES_tradnl"/>
        </w:rPr>
        <w:t>a política</w:t>
      </w:r>
      <w:r w:rsidR="004B1582" w:rsidRPr="004B1582">
        <w:rPr>
          <w:rFonts w:ascii="Times New Roman" w:hAnsi="Times New Roman"/>
          <w:sz w:val="24"/>
          <w:szCs w:val="24"/>
          <w:lang w:val="es-ES_tradnl"/>
        </w:rPr>
        <w:t xml:space="preserve">. </w:t>
      </w:r>
      <w:r w:rsidR="005A0570" w:rsidRPr="004B1582">
        <w:rPr>
          <w:rFonts w:ascii="Times New Roman" w:hAnsi="Times New Roman"/>
          <w:sz w:val="24"/>
          <w:szCs w:val="24"/>
          <w:lang w:val="es-ES_tradnl"/>
        </w:rPr>
        <w:t xml:space="preserve">Lo anterior se </w:t>
      </w:r>
      <w:r w:rsidR="004B1582">
        <w:rPr>
          <w:rFonts w:ascii="Times New Roman" w:hAnsi="Times New Roman"/>
          <w:sz w:val="24"/>
          <w:szCs w:val="24"/>
          <w:lang w:val="es-ES_tradnl"/>
        </w:rPr>
        <w:t xml:space="preserve">corrobora </w:t>
      </w:r>
      <w:r w:rsidR="0023659E" w:rsidRPr="004B1582">
        <w:rPr>
          <w:rFonts w:ascii="Times New Roman" w:hAnsi="Times New Roman"/>
          <w:sz w:val="24"/>
          <w:szCs w:val="24"/>
          <w:lang w:val="es-ES_tradnl"/>
        </w:rPr>
        <w:t xml:space="preserve">en la </w:t>
      </w:r>
      <w:r w:rsidR="0023659E" w:rsidRPr="004B1582">
        <w:rPr>
          <w:rFonts w:ascii="Times New Roman" w:hAnsi="Times New Roman"/>
          <w:i/>
          <w:sz w:val="24"/>
          <w:szCs w:val="24"/>
          <w:lang w:val="es-ES_tradnl"/>
        </w:rPr>
        <w:t>Estrategia Logística Nacional de Panamá 2030</w:t>
      </w:r>
      <w:r w:rsidR="00157FAE" w:rsidRPr="004B1582">
        <w:rPr>
          <w:rFonts w:ascii="Times New Roman" w:hAnsi="Times New Roman"/>
          <w:sz w:val="24"/>
          <w:szCs w:val="24"/>
          <w:lang w:val="es-ES_tradnl"/>
        </w:rPr>
        <w:t xml:space="preserve">, </w:t>
      </w:r>
      <w:r w:rsidR="00C76DFC" w:rsidRPr="004B1582">
        <w:rPr>
          <w:rFonts w:ascii="Times New Roman" w:hAnsi="Times New Roman"/>
          <w:sz w:val="24"/>
          <w:szCs w:val="24"/>
          <w:lang w:val="es-ES_tradnl"/>
        </w:rPr>
        <w:t>la cual constituye un</w:t>
      </w:r>
      <w:r w:rsidR="00157FAE" w:rsidRPr="004B1582">
        <w:rPr>
          <w:rFonts w:ascii="Times New Roman" w:hAnsi="Times New Roman"/>
          <w:sz w:val="24"/>
          <w:szCs w:val="24"/>
          <w:lang w:val="es-ES_tradnl"/>
        </w:rPr>
        <w:t xml:space="preserve"> compromiso adquirido por el Gabinete Logístico</w:t>
      </w:r>
      <w:r w:rsidR="00FF722A">
        <w:rPr>
          <w:rStyle w:val="FootnoteReference"/>
          <w:szCs w:val="24"/>
          <w:lang w:val="es-ES_tradnl"/>
        </w:rPr>
        <w:footnoteReference w:id="10"/>
      </w:r>
      <w:r w:rsidR="00157FAE" w:rsidRPr="004B1582">
        <w:rPr>
          <w:rFonts w:ascii="Times New Roman" w:hAnsi="Times New Roman"/>
          <w:sz w:val="24"/>
          <w:szCs w:val="24"/>
          <w:lang w:val="es-ES_tradnl"/>
        </w:rPr>
        <w:t xml:space="preserve"> en 2015, en el marco de la Hoja de Ruta del Perfil Logístico de Panamá</w:t>
      </w:r>
      <w:r w:rsidR="00030038" w:rsidRPr="004B1582">
        <w:rPr>
          <w:rFonts w:ascii="Times New Roman" w:hAnsi="Times New Roman"/>
          <w:sz w:val="24"/>
          <w:szCs w:val="24"/>
          <w:lang w:val="es-ES_tradnl"/>
        </w:rPr>
        <w:t xml:space="preserve"> el cual busca</w:t>
      </w:r>
      <w:r w:rsidR="004B1582" w:rsidRPr="004B1582">
        <w:rPr>
          <w:rFonts w:ascii="Times New Roman" w:hAnsi="Times New Roman"/>
          <w:sz w:val="24"/>
          <w:szCs w:val="24"/>
          <w:lang w:val="es-ES_tradnl"/>
        </w:rPr>
        <w:t xml:space="preserve"> concretar acciones orientadas a generar oferta-país de valor</w:t>
      </w:r>
      <w:r w:rsidR="00DB7F64">
        <w:rPr>
          <w:rFonts w:ascii="Times New Roman" w:hAnsi="Times New Roman"/>
          <w:sz w:val="24"/>
          <w:szCs w:val="24"/>
          <w:lang w:val="es-ES_tradnl"/>
        </w:rPr>
        <w:t xml:space="preserve"> y </w:t>
      </w:r>
      <w:r w:rsidR="004B1582" w:rsidRPr="004B1582">
        <w:rPr>
          <w:rFonts w:ascii="Times New Roman" w:hAnsi="Times New Roman"/>
          <w:sz w:val="24"/>
          <w:szCs w:val="24"/>
          <w:lang w:val="es-ES_tradnl"/>
        </w:rPr>
        <w:t>competitiva ante la reconfiguración del mercado logístico regional.</w:t>
      </w:r>
    </w:p>
    <w:p w14:paraId="577ACF9D" w14:textId="77777777" w:rsidR="00741746" w:rsidRDefault="00741746" w:rsidP="00741746">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5E5E3080" w14:textId="35378043" w:rsidR="005900F2" w:rsidRDefault="00741746"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B10669">
        <w:rPr>
          <w:rFonts w:ascii="Times New Roman" w:hAnsi="Times New Roman"/>
          <w:sz w:val="24"/>
          <w:szCs w:val="24"/>
          <w:lang w:val="es-ES_tradnl"/>
        </w:rPr>
        <w:t xml:space="preserve">El rol de Panamá en la integración </w:t>
      </w:r>
      <w:r w:rsidR="00A60E5A" w:rsidRPr="00B10669">
        <w:rPr>
          <w:rFonts w:ascii="Times New Roman" w:hAnsi="Times New Roman"/>
          <w:sz w:val="24"/>
          <w:szCs w:val="24"/>
          <w:lang w:val="es-ES_tradnl"/>
        </w:rPr>
        <w:t xml:space="preserve">regional mesoamericana </w:t>
      </w:r>
      <w:r w:rsidR="00EE7E12" w:rsidRPr="00B10669">
        <w:rPr>
          <w:rFonts w:ascii="Times New Roman" w:hAnsi="Times New Roman"/>
          <w:sz w:val="24"/>
          <w:szCs w:val="24"/>
          <w:lang w:val="es-ES_tradnl"/>
        </w:rPr>
        <w:t>es de gran relevancia</w:t>
      </w:r>
      <w:r w:rsidR="00A60E5A" w:rsidRPr="00B10669">
        <w:rPr>
          <w:rFonts w:ascii="Times New Roman" w:hAnsi="Times New Roman"/>
          <w:sz w:val="24"/>
          <w:szCs w:val="24"/>
          <w:lang w:val="es-ES_tradnl"/>
        </w:rPr>
        <w:t xml:space="preserve"> por poseer infraestructuras de integración relevantes para el comercio intra y extra-regional, teniendo además un efecto estructurador importante de la logística macro-regional de los países americanos.</w:t>
      </w:r>
      <w:r w:rsidR="00FF7237" w:rsidRPr="00B10669">
        <w:rPr>
          <w:rFonts w:ascii="Times New Roman" w:hAnsi="Times New Roman"/>
          <w:sz w:val="24"/>
          <w:szCs w:val="24"/>
          <w:lang w:val="es-ES_tradnl"/>
        </w:rPr>
        <w:t xml:space="preserve"> L</w:t>
      </w:r>
      <w:r w:rsidR="00D54A93" w:rsidRPr="00B10669">
        <w:rPr>
          <w:rFonts w:ascii="Times New Roman" w:hAnsi="Times New Roman"/>
          <w:sz w:val="24"/>
          <w:szCs w:val="24"/>
          <w:lang w:val="es-ES_tradnl"/>
        </w:rPr>
        <w:t xml:space="preserve">as infraestructuras y servicios de Panamá sirven </w:t>
      </w:r>
      <w:r w:rsidR="00FF7237" w:rsidRPr="00B10669">
        <w:rPr>
          <w:rFonts w:ascii="Times New Roman" w:hAnsi="Times New Roman"/>
          <w:sz w:val="24"/>
          <w:szCs w:val="24"/>
          <w:lang w:val="es-ES_tradnl"/>
        </w:rPr>
        <w:t xml:space="preserve">al comercio externo de </w:t>
      </w:r>
      <w:r w:rsidR="00D54A93" w:rsidRPr="00B10669">
        <w:rPr>
          <w:rFonts w:ascii="Times New Roman" w:hAnsi="Times New Roman"/>
          <w:sz w:val="24"/>
          <w:szCs w:val="24"/>
          <w:lang w:val="es-ES_tradnl"/>
        </w:rPr>
        <w:t>los países de la región</w:t>
      </w:r>
      <w:r w:rsidR="00FF7237" w:rsidRPr="00B10669">
        <w:rPr>
          <w:rFonts w:ascii="Times New Roman" w:hAnsi="Times New Roman"/>
          <w:sz w:val="24"/>
          <w:szCs w:val="24"/>
          <w:lang w:val="es-ES_tradnl"/>
        </w:rPr>
        <w:t xml:space="preserve"> y al mismo tiempo significan oportunidades para la mejora del desempeño de las propias exportaciones de la región. Por ejemplo, las ampliaciones del Canal de Panamá, significa un marco de oportunidades para Panamá, pero también para los nodos vecinos que ocupan el canal</w:t>
      </w:r>
      <w:r w:rsidR="00EA2A53" w:rsidRPr="00B10669">
        <w:rPr>
          <w:rFonts w:ascii="Times New Roman" w:hAnsi="Times New Roman"/>
          <w:sz w:val="24"/>
          <w:szCs w:val="24"/>
          <w:lang w:val="es-ES_tradnl"/>
        </w:rPr>
        <w:t xml:space="preserve"> para su comercio exterior,</w:t>
      </w:r>
      <w:r w:rsidR="00B10669" w:rsidRPr="00B10669">
        <w:rPr>
          <w:rFonts w:ascii="Times New Roman" w:hAnsi="Times New Roman"/>
          <w:sz w:val="24"/>
          <w:szCs w:val="24"/>
          <w:lang w:val="es-ES_tradnl"/>
        </w:rPr>
        <w:t xml:space="preserve"> esto se evidencia en el hecho de </w:t>
      </w:r>
      <w:r w:rsidR="00A70713" w:rsidRPr="00B10669">
        <w:rPr>
          <w:rFonts w:ascii="Times New Roman" w:hAnsi="Times New Roman"/>
          <w:sz w:val="24"/>
          <w:szCs w:val="24"/>
          <w:lang w:val="es-ES_tradnl"/>
        </w:rPr>
        <w:t>que,</w:t>
      </w:r>
      <w:r w:rsidR="00B10669" w:rsidRPr="00B10669">
        <w:rPr>
          <w:rFonts w:ascii="Times New Roman" w:hAnsi="Times New Roman"/>
          <w:sz w:val="24"/>
          <w:szCs w:val="24"/>
          <w:lang w:val="es-ES_tradnl"/>
        </w:rPr>
        <w:t xml:space="preserve"> en el ámbito de la actividad del canal, una la</w:t>
      </w:r>
      <w:r w:rsidR="00E55246">
        <w:rPr>
          <w:rFonts w:ascii="Times New Roman" w:hAnsi="Times New Roman"/>
          <w:sz w:val="24"/>
          <w:szCs w:val="24"/>
          <w:lang w:val="es-ES_tradnl"/>
        </w:rPr>
        <w:t xml:space="preserve"> segunda</w:t>
      </w:r>
      <w:r w:rsidR="00A70713" w:rsidRPr="00B10669">
        <w:rPr>
          <w:rFonts w:ascii="Times New Roman" w:hAnsi="Times New Roman"/>
          <w:sz w:val="24"/>
          <w:szCs w:val="24"/>
          <w:lang w:val="es-ES_tradnl"/>
        </w:rPr>
        <w:t xml:space="preserve"> ruta</w:t>
      </w:r>
      <w:r w:rsidR="00D633FA">
        <w:rPr>
          <w:rFonts w:ascii="Times New Roman" w:hAnsi="Times New Roman"/>
          <w:sz w:val="24"/>
          <w:szCs w:val="24"/>
          <w:lang w:val="es-ES_tradnl"/>
        </w:rPr>
        <w:t xml:space="preserve"> principal</w:t>
      </w:r>
      <w:r w:rsidR="00B10669" w:rsidRPr="00B10669">
        <w:rPr>
          <w:rFonts w:ascii="Times New Roman" w:hAnsi="Times New Roman"/>
          <w:sz w:val="24"/>
          <w:szCs w:val="24"/>
          <w:lang w:val="es-ES_tradnl"/>
        </w:rPr>
        <w:t xml:space="preserve"> es la que une la costa oeste de Suramérica con la costa este de los Estados Unidos. </w:t>
      </w:r>
      <w:r w:rsidR="00FF7237" w:rsidRPr="00B10669">
        <w:rPr>
          <w:rFonts w:ascii="Times New Roman" w:hAnsi="Times New Roman"/>
          <w:sz w:val="24"/>
          <w:szCs w:val="24"/>
          <w:lang w:val="es-ES_tradnl"/>
        </w:rPr>
        <w:t xml:space="preserve">En el ámbito vial, </w:t>
      </w:r>
      <w:r w:rsidR="001603C3">
        <w:rPr>
          <w:rFonts w:ascii="Times New Roman" w:hAnsi="Times New Roman"/>
          <w:sz w:val="24"/>
          <w:szCs w:val="24"/>
          <w:lang w:val="es-ES_tradnl"/>
        </w:rPr>
        <w:t xml:space="preserve">los </w:t>
      </w:r>
      <w:r w:rsidR="00BA72D3" w:rsidRPr="00B10669">
        <w:rPr>
          <w:rFonts w:ascii="Times New Roman" w:hAnsi="Times New Roman"/>
          <w:sz w:val="24"/>
          <w:szCs w:val="24"/>
          <w:lang w:val="es-ES_tradnl"/>
        </w:rPr>
        <w:t>corredores de integración</w:t>
      </w:r>
      <w:r w:rsidR="001603C3">
        <w:rPr>
          <w:rFonts w:ascii="Times New Roman" w:hAnsi="Times New Roman"/>
          <w:sz w:val="24"/>
          <w:szCs w:val="24"/>
          <w:lang w:val="es-ES_tradnl"/>
        </w:rPr>
        <w:t xml:space="preserve"> regionales</w:t>
      </w:r>
      <w:r w:rsidR="00BA72D3" w:rsidRPr="00B10669">
        <w:rPr>
          <w:rFonts w:ascii="Times New Roman" w:hAnsi="Times New Roman"/>
          <w:sz w:val="24"/>
          <w:szCs w:val="24"/>
          <w:lang w:val="es-ES_tradnl"/>
        </w:rPr>
        <w:t xml:space="preserve"> atraviesan Panamá y </w:t>
      </w:r>
      <w:r w:rsidR="001603C3">
        <w:rPr>
          <w:rFonts w:ascii="Times New Roman" w:hAnsi="Times New Roman"/>
          <w:sz w:val="24"/>
          <w:szCs w:val="24"/>
          <w:lang w:val="es-ES_tradnl"/>
        </w:rPr>
        <w:t>completando la conectividad del</w:t>
      </w:r>
      <w:r w:rsidR="00BA72D3" w:rsidRPr="00B10669">
        <w:rPr>
          <w:rFonts w:ascii="Times New Roman" w:hAnsi="Times New Roman"/>
          <w:sz w:val="24"/>
          <w:szCs w:val="24"/>
          <w:lang w:val="es-ES_tradnl"/>
        </w:rPr>
        <w:t xml:space="preserve"> istmo Centroamericano </w:t>
      </w:r>
      <w:r w:rsidR="00953938" w:rsidRPr="00B10669">
        <w:rPr>
          <w:rFonts w:ascii="Times New Roman" w:hAnsi="Times New Roman"/>
          <w:sz w:val="24"/>
          <w:szCs w:val="24"/>
          <w:lang w:val="es-ES_tradnl"/>
        </w:rPr>
        <w:t>t</w:t>
      </w:r>
      <w:r w:rsidR="00BA72D3" w:rsidRPr="00B10669">
        <w:rPr>
          <w:rFonts w:ascii="Times New Roman" w:hAnsi="Times New Roman"/>
          <w:sz w:val="24"/>
          <w:szCs w:val="24"/>
          <w:lang w:val="es-ES_tradnl"/>
        </w:rPr>
        <w:t xml:space="preserve">al es el caso del corredor Pacífico </w:t>
      </w:r>
      <w:r w:rsidR="005900F2" w:rsidRPr="00B10669">
        <w:rPr>
          <w:rFonts w:ascii="Times New Roman" w:hAnsi="Times New Roman"/>
          <w:sz w:val="24"/>
          <w:szCs w:val="24"/>
          <w:lang w:val="es-ES_tradnl"/>
        </w:rPr>
        <w:t>el cual atraviesa Panamá de Este a Oeste, y es fundamental para las relaciones comerciales entre México</w:t>
      </w:r>
      <w:r w:rsidR="00946142">
        <w:rPr>
          <w:rFonts w:ascii="Times New Roman" w:hAnsi="Times New Roman"/>
          <w:sz w:val="24"/>
          <w:szCs w:val="24"/>
          <w:lang w:val="es-ES_tradnl"/>
        </w:rPr>
        <w:t>,</w:t>
      </w:r>
      <w:r w:rsidR="005900F2" w:rsidRPr="00B10669">
        <w:rPr>
          <w:rFonts w:ascii="Times New Roman" w:hAnsi="Times New Roman"/>
          <w:sz w:val="24"/>
          <w:szCs w:val="24"/>
          <w:lang w:val="es-ES_tradnl"/>
        </w:rPr>
        <w:t xml:space="preserve"> la Zona Libre de Colón y con el resto de los países mesoamericanos.</w:t>
      </w:r>
    </w:p>
    <w:p w14:paraId="335DE8C5" w14:textId="2DC5D305" w:rsidR="00946142" w:rsidRDefault="00946142" w:rsidP="00946142">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460AFFA4" w14:textId="06CDA3E7" w:rsidR="00D00ADD" w:rsidRPr="0024527D" w:rsidRDefault="00D00ADD" w:rsidP="008F28A6">
      <w:pPr>
        <w:pStyle w:val="ListParagraph"/>
        <w:tabs>
          <w:tab w:val="left" w:pos="270"/>
          <w:tab w:val="left" w:pos="360"/>
          <w:tab w:val="left" w:pos="450"/>
          <w:tab w:val="left" w:pos="2085"/>
        </w:tabs>
        <w:spacing w:after="0" w:line="240" w:lineRule="auto"/>
        <w:ind w:left="90"/>
        <w:jc w:val="both"/>
        <w:rPr>
          <w:rFonts w:ascii="Times New Roman" w:hAnsi="Times New Roman"/>
          <w:b/>
          <w:sz w:val="24"/>
          <w:szCs w:val="24"/>
          <w:u w:val="single"/>
          <w:lang w:val="es-ES"/>
        </w:rPr>
      </w:pPr>
      <w:r w:rsidRPr="0024527D">
        <w:rPr>
          <w:rFonts w:ascii="Times New Roman" w:hAnsi="Times New Roman"/>
          <w:b/>
          <w:sz w:val="24"/>
          <w:szCs w:val="24"/>
          <w:u w:val="single"/>
          <w:lang w:val="es-ES"/>
        </w:rPr>
        <w:t>Integración y logística</w:t>
      </w:r>
    </w:p>
    <w:p w14:paraId="3DDF030B" w14:textId="77777777" w:rsidR="008F28A6" w:rsidRDefault="008F28A6" w:rsidP="008F28A6">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19DF659A" w14:textId="6CB3DAD1" w:rsidR="00604E5C" w:rsidRDefault="00432BA1" w:rsidP="00604E5C">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604E5C">
        <w:rPr>
          <w:rFonts w:ascii="Times New Roman" w:hAnsi="Times New Roman"/>
          <w:sz w:val="24"/>
          <w:szCs w:val="24"/>
          <w:lang w:val="es-ES"/>
        </w:rPr>
        <w:t xml:space="preserve"> </w:t>
      </w:r>
      <w:r w:rsidR="0082323D" w:rsidRPr="00604E5C">
        <w:rPr>
          <w:rFonts w:ascii="Times New Roman" w:hAnsi="Times New Roman"/>
          <w:sz w:val="24"/>
          <w:szCs w:val="24"/>
          <w:lang w:val="es-ES"/>
        </w:rPr>
        <w:t xml:space="preserve">La logística </w:t>
      </w:r>
      <w:r w:rsidR="00254AA3" w:rsidRPr="00604E5C">
        <w:rPr>
          <w:rFonts w:ascii="Times New Roman" w:hAnsi="Times New Roman"/>
          <w:sz w:val="24"/>
          <w:szCs w:val="24"/>
          <w:lang w:val="es-ES"/>
        </w:rPr>
        <w:t>es relevante para el comercio regional y global debido a que</w:t>
      </w:r>
      <w:r w:rsidR="00611A61">
        <w:rPr>
          <w:rFonts w:ascii="Times New Roman" w:hAnsi="Times New Roman"/>
          <w:sz w:val="24"/>
          <w:szCs w:val="24"/>
          <w:lang w:val="es-ES"/>
        </w:rPr>
        <w:t xml:space="preserve">su objeto es movilizar los </w:t>
      </w:r>
      <w:r w:rsidR="00254AA3" w:rsidRPr="00604E5C">
        <w:rPr>
          <w:rFonts w:ascii="Times New Roman" w:hAnsi="Times New Roman"/>
          <w:sz w:val="24"/>
          <w:szCs w:val="24"/>
          <w:lang w:val="es-ES"/>
        </w:rPr>
        <w:t>bienes en la economía</w:t>
      </w:r>
      <w:r w:rsidR="00611A61">
        <w:rPr>
          <w:rFonts w:ascii="Times New Roman" w:hAnsi="Times New Roman"/>
          <w:sz w:val="24"/>
          <w:szCs w:val="24"/>
          <w:lang w:val="es-ES"/>
        </w:rPr>
        <w:t xml:space="preserve"> y sus</w:t>
      </w:r>
      <w:r w:rsidR="00254AA3" w:rsidRPr="00604E5C">
        <w:rPr>
          <w:rFonts w:ascii="Times New Roman" w:hAnsi="Times New Roman"/>
          <w:sz w:val="24"/>
          <w:szCs w:val="24"/>
          <w:lang w:val="es-ES"/>
        </w:rPr>
        <w:t>flujos agregados. El rol de la logística se puede definir como un conjunto de procesos y funciones que forman parte de la gestión de las cadenas de abastecimient</w:t>
      </w:r>
      <w:r w:rsidR="00A67728" w:rsidRPr="00604E5C">
        <w:rPr>
          <w:rFonts w:ascii="Times New Roman" w:hAnsi="Times New Roman"/>
          <w:sz w:val="24"/>
          <w:szCs w:val="24"/>
          <w:lang w:val="es-ES"/>
        </w:rPr>
        <w:t xml:space="preserve">o, lo cual concentra el flujo de materiales a lo largo de cadenas de valor, enlazando diversas unidades de producción, comercialización y consumo. </w:t>
      </w:r>
      <w:r w:rsidR="00E851D2">
        <w:rPr>
          <w:rFonts w:ascii="Times New Roman" w:hAnsi="Times New Roman"/>
          <w:sz w:val="24"/>
          <w:szCs w:val="24"/>
          <w:lang w:val="es-ES"/>
        </w:rPr>
        <w:t>La logística t</w:t>
      </w:r>
      <w:r w:rsidR="001A3D15" w:rsidRPr="00604E5C">
        <w:rPr>
          <w:rFonts w:ascii="Times New Roman" w:hAnsi="Times New Roman"/>
          <w:sz w:val="24"/>
          <w:szCs w:val="24"/>
          <w:lang w:val="es-ES"/>
        </w:rPr>
        <w:t xml:space="preserve">iene </w:t>
      </w:r>
      <w:r w:rsidR="00E851D2">
        <w:rPr>
          <w:rFonts w:ascii="Times New Roman" w:hAnsi="Times New Roman"/>
          <w:sz w:val="24"/>
          <w:szCs w:val="24"/>
          <w:lang w:val="es-ES"/>
        </w:rPr>
        <w:t>un</w:t>
      </w:r>
      <w:r w:rsidR="00E851D2" w:rsidRPr="00604E5C">
        <w:rPr>
          <w:rFonts w:ascii="Times New Roman" w:hAnsi="Times New Roman"/>
          <w:sz w:val="24"/>
          <w:szCs w:val="24"/>
          <w:lang w:val="es-ES"/>
        </w:rPr>
        <w:t xml:space="preserve"> </w:t>
      </w:r>
      <w:r w:rsidR="001A3D15" w:rsidRPr="00604E5C">
        <w:rPr>
          <w:rFonts w:ascii="Times New Roman" w:hAnsi="Times New Roman"/>
          <w:sz w:val="24"/>
          <w:szCs w:val="24"/>
          <w:lang w:val="es-ES"/>
        </w:rPr>
        <w:t xml:space="preserve">componente </w:t>
      </w:r>
      <w:r w:rsidR="001A3D15" w:rsidRPr="00604E5C">
        <w:rPr>
          <w:rFonts w:ascii="Times New Roman" w:hAnsi="Times New Roman"/>
          <w:i/>
          <w:sz w:val="24"/>
          <w:szCs w:val="24"/>
          <w:lang w:val="es-ES"/>
        </w:rPr>
        <w:t xml:space="preserve">hard </w:t>
      </w:r>
      <w:r w:rsidR="001A3D15" w:rsidRPr="00604E5C">
        <w:rPr>
          <w:rFonts w:ascii="Times New Roman" w:hAnsi="Times New Roman"/>
          <w:sz w:val="24"/>
          <w:szCs w:val="24"/>
          <w:lang w:val="es-ES"/>
        </w:rPr>
        <w:t>relacionado a la</w:t>
      </w:r>
      <w:r w:rsidR="00522898" w:rsidRPr="00604E5C">
        <w:rPr>
          <w:rFonts w:ascii="Times New Roman" w:hAnsi="Times New Roman"/>
          <w:sz w:val="24"/>
          <w:szCs w:val="24"/>
          <w:lang w:val="es-ES"/>
        </w:rPr>
        <w:t xml:space="preserve"> calidad de la</w:t>
      </w:r>
      <w:r w:rsidR="001A3D15" w:rsidRPr="00604E5C">
        <w:rPr>
          <w:rFonts w:ascii="Times New Roman" w:hAnsi="Times New Roman"/>
          <w:sz w:val="24"/>
          <w:szCs w:val="24"/>
          <w:lang w:val="es-ES"/>
        </w:rPr>
        <w:t xml:space="preserve"> infraestructura y los servicios de transporte</w:t>
      </w:r>
      <w:r w:rsidR="008E29C6" w:rsidRPr="00604E5C">
        <w:rPr>
          <w:rFonts w:ascii="Times New Roman" w:hAnsi="Times New Roman"/>
          <w:sz w:val="24"/>
          <w:szCs w:val="24"/>
          <w:lang w:val="es-ES"/>
        </w:rPr>
        <w:t xml:space="preserve"> y almacenamiento a lo largo de todo el proceso productivo</w:t>
      </w:r>
      <w:r w:rsidR="001A3D15" w:rsidRPr="00604E5C">
        <w:rPr>
          <w:rFonts w:ascii="Times New Roman" w:hAnsi="Times New Roman"/>
          <w:sz w:val="24"/>
          <w:szCs w:val="24"/>
          <w:lang w:val="es-ES"/>
        </w:rPr>
        <w:t xml:space="preserve">, como </w:t>
      </w:r>
      <w:r w:rsidR="006D4759" w:rsidRPr="00604E5C">
        <w:rPr>
          <w:rFonts w:ascii="Times New Roman" w:hAnsi="Times New Roman"/>
          <w:sz w:val="24"/>
          <w:szCs w:val="24"/>
          <w:lang w:val="es-ES"/>
        </w:rPr>
        <w:t>también</w:t>
      </w:r>
      <w:r w:rsidR="001A3D15" w:rsidRPr="00604E5C">
        <w:rPr>
          <w:rFonts w:ascii="Times New Roman" w:hAnsi="Times New Roman"/>
          <w:sz w:val="24"/>
          <w:szCs w:val="24"/>
          <w:lang w:val="es-ES"/>
        </w:rPr>
        <w:t xml:space="preserve"> </w:t>
      </w:r>
      <w:r w:rsidR="00522898" w:rsidRPr="00604E5C">
        <w:rPr>
          <w:rFonts w:ascii="Times New Roman" w:hAnsi="Times New Roman"/>
          <w:sz w:val="24"/>
          <w:szCs w:val="24"/>
          <w:lang w:val="es-ES"/>
        </w:rPr>
        <w:t xml:space="preserve">un </w:t>
      </w:r>
      <w:r w:rsidR="001A3D15" w:rsidRPr="00604E5C">
        <w:rPr>
          <w:rFonts w:ascii="Times New Roman" w:hAnsi="Times New Roman"/>
          <w:sz w:val="24"/>
          <w:szCs w:val="24"/>
          <w:lang w:val="es-ES"/>
        </w:rPr>
        <w:t xml:space="preserve">componente </w:t>
      </w:r>
      <w:r w:rsidR="001A3D15" w:rsidRPr="00604E5C">
        <w:rPr>
          <w:rFonts w:ascii="Times New Roman" w:hAnsi="Times New Roman"/>
          <w:i/>
          <w:sz w:val="24"/>
          <w:szCs w:val="24"/>
          <w:lang w:val="es-ES"/>
        </w:rPr>
        <w:t>soft</w:t>
      </w:r>
      <w:r w:rsidR="001A3D15" w:rsidRPr="00604E5C">
        <w:rPr>
          <w:rFonts w:ascii="Times New Roman" w:hAnsi="Times New Roman"/>
          <w:sz w:val="24"/>
          <w:szCs w:val="24"/>
          <w:lang w:val="es-ES"/>
        </w:rPr>
        <w:t xml:space="preserve"> </w:t>
      </w:r>
      <w:r w:rsidR="00E851D2">
        <w:rPr>
          <w:rFonts w:ascii="Times New Roman" w:hAnsi="Times New Roman"/>
          <w:sz w:val="24"/>
          <w:szCs w:val="24"/>
          <w:lang w:val="es-ES"/>
        </w:rPr>
        <w:t xml:space="preserve">o de procesos </w:t>
      </w:r>
      <w:r w:rsidR="001A3D15" w:rsidRPr="00604E5C">
        <w:rPr>
          <w:rFonts w:ascii="Times New Roman" w:hAnsi="Times New Roman"/>
          <w:sz w:val="24"/>
          <w:szCs w:val="24"/>
          <w:lang w:val="es-ES"/>
        </w:rPr>
        <w:t xml:space="preserve">de facilitación comercial </w:t>
      </w:r>
      <w:r w:rsidR="00CF3A30" w:rsidRPr="00604E5C">
        <w:rPr>
          <w:rFonts w:ascii="Times New Roman" w:hAnsi="Times New Roman"/>
          <w:sz w:val="24"/>
          <w:szCs w:val="24"/>
          <w:lang w:val="es-ES"/>
        </w:rPr>
        <w:t>trámites aduaneros,</w:t>
      </w:r>
      <w:r w:rsidR="001A3D15" w:rsidRPr="00604E5C">
        <w:rPr>
          <w:rFonts w:ascii="Times New Roman" w:hAnsi="Times New Roman"/>
          <w:sz w:val="24"/>
          <w:szCs w:val="24"/>
          <w:lang w:val="es-ES"/>
        </w:rPr>
        <w:t xml:space="preserve"> </w:t>
      </w:r>
      <w:r w:rsidR="006D4759" w:rsidRPr="00604E5C">
        <w:rPr>
          <w:rFonts w:ascii="Times New Roman" w:hAnsi="Times New Roman"/>
          <w:sz w:val="24"/>
          <w:szCs w:val="24"/>
          <w:lang w:val="es-ES"/>
        </w:rPr>
        <w:t>inspecciones y aspectos de seguridad.</w:t>
      </w:r>
    </w:p>
    <w:p w14:paraId="5555B516" w14:textId="77777777" w:rsidR="00604E5C" w:rsidRDefault="00604E5C" w:rsidP="00604E5C">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415D802B" w14:textId="17C642D2" w:rsidR="004148D5" w:rsidRDefault="001E10DC" w:rsidP="004148D5">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C6196B">
        <w:rPr>
          <w:rFonts w:ascii="Times New Roman" w:hAnsi="Times New Roman"/>
          <w:sz w:val="24"/>
          <w:szCs w:val="24"/>
          <w:lang w:val="es-ES"/>
        </w:rPr>
        <w:t xml:space="preserve">A grandes rasgos, la estrategia de Panamá en el ámbito logístico es seguir desarrollando </w:t>
      </w:r>
      <w:r w:rsidRPr="00432976">
        <w:rPr>
          <w:rFonts w:ascii="Times New Roman" w:hAnsi="Times New Roman"/>
          <w:i/>
          <w:sz w:val="24"/>
          <w:szCs w:val="24"/>
          <w:lang w:val="es-ES"/>
        </w:rPr>
        <w:t>Servicios Logísticos de Valor A</w:t>
      </w:r>
      <w:r w:rsidR="00432976">
        <w:rPr>
          <w:rFonts w:ascii="Times New Roman" w:hAnsi="Times New Roman"/>
          <w:i/>
          <w:sz w:val="24"/>
          <w:szCs w:val="24"/>
          <w:lang w:val="es-ES"/>
        </w:rPr>
        <w:t>gregado</w:t>
      </w:r>
      <w:r w:rsidR="00F302E5">
        <w:rPr>
          <w:rStyle w:val="FootnoteReference"/>
          <w:szCs w:val="24"/>
          <w:lang w:val="es-ES"/>
        </w:rPr>
        <w:footnoteReference w:id="11"/>
      </w:r>
      <w:r w:rsidRPr="00C6196B">
        <w:rPr>
          <w:rFonts w:ascii="Times New Roman" w:hAnsi="Times New Roman"/>
          <w:sz w:val="24"/>
          <w:szCs w:val="24"/>
          <w:lang w:val="es-ES"/>
        </w:rPr>
        <w:t xml:space="preserve">, principalmente en sectores como farmacia y transporte y equipamientos las cuales se realizan principalmente en la zona libre de Colón. </w:t>
      </w:r>
      <w:r w:rsidR="00EF702D" w:rsidRPr="00C6196B">
        <w:rPr>
          <w:rFonts w:ascii="Times New Roman" w:hAnsi="Times New Roman"/>
          <w:sz w:val="24"/>
          <w:szCs w:val="24"/>
          <w:lang w:val="es-ES"/>
        </w:rPr>
        <w:t xml:space="preserve">Así como también existe un enfoque claro en mejorar el funcionamiento de todo el sistema logístico: mejora en la </w:t>
      </w:r>
      <w:r w:rsidR="00EF702D" w:rsidRPr="00C6196B">
        <w:rPr>
          <w:rFonts w:ascii="Times New Roman" w:hAnsi="Times New Roman"/>
          <w:sz w:val="24"/>
          <w:szCs w:val="24"/>
          <w:lang w:val="es-ES"/>
        </w:rPr>
        <w:lastRenderedPageBreak/>
        <w:t xml:space="preserve">conectividad global, integración de procesos y sistemas, fluidez de transporte, marco jurídico y fiscal adecuado y buen entorno de negocios. Todo lo anterior, enfocado a consolidar un Hub logístico bidireccional de cara al mercado global. </w:t>
      </w:r>
      <w:r w:rsidR="002A5E9A" w:rsidRPr="00C6196B">
        <w:rPr>
          <w:rFonts w:ascii="Times New Roman" w:hAnsi="Times New Roman"/>
          <w:sz w:val="24"/>
          <w:szCs w:val="24"/>
          <w:lang w:val="es-ES"/>
        </w:rPr>
        <w:t>Adicionalmente</w:t>
      </w:r>
      <w:r w:rsidR="008C07B5" w:rsidRPr="00C6196B">
        <w:rPr>
          <w:rFonts w:ascii="Times New Roman" w:hAnsi="Times New Roman"/>
          <w:sz w:val="24"/>
          <w:szCs w:val="24"/>
          <w:lang w:val="es-ES"/>
        </w:rPr>
        <w:t>, intensificar la conexión con Centroamérica</w:t>
      </w:r>
      <w:r w:rsidR="00C6196B" w:rsidRPr="00C6196B">
        <w:rPr>
          <w:rFonts w:ascii="Times New Roman" w:hAnsi="Times New Roman"/>
          <w:sz w:val="24"/>
          <w:szCs w:val="24"/>
          <w:lang w:val="es-ES"/>
        </w:rPr>
        <w:t xml:space="preserve">, </w:t>
      </w:r>
      <w:r w:rsidR="00D64745">
        <w:rPr>
          <w:rFonts w:ascii="Times New Roman" w:hAnsi="Times New Roman"/>
          <w:sz w:val="24"/>
          <w:szCs w:val="24"/>
          <w:lang w:val="es-ES"/>
        </w:rPr>
        <w:t xml:space="preserve">donde </w:t>
      </w:r>
      <w:r w:rsidR="00CE261C">
        <w:rPr>
          <w:rFonts w:ascii="Times New Roman" w:hAnsi="Times New Roman"/>
          <w:sz w:val="24"/>
          <w:szCs w:val="24"/>
          <w:lang w:val="es-ES"/>
        </w:rPr>
        <w:t>l</w:t>
      </w:r>
      <w:r w:rsidR="00C6196B" w:rsidRPr="00C6196B">
        <w:rPr>
          <w:rFonts w:ascii="Times New Roman" w:hAnsi="Times New Roman"/>
          <w:sz w:val="24"/>
          <w:szCs w:val="24"/>
          <w:lang w:val="es-ES"/>
        </w:rPr>
        <w:t xml:space="preserve">os “drivers” de ese proceso de integración serían: </w:t>
      </w:r>
      <w:r w:rsidR="00F97037" w:rsidRPr="00C6196B">
        <w:rPr>
          <w:rFonts w:ascii="Times New Roman" w:hAnsi="Times New Roman"/>
          <w:sz w:val="24"/>
          <w:szCs w:val="24"/>
          <w:lang w:val="es-ES"/>
        </w:rPr>
        <w:t>agro logística</w:t>
      </w:r>
      <w:r w:rsidR="00C6196B" w:rsidRPr="00C6196B">
        <w:rPr>
          <w:rFonts w:ascii="Times New Roman" w:hAnsi="Times New Roman"/>
          <w:sz w:val="24"/>
          <w:szCs w:val="24"/>
          <w:lang w:val="es-ES"/>
        </w:rPr>
        <w:t>, la mejora de la conectividad y accesibilidad territorial, y el sector del transporte de carga por carretera, “columna vertebral” y social del sistema logístico nacional</w:t>
      </w:r>
      <w:r w:rsidR="002A43D2">
        <w:rPr>
          <w:rFonts w:ascii="Times New Roman" w:hAnsi="Times New Roman"/>
          <w:sz w:val="24"/>
          <w:szCs w:val="24"/>
          <w:lang w:val="es-ES"/>
        </w:rPr>
        <w:t xml:space="preserve"> afectando a las principales cadenas productivas mesoamericanas</w:t>
      </w:r>
      <w:r w:rsidR="00F302E5">
        <w:rPr>
          <w:rFonts w:ascii="Times New Roman" w:hAnsi="Times New Roman"/>
          <w:sz w:val="24"/>
          <w:szCs w:val="24"/>
          <w:lang w:val="es-ES"/>
        </w:rPr>
        <w:t xml:space="preserve"> (Ver Figura No. 8)</w:t>
      </w:r>
      <w:r w:rsidR="00C6196B" w:rsidRPr="00C6196B">
        <w:rPr>
          <w:rFonts w:ascii="Times New Roman" w:hAnsi="Times New Roman"/>
          <w:sz w:val="24"/>
          <w:szCs w:val="24"/>
          <w:lang w:val="es-ES"/>
        </w:rPr>
        <w:t>.</w:t>
      </w:r>
      <w:r w:rsidR="00D57607">
        <w:rPr>
          <w:rFonts w:ascii="Times New Roman" w:hAnsi="Times New Roman"/>
          <w:sz w:val="24"/>
          <w:szCs w:val="24"/>
          <w:lang w:val="es-ES"/>
        </w:rPr>
        <w:t xml:space="preserve"> </w:t>
      </w:r>
    </w:p>
    <w:p w14:paraId="3F54B1F8" w14:textId="2F3C5607" w:rsidR="00823E10" w:rsidRDefault="00823E10" w:rsidP="00823E1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058680C9" w14:textId="38D32885" w:rsidR="00823E10" w:rsidRPr="002A43D2" w:rsidRDefault="00823E10" w:rsidP="00823E10">
      <w:pPr>
        <w:tabs>
          <w:tab w:val="left" w:pos="270"/>
          <w:tab w:val="left" w:pos="360"/>
          <w:tab w:val="left" w:pos="450"/>
          <w:tab w:val="left" w:pos="2085"/>
        </w:tabs>
        <w:spacing w:after="0" w:line="240" w:lineRule="auto"/>
        <w:jc w:val="center"/>
        <w:rPr>
          <w:rFonts w:ascii="Times New Roman" w:hAnsi="Times New Roman"/>
          <w:b/>
          <w:color w:val="3B3838" w:themeColor="background2" w:themeShade="40"/>
          <w:sz w:val="24"/>
          <w:szCs w:val="24"/>
          <w:lang w:val="es-ES_tradnl"/>
        </w:rPr>
      </w:pPr>
      <w:r w:rsidRPr="002A43D2">
        <w:rPr>
          <w:rFonts w:ascii="Times New Roman" w:hAnsi="Times New Roman"/>
          <w:b/>
          <w:color w:val="3B3838" w:themeColor="background2" w:themeShade="40"/>
          <w:sz w:val="24"/>
          <w:szCs w:val="24"/>
          <w:lang w:val="es-ES_tradnl"/>
        </w:rPr>
        <w:t>Figura No</w:t>
      </w:r>
      <w:r>
        <w:rPr>
          <w:rFonts w:ascii="Times New Roman" w:hAnsi="Times New Roman"/>
          <w:b/>
          <w:color w:val="3B3838" w:themeColor="background2" w:themeShade="40"/>
          <w:sz w:val="24"/>
          <w:szCs w:val="24"/>
          <w:lang w:val="es-ES_tradnl"/>
        </w:rPr>
        <w:t xml:space="preserve"> </w:t>
      </w:r>
      <w:r w:rsidR="00F302E5">
        <w:rPr>
          <w:rFonts w:ascii="Times New Roman" w:hAnsi="Times New Roman"/>
          <w:b/>
          <w:color w:val="3B3838" w:themeColor="background2" w:themeShade="40"/>
          <w:sz w:val="24"/>
          <w:szCs w:val="24"/>
          <w:lang w:val="es-ES_tradnl"/>
        </w:rPr>
        <w:t>8</w:t>
      </w:r>
      <w:r w:rsidRPr="002A43D2">
        <w:rPr>
          <w:rFonts w:ascii="Times New Roman" w:hAnsi="Times New Roman"/>
          <w:b/>
          <w:color w:val="3B3838" w:themeColor="background2" w:themeShade="40"/>
          <w:sz w:val="24"/>
          <w:szCs w:val="24"/>
          <w:lang w:val="es-ES_tradnl"/>
        </w:rPr>
        <w:t>. Principales cadenas mesoamericanas:</w:t>
      </w:r>
    </w:p>
    <w:p w14:paraId="14075CFD" w14:textId="77777777" w:rsidR="00823E10" w:rsidRDefault="00823E10" w:rsidP="00823E10">
      <w:pPr>
        <w:tabs>
          <w:tab w:val="left" w:pos="270"/>
          <w:tab w:val="left" w:pos="360"/>
          <w:tab w:val="left" w:pos="450"/>
          <w:tab w:val="left" w:pos="2085"/>
        </w:tabs>
        <w:spacing w:after="0" w:line="240" w:lineRule="auto"/>
        <w:jc w:val="both"/>
        <w:rPr>
          <w:rFonts w:ascii="Times New Roman" w:hAnsi="Times New Roman"/>
          <w:sz w:val="24"/>
          <w:szCs w:val="24"/>
          <w:lang w:val="es-ES"/>
        </w:rPr>
      </w:pPr>
    </w:p>
    <w:tbl>
      <w:tblPr>
        <w:tblStyle w:val="TableGridLight"/>
        <w:tblW w:w="7020" w:type="dxa"/>
        <w:tblInd w:w="1162" w:type="dxa"/>
        <w:tblLook w:val="04A0" w:firstRow="1" w:lastRow="0" w:firstColumn="1" w:lastColumn="0" w:noHBand="0" w:noVBand="1"/>
      </w:tblPr>
      <w:tblGrid>
        <w:gridCol w:w="3080"/>
        <w:gridCol w:w="3940"/>
      </w:tblGrid>
      <w:tr w:rsidR="00823E10" w:rsidRPr="00D57607" w14:paraId="332DEC8B" w14:textId="77777777" w:rsidTr="00F302E5">
        <w:trPr>
          <w:trHeight w:val="300"/>
        </w:trPr>
        <w:tc>
          <w:tcPr>
            <w:tcW w:w="3080" w:type="dxa"/>
            <w:hideMark/>
          </w:tcPr>
          <w:p w14:paraId="798711B3"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Medicamentos</w:t>
            </w:r>
          </w:p>
        </w:tc>
        <w:tc>
          <w:tcPr>
            <w:tcW w:w="3940" w:type="dxa"/>
            <w:hideMark/>
          </w:tcPr>
          <w:p w14:paraId="4DBEFE48"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Carne bovina</w:t>
            </w:r>
          </w:p>
        </w:tc>
      </w:tr>
      <w:tr w:rsidR="00823E10" w:rsidRPr="00D57607" w14:paraId="7631AC79" w14:textId="77777777" w:rsidTr="00F302E5">
        <w:trPr>
          <w:trHeight w:val="300"/>
        </w:trPr>
        <w:tc>
          <w:tcPr>
            <w:tcW w:w="3080" w:type="dxa"/>
            <w:hideMark/>
          </w:tcPr>
          <w:p w14:paraId="03D868EA"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Pescado</w:t>
            </w:r>
          </w:p>
        </w:tc>
        <w:tc>
          <w:tcPr>
            <w:tcW w:w="3940" w:type="dxa"/>
            <w:hideMark/>
          </w:tcPr>
          <w:p w14:paraId="203D9960"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Lácteos y derivados</w:t>
            </w:r>
          </w:p>
        </w:tc>
      </w:tr>
      <w:tr w:rsidR="00823E10" w:rsidRPr="00D57607" w14:paraId="17AD7746" w14:textId="77777777" w:rsidTr="00F302E5">
        <w:trPr>
          <w:trHeight w:val="300"/>
        </w:trPr>
        <w:tc>
          <w:tcPr>
            <w:tcW w:w="3080" w:type="dxa"/>
            <w:hideMark/>
          </w:tcPr>
          <w:p w14:paraId="6AB28B6D"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Papel y prensa</w:t>
            </w:r>
          </w:p>
        </w:tc>
        <w:tc>
          <w:tcPr>
            <w:tcW w:w="3940" w:type="dxa"/>
            <w:hideMark/>
          </w:tcPr>
          <w:p w14:paraId="5E9BBCF9"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Calzado (ZLC)</w:t>
            </w:r>
          </w:p>
        </w:tc>
      </w:tr>
      <w:tr w:rsidR="00823E10" w:rsidRPr="00007B13" w14:paraId="0C7FFDE0" w14:textId="77777777" w:rsidTr="00F302E5">
        <w:trPr>
          <w:trHeight w:val="300"/>
        </w:trPr>
        <w:tc>
          <w:tcPr>
            <w:tcW w:w="3080" w:type="dxa"/>
            <w:hideMark/>
          </w:tcPr>
          <w:p w14:paraId="74C57199"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Envases de papel y cartón</w:t>
            </w:r>
          </w:p>
        </w:tc>
        <w:tc>
          <w:tcPr>
            <w:tcW w:w="3940" w:type="dxa"/>
            <w:hideMark/>
          </w:tcPr>
          <w:p w14:paraId="55A3EB20"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Productos de belleza y cosméticos (ZLC)</w:t>
            </w:r>
          </w:p>
        </w:tc>
      </w:tr>
      <w:tr w:rsidR="00823E10" w:rsidRPr="00D57607" w14:paraId="3803B815" w14:textId="77777777" w:rsidTr="00F302E5">
        <w:trPr>
          <w:trHeight w:val="300"/>
        </w:trPr>
        <w:tc>
          <w:tcPr>
            <w:tcW w:w="3080" w:type="dxa"/>
            <w:hideMark/>
          </w:tcPr>
          <w:p w14:paraId="253B2649"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Depósitos de aluminio</w:t>
            </w:r>
          </w:p>
        </w:tc>
        <w:tc>
          <w:tcPr>
            <w:tcW w:w="3940" w:type="dxa"/>
            <w:hideMark/>
          </w:tcPr>
          <w:p w14:paraId="693882ED"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Monitores y proyectores (ZLC)</w:t>
            </w:r>
          </w:p>
        </w:tc>
      </w:tr>
      <w:tr w:rsidR="00823E10" w:rsidRPr="00D57607" w14:paraId="3EA51A47" w14:textId="77777777" w:rsidTr="00F302E5">
        <w:trPr>
          <w:trHeight w:val="300"/>
        </w:trPr>
        <w:tc>
          <w:tcPr>
            <w:tcW w:w="3080" w:type="dxa"/>
            <w:hideMark/>
          </w:tcPr>
          <w:p w14:paraId="01B9CC62"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r w:rsidRPr="00F302E5">
              <w:rPr>
                <w:rFonts w:ascii="Arial" w:eastAsia="Times New Roman" w:hAnsi="Arial" w:cs="Arial"/>
                <w:b/>
                <w:color w:val="1F3864" w:themeColor="accent5" w:themeShade="80"/>
                <w:sz w:val="18"/>
                <w:szCs w:val="18"/>
                <w:lang w:val="es-ES_tradnl" w:eastAsia="es-ES_tradnl"/>
              </w:rPr>
              <w:t>Textil y confecciones (ZLC)</w:t>
            </w:r>
          </w:p>
        </w:tc>
        <w:tc>
          <w:tcPr>
            <w:tcW w:w="3940" w:type="dxa"/>
            <w:hideMark/>
          </w:tcPr>
          <w:p w14:paraId="4FE27B68" w14:textId="77777777" w:rsidR="00823E10" w:rsidRPr="00F302E5" w:rsidRDefault="00823E10" w:rsidP="00F302E5">
            <w:pPr>
              <w:jc w:val="center"/>
              <w:rPr>
                <w:rFonts w:ascii="Arial" w:eastAsia="Times New Roman" w:hAnsi="Arial" w:cs="Arial"/>
                <w:b/>
                <w:color w:val="1F3864" w:themeColor="accent5" w:themeShade="80"/>
                <w:sz w:val="18"/>
                <w:szCs w:val="18"/>
                <w:lang w:val="es-ES_tradnl" w:eastAsia="es-ES_tradnl"/>
              </w:rPr>
            </w:pPr>
          </w:p>
        </w:tc>
      </w:tr>
    </w:tbl>
    <w:p w14:paraId="5EEDE9F0" w14:textId="77777777" w:rsidR="00823E10" w:rsidRPr="00DD5244" w:rsidRDefault="00823E10" w:rsidP="00823E10">
      <w:pPr>
        <w:tabs>
          <w:tab w:val="left" w:pos="270"/>
          <w:tab w:val="left" w:pos="360"/>
          <w:tab w:val="left" w:pos="450"/>
          <w:tab w:val="left" w:pos="2085"/>
        </w:tabs>
        <w:spacing w:after="0" w:line="240" w:lineRule="auto"/>
        <w:jc w:val="center"/>
        <w:rPr>
          <w:rFonts w:ascii="Times New Roman" w:hAnsi="Times New Roman"/>
          <w:i/>
          <w:szCs w:val="24"/>
          <w:lang w:val="es-ES"/>
        </w:rPr>
      </w:pPr>
      <w:r w:rsidRPr="00DD5244">
        <w:rPr>
          <w:rFonts w:ascii="Times New Roman" w:hAnsi="Times New Roman"/>
          <w:i/>
          <w:szCs w:val="24"/>
          <w:lang w:val="es-ES"/>
        </w:rPr>
        <w:t>Fuente: ALG</w:t>
      </w:r>
    </w:p>
    <w:p w14:paraId="6834755A" w14:textId="77777777" w:rsidR="00823E10" w:rsidRDefault="00823E10" w:rsidP="00823E1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7F59A35D" w14:textId="588FC87B" w:rsidR="007D34F6" w:rsidRPr="007D34F6" w:rsidRDefault="00176E84"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7D34F6">
        <w:rPr>
          <w:rFonts w:ascii="Times New Roman" w:hAnsi="Times New Roman"/>
          <w:sz w:val="24"/>
          <w:szCs w:val="24"/>
          <w:lang w:val="es-ES_tradnl"/>
        </w:rPr>
        <w:t>En relación con</w:t>
      </w:r>
      <w:r w:rsidR="005527BC" w:rsidRPr="007D34F6">
        <w:rPr>
          <w:rFonts w:ascii="Times New Roman" w:hAnsi="Times New Roman"/>
          <w:sz w:val="24"/>
          <w:szCs w:val="24"/>
          <w:lang w:val="es-ES_tradnl"/>
        </w:rPr>
        <w:t xml:space="preserve"> la infraestructura de transporte panameña, ésta se encuentra en buenas condiciones en términos generales, destacando el posicionamiento a nivel mundial de los puertos principales del país, ligados a la actividad del Canal de Panamá</w:t>
      </w:r>
      <w:r w:rsidR="00D64745">
        <w:rPr>
          <w:rStyle w:val="FootnoteReference"/>
          <w:szCs w:val="24"/>
          <w:lang w:val="es-ES_tradnl"/>
        </w:rPr>
        <w:footnoteReference w:id="12"/>
      </w:r>
      <w:r w:rsidR="005527BC" w:rsidRPr="007D34F6">
        <w:rPr>
          <w:rFonts w:ascii="Times New Roman" w:hAnsi="Times New Roman"/>
          <w:sz w:val="24"/>
          <w:szCs w:val="24"/>
          <w:lang w:val="es-ES_tradnl"/>
        </w:rPr>
        <w:t xml:space="preserve">. </w:t>
      </w:r>
      <w:r w:rsidR="006C5B52" w:rsidRPr="007D34F6">
        <w:rPr>
          <w:rFonts w:ascii="Times New Roman" w:hAnsi="Times New Roman"/>
          <w:sz w:val="24"/>
          <w:szCs w:val="24"/>
          <w:lang w:val="es-ES_tradnl"/>
        </w:rPr>
        <w:t>Como ya se mencionó, t</w:t>
      </w:r>
      <w:r w:rsidR="00E57101" w:rsidRPr="007D34F6">
        <w:rPr>
          <w:rFonts w:ascii="Times New Roman" w:hAnsi="Times New Roman"/>
          <w:sz w:val="24"/>
          <w:szCs w:val="24"/>
          <w:lang w:val="es-ES_tradnl"/>
        </w:rPr>
        <w:t xml:space="preserve">anto la red vial, como los procesos logísticos de Panamá son importantes para el comercio regional de los países de </w:t>
      </w:r>
      <w:r w:rsidR="00AA7518" w:rsidRPr="007D34F6">
        <w:rPr>
          <w:rFonts w:ascii="Times New Roman" w:hAnsi="Times New Roman"/>
          <w:sz w:val="24"/>
          <w:szCs w:val="24"/>
          <w:lang w:val="es-ES_tradnl"/>
        </w:rPr>
        <w:t>Mesoamérica</w:t>
      </w:r>
      <w:r w:rsidR="00E57101" w:rsidRPr="007D34F6">
        <w:rPr>
          <w:rFonts w:ascii="Times New Roman" w:hAnsi="Times New Roman"/>
          <w:sz w:val="24"/>
          <w:szCs w:val="24"/>
          <w:lang w:val="es-ES_tradnl"/>
        </w:rPr>
        <w:t xml:space="preserve"> y de América del Sur</w:t>
      </w:r>
      <w:r w:rsidR="002D6382">
        <w:rPr>
          <w:rFonts w:ascii="Times New Roman" w:hAnsi="Times New Roman"/>
          <w:sz w:val="24"/>
          <w:szCs w:val="24"/>
          <w:lang w:val="es-ES_tradnl"/>
        </w:rPr>
        <w:t>, y c</w:t>
      </w:r>
      <w:r w:rsidR="00A70713" w:rsidRPr="007D34F6">
        <w:rPr>
          <w:rFonts w:ascii="Times New Roman" w:hAnsi="Times New Roman"/>
          <w:sz w:val="24"/>
          <w:szCs w:val="24"/>
          <w:lang w:val="es-ES_tradnl"/>
        </w:rPr>
        <w:t>on respeto a los procesos l</w:t>
      </w:r>
      <w:r w:rsidR="0074768F" w:rsidRPr="007D34F6">
        <w:rPr>
          <w:rFonts w:ascii="Times New Roman" w:hAnsi="Times New Roman"/>
          <w:sz w:val="24"/>
          <w:szCs w:val="24"/>
          <w:lang w:val="es-ES_tradnl"/>
        </w:rPr>
        <w:t>ogístic</w:t>
      </w:r>
      <w:r w:rsidR="00A70713" w:rsidRPr="007D34F6">
        <w:rPr>
          <w:rFonts w:ascii="Times New Roman" w:hAnsi="Times New Roman"/>
          <w:sz w:val="24"/>
          <w:szCs w:val="24"/>
          <w:lang w:val="es-ES_tradnl"/>
        </w:rPr>
        <w:t>os</w:t>
      </w:r>
      <w:r w:rsidR="00C261BD" w:rsidRPr="007D34F6">
        <w:rPr>
          <w:rFonts w:ascii="Times New Roman" w:hAnsi="Times New Roman"/>
          <w:sz w:val="24"/>
          <w:szCs w:val="24"/>
          <w:lang w:val="es-ES_tradnl"/>
        </w:rPr>
        <w:t xml:space="preserve"> de Panamá</w:t>
      </w:r>
      <w:r w:rsidR="009008B9" w:rsidRPr="007D34F6">
        <w:rPr>
          <w:rFonts w:ascii="Times New Roman" w:hAnsi="Times New Roman"/>
          <w:sz w:val="24"/>
          <w:szCs w:val="24"/>
          <w:lang w:val="es-ES_tradnl"/>
        </w:rPr>
        <w:t xml:space="preserve">, el canal y </w:t>
      </w:r>
      <w:r w:rsidR="00A70713" w:rsidRPr="007D34F6">
        <w:rPr>
          <w:rFonts w:ascii="Times New Roman" w:hAnsi="Times New Roman"/>
          <w:sz w:val="24"/>
          <w:szCs w:val="24"/>
          <w:lang w:val="es-ES_tradnl"/>
        </w:rPr>
        <w:t xml:space="preserve">su vinculación con </w:t>
      </w:r>
      <w:r w:rsidR="009008B9" w:rsidRPr="007D34F6">
        <w:rPr>
          <w:rFonts w:ascii="Times New Roman" w:hAnsi="Times New Roman"/>
          <w:sz w:val="24"/>
          <w:szCs w:val="24"/>
          <w:lang w:val="es-ES_tradnl"/>
        </w:rPr>
        <w:t>el comercio regional</w:t>
      </w:r>
      <w:r w:rsidR="00A70713" w:rsidRPr="007D34F6">
        <w:rPr>
          <w:rFonts w:ascii="Times New Roman" w:hAnsi="Times New Roman"/>
          <w:sz w:val="24"/>
          <w:szCs w:val="24"/>
          <w:lang w:val="es-ES_tradnl"/>
        </w:rPr>
        <w:t>, cabe mencionar que</w:t>
      </w:r>
      <w:r w:rsidR="00D547FB" w:rsidRPr="007D34F6">
        <w:rPr>
          <w:rFonts w:ascii="Times New Roman" w:hAnsi="Times New Roman"/>
          <w:sz w:val="24"/>
          <w:szCs w:val="24"/>
          <w:lang w:val="es-ES_tradnl"/>
        </w:rPr>
        <w:t xml:space="preserve"> de los 15 principales países que movilizan su carga a través del </w:t>
      </w:r>
      <w:r w:rsidR="000878CE" w:rsidRPr="007D34F6">
        <w:rPr>
          <w:rFonts w:ascii="Times New Roman" w:hAnsi="Times New Roman"/>
          <w:sz w:val="24"/>
          <w:szCs w:val="24"/>
          <w:lang w:val="es-ES_tradnl"/>
        </w:rPr>
        <w:t>canal de Panamá</w:t>
      </w:r>
      <w:r w:rsidR="00D547FB" w:rsidRPr="007D34F6">
        <w:rPr>
          <w:rFonts w:ascii="Times New Roman" w:hAnsi="Times New Roman"/>
          <w:sz w:val="24"/>
          <w:szCs w:val="24"/>
          <w:lang w:val="es-ES_tradnl"/>
        </w:rPr>
        <w:t xml:space="preserve">, el </w:t>
      </w:r>
      <w:r w:rsidR="00A70713" w:rsidRPr="007D34F6">
        <w:rPr>
          <w:rFonts w:ascii="Times New Roman" w:hAnsi="Times New Roman"/>
          <w:sz w:val="24"/>
          <w:szCs w:val="24"/>
          <w:lang w:val="es-ES_tradnl"/>
        </w:rPr>
        <w:t>26%</w:t>
      </w:r>
      <w:r w:rsidR="000878CE" w:rsidRPr="007D34F6">
        <w:rPr>
          <w:rFonts w:ascii="Times New Roman" w:hAnsi="Times New Roman"/>
          <w:sz w:val="24"/>
          <w:szCs w:val="24"/>
          <w:lang w:val="es-ES_tradnl"/>
        </w:rPr>
        <w:t xml:space="preserve"> </w:t>
      </w:r>
      <w:r w:rsidR="00D547FB" w:rsidRPr="007D34F6">
        <w:rPr>
          <w:rFonts w:ascii="Times New Roman" w:hAnsi="Times New Roman"/>
          <w:sz w:val="24"/>
          <w:szCs w:val="24"/>
          <w:lang w:val="es-ES_tradnl"/>
        </w:rPr>
        <w:t xml:space="preserve">corresponde </w:t>
      </w:r>
      <w:r w:rsidR="009008B9" w:rsidRPr="007D34F6">
        <w:rPr>
          <w:rFonts w:ascii="Times New Roman" w:hAnsi="Times New Roman"/>
          <w:sz w:val="24"/>
          <w:szCs w:val="24"/>
          <w:lang w:val="es-ES_tradnl"/>
        </w:rPr>
        <w:t>a</w:t>
      </w:r>
      <w:r w:rsidR="00D547FB" w:rsidRPr="007D34F6">
        <w:rPr>
          <w:rFonts w:ascii="Times New Roman" w:hAnsi="Times New Roman"/>
          <w:sz w:val="24"/>
          <w:szCs w:val="24"/>
          <w:lang w:val="es-ES_tradnl"/>
        </w:rPr>
        <w:t xml:space="preserve"> carga de países mesoamericanos. </w:t>
      </w:r>
    </w:p>
    <w:p w14:paraId="3D47118C" w14:textId="77777777" w:rsidR="007D34F6" w:rsidRPr="007D34F6" w:rsidRDefault="007D34F6" w:rsidP="007D34F6">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519BBB4D" w14:textId="5588576C" w:rsidR="00443575" w:rsidRPr="003129C2" w:rsidRDefault="007D34F6"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3129C2">
        <w:rPr>
          <w:rFonts w:ascii="Times New Roman" w:hAnsi="Times New Roman"/>
          <w:sz w:val="24"/>
          <w:szCs w:val="24"/>
          <w:lang w:val="es-ES_tradnl"/>
        </w:rPr>
        <w:t>Para el caso de</w:t>
      </w:r>
      <w:r w:rsidR="00481079" w:rsidRPr="003129C2">
        <w:rPr>
          <w:rFonts w:ascii="Times New Roman" w:hAnsi="Times New Roman"/>
          <w:sz w:val="24"/>
          <w:szCs w:val="24"/>
          <w:lang w:val="es-ES_tradnl"/>
        </w:rPr>
        <w:t xml:space="preserve"> los países de Sur América, para Chile específicamente</w:t>
      </w:r>
      <w:r w:rsidR="002D6382">
        <w:rPr>
          <w:rFonts w:ascii="Times New Roman" w:hAnsi="Times New Roman"/>
          <w:sz w:val="24"/>
          <w:szCs w:val="24"/>
          <w:lang w:val="es-ES_tradnl"/>
        </w:rPr>
        <w:t>,</w:t>
      </w:r>
      <w:r w:rsidR="00481079" w:rsidRPr="003129C2">
        <w:rPr>
          <w:rFonts w:ascii="Times New Roman" w:hAnsi="Times New Roman"/>
          <w:sz w:val="24"/>
          <w:szCs w:val="24"/>
          <w:lang w:val="es-ES_tradnl"/>
        </w:rPr>
        <w:t xml:space="preserve"> los sistemas logísticos y el canal son de gran relevancia para su comercio externo</w:t>
      </w:r>
      <w:r w:rsidR="000A5664">
        <w:rPr>
          <w:rFonts w:ascii="Times New Roman" w:hAnsi="Times New Roman"/>
          <w:sz w:val="24"/>
          <w:szCs w:val="24"/>
          <w:lang w:val="es-ES_tradnl"/>
        </w:rPr>
        <w:t>; representando</w:t>
      </w:r>
      <w:r w:rsidR="005525D5" w:rsidRPr="003129C2">
        <w:rPr>
          <w:rFonts w:ascii="Times New Roman" w:hAnsi="Times New Roman"/>
          <w:sz w:val="24"/>
          <w:szCs w:val="24"/>
          <w:lang w:val="es-ES_tradnl"/>
        </w:rPr>
        <w:t xml:space="preserve"> las cargas con destino u origen Chile, </w:t>
      </w:r>
      <w:r w:rsidR="00481079" w:rsidRPr="003129C2">
        <w:rPr>
          <w:rFonts w:ascii="Times New Roman" w:hAnsi="Times New Roman"/>
          <w:sz w:val="24"/>
          <w:szCs w:val="24"/>
          <w:lang w:val="es-ES_tradnl"/>
        </w:rPr>
        <w:t>27 millones de t</w:t>
      </w:r>
      <w:r w:rsidR="005525D5" w:rsidRPr="003129C2">
        <w:rPr>
          <w:rFonts w:ascii="Times New Roman" w:hAnsi="Times New Roman"/>
          <w:sz w:val="24"/>
          <w:szCs w:val="24"/>
          <w:lang w:val="es-ES_tradnl"/>
        </w:rPr>
        <w:t xml:space="preserve">oneladas para el año 2017, lo cual representa </w:t>
      </w:r>
      <w:r w:rsidR="008171A1" w:rsidRPr="003129C2">
        <w:rPr>
          <w:rFonts w:ascii="Times New Roman" w:hAnsi="Times New Roman"/>
          <w:sz w:val="24"/>
          <w:szCs w:val="24"/>
          <w:lang w:val="es-ES_tradnl"/>
        </w:rPr>
        <w:t>más del 30%</w:t>
      </w:r>
      <w:r w:rsidR="005525D5" w:rsidRPr="003129C2">
        <w:rPr>
          <w:rFonts w:ascii="Times New Roman" w:hAnsi="Times New Roman"/>
          <w:sz w:val="24"/>
          <w:szCs w:val="24"/>
          <w:lang w:val="es-ES_tradnl"/>
        </w:rPr>
        <w:t xml:space="preserve"> </w:t>
      </w:r>
      <w:r w:rsidR="00647DFC" w:rsidRPr="003129C2">
        <w:rPr>
          <w:rFonts w:ascii="Times New Roman" w:hAnsi="Times New Roman"/>
          <w:sz w:val="24"/>
          <w:szCs w:val="24"/>
          <w:lang w:val="es-ES_tradnl"/>
        </w:rPr>
        <w:t xml:space="preserve">de las cargas totales marítimas de Chile y el </w:t>
      </w:r>
      <w:r w:rsidR="002B4AAD" w:rsidRPr="003129C2">
        <w:rPr>
          <w:rFonts w:ascii="Times New Roman" w:hAnsi="Times New Roman"/>
          <w:sz w:val="24"/>
          <w:szCs w:val="24"/>
          <w:lang w:val="es-ES_tradnl"/>
        </w:rPr>
        <w:t>11.4% de las cargas del Canal de Panamá</w:t>
      </w:r>
      <w:r w:rsidR="002B4AAD">
        <w:rPr>
          <w:rStyle w:val="FootnoteReference"/>
          <w:szCs w:val="24"/>
          <w:lang w:val="es-ES_tradnl"/>
        </w:rPr>
        <w:footnoteReference w:id="13"/>
      </w:r>
      <w:r w:rsidR="002B4AAD" w:rsidRPr="003129C2">
        <w:rPr>
          <w:rFonts w:ascii="Times New Roman" w:hAnsi="Times New Roman"/>
          <w:sz w:val="24"/>
          <w:szCs w:val="24"/>
          <w:lang w:val="es-ES_tradnl"/>
        </w:rPr>
        <w:t xml:space="preserve">. </w:t>
      </w:r>
      <w:r w:rsidRPr="003129C2">
        <w:rPr>
          <w:rFonts w:ascii="Times New Roman" w:hAnsi="Times New Roman"/>
          <w:sz w:val="24"/>
          <w:szCs w:val="24"/>
          <w:lang w:val="es-ES_tradnl"/>
        </w:rPr>
        <w:t xml:space="preserve">Para Chile, </w:t>
      </w:r>
      <w:r w:rsidRPr="003129C2">
        <w:rPr>
          <w:rFonts w:ascii="Times New Roman" w:hAnsi="Times New Roman"/>
          <w:sz w:val="24"/>
          <w:szCs w:val="24"/>
          <w:lang w:val="es-ES"/>
        </w:rPr>
        <w:t xml:space="preserve">13 de los 22 servicios marítimos que abastecen al país atraviesan el CdP. Para </w:t>
      </w:r>
      <w:r w:rsidR="00785763" w:rsidRPr="003129C2">
        <w:rPr>
          <w:rFonts w:ascii="Times New Roman" w:hAnsi="Times New Roman"/>
          <w:sz w:val="24"/>
          <w:szCs w:val="24"/>
          <w:lang w:val="es-ES"/>
        </w:rPr>
        <w:t>Perú</w:t>
      </w:r>
      <w:r w:rsidRPr="003129C2">
        <w:rPr>
          <w:rFonts w:ascii="Times New Roman" w:hAnsi="Times New Roman"/>
          <w:sz w:val="24"/>
          <w:szCs w:val="24"/>
          <w:lang w:val="es-ES"/>
        </w:rPr>
        <w:t>, los servicios logísticos de Panamá son de relevancia</w:t>
      </w:r>
      <w:r w:rsidR="00785763" w:rsidRPr="003129C2">
        <w:rPr>
          <w:rFonts w:ascii="Times New Roman" w:hAnsi="Times New Roman"/>
          <w:sz w:val="24"/>
          <w:szCs w:val="24"/>
          <w:lang w:val="es-ES"/>
        </w:rPr>
        <w:t>, siendo las cargas con destino u origen Perú que transitan en el Canal de Panamá corresp</w:t>
      </w:r>
      <w:r w:rsidR="000015AE" w:rsidRPr="003129C2">
        <w:rPr>
          <w:rFonts w:ascii="Times New Roman" w:hAnsi="Times New Roman"/>
          <w:sz w:val="24"/>
          <w:szCs w:val="24"/>
          <w:lang w:val="es-ES"/>
        </w:rPr>
        <w:t xml:space="preserve">ondientes </w:t>
      </w:r>
      <w:r w:rsidR="00785763" w:rsidRPr="003129C2">
        <w:rPr>
          <w:rFonts w:ascii="Times New Roman" w:hAnsi="Times New Roman"/>
          <w:sz w:val="24"/>
          <w:szCs w:val="24"/>
          <w:lang w:val="es-ES"/>
        </w:rPr>
        <w:t>a 21.8 millones de toneladas en el 2017</w:t>
      </w:r>
      <w:r w:rsidR="008B5715">
        <w:rPr>
          <w:rFonts w:ascii="Times New Roman" w:hAnsi="Times New Roman"/>
          <w:sz w:val="24"/>
          <w:szCs w:val="24"/>
          <w:lang w:val="es-ES"/>
        </w:rPr>
        <w:t>,</w:t>
      </w:r>
      <w:r w:rsidR="00785763" w:rsidRPr="003129C2">
        <w:rPr>
          <w:rFonts w:ascii="Times New Roman" w:hAnsi="Times New Roman"/>
          <w:sz w:val="24"/>
          <w:szCs w:val="24"/>
          <w:lang w:val="es-ES"/>
        </w:rPr>
        <w:t xml:space="preserve"> lo cual significó más del 20% de las cargas totales marítimas de</w:t>
      </w:r>
      <w:r w:rsidR="00397C06">
        <w:rPr>
          <w:rFonts w:ascii="Times New Roman" w:hAnsi="Times New Roman"/>
          <w:sz w:val="24"/>
          <w:szCs w:val="24"/>
          <w:lang w:val="es-ES"/>
        </w:rPr>
        <w:t>l</w:t>
      </w:r>
      <w:r w:rsidR="00785763" w:rsidRPr="003129C2">
        <w:rPr>
          <w:rFonts w:ascii="Times New Roman" w:hAnsi="Times New Roman"/>
          <w:sz w:val="24"/>
          <w:szCs w:val="24"/>
          <w:lang w:val="es-ES"/>
        </w:rPr>
        <w:t xml:space="preserve"> Perú</w:t>
      </w:r>
      <w:r w:rsidR="007B4CE6" w:rsidRPr="003129C2">
        <w:rPr>
          <w:rFonts w:ascii="Times New Roman" w:hAnsi="Times New Roman"/>
          <w:sz w:val="24"/>
          <w:szCs w:val="24"/>
          <w:lang w:val="es-ES"/>
        </w:rPr>
        <w:t xml:space="preserve"> y el 9.1%</w:t>
      </w:r>
      <w:r w:rsidR="007B4CE6" w:rsidRPr="003129C2">
        <w:rPr>
          <w:rFonts w:ascii="Times New Roman" w:hAnsi="Times New Roman"/>
          <w:sz w:val="24"/>
          <w:szCs w:val="24"/>
          <w:lang w:val="es-ES_tradnl"/>
        </w:rPr>
        <w:t xml:space="preserve"> del total las cargas del Canal de Panamá</w:t>
      </w:r>
      <w:r w:rsidR="00443575" w:rsidRPr="003129C2">
        <w:rPr>
          <w:rFonts w:ascii="Times New Roman" w:hAnsi="Times New Roman"/>
          <w:sz w:val="24"/>
          <w:szCs w:val="24"/>
          <w:lang w:val="es-ES_tradnl"/>
        </w:rPr>
        <w:t>, igualmente</w:t>
      </w:r>
      <w:r w:rsidR="003129C2" w:rsidRPr="003129C2">
        <w:rPr>
          <w:rFonts w:ascii="Times New Roman" w:hAnsi="Times New Roman"/>
          <w:sz w:val="24"/>
          <w:szCs w:val="24"/>
          <w:lang w:val="es-ES_tradnl"/>
        </w:rPr>
        <w:t xml:space="preserve">, </w:t>
      </w:r>
      <w:r w:rsidR="003129C2">
        <w:rPr>
          <w:rFonts w:ascii="Times New Roman" w:hAnsi="Times New Roman"/>
          <w:sz w:val="24"/>
          <w:szCs w:val="24"/>
          <w:lang w:val="es-ES_tradnl"/>
        </w:rPr>
        <w:t>s</w:t>
      </w:r>
      <w:r w:rsidR="00443575" w:rsidRPr="003129C2">
        <w:rPr>
          <w:rFonts w:ascii="Times New Roman" w:hAnsi="Times New Roman"/>
          <w:sz w:val="24"/>
          <w:szCs w:val="24"/>
          <w:lang w:val="es-ES"/>
        </w:rPr>
        <w:t>u conexión al mundo por el CdP</w:t>
      </w:r>
      <w:r w:rsidR="003129C2">
        <w:rPr>
          <w:rFonts w:ascii="Times New Roman" w:hAnsi="Times New Roman"/>
          <w:sz w:val="24"/>
          <w:szCs w:val="24"/>
          <w:lang w:val="es-ES"/>
        </w:rPr>
        <w:t xml:space="preserve"> está evidenciado en los</w:t>
      </w:r>
      <w:r w:rsidR="00443575" w:rsidRPr="003129C2">
        <w:rPr>
          <w:rFonts w:ascii="Times New Roman" w:hAnsi="Times New Roman"/>
          <w:sz w:val="24"/>
          <w:szCs w:val="24"/>
          <w:lang w:val="es-ES"/>
        </w:rPr>
        <w:t xml:space="preserve"> 46 servicios marítimos </w:t>
      </w:r>
      <w:r w:rsidR="003129C2">
        <w:rPr>
          <w:rFonts w:ascii="Times New Roman" w:hAnsi="Times New Roman"/>
          <w:sz w:val="24"/>
          <w:szCs w:val="24"/>
          <w:lang w:val="es-ES"/>
        </w:rPr>
        <w:t>que abastecen al país son por Panamá</w:t>
      </w:r>
      <w:r w:rsidR="00443575" w:rsidRPr="003129C2">
        <w:rPr>
          <w:rFonts w:ascii="Times New Roman" w:hAnsi="Times New Roman"/>
          <w:sz w:val="24"/>
          <w:szCs w:val="24"/>
          <w:lang w:val="es-ES"/>
        </w:rPr>
        <w:t>.</w:t>
      </w:r>
    </w:p>
    <w:p w14:paraId="7C579C0D" w14:textId="77777777" w:rsidR="00823E10" w:rsidRPr="00823E10" w:rsidRDefault="00823E10" w:rsidP="00823E1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07450C77" w14:textId="0E429B28" w:rsidR="005070CE" w:rsidRPr="005070CE" w:rsidRDefault="00DE7949" w:rsidP="005070CE">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Pr>
          <w:rFonts w:ascii="Times New Roman" w:hAnsi="Times New Roman"/>
          <w:sz w:val="24"/>
          <w:szCs w:val="24"/>
          <w:lang w:val="es-ES"/>
        </w:rPr>
        <w:t xml:space="preserve">Paso Canoas es el principal centro fronterizo de Panamá. </w:t>
      </w:r>
      <w:r>
        <w:rPr>
          <w:rFonts w:ascii="Times New Roman" w:hAnsi="Times New Roman"/>
          <w:sz w:val="24"/>
          <w:szCs w:val="24"/>
          <w:lang w:val="es-ES_tradnl"/>
        </w:rPr>
        <w:t xml:space="preserve">El desempeño de esta Aduana es de especial relevancia debido a que </w:t>
      </w:r>
      <w:r w:rsidRPr="00C261BD">
        <w:rPr>
          <w:rFonts w:ascii="Times New Roman" w:hAnsi="Times New Roman"/>
          <w:sz w:val="24"/>
          <w:szCs w:val="24"/>
          <w:lang w:val="es-ES_tradnl"/>
        </w:rPr>
        <w:t xml:space="preserve">se encuentra en el Corredor Pacífico Mesoamericano, </w:t>
      </w:r>
      <w:r>
        <w:rPr>
          <w:rFonts w:ascii="Times New Roman" w:hAnsi="Times New Roman"/>
          <w:sz w:val="24"/>
          <w:szCs w:val="24"/>
          <w:lang w:val="es-ES_tradnl"/>
        </w:rPr>
        <w:t xml:space="preserve">el cual constituye </w:t>
      </w:r>
      <w:r w:rsidRPr="00C261BD">
        <w:rPr>
          <w:rFonts w:ascii="Times New Roman" w:hAnsi="Times New Roman"/>
          <w:sz w:val="24"/>
          <w:szCs w:val="24"/>
          <w:lang w:val="es-ES_tradnl"/>
        </w:rPr>
        <w:t>el principal corredor carretero de Centroamérica</w:t>
      </w:r>
      <w:r>
        <w:rPr>
          <w:rFonts w:ascii="Times New Roman" w:hAnsi="Times New Roman"/>
          <w:sz w:val="24"/>
          <w:szCs w:val="24"/>
          <w:lang w:val="es-ES_tradnl"/>
        </w:rPr>
        <w:t>, siendo que p</w:t>
      </w:r>
      <w:r w:rsidRPr="00C261BD">
        <w:rPr>
          <w:rFonts w:ascii="Times New Roman" w:hAnsi="Times New Roman"/>
          <w:sz w:val="24"/>
          <w:szCs w:val="24"/>
          <w:lang w:val="es-ES_tradnl"/>
        </w:rPr>
        <w:t>or este paso circula la mayor parte del tráfico transfronterizo entre Panamá y Centroamérica.</w:t>
      </w:r>
      <w:r>
        <w:rPr>
          <w:rFonts w:ascii="Times New Roman" w:hAnsi="Times New Roman"/>
          <w:sz w:val="24"/>
          <w:szCs w:val="24"/>
          <w:lang w:val="es-ES_tradnl"/>
        </w:rPr>
        <w:t xml:space="preserve"> Igualmente, </w:t>
      </w:r>
      <w:r w:rsidRPr="005070CE">
        <w:rPr>
          <w:rFonts w:ascii="Times New Roman" w:hAnsi="Times New Roman"/>
          <w:sz w:val="24"/>
          <w:szCs w:val="24"/>
          <w:lang w:val="es-ES"/>
        </w:rPr>
        <w:t xml:space="preserve">por Paso </w:t>
      </w:r>
      <w:r w:rsidRPr="005070CE">
        <w:rPr>
          <w:rFonts w:ascii="Times New Roman" w:hAnsi="Times New Roman"/>
          <w:sz w:val="24"/>
          <w:szCs w:val="24"/>
          <w:lang w:val="es-ES"/>
        </w:rPr>
        <w:lastRenderedPageBreak/>
        <w:t>Canoas circula el 85% de la carga fronteriza de Panamá́, y hasta el 99% de la carga de Zona Libre de Colón que tiene como destino Centroamérica</w:t>
      </w:r>
      <w:r>
        <w:rPr>
          <w:rStyle w:val="FootnoteReference"/>
          <w:szCs w:val="24"/>
          <w:lang w:val="es-ES"/>
        </w:rPr>
        <w:footnoteReference w:id="14"/>
      </w:r>
      <w:r w:rsidRPr="005070CE">
        <w:rPr>
          <w:rFonts w:ascii="Times New Roman" w:hAnsi="Times New Roman"/>
          <w:sz w:val="24"/>
          <w:szCs w:val="24"/>
          <w:lang w:val="es-ES"/>
        </w:rPr>
        <w:t>.</w:t>
      </w:r>
      <w:r>
        <w:rPr>
          <w:rFonts w:ascii="Times New Roman" w:hAnsi="Times New Roman"/>
          <w:sz w:val="24"/>
          <w:szCs w:val="24"/>
          <w:lang w:val="es-ES"/>
        </w:rPr>
        <w:t xml:space="preserve"> Por lo anterior, </w:t>
      </w:r>
      <w:r w:rsidR="00823E10" w:rsidRPr="00823E10">
        <w:rPr>
          <w:rFonts w:ascii="Times New Roman" w:hAnsi="Times New Roman"/>
          <w:sz w:val="24"/>
          <w:szCs w:val="24"/>
          <w:lang w:val="es-ES"/>
        </w:rPr>
        <w:t>e</w:t>
      </w:r>
      <w:r w:rsidR="002B4AAD" w:rsidRPr="00823E10">
        <w:rPr>
          <w:rFonts w:ascii="Times New Roman" w:hAnsi="Times New Roman"/>
          <w:sz w:val="24"/>
          <w:szCs w:val="24"/>
          <w:lang w:val="es-ES_tradnl"/>
        </w:rPr>
        <w:t xml:space="preserve">l rol de la Aduana Canoas y las mejoras de procesos relacionadas </w:t>
      </w:r>
      <w:r w:rsidR="00D95769">
        <w:rPr>
          <w:rFonts w:ascii="Times New Roman" w:hAnsi="Times New Roman"/>
          <w:sz w:val="24"/>
          <w:szCs w:val="24"/>
          <w:lang w:val="es-ES_tradnl"/>
        </w:rPr>
        <w:t>dicha</w:t>
      </w:r>
      <w:r w:rsidR="002B4AAD" w:rsidRPr="00823E10">
        <w:rPr>
          <w:rFonts w:ascii="Times New Roman" w:hAnsi="Times New Roman"/>
          <w:sz w:val="24"/>
          <w:szCs w:val="24"/>
          <w:lang w:val="es-ES_tradnl"/>
        </w:rPr>
        <w:t xml:space="preserve"> aduana</w:t>
      </w:r>
      <w:r>
        <w:rPr>
          <w:rFonts w:ascii="Times New Roman" w:hAnsi="Times New Roman"/>
          <w:sz w:val="24"/>
          <w:szCs w:val="24"/>
          <w:lang w:val="es-ES_tradnl"/>
        </w:rPr>
        <w:t>,</w:t>
      </w:r>
      <w:r w:rsidR="002B4AAD" w:rsidRPr="00823E10">
        <w:rPr>
          <w:rFonts w:ascii="Times New Roman" w:hAnsi="Times New Roman"/>
          <w:sz w:val="24"/>
          <w:szCs w:val="24"/>
          <w:lang w:val="es-ES_tradnl"/>
        </w:rPr>
        <w:t xml:space="preserve"> es fundamental por su contribución a la eficiencia </w:t>
      </w:r>
      <w:r w:rsidR="00C20F8C">
        <w:rPr>
          <w:rFonts w:ascii="Times New Roman" w:hAnsi="Times New Roman"/>
          <w:sz w:val="24"/>
          <w:szCs w:val="24"/>
          <w:lang w:val="es-ES_tradnl"/>
        </w:rPr>
        <w:t xml:space="preserve">regional </w:t>
      </w:r>
      <w:r w:rsidR="002B4AAD" w:rsidRPr="00823E10">
        <w:rPr>
          <w:rFonts w:ascii="Times New Roman" w:hAnsi="Times New Roman"/>
          <w:sz w:val="24"/>
          <w:szCs w:val="24"/>
          <w:lang w:val="es-ES_tradnl"/>
        </w:rPr>
        <w:t>y a resolver los cuellos de botella logísticos a través de las reducciones</w:t>
      </w:r>
      <w:r w:rsidR="00C20F8C">
        <w:rPr>
          <w:rFonts w:ascii="Times New Roman" w:hAnsi="Times New Roman"/>
          <w:sz w:val="24"/>
          <w:szCs w:val="24"/>
          <w:lang w:val="es-ES_tradnl"/>
        </w:rPr>
        <w:t xml:space="preserve"> de tiempos de cruce fronterizo. </w:t>
      </w:r>
    </w:p>
    <w:p w14:paraId="1C1914FA" w14:textId="77777777" w:rsidR="005D4F96" w:rsidRPr="005D4F96" w:rsidRDefault="005D4F96" w:rsidP="005D4F96">
      <w:pPr>
        <w:pStyle w:val="ListParagraph"/>
        <w:rPr>
          <w:rFonts w:ascii="Times New Roman" w:hAnsi="Times New Roman"/>
          <w:sz w:val="24"/>
          <w:szCs w:val="24"/>
          <w:lang w:val="es-ES"/>
        </w:rPr>
      </w:pPr>
    </w:p>
    <w:p w14:paraId="02F04C9D" w14:textId="3D8ED56C" w:rsidR="005D4F96" w:rsidRDefault="005D4F96" w:rsidP="005D4F9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8C07B5">
        <w:rPr>
          <w:rFonts w:ascii="Times New Roman" w:hAnsi="Times New Roman"/>
          <w:sz w:val="24"/>
          <w:szCs w:val="24"/>
          <w:lang w:val="es-ES"/>
        </w:rPr>
        <w:t xml:space="preserve">La evidencia empírica demuestra que el buen desempeño logístico beneficia la competitividad de las economías, lo cual tiene una incidencia directa en los flujos de comercio tanto regionales como globales. Esto se fundamenta en el hecho de que los costos logísticos impactan en los precios finales de los bienes y servicios, </w:t>
      </w:r>
      <w:r>
        <w:rPr>
          <w:rFonts w:ascii="Times New Roman" w:hAnsi="Times New Roman"/>
          <w:sz w:val="24"/>
          <w:szCs w:val="24"/>
          <w:lang w:val="es-ES"/>
        </w:rPr>
        <w:t xml:space="preserve">lo cual se traduce en </w:t>
      </w:r>
      <w:r w:rsidRPr="008C07B5">
        <w:rPr>
          <w:rFonts w:ascii="Times New Roman" w:hAnsi="Times New Roman"/>
          <w:sz w:val="24"/>
          <w:szCs w:val="24"/>
          <w:lang w:val="es-ES"/>
        </w:rPr>
        <w:t>pérdida</w:t>
      </w:r>
      <w:r>
        <w:rPr>
          <w:rFonts w:ascii="Times New Roman" w:hAnsi="Times New Roman"/>
          <w:sz w:val="24"/>
          <w:szCs w:val="24"/>
          <w:lang w:val="es-ES"/>
        </w:rPr>
        <w:t>s o ganancias</w:t>
      </w:r>
      <w:r w:rsidRPr="008C07B5">
        <w:rPr>
          <w:rFonts w:ascii="Times New Roman" w:hAnsi="Times New Roman"/>
          <w:sz w:val="24"/>
          <w:szCs w:val="24"/>
          <w:lang w:val="es-ES"/>
        </w:rPr>
        <w:t xml:space="preserve"> de competitividad en relación con el resto de los competidores globales</w:t>
      </w:r>
      <w:r w:rsidR="00AD0E08">
        <w:rPr>
          <w:rFonts w:ascii="Times New Roman" w:hAnsi="Times New Roman"/>
          <w:sz w:val="24"/>
          <w:szCs w:val="24"/>
          <w:lang w:val="es-ES"/>
        </w:rPr>
        <w:t>,</w:t>
      </w:r>
      <w:r w:rsidRPr="008C07B5">
        <w:rPr>
          <w:rFonts w:ascii="Times New Roman" w:hAnsi="Times New Roman"/>
          <w:sz w:val="24"/>
          <w:szCs w:val="24"/>
          <w:lang w:val="es-ES"/>
        </w:rPr>
        <w:t xml:space="preserve"> afectando </w:t>
      </w:r>
      <w:r>
        <w:rPr>
          <w:rFonts w:ascii="Times New Roman" w:hAnsi="Times New Roman"/>
          <w:sz w:val="24"/>
          <w:szCs w:val="24"/>
          <w:lang w:val="es-ES"/>
        </w:rPr>
        <w:t xml:space="preserve">la posición externa </w:t>
      </w:r>
      <w:r w:rsidRPr="008C07B5">
        <w:rPr>
          <w:rFonts w:ascii="Times New Roman" w:hAnsi="Times New Roman"/>
          <w:sz w:val="24"/>
          <w:szCs w:val="24"/>
          <w:lang w:val="es-ES"/>
        </w:rPr>
        <w:t xml:space="preserve">del país. </w:t>
      </w:r>
      <w:r>
        <w:rPr>
          <w:rFonts w:ascii="Times New Roman" w:hAnsi="Times New Roman"/>
          <w:sz w:val="24"/>
          <w:szCs w:val="24"/>
          <w:lang w:val="es-ES"/>
        </w:rPr>
        <w:t>En tal sentido</w:t>
      </w:r>
      <w:r w:rsidRPr="008C07B5">
        <w:rPr>
          <w:rFonts w:ascii="Times New Roman" w:hAnsi="Times New Roman"/>
          <w:sz w:val="24"/>
          <w:szCs w:val="24"/>
          <w:lang w:val="es-ES"/>
        </w:rPr>
        <w:t xml:space="preserve">, existe una relación inversa entre exportaciones y costos logísticos y de transporte </w:t>
      </w:r>
      <w:r w:rsidRPr="008C07B5">
        <w:rPr>
          <w:rFonts w:ascii="Times New Roman" w:hAnsi="Times New Roman"/>
          <w:b/>
          <w:sz w:val="24"/>
          <w:szCs w:val="24"/>
          <w:lang w:val="es-ES"/>
        </w:rPr>
        <w:t>(Krugman y Livas, 1996)</w:t>
      </w:r>
      <w:r w:rsidRPr="008C07B5">
        <w:rPr>
          <w:rFonts w:ascii="Times New Roman" w:hAnsi="Times New Roman"/>
          <w:sz w:val="24"/>
          <w:szCs w:val="24"/>
          <w:lang w:val="es-ES"/>
        </w:rPr>
        <w:t>. Adicionalmente, el desarrollo logístico tiene un impacto directo en el acceso a mercados y el flujo de bienes y servicios</w:t>
      </w:r>
      <w:r w:rsidR="00AD0E08">
        <w:rPr>
          <w:rFonts w:ascii="Times New Roman" w:hAnsi="Times New Roman"/>
          <w:sz w:val="24"/>
          <w:szCs w:val="24"/>
          <w:lang w:val="es-ES"/>
        </w:rPr>
        <w:t>,</w:t>
      </w:r>
      <w:r>
        <w:rPr>
          <w:rFonts w:ascii="Times New Roman" w:hAnsi="Times New Roman"/>
          <w:sz w:val="24"/>
          <w:szCs w:val="24"/>
          <w:lang w:val="es-ES"/>
        </w:rPr>
        <w:t xml:space="preserve"> afectando</w:t>
      </w:r>
      <w:r w:rsidRPr="008C07B5">
        <w:rPr>
          <w:rFonts w:ascii="Times New Roman" w:hAnsi="Times New Roman"/>
          <w:sz w:val="24"/>
          <w:szCs w:val="24"/>
          <w:lang w:val="es-ES"/>
        </w:rPr>
        <w:t xml:space="preserve"> temas de </w:t>
      </w:r>
      <w:r w:rsidRPr="008C07B5">
        <w:rPr>
          <w:rFonts w:ascii="Times New Roman" w:hAnsi="Times New Roman"/>
          <w:i/>
          <w:sz w:val="24"/>
          <w:szCs w:val="24"/>
          <w:lang w:val="es-ES"/>
        </w:rPr>
        <w:t>economía espacial</w:t>
      </w:r>
      <w:r w:rsidRPr="008C07B5">
        <w:rPr>
          <w:rFonts w:ascii="Times New Roman" w:hAnsi="Times New Roman"/>
          <w:sz w:val="24"/>
          <w:szCs w:val="24"/>
          <w:lang w:val="es-ES"/>
        </w:rPr>
        <w:t xml:space="preserve"> directamente relacionados con la integración regional</w:t>
      </w:r>
      <w:r>
        <w:rPr>
          <w:rFonts w:ascii="Times New Roman" w:hAnsi="Times New Roman"/>
          <w:sz w:val="24"/>
          <w:szCs w:val="24"/>
          <w:lang w:val="es-ES"/>
        </w:rPr>
        <w:t xml:space="preserve"> </w:t>
      </w:r>
      <w:r w:rsidRPr="004F78F2">
        <w:rPr>
          <w:rFonts w:ascii="Times New Roman" w:hAnsi="Times New Roman"/>
          <w:b/>
          <w:sz w:val="24"/>
          <w:szCs w:val="24"/>
          <w:lang w:val="es-ES"/>
        </w:rPr>
        <w:t>(</w:t>
      </w:r>
      <w:r w:rsidRPr="004F78F2">
        <w:rPr>
          <w:rFonts w:ascii="TimesNewRoman" w:hAnsi="TimesNewRoman" w:cs="TimesNewRoman"/>
          <w:b/>
          <w:sz w:val="24"/>
          <w:szCs w:val="24"/>
          <w:lang w:val="es-ES_tradnl"/>
        </w:rPr>
        <w:t>Venables, 1996)</w:t>
      </w:r>
      <w:r w:rsidRPr="008C07B5">
        <w:rPr>
          <w:rFonts w:ascii="Times New Roman" w:hAnsi="Times New Roman"/>
          <w:sz w:val="24"/>
          <w:szCs w:val="24"/>
          <w:lang w:val="es-ES"/>
        </w:rPr>
        <w:t xml:space="preserve">, específicamente a través del efecto en la geolocalización de empresas provocados por abaratamiento de los costos logísticos y el aprovechamiento de economía de escala y el acceso a nuevos mercados.  </w:t>
      </w:r>
    </w:p>
    <w:p w14:paraId="57B7E45F" w14:textId="77777777" w:rsidR="005D4F96" w:rsidRPr="0024527D" w:rsidRDefault="005D4F96" w:rsidP="005D4F96">
      <w:pPr>
        <w:pStyle w:val="ListParagraph"/>
        <w:rPr>
          <w:rFonts w:ascii="Times New Roman" w:hAnsi="Times New Roman"/>
          <w:sz w:val="24"/>
          <w:szCs w:val="24"/>
          <w:lang w:val="es-ES"/>
        </w:rPr>
      </w:pPr>
    </w:p>
    <w:p w14:paraId="3EA98367" w14:textId="4662F6B4" w:rsidR="003F6BF5" w:rsidRDefault="005D4F96" w:rsidP="00E5524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6A3EE6">
        <w:rPr>
          <w:rFonts w:ascii="Times New Roman" w:hAnsi="Times New Roman"/>
          <w:sz w:val="24"/>
          <w:szCs w:val="24"/>
          <w:lang w:val="es-ES"/>
        </w:rPr>
        <w:t xml:space="preserve">En el ámbito regulatorio, la evidencia empírica demuestra que el marco legal es relevante para </w:t>
      </w:r>
      <w:r w:rsidR="00824268" w:rsidRPr="006A3EE6">
        <w:rPr>
          <w:rFonts w:ascii="Times New Roman" w:hAnsi="Times New Roman"/>
          <w:sz w:val="24"/>
          <w:szCs w:val="24"/>
          <w:lang w:val="es-ES"/>
        </w:rPr>
        <w:t xml:space="preserve">el desempeño logístico y consecuentemente para </w:t>
      </w:r>
      <w:r w:rsidRPr="006A3EE6">
        <w:rPr>
          <w:rFonts w:ascii="Times New Roman" w:hAnsi="Times New Roman"/>
          <w:sz w:val="24"/>
          <w:szCs w:val="24"/>
          <w:lang w:val="es-ES"/>
        </w:rPr>
        <w:t xml:space="preserve">el crecimiento </w:t>
      </w:r>
      <w:r w:rsidR="00824268" w:rsidRPr="006A3EE6">
        <w:rPr>
          <w:rFonts w:ascii="Times New Roman" w:hAnsi="Times New Roman"/>
          <w:sz w:val="24"/>
          <w:szCs w:val="24"/>
          <w:lang w:val="es-ES"/>
        </w:rPr>
        <w:t xml:space="preserve">económico. </w:t>
      </w:r>
      <w:r w:rsidR="00300B64" w:rsidRPr="006A3EE6">
        <w:rPr>
          <w:rFonts w:ascii="Times New Roman" w:hAnsi="Times New Roman"/>
          <w:sz w:val="24"/>
          <w:szCs w:val="24"/>
          <w:lang w:val="es-ES"/>
        </w:rPr>
        <w:t xml:space="preserve">En la literatura económica se establece que las instituciones son un determinante del crecimiento de largo plazo </w:t>
      </w:r>
      <w:r w:rsidR="00300B64" w:rsidRPr="006A3EE6">
        <w:rPr>
          <w:rFonts w:ascii="Times New Roman" w:hAnsi="Times New Roman"/>
          <w:b/>
          <w:sz w:val="24"/>
          <w:szCs w:val="24"/>
          <w:lang w:val="es-ES"/>
        </w:rPr>
        <w:t>(Acemoglu, 2001)</w:t>
      </w:r>
      <w:r w:rsidR="00300B64" w:rsidRPr="006A3EE6">
        <w:rPr>
          <w:rFonts w:ascii="Times New Roman" w:hAnsi="Times New Roman"/>
          <w:sz w:val="24"/>
          <w:szCs w:val="24"/>
          <w:lang w:val="es-ES"/>
        </w:rPr>
        <w:t xml:space="preserve">, con lo cual estudiar el impacto de nuevas reformas institucionales indudablemente adiciona a la evidencia empírica sobre instituciones y crecimiento. En </w:t>
      </w:r>
      <w:r w:rsidR="00300B64" w:rsidRPr="006A3EE6">
        <w:rPr>
          <w:rFonts w:ascii="Times New Roman" w:hAnsi="Times New Roman"/>
          <w:b/>
          <w:sz w:val="24"/>
          <w:szCs w:val="24"/>
          <w:lang w:val="es-ES"/>
        </w:rPr>
        <w:t>Haidar, J.I. (2012)</w:t>
      </w:r>
      <w:r w:rsidR="00300B64" w:rsidRPr="006A3EE6">
        <w:rPr>
          <w:rFonts w:ascii="Times New Roman" w:hAnsi="Times New Roman"/>
          <w:sz w:val="24"/>
          <w:szCs w:val="24"/>
          <w:lang w:val="es-ES"/>
        </w:rPr>
        <w:t xml:space="preserve"> se demuestra que cada reforma positiva en las regulaciones de comercio transfronterizo (es decir, tiempo, costos y procedimientos necesarios para exportar o importar una carga) está asociada con un aumento del 0.15% en la tasa de crecimiento económico promedio.</w:t>
      </w:r>
      <w:r w:rsidR="00824268" w:rsidRPr="006A3EE6">
        <w:rPr>
          <w:rFonts w:ascii="Times New Roman" w:hAnsi="Times New Roman"/>
          <w:sz w:val="24"/>
          <w:szCs w:val="24"/>
          <w:lang w:val="es-ES"/>
        </w:rPr>
        <w:t xml:space="preserve"> Un efecto relevante </w:t>
      </w:r>
      <w:r w:rsidR="001A5A4E" w:rsidRPr="006A3EE6">
        <w:rPr>
          <w:rFonts w:ascii="Times New Roman" w:hAnsi="Times New Roman"/>
          <w:sz w:val="24"/>
          <w:szCs w:val="24"/>
          <w:lang w:val="es-ES"/>
        </w:rPr>
        <w:t xml:space="preserve">de las reformas de política del sector transporte y logística es el ocasionado en la dinámica de entrada y salida de firmas. Al respecto, </w:t>
      </w:r>
      <w:r w:rsidR="0044734B" w:rsidRPr="006A3EE6">
        <w:rPr>
          <w:rFonts w:ascii="Times New Roman" w:hAnsi="Times New Roman"/>
          <w:sz w:val="24"/>
          <w:szCs w:val="24"/>
          <w:lang w:val="es-ES"/>
        </w:rPr>
        <w:t>altas regulaciones</w:t>
      </w:r>
      <w:r w:rsidR="001A5A4E" w:rsidRPr="006A3EE6">
        <w:rPr>
          <w:rFonts w:ascii="Times New Roman" w:hAnsi="Times New Roman"/>
          <w:sz w:val="24"/>
          <w:szCs w:val="24"/>
          <w:lang w:val="es-ES"/>
        </w:rPr>
        <w:t xml:space="preserve"> sobre la actividad empresarial, así como los altos costos de ajuste de la fuerza laboral, parecen afectar negativamente la entrada de nuevas pequeñas empresas</w:t>
      </w:r>
      <w:r w:rsidR="0044734B" w:rsidRPr="006A3EE6">
        <w:rPr>
          <w:rFonts w:ascii="Times New Roman" w:hAnsi="Times New Roman"/>
          <w:sz w:val="24"/>
          <w:szCs w:val="24"/>
          <w:lang w:val="es-ES"/>
        </w:rPr>
        <w:t xml:space="preserve">. </w:t>
      </w:r>
      <w:r w:rsidR="0044734B" w:rsidRPr="006A3EE6">
        <w:rPr>
          <w:rFonts w:ascii="Times New Roman" w:hAnsi="Times New Roman"/>
          <w:b/>
          <w:sz w:val="24"/>
          <w:szCs w:val="24"/>
          <w:lang w:val="es-ES"/>
        </w:rPr>
        <w:t xml:space="preserve">Desai et al. (2003) </w:t>
      </w:r>
      <w:r w:rsidR="0044734B" w:rsidRPr="006A3EE6">
        <w:rPr>
          <w:rFonts w:ascii="Times New Roman" w:hAnsi="Times New Roman"/>
          <w:sz w:val="24"/>
          <w:szCs w:val="24"/>
          <w:lang w:val="es-ES"/>
        </w:rPr>
        <w:t>encuentra correlaciones entre países entre las normas de ingreso y las tasas de ingreso a la firma. Ellos exploran el impacto del entorno institucional en la naturaleza de la actividad empresarial en toda Europa</w:t>
      </w:r>
      <w:r w:rsidR="006A3EE6" w:rsidRPr="006A3EE6">
        <w:rPr>
          <w:rFonts w:ascii="Times New Roman" w:hAnsi="Times New Roman"/>
          <w:sz w:val="24"/>
          <w:szCs w:val="24"/>
          <w:lang w:val="es-ES"/>
        </w:rPr>
        <w:t>; se demuestra que u</w:t>
      </w:r>
      <w:r w:rsidR="0044734B" w:rsidRPr="006A3EE6">
        <w:rPr>
          <w:rFonts w:ascii="Times New Roman" w:hAnsi="Times New Roman"/>
          <w:sz w:val="24"/>
          <w:szCs w:val="24"/>
          <w:lang w:val="es-ES"/>
        </w:rPr>
        <w:t>na mayor equidad y una mayor protección de los derechos de propiedad aumentan las tasas de ingreso, reducen las tasas de salida y reducen el tamaño promedio de las empresas.</w:t>
      </w:r>
      <w:r w:rsidR="006A3EE6" w:rsidRPr="006A3EE6">
        <w:rPr>
          <w:rFonts w:ascii="Times New Roman" w:hAnsi="Times New Roman"/>
          <w:sz w:val="24"/>
          <w:szCs w:val="24"/>
          <w:lang w:val="es-ES"/>
        </w:rPr>
        <w:t xml:space="preserve"> </w:t>
      </w:r>
    </w:p>
    <w:p w14:paraId="5D9F42E9" w14:textId="77777777" w:rsidR="003F6BF5" w:rsidRDefault="003F6BF5" w:rsidP="003F6BF5">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39504EC0" w14:textId="3E84960E" w:rsidR="001A5A4E" w:rsidRPr="00A56702" w:rsidRDefault="003F6BF5" w:rsidP="00F17452">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A56702">
        <w:rPr>
          <w:rFonts w:ascii="Times New Roman" w:hAnsi="Times New Roman"/>
          <w:sz w:val="24"/>
          <w:szCs w:val="24"/>
          <w:lang w:val="es-ES"/>
        </w:rPr>
        <w:t xml:space="preserve">Para el caso de Panamá, </w:t>
      </w:r>
      <w:r w:rsidR="00A56702" w:rsidRPr="00A56702">
        <w:rPr>
          <w:rFonts w:ascii="Times New Roman" w:hAnsi="Times New Roman"/>
          <w:sz w:val="24"/>
          <w:szCs w:val="24"/>
          <w:lang w:val="es-ES"/>
        </w:rPr>
        <w:t xml:space="preserve">analizamos empíricamente los resultados en el crecimiento económico de las reformas estructurales legales llevadas a cabo durante el período 2004-2017. </w:t>
      </w:r>
      <w:r w:rsidR="00A56702" w:rsidRPr="00A56702">
        <w:rPr>
          <w:rFonts w:ascii="Times New Roman" w:hAnsi="Times New Roman" w:cs="Times New Roman"/>
          <w:sz w:val="24"/>
          <w:szCs w:val="24"/>
          <w:lang w:val="es-ES_tradnl"/>
        </w:rPr>
        <w:t xml:space="preserve">El fundamento teórico de este análisis es que el nivel de ingresos es una función del marco regulatorio existente, pero un cambio en el nivel de ingresos es más una función de cómo cambia y mejora el marco regulatorio. Utilizamos los indicadores del </w:t>
      </w:r>
      <w:r w:rsidR="00A56702" w:rsidRPr="00A56702">
        <w:rPr>
          <w:rFonts w:ascii="Times New Roman" w:hAnsi="Times New Roman" w:cs="Times New Roman"/>
          <w:i/>
          <w:sz w:val="24"/>
          <w:szCs w:val="24"/>
          <w:lang w:val="es-ES_tradnl"/>
        </w:rPr>
        <w:t>Doing Business</w:t>
      </w:r>
      <w:r w:rsidR="00A56702" w:rsidRPr="00A56702">
        <w:rPr>
          <w:rFonts w:ascii="Times New Roman" w:hAnsi="Times New Roman" w:cs="Times New Roman"/>
          <w:sz w:val="24"/>
          <w:szCs w:val="24"/>
          <w:lang w:val="es-ES_tradnl"/>
        </w:rPr>
        <w:t xml:space="preserve"> (DB) del Banco Mundial como indicadores de las regulaciones comerciales, como un determinante importante del crecimiento económico enfocado fundamentalmente en la actividad de las firmas. Encontramos que existe una relación positiva entre las reformas regulatorias llevadas a cabo en Panamá en el período </w:t>
      </w:r>
      <w:r w:rsidR="00A56702" w:rsidRPr="00A56702">
        <w:rPr>
          <w:rFonts w:ascii="Times New Roman" w:hAnsi="Times New Roman" w:cs="Times New Roman"/>
          <w:sz w:val="24"/>
          <w:szCs w:val="24"/>
          <w:lang w:val="es-ES_tradnl"/>
        </w:rPr>
        <w:lastRenderedPageBreak/>
        <w:t xml:space="preserve">analizado y los incrementos en el PIB Nominal. </w:t>
      </w:r>
      <w:r w:rsidR="00A56702">
        <w:rPr>
          <w:rFonts w:ascii="Times New Roman" w:hAnsi="Times New Roman" w:cs="Times New Roman"/>
          <w:sz w:val="24"/>
          <w:szCs w:val="24"/>
          <w:lang w:val="es-ES_tradnl"/>
        </w:rPr>
        <w:t>E</w:t>
      </w:r>
      <w:r w:rsidR="00A56702" w:rsidRPr="00A56702">
        <w:rPr>
          <w:rFonts w:ascii="Times New Roman" w:hAnsi="Times New Roman" w:cs="Times New Roman"/>
          <w:sz w:val="24"/>
          <w:szCs w:val="24"/>
          <w:lang w:val="es-ES_tradnl"/>
        </w:rPr>
        <w:t xml:space="preserve">l coeficiente </w:t>
      </w:r>
      <w:r w:rsidR="00A56702">
        <w:rPr>
          <w:rFonts w:ascii="Times New Roman" w:hAnsi="Times New Roman" w:cs="Times New Roman"/>
          <w:sz w:val="24"/>
          <w:szCs w:val="24"/>
          <w:lang w:val="es-ES_tradnl"/>
        </w:rPr>
        <w:t>estimado en el modelo</w:t>
      </w:r>
      <w:r w:rsidR="00A56702" w:rsidRPr="00A56702">
        <w:rPr>
          <w:rFonts w:ascii="Times New Roman" w:hAnsi="Times New Roman" w:cs="Times New Roman"/>
          <w:sz w:val="24"/>
          <w:szCs w:val="24"/>
          <w:lang w:val="es-ES_tradnl"/>
        </w:rPr>
        <w:t xml:space="preserve"> es positivo e igual a </w:t>
      </w:r>
      <w:r w:rsidR="00A56702" w:rsidRPr="00A56702">
        <w:rPr>
          <w:rFonts w:ascii="Times New Roman" w:hAnsi="Times New Roman" w:cs="Times New Roman"/>
          <w:b/>
          <w:sz w:val="24"/>
          <w:szCs w:val="24"/>
          <w:lang w:val="es-ES_tradnl"/>
        </w:rPr>
        <w:t>0.03</w:t>
      </w:r>
      <w:r w:rsidR="00A56702" w:rsidRPr="00A56702">
        <w:rPr>
          <w:rFonts w:ascii="Times New Roman" w:hAnsi="Times New Roman" w:cs="Times New Roman"/>
          <w:sz w:val="24"/>
          <w:szCs w:val="24"/>
          <w:lang w:val="es-ES_tradnl"/>
        </w:rPr>
        <w:t xml:space="preserve">, significativo al nivel de 5%. </w:t>
      </w:r>
      <w:r w:rsidR="00A56702" w:rsidRPr="00A56702">
        <w:rPr>
          <w:rFonts w:ascii="Times New Roman" w:hAnsi="Times New Roman" w:cs="Times New Roman"/>
          <w:b/>
          <w:sz w:val="24"/>
          <w:szCs w:val="24"/>
          <w:lang w:val="es-ES_tradnl"/>
        </w:rPr>
        <w:t xml:space="preserve">En palabras, cada reforma regulatoria del clima de negocios está asociada, en promedio, con un aumento de 0.03% en el crecimiento económico. </w:t>
      </w:r>
      <w:r w:rsidR="006A3EE6" w:rsidRPr="00A56702">
        <w:rPr>
          <w:rFonts w:ascii="Times New Roman" w:hAnsi="Times New Roman"/>
          <w:sz w:val="24"/>
          <w:szCs w:val="24"/>
          <w:lang w:val="es-ES"/>
        </w:rPr>
        <w:t xml:space="preserve">Las evidencias antes mencionadas, </w:t>
      </w:r>
      <w:r w:rsidR="001A5A4E" w:rsidRPr="00A56702">
        <w:rPr>
          <w:rFonts w:ascii="Times New Roman" w:hAnsi="Times New Roman"/>
          <w:sz w:val="24"/>
          <w:szCs w:val="24"/>
          <w:lang w:val="es-ES"/>
        </w:rPr>
        <w:t>sugieren que los países deberían priorizar la reforma de sus regulaciones comerciales</w:t>
      </w:r>
      <w:r w:rsidR="006A3EE6" w:rsidRPr="00A56702">
        <w:rPr>
          <w:rFonts w:ascii="Times New Roman" w:hAnsi="Times New Roman"/>
          <w:sz w:val="24"/>
          <w:szCs w:val="24"/>
          <w:lang w:val="es-ES"/>
        </w:rPr>
        <w:t>, de transporte y logística</w:t>
      </w:r>
      <w:r w:rsidR="001A5A4E" w:rsidRPr="00A56702">
        <w:rPr>
          <w:rFonts w:ascii="Times New Roman" w:hAnsi="Times New Roman"/>
          <w:sz w:val="24"/>
          <w:szCs w:val="24"/>
          <w:lang w:val="es-ES"/>
        </w:rPr>
        <w:t xml:space="preserve"> al diseñar políticas de crecimiento.</w:t>
      </w:r>
    </w:p>
    <w:p w14:paraId="685BE76C" w14:textId="77777777" w:rsidR="00AA15B6" w:rsidRPr="00030038" w:rsidRDefault="00AA15B6" w:rsidP="00AA15B6">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3CEA3E1D" w14:textId="4A67559C" w:rsidR="007E4218" w:rsidRPr="007E4218" w:rsidRDefault="007E4218" w:rsidP="007E4218">
      <w:pPr>
        <w:pStyle w:val="ListParagraph"/>
        <w:numPr>
          <w:ilvl w:val="0"/>
          <w:numId w:val="2"/>
        </w:numPr>
        <w:tabs>
          <w:tab w:val="left" w:pos="360"/>
          <w:tab w:val="left" w:pos="450"/>
        </w:tabs>
        <w:spacing w:line="240" w:lineRule="auto"/>
        <w:jc w:val="both"/>
        <w:rPr>
          <w:rFonts w:ascii="Times New Roman" w:hAnsi="Times New Roman"/>
          <w:b/>
          <w:color w:val="1F497D"/>
          <w:sz w:val="24"/>
          <w:szCs w:val="24"/>
          <w:lang w:val="es-ES"/>
        </w:rPr>
      </w:pPr>
      <w:r w:rsidRPr="007E4218">
        <w:rPr>
          <w:rFonts w:ascii="Times New Roman" w:hAnsi="Times New Roman"/>
          <w:b/>
          <w:color w:val="1F497D"/>
          <w:sz w:val="24"/>
          <w:szCs w:val="24"/>
          <w:lang w:val="es-ES"/>
        </w:rPr>
        <w:t>A</w:t>
      </w:r>
      <w:r w:rsidR="00F71376" w:rsidRPr="007E4218">
        <w:rPr>
          <w:rFonts w:ascii="Times New Roman" w:hAnsi="Times New Roman"/>
          <w:b/>
          <w:color w:val="1F497D"/>
          <w:sz w:val="24"/>
          <w:szCs w:val="24"/>
          <w:lang w:val="es-ES"/>
        </w:rPr>
        <w:t>spectos generales de la operación en términos de integración regional</w:t>
      </w:r>
    </w:p>
    <w:p w14:paraId="015DBBAD" w14:textId="1DAC5BEB" w:rsidR="007E4218" w:rsidRPr="007749AE" w:rsidRDefault="007E4218" w:rsidP="007E4218">
      <w:pPr>
        <w:pStyle w:val="ListParagraph"/>
        <w:rPr>
          <w:rFonts w:ascii="Times New Roman" w:hAnsi="Times New Roman" w:cs="Times New Roman"/>
          <w:sz w:val="24"/>
          <w:szCs w:val="24"/>
          <w:lang w:val="es-ES"/>
        </w:rPr>
      </w:pPr>
    </w:p>
    <w:p w14:paraId="64622034" w14:textId="4CAEBC1A" w:rsidR="00C34101" w:rsidRPr="00C34101" w:rsidRDefault="003D5B7B" w:rsidP="00C3410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00CD312B">
        <w:rPr>
          <w:rFonts w:ascii="Times New Roman" w:hAnsi="Times New Roman" w:cs="Times New Roman"/>
          <w:sz w:val="24"/>
          <w:szCs w:val="24"/>
          <w:lang w:val="es-ES"/>
        </w:rPr>
        <w:t xml:space="preserve">El </w:t>
      </w:r>
      <w:r w:rsidR="00675FC0" w:rsidRPr="00CD312B">
        <w:rPr>
          <w:rFonts w:ascii="Times New Roman" w:hAnsi="Times New Roman" w:cs="Times New Roman"/>
          <w:sz w:val="24"/>
          <w:szCs w:val="24"/>
          <w:lang w:val="es-ES"/>
        </w:rPr>
        <w:t xml:space="preserve">Programa </w:t>
      </w:r>
      <w:r w:rsidR="00675FC0" w:rsidRPr="00CD312B">
        <w:rPr>
          <w:rFonts w:ascii="Times New Roman" w:hAnsi="Times New Roman" w:cs="Times New Roman"/>
          <w:sz w:val="24"/>
          <w:szCs w:val="24"/>
          <w:lang w:val="es-ES_tradnl"/>
        </w:rPr>
        <w:t xml:space="preserve">Apoyo al Programa de Reformas del Sector Transporte y Logística de Panamá Fase III, </w:t>
      </w:r>
      <w:r w:rsidRPr="00CD312B">
        <w:rPr>
          <w:rFonts w:ascii="Times New Roman" w:hAnsi="Times New Roman" w:cs="Times New Roman"/>
          <w:sz w:val="24"/>
          <w:szCs w:val="24"/>
          <w:lang w:val="es-ES"/>
        </w:rPr>
        <w:t xml:space="preserve">tiene como objetivo general contribuir a la </w:t>
      </w:r>
      <w:r w:rsidRPr="005F4A88">
        <w:rPr>
          <w:rFonts w:ascii="Times New Roman" w:hAnsi="Times New Roman" w:cs="Times New Roman"/>
          <w:color w:val="767171" w:themeColor="background2" w:themeShade="80"/>
          <w:sz w:val="24"/>
          <w:szCs w:val="24"/>
          <w:lang w:val="es-ES"/>
        </w:rPr>
        <w:t xml:space="preserve">productividad y a la integración nacional y regional de </w:t>
      </w:r>
      <w:r w:rsidR="00675FC0" w:rsidRPr="005F4A88">
        <w:rPr>
          <w:rFonts w:ascii="Times New Roman" w:hAnsi="Times New Roman" w:cs="Times New Roman"/>
          <w:color w:val="767171" w:themeColor="background2" w:themeShade="80"/>
          <w:sz w:val="24"/>
          <w:szCs w:val="24"/>
          <w:lang w:val="es-ES"/>
        </w:rPr>
        <w:t>Panamá</w:t>
      </w:r>
      <w:r w:rsidRPr="005F4A88">
        <w:rPr>
          <w:rFonts w:ascii="Times New Roman" w:hAnsi="Times New Roman" w:cs="Times New Roman"/>
          <w:color w:val="767171" w:themeColor="background2" w:themeShade="80"/>
          <w:sz w:val="24"/>
          <w:szCs w:val="24"/>
          <w:lang w:val="es-ES"/>
        </w:rPr>
        <w:t xml:space="preserve">. </w:t>
      </w:r>
      <w:r w:rsidRPr="00CD312B">
        <w:rPr>
          <w:rFonts w:ascii="Times New Roman" w:hAnsi="Times New Roman" w:cs="Times New Roman"/>
          <w:sz w:val="24"/>
          <w:szCs w:val="24"/>
          <w:lang w:val="es-ES"/>
        </w:rPr>
        <w:t xml:space="preserve">El objetivo específico, es </w:t>
      </w:r>
      <w:r w:rsidR="00BC28F1" w:rsidRPr="00002817">
        <w:rPr>
          <w:rFonts w:ascii="Times New Roman" w:hAnsi="Times New Roman" w:cs="Times New Roman"/>
          <w:color w:val="808080" w:themeColor="background1" w:themeShade="80"/>
          <w:sz w:val="24"/>
          <w:szCs w:val="24"/>
          <w:lang w:val="es-ES"/>
        </w:rPr>
        <w:t>(insertar objetivo específico tal como aparece en el documento de proyecto).</w:t>
      </w:r>
      <w:r w:rsidR="00CD312B" w:rsidRPr="00002817">
        <w:rPr>
          <w:rFonts w:ascii="Times New Roman" w:hAnsi="Times New Roman" w:cs="Times New Roman"/>
          <w:color w:val="808080" w:themeColor="background1" w:themeShade="80"/>
          <w:sz w:val="24"/>
          <w:szCs w:val="24"/>
          <w:lang w:val="es-ES"/>
        </w:rPr>
        <w:t xml:space="preserve"> </w:t>
      </w:r>
      <w:r w:rsidR="00CD312B" w:rsidRPr="00CD312B">
        <w:rPr>
          <w:rFonts w:ascii="Times New Roman" w:hAnsi="Times New Roman" w:cs="Times New Roman"/>
          <w:sz w:val="24"/>
          <w:szCs w:val="24"/>
          <w:lang w:val="es-ES"/>
        </w:rPr>
        <w:t>E</w:t>
      </w:r>
      <w:r w:rsidRPr="00CD312B">
        <w:rPr>
          <w:rFonts w:ascii="Times New Roman" w:hAnsi="Times New Roman" w:cs="Times New Roman"/>
          <w:sz w:val="24"/>
          <w:szCs w:val="24"/>
          <w:lang w:val="es-ES"/>
        </w:rPr>
        <w:t xml:space="preserve">l programa reforzará las acciones que se han llevado a cabo a través de los programas </w:t>
      </w:r>
      <w:r w:rsidR="007C7968">
        <w:rPr>
          <w:rFonts w:ascii="Times New Roman" w:hAnsi="Times New Roman" w:cs="Times New Roman"/>
          <w:sz w:val="24"/>
          <w:szCs w:val="24"/>
          <w:lang w:val="es-ES"/>
        </w:rPr>
        <w:t>A</w:t>
      </w:r>
      <w:r w:rsidR="00E34265" w:rsidRPr="00CD312B">
        <w:rPr>
          <w:rFonts w:ascii="Times New Roman" w:hAnsi="Times New Roman" w:cs="Times New Roman"/>
          <w:sz w:val="24"/>
          <w:szCs w:val="24"/>
          <w:lang w:val="es-ES_tradnl"/>
        </w:rPr>
        <w:t xml:space="preserve">poyo al Programa de Reformas del Sector Transporte y Logística de Panamá </w:t>
      </w:r>
      <w:r w:rsidRPr="00CD312B">
        <w:rPr>
          <w:rFonts w:ascii="Times New Roman" w:hAnsi="Times New Roman" w:cs="Times New Roman"/>
          <w:sz w:val="24"/>
          <w:szCs w:val="24"/>
          <w:lang w:val="es-ES"/>
        </w:rPr>
        <w:t>(</w:t>
      </w:r>
      <w:r w:rsidR="00E34265" w:rsidRPr="00CD312B">
        <w:rPr>
          <w:rFonts w:ascii="Times New Roman" w:hAnsi="Times New Roman" w:cs="Times New Roman"/>
          <w:sz w:val="24"/>
          <w:szCs w:val="24"/>
          <w:lang w:val="es-ES"/>
        </w:rPr>
        <w:t>PN-</w:t>
      </w:r>
      <w:r w:rsidRPr="00CD312B">
        <w:rPr>
          <w:rFonts w:ascii="Times New Roman" w:hAnsi="Times New Roman" w:cs="Times New Roman"/>
          <w:sz w:val="24"/>
          <w:szCs w:val="24"/>
          <w:lang w:val="es-ES"/>
        </w:rPr>
        <w:t>L</w:t>
      </w:r>
      <w:r w:rsidR="00E34265" w:rsidRPr="00CD312B">
        <w:rPr>
          <w:rFonts w:ascii="Times New Roman" w:hAnsi="Times New Roman" w:cs="Times New Roman"/>
          <w:sz w:val="24"/>
          <w:szCs w:val="24"/>
          <w:lang w:val="es-ES"/>
        </w:rPr>
        <w:t>1110</w:t>
      </w:r>
      <w:r w:rsidRPr="00CD312B">
        <w:rPr>
          <w:rFonts w:ascii="Times New Roman" w:hAnsi="Times New Roman" w:cs="Times New Roman"/>
          <w:sz w:val="24"/>
          <w:szCs w:val="24"/>
          <w:lang w:val="es-ES"/>
        </w:rPr>
        <w:t xml:space="preserve"> y </w:t>
      </w:r>
      <w:r w:rsidR="00E34265" w:rsidRPr="00CD312B">
        <w:rPr>
          <w:rFonts w:ascii="Times New Roman" w:hAnsi="Times New Roman" w:cs="Times New Roman"/>
          <w:sz w:val="24"/>
          <w:szCs w:val="24"/>
          <w:lang w:val="es-ES"/>
        </w:rPr>
        <w:t>PN</w:t>
      </w:r>
      <w:r w:rsidRPr="00CD312B">
        <w:rPr>
          <w:rFonts w:ascii="Times New Roman" w:hAnsi="Times New Roman" w:cs="Times New Roman"/>
          <w:sz w:val="24"/>
          <w:szCs w:val="24"/>
          <w:lang w:val="es-ES"/>
        </w:rPr>
        <w:t>-</w:t>
      </w:r>
      <w:r w:rsidR="00E34265" w:rsidRPr="00CD312B">
        <w:rPr>
          <w:rFonts w:ascii="Times New Roman" w:hAnsi="Times New Roman" w:cs="Times New Roman"/>
          <w:sz w:val="24"/>
          <w:szCs w:val="24"/>
          <w:lang w:val="es-ES"/>
        </w:rPr>
        <w:t>L1119</w:t>
      </w:r>
      <w:r w:rsidRPr="00CD312B">
        <w:rPr>
          <w:rFonts w:ascii="Times New Roman" w:hAnsi="Times New Roman" w:cs="Times New Roman"/>
          <w:sz w:val="24"/>
          <w:szCs w:val="24"/>
          <w:lang w:val="es-ES"/>
        </w:rPr>
        <w:t>)</w:t>
      </w:r>
      <w:r>
        <w:rPr>
          <w:rStyle w:val="FootnoteReference"/>
          <w:rFonts w:cs="Times New Roman"/>
          <w:szCs w:val="24"/>
          <w:lang w:val="es-ES"/>
        </w:rPr>
        <w:footnoteReference w:id="15"/>
      </w:r>
      <w:r w:rsidRPr="00CD312B">
        <w:rPr>
          <w:rFonts w:ascii="Times New Roman" w:hAnsi="Times New Roman" w:cs="Times New Roman"/>
          <w:sz w:val="24"/>
          <w:szCs w:val="24"/>
          <w:lang w:val="es-ES"/>
        </w:rPr>
        <w:t xml:space="preserve">. </w:t>
      </w:r>
      <w:r w:rsidR="00CD312B" w:rsidRPr="00CD312B">
        <w:rPr>
          <w:rFonts w:ascii="Times New Roman" w:hAnsi="Times New Roman"/>
          <w:sz w:val="24"/>
          <w:szCs w:val="24"/>
          <w:lang w:val="es-ES_tradnl"/>
        </w:rPr>
        <w:t xml:space="preserve">La primera operación (PN-L1110) se enfocó en establecer las prioridades de reforma y la institucionalidad necesaria </w:t>
      </w:r>
      <w:r w:rsidR="00675566">
        <w:rPr>
          <w:rFonts w:ascii="Times New Roman" w:hAnsi="Times New Roman"/>
          <w:sz w:val="24"/>
          <w:szCs w:val="24"/>
          <w:lang w:val="es-ES_tradnl"/>
        </w:rPr>
        <w:t>mejorar el sector logístico</w:t>
      </w:r>
      <w:r w:rsidR="00CD312B" w:rsidRPr="00CD312B">
        <w:rPr>
          <w:rFonts w:ascii="Times New Roman" w:hAnsi="Times New Roman"/>
          <w:sz w:val="24"/>
          <w:szCs w:val="24"/>
          <w:lang w:val="es-ES_tradnl"/>
        </w:rPr>
        <w:t>. La segunda operación (PN-L1119) se enfocó en la elaboración de los instrumentos legales, de planificación y de mejora de procesos. La tercera operación, se enfocará en concretar los instrumentos legales y los instrumentos de planificación, permitiendo un vínculo concreto y de largo plazo con las políticas pública</w:t>
      </w:r>
    </w:p>
    <w:p w14:paraId="2815644B" w14:textId="77777777" w:rsidR="00C34101" w:rsidRPr="00C34101" w:rsidRDefault="00C34101" w:rsidP="00C34101">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p>
    <w:p w14:paraId="252EE9C8" w14:textId="69BDBC13" w:rsidR="00CD12C3" w:rsidRDefault="003D5B7B" w:rsidP="00CD12C3">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00C34101">
        <w:rPr>
          <w:rFonts w:ascii="Times New Roman" w:hAnsi="Times New Roman" w:cs="Times New Roman"/>
          <w:sz w:val="24"/>
          <w:szCs w:val="24"/>
          <w:lang w:val="es-ES"/>
        </w:rPr>
        <w:t xml:space="preserve">Estos programas muestran avances significativos en términos de consolidación </w:t>
      </w:r>
      <w:r w:rsidR="00C34101" w:rsidRPr="00C34101">
        <w:rPr>
          <w:rFonts w:ascii="Times New Roman" w:hAnsi="Times New Roman" w:cs="Times New Roman"/>
          <w:sz w:val="24"/>
          <w:szCs w:val="24"/>
          <w:lang w:val="es-ES"/>
        </w:rPr>
        <w:t xml:space="preserve">del marco normativo e institucional de logística introduciendo lineamientos de planificación de política de largo plazo, así como también en la adopción del Marco legal aduanero reformado a fin de dar cumplimiento al protocolo de integración de Panamá a la Secretaría de Integración Económica Centroamericana (SIECA) y armonizarlo con el código aduanero regional (CAUCA, RECAUCA). </w:t>
      </w:r>
      <w:r w:rsidR="00E34265" w:rsidRPr="00C34101">
        <w:rPr>
          <w:rFonts w:ascii="Times New Roman" w:hAnsi="Times New Roman" w:cs="Times New Roman"/>
          <w:sz w:val="24"/>
          <w:szCs w:val="24"/>
          <w:lang w:val="es-ES"/>
        </w:rPr>
        <w:t xml:space="preserve"> </w:t>
      </w:r>
      <w:r w:rsidR="00C34101">
        <w:rPr>
          <w:rFonts w:ascii="Times New Roman" w:hAnsi="Times New Roman" w:cs="Times New Roman"/>
          <w:sz w:val="24"/>
          <w:szCs w:val="24"/>
          <w:lang w:val="es-ES"/>
        </w:rPr>
        <w:t>En el aspecto organizacional se detecta avances</w:t>
      </w:r>
      <w:r w:rsidR="00CD12C3">
        <w:rPr>
          <w:rFonts w:ascii="Times New Roman" w:hAnsi="Times New Roman" w:cs="Times New Roman"/>
          <w:sz w:val="24"/>
          <w:szCs w:val="24"/>
          <w:lang w:val="es-ES"/>
        </w:rPr>
        <w:t xml:space="preserve"> en</w:t>
      </w:r>
      <w:r w:rsidR="00C34101">
        <w:rPr>
          <w:rFonts w:ascii="Times New Roman" w:hAnsi="Times New Roman" w:cs="Times New Roman"/>
          <w:sz w:val="24"/>
          <w:szCs w:val="24"/>
          <w:lang w:val="es-ES"/>
        </w:rPr>
        <w:t xml:space="preserve"> </w:t>
      </w:r>
      <w:r w:rsidR="00C34101" w:rsidRPr="00C34101">
        <w:rPr>
          <w:rFonts w:ascii="Times New Roman" w:hAnsi="Times New Roman"/>
          <w:sz w:val="24"/>
          <w:szCs w:val="24"/>
          <w:lang w:val="es-ES"/>
        </w:rPr>
        <w:t xml:space="preserve">el contexto institucional fortalecido, </w:t>
      </w:r>
      <w:r w:rsidR="00C34101">
        <w:rPr>
          <w:rFonts w:ascii="Times New Roman" w:hAnsi="Times New Roman"/>
          <w:sz w:val="24"/>
          <w:szCs w:val="24"/>
          <w:lang w:val="es-ES"/>
        </w:rPr>
        <w:t>dado a la</w:t>
      </w:r>
      <w:r w:rsidR="00C34101" w:rsidRPr="00C34101">
        <w:rPr>
          <w:rFonts w:ascii="Times New Roman" w:hAnsi="Times New Roman"/>
          <w:sz w:val="24"/>
          <w:szCs w:val="24"/>
          <w:lang w:val="es-ES"/>
        </w:rPr>
        <w:t xml:space="preserve"> consolida</w:t>
      </w:r>
      <w:r w:rsidR="00C34101">
        <w:rPr>
          <w:rFonts w:ascii="Times New Roman" w:hAnsi="Times New Roman"/>
          <w:sz w:val="24"/>
          <w:szCs w:val="24"/>
          <w:lang w:val="es-ES"/>
        </w:rPr>
        <w:t>ción de</w:t>
      </w:r>
      <w:r w:rsidR="00C34101" w:rsidRPr="00C34101">
        <w:rPr>
          <w:rFonts w:ascii="Times New Roman" w:hAnsi="Times New Roman"/>
          <w:sz w:val="24"/>
          <w:szCs w:val="24"/>
          <w:lang w:val="es-ES"/>
        </w:rPr>
        <w:t xml:space="preserve"> una instancia interinstitucional al más alto nivel de Gobierno que facilit</w:t>
      </w:r>
      <w:r w:rsidR="00675566">
        <w:rPr>
          <w:rFonts w:ascii="Times New Roman" w:hAnsi="Times New Roman"/>
          <w:sz w:val="24"/>
          <w:szCs w:val="24"/>
          <w:lang w:val="es-ES"/>
        </w:rPr>
        <w:t>a</w:t>
      </w:r>
      <w:r w:rsidR="00C34101" w:rsidRPr="00C34101">
        <w:rPr>
          <w:rFonts w:ascii="Times New Roman" w:hAnsi="Times New Roman"/>
          <w:sz w:val="24"/>
          <w:szCs w:val="24"/>
          <w:lang w:val="es-ES"/>
        </w:rPr>
        <w:t xml:space="preserve"> la coordinación y la toma de decisiones en materia de logística integrando el sector privado</w:t>
      </w:r>
      <w:r w:rsidR="00C34101">
        <w:rPr>
          <w:rFonts w:ascii="Times New Roman" w:hAnsi="Times New Roman"/>
          <w:sz w:val="24"/>
          <w:szCs w:val="24"/>
          <w:lang w:val="es-ES"/>
        </w:rPr>
        <w:t>, esto materializado institucionalmente en los Gabinetes Logísticos</w:t>
      </w:r>
      <w:r w:rsidR="00C34101" w:rsidRPr="00C34101">
        <w:rPr>
          <w:rFonts w:ascii="Times New Roman" w:hAnsi="Times New Roman"/>
          <w:sz w:val="24"/>
          <w:szCs w:val="24"/>
          <w:lang w:val="es-ES"/>
        </w:rPr>
        <w:t>.</w:t>
      </w:r>
      <w:r w:rsidR="0094004A">
        <w:rPr>
          <w:rFonts w:ascii="Times New Roman" w:hAnsi="Times New Roman"/>
          <w:sz w:val="24"/>
          <w:szCs w:val="24"/>
          <w:lang w:val="es-ES"/>
        </w:rPr>
        <w:t xml:space="preserve"> En lo que respecta al e</w:t>
      </w:r>
      <w:r w:rsidR="0094004A" w:rsidRPr="0094004A">
        <w:rPr>
          <w:rFonts w:ascii="Times New Roman" w:hAnsi="Times New Roman"/>
          <w:sz w:val="24"/>
          <w:szCs w:val="24"/>
          <w:lang w:val="es-ES"/>
        </w:rPr>
        <w:t>stablecimiento de procesos de planificación integra</w:t>
      </w:r>
      <w:r w:rsidR="0094004A">
        <w:rPr>
          <w:rFonts w:ascii="Times New Roman" w:hAnsi="Times New Roman"/>
          <w:sz w:val="24"/>
          <w:szCs w:val="24"/>
          <w:lang w:val="es-ES"/>
        </w:rPr>
        <w:t xml:space="preserve">l, se detectan </w:t>
      </w:r>
      <w:r w:rsidR="00CD12C3">
        <w:rPr>
          <w:rFonts w:ascii="Times New Roman" w:hAnsi="Times New Roman"/>
          <w:sz w:val="24"/>
          <w:szCs w:val="24"/>
          <w:lang w:val="es-ES"/>
        </w:rPr>
        <w:t xml:space="preserve">importantes </w:t>
      </w:r>
      <w:r w:rsidR="0094004A">
        <w:rPr>
          <w:rFonts w:ascii="Times New Roman" w:hAnsi="Times New Roman"/>
          <w:sz w:val="24"/>
          <w:szCs w:val="24"/>
          <w:lang w:val="es-ES"/>
        </w:rPr>
        <w:t>avances en la elaboración de documentos claves de política económica y sectorial</w:t>
      </w:r>
      <w:r w:rsidR="0094004A">
        <w:rPr>
          <w:rStyle w:val="FootnoteReference"/>
          <w:szCs w:val="24"/>
          <w:lang w:val="es-ES"/>
        </w:rPr>
        <w:footnoteReference w:id="16"/>
      </w:r>
      <w:r w:rsidR="0094004A">
        <w:rPr>
          <w:rFonts w:ascii="Times New Roman" w:hAnsi="Times New Roman"/>
          <w:sz w:val="24"/>
          <w:szCs w:val="24"/>
          <w:lang w:val="es-ES"/>
        </w:rPr>
        <w:t xml:space="preserve">. </w:t>
      </w:r>
    </w:p>
    <w:p w14:paraId="13CB73C0" w14:textId="77777777" w:rsidR="00CD12C3" w:rsidRPr="00CD12C3" w:rsidRDefault="00CD12C3" w:rsidP="00CD12C3">
      <w:pPr>
        <w:pStyle w:val="ListParagraph"/>
        <w:rPr>
          <w:rFonts w:ascii="Times New Roman" w:hAnsi="Times New Roman"/>
          <w:sz w:val="24"/>
          <w:szCs w:val="24"/>
          <w:lang w:val="es-ES"/>
        </w:rPr>
      </w:pPr>
    </w:p>
    <w:p w14:paraId="641866A4" w14:textId="000B5F40" w:rsidR="00CF2643" w:rsidRDefault="003D5B7B" w:rsidP="00E55246">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CF2643">
        <w:rPr>
          <w:rFonts w:ascii="Times New Roman" w:hAnsi="Times New Roman"/>
          <w:sz w:val="24"/>
          <w:szCs w:val="24"/>
          <w:lang w:val="es-ES"/>
        </w:rPr>
        <w:t xml:space="preserve">En relación </w:t>
      </w:r>
      <w:r w:rsidR="00CD12C3" w:rsidRPr="00CF2643">
        <w:rPr>
          <w:rFonts w:ascii="Times New Roman" w:hAnsi="Times New Roman"/>
          <w:sz w:val="24"/>
          <w:szCs w:val="24"/>
          <w:lang w:val="es-ES"/>
        </w:rPr>
        <w:t>con</w:t>
      </w:r>
      <w:r w:rsidRPr="00CF2643">
        <w:rPr>
          <w:rFonts w:ascii="Times New Roman" w:hAnsi="Times New Roman"/>
          <w:sz w:val="24"/>
          <w:szCs w:val="24"/>
          <w:lang w:val="es-ES"/>
        </w:rPr>
        <w:t xml:space="preserve"> la etapa III del proyecto,</w:t>
      </w:r>
      <w:r w:rsidR="00954D4F" w:rsidRPr="00CF2643">
        <w:rPr>
          <w:rFonts w:ascii="Times New Roman" w:hAnsi="Times New Roman"/>
          <w:sz w:val="24"/>
          <w:szCs w:val="24"/>
          <w:lang w:val="es-ES"/>
        </w:rPr>
        <w:t xml:space="preserve"> </w:t>
      </w:r>
      <w:r w:rsidR="00CD12C3" w:rsidRPr="00CF2643">
        <w:rPr>
          <w:rFonts w:ascii="Times New Roman" w:hAnsi="Times New Roman"/>
          <w:sz w:val="24"/>
          <w:szCs w:val="24"/>
          <w:lang w:val="es-ES"/>
        </w:rPr>
        <w:t>e</w:t>
      </w:r>
      <w:r w:rsidR="00CD12C3" w:rsidRPr="00CF2643">
        <w:rPr>
          <w:rFonts w:ascii="Times New Roman" w:hAnsi="Times New Roman"/>
          <w:sz w:val="24"/>
          <w:szCs w:val="24"/>
          <w:lang w:val="es-ES_tradnl"/>
        </w:rPr>
        <w:t xml:space="preserve">l programa continuará materializando los resultados obtenidos hasta la fecha en materia de coordinación </w:t>
      </w:r>
      <w:r w:rsidR="00A010F6" w:rsidRPr="00CF2643">
        <w:rPr>
          <w:rFonts w:ascii="Times New Roman" w:hAnsi="Times New Roman"/>
          <w:sz w:val="24"/>
          <w:szCs w:val="24"/>
          <w:lang w:val="es-ES_tradnl"/>
        </w:rPr>
        <w:t>regional para la armonización de las políticas arancelarias y procedimientos aduaneros de alto impacto para el desempeño del comercio regional</w:t>
      </w:r>
      <w:r w:rsidR="00CD12C3" w:rsidRPr="00CF2643">
        <w:rPr>
          <w:rFonts w:ascii="Times New Roman" w:hAnsi="Times New Roman"/>
          <w:sz w:val="24"/>
          <w:szCs w:val="24"/>
          <w:lang w:val="es-ES_tradnl"/>
        </w:rPr>
        <w:t xml:space="preserve">, </w:t>
      </w:r>
      <w:r w:rsidR="00A010F6" w:rsidRPr="00CF2643">
        <w:rPr>
          <w:rFonts w:ascii="Times New Roman" w:hAnsi="Times New Roman"/>
          <w:sz w:val="24"/>
          <w:szCs w:val="24"/>
          <w:lang w:val="es-ES_tradnl"/>
        </w:rPr>
        <w:t xml:space="preserve">además de </w:t>
      </w:r>
      <w:r w:rsidR="00CD12C3" w:rsidRPr="00CF2643">
        <w:rPr>
          <w:rFonts w:ascii="Times New Roman" w:hAnsi="Times New Roman"/>
          <w:sz w:val="24"/>
          <w:szCs w:val="24"/>
          <w:lang w:val="es-ES_tradnl"/>
        </w:rPr>
        <w:t xml:space="preserve">temas </w:t>
      </w:r>
      <w:r w:rsidR="00A010F6" w:rsidRPr="00CF2643">
        <w:rPr>
          <w:rFonts w:ascii="Times New Roman" w:hAnsi="Times New Roman"/>
          <w:sz w:val="24"/>
          <w:szCs w:val="24"/>
          <w:lang w:val="es-ES_tradnl"/>
        </w:rPr>
        <w:t xml:space="preserve">específicos </w:t>
      </w:r>
      <w:r w:rsidR="00CD12C3" w:rsidRPr="00CF2643">
        <w:rPr>
          <w:rFonts w:ascii="Times New Roman" w:hAnsi="Times New Roman"/>
          <w:sz w:val="24"/>
          <w:szCs w:val="24"/>
          <w:lang w:val="es-ES_tradnl"/>
        </w:rPr>
        <w:t xml:space="preserve">de fortalecimiento de las capacidades institucionales </w:t>
      </w:r>
      <w:r w:rsidR="00A010F6" w:rsidRPr="00CF2643">
        <w:rPr>
          <w:rFonts w:ascii="Times New Roman" w:hAnsi="Times New Roman"/>
          <w:sz w:val="24"/>
          <w:szCs w:val="24"/>
          <w:lang w:val="es-ES_tradnl"/>
        </w:rPr>
        <w:t xml:space="preserve">que otorgue una </w:t>
      </w:r>
      <w:r w:rsidR="00A010F6" w:rsidRPr="00CF2643">
        <w:rPr>
          <w:rFonts w:ascii="Times New Roman" w:hAnsi="Times New Roman" w:cs="Times New Roman"/>
          <w:sz w:val="24"/>
          <w:szCs w:val="24"/>
          <w:lang w:val="es-ES_tradnl"/>
        </w:rPr>
        <w:t>perspectiva integral sobre la infraestructura, servicios asociados, e integración territorial y regional</w:t>
      </w:r>
      <w:r w:rsidR="00CF2643" w:rsidRPr="00CF2643">
        <w:rPr>
          <w:rFonts w:ascii="Times New Roman" w:hAnsi="Times New Roman" w:cs="Times New Roman"/>
          <w:sz w:val="24"/>
          <w:szCs w:val="24"/>
          <w:lang w:val="es-ES_tradnl"/>
        </w:rPr>
        <w:t xml:space="preserve">. </w:t>
      </w:r>
      <w:r w:rsidR="00A010F6" w:rsidRPr="00CF2643">
        <w:rPr>
          <w:rFonts w:ascii="Times New Roman" w:hAnsi="Times New Roman"/>
          <w:sz w:val="24"/>
          <w:szCs w:val="24"/>
          <w:lang w:val="es-ES_tradnl"/>
        </w:rPr>
        <w:t xml:space="preserve">Como ya se ha </w:t>
      </w:r>
      <w:r w:rsidR="00367C6A">
        <w:rPr>
          <w:rFonts w:ascii="Times New Roman" w:hAnsi="Times New Roman"/>
          <w:sz w:val="24"/>
          <w:szCs w:val="24"/>
          <w:lang w:val="es-ES_tradnl"/>
        </w:rPr>
        <w:t>demostrado</w:t>
      </w:r>
      <w:r w:rsidR="00A010F6" w:rsidRPr="00CF2643">
        <w:rPr>
          <w:rFonts w:ascii="Times New Roman" w:hAnsi="Times New Roman"/>
          <w:sz w:val="24"/>
          <w:szCs w:val="24"/>
          <w:lang w:val="es-ES_tradnl"/>
        </w:rPr>
        <w:t>, e</w:t>
      </w:r>
      <w:r w:rsidR="003921F1" w:rsidRPr="00CF2643">
        <w:rPr>
          <w:rFonts w:ascii="Times New Roman" w:hAnsi="Times New Roman"/>
          <w:sz w:val="24"/>
          <w:szCs w:val="24"/>
          <w:lang w:val="es-ES_tradnl"/>
        </w:rPr>
        <w:t xml:space="preserve">l desempeño logístico de Panamá es de vital relevancia para el comercio intrarregional, </w:t>
      </w:r>
      <w:r w:rsidR="00CF2643">
        <w:rPr>
          <w:rFonts w:ascii="Times New Roman" w:hAnsi="Times New Roman"/>
          <w:sz w:val="24"/>
          <w:szCs w:val="24"/>
          <w:lang w:val="es-ES_tradnl"/>
        </w:rPr>
        <w:t>con lo cual reforma</w:t>
      </w:r>
      <w:r w:rsidR="00A72C81">
        <w:rPr>
          <w:rFonts w:ascii="Times New Roman" w:hAnsi="Times New Roman"/>
          <w:sz w:val="24"/>
          <w:szCs w:val="24"/>
          <w:lang w:val="es-ES_tradnl"/>
        </w:rPr>
        <w:t xml:space="preserve">s enfocadas </w:t>
      </w:r>
      <w:r w:rsidR="008D7384">
        <w:rPr>
          <w:rFonts w:ascii="Times New Roman" w:hAnsi="Times New Roman"/>
          <w:sz w:val="24"/>
          <w:szCs w:val="24"/>
          <w:lang w:val="es-ES_tradnl"/>
        </w:rPr>
        <w:t>en</w:t>
      </w:r>
      <w:r w:rsidR="00A72C81">
        <w:rPr>
          <w:rFonts w:ascii="Times New Roman" w:hAnsi="Times New Roman"/>
          <w:sz w:val="24"/>
          <w:szCs w:val="24"/>
          <w:lang w:val="es-ES_tradnl"/>
        </w:rPr>
        <w:t xml:space="preserve"> políticas que permitan avanzar en el desempeño institucional de Panamá, </w:t>
      </w:r>
      <w:r w:rsidR="008D7384">
        <w:rPr>
          <w:rFonts w:ascii="Times New Roman" w:hAnsi="Times New Roman"/>
          <w:sz w:val="24"/>
          <w:szCs w:val="24"/>
          <w:lang w:val="es-ES_tradnl"/>
        </w:rPr>
        <w:t>evidentemente</w:t>
      </w:r>
      <w:r w:rsidR="00A72C81">
        <w:rPr>
          <w:rFonts w:ascii="Times New Roman" w:hAnsi="Times New Roman"/>
          <w:sz w:val="24"/>
          <w:szCs w:val="24"/>
          <w:lang w:val="es-ES_tradnl"/>
        </w:rPr>
        <w:t xml:space="preserve"> presentarán externalidades positivas para los países de la región que utilizan los servicios logísticos e infraestructuras de Panamá. </w:t>
      </w:r>
      <w:r w:rsidR="00CF2643">
        <w:rPr>
          <w:rFonts w:ascii="Times New Roman" w:hAnsi="Times New Roman"/>
          <w:sz w:val="24"/>
          <w:szCs w:val="24"/>
          <w:lang w:val="es-ES_tradnl"/>
        </w:rPr>
        <w:t xml:space="preserve"> </w:t>
      </w:r>
    </w:p>
    <w:p w14:paraId="27905B2F" w14:textId="77777777" w:rsidR="008D7384" w:rsidRPr="008D7384" w:rsidRDefault="008D7384" w:rsidP="008D7384">
      <w:pPr>
        <w:pStyle w:val="ListParagraph"/>
        <w:rPr>
          <w:rFonts w:ascii="Times New Roman" w:hAnsi="Times New Roman"/>
          <w:sz w:val="24"/>
          <w:szCs w:val="24"/>
          <w:lang w:val="es-ES_tradnl"/>
        </w:rPr>
      </w:pPr>
    </w:p>
    <w:p w14:paraId="3B43E41A" w14:textId="30ABE4D0" w:rsidR="001B4483" w:rsidRDefault="000275CE" w:rsidP="001B4483">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3A7B80">
        <w:rPr>
          <w:rFonts w:ascii="Times New Roman" w:hAnsi="Times New Roman" w:cs="Times New Roman"/>
          <w:sz w:val="24"/>
          <w:szCs w:val="24"/>
          <w:lang w:val="es-ES"/>
        </w:rPr>
        <w:t>Desde</w:t>
      </w:r>
      <w:r w:rsidRPr="003A7B80">
        <w:rPr>
          <w:rFonts w:ascii="Times New Roman" w:hAnsi="Times New Roman" w:cs="Times New Roman"/>
          <w:sz w:val="24"/>
          <w:szCs w:val="24"/>
          <w:lang w:val="es-ES_tradnl"/>
        </w:rPr>
        <w:t xml:space="preserve"> el punto de vista de la integración regional</w:t>
      </w:r>
      <w:r>
        <w:rPr>
          <w:rFonts w:ascii="Times New Roman" w:hAnsi="Times New Roman" w:cs="Times New Roman"/>
          <w:sz w:val="24"/>
          <w:szCs w:val="24"/>
          <w:lang w:val="es-ES_tradnl"/>
        </w:rPr>
        <w:t xml:space="preserve"> de C</w:t>
      </w:r>
      <w:r w:rsidR="00AD0E08">
        <w:rPr>
          <w:rFonts w:ascii="Times New Roman" w:hAnsi="Times New Roman" w:cs="Times New Roman"/>
          <w:sz w:val="24"/>
          <w:szCs w:val="24"/>
          <w:lang w:val="es-ES_tradnl"/>
        </w:rPr>
        <w:t>entroamérica</w:t>
      </w:r>
      <w:r>
        <w:rPr>
          <w:rFonts w:ascii="Times New Roman" w:hAnsi="Times New Roman" w:cs="Times New Roman"/>
          <w:sz w:val="24"/>
          <w:szCs w:val="24"/>
          <w:lang w:val="es-ES_tradnl"/>
        </w:rPr>
        <w:t xml:space="preserve"> </w:t>
      </w:r>
      <w:r w:rsidRPr="003A7B80">
        <w:rPr>
          <w:rFonts w:ascii="Times New Roman" w:hAnsi="Times New Roman" w:cs="Times New Roman"/>
          <w:sz w:val="24"/>
          <w:szCs w:val="24"/>
          <w:lang w:val="es-ES_tradnl"/>
        </w:rPr>
        <w:t xml:space="preserve">la armonización del marco legal aduanero con los acuerdos de integración centroamericano incluyendo, entre otros la simplificación de trámites aduaneros, la facilitación de procesos, y la creación del Tribunal Penal Aduanero y la Defensoría de Oficio, representa un avance </w:t>
      </w:r>
      <w:r>
        <w:rPr>
          <w:rFonts w:ascii="Times New Roman" w:hAnsi="Times New Roman" w:cs="Times New Roman"/>
          <w:sz w:val="24"/>
          <w:szCs w:val="24"/>
          <w:lang w:val="es-ES_tradnl"/>
        </w:rPr>
        <w:t xml:space="preserve">significativo para el Sistema de Integración Centroamericana. Lo anterior, </w:t>
      </w:r>
      <w:r w:rsidRPr="003A7B80">
        <w:rPr>
          <w:rFonts w:ascii="Times New Roman" w:hAnsi="Times New Roman" w:cs="Times New Roman"/>
          <w:sz w:val="24"/>
          <w:szCs w:val="24"/>
          <w:lang w:val="es-ES_tradnl"/>
        </w:rPr>
        <w:t xml:space="preserve">se reflejará en menores tiempo de despacho para la carga, siendo especialmente relevante </w:t>
      </w:r>
      <w:r>
        <w:rPr>
          <w:rFonts w:ascii="Times New Roman" w:hAnsi="Times New Roman" w:cs="Times New Roman"/>
          <w:sz w:val="24"/>
          <w:szCs w:val="24"/>
          <w:lang w:val="es-ES_tradnl"/>
        </w:rPr>
        <w:t xml:space="preserve">la mejora de procesos en </w:t>
      </w:r>
      <w:r w:rsidRPr="003A7B80">
        <w:rPr>
          <w:rFonts w:ascii="Times New Roman" w:hAnsi="Times New Roman" w:cs="Times New Roman"/>
          <w:sz w:val="24"/>
          <w:szCs w:val="24"/>
          <w:lang w:val="es-ES_tradnl"/>
        </w:rPr>
        <w:t xml:space="preserve">la </w:t>
      </w:r>
      <w:r>
        <w:rPr>
          <w:rFonts w:ascii="Times New Roman" w:hAnsi="Times New Roman" w:cs="Times New Roman"/>
          <w:sz w:val="24"/>
          <w:szCs w:val="24"/>
          <w:lang w:val="es-ES_tradnl"/>
        </w:rPr>
        <w:t>A</w:t>
      </w:r>
      <w:r w:rsidRPr="003A7B80">
        <w:rPr>
          <w:rFonts w:ascii="Times New Roman" w:hAnsi="Times New Roman" w:cs="Times New Roman"/>
          <w:sz w:val="24"/>
          <w:szCs w:val="24"/>
          <w:lang w:val="es-ES_tradnl"/>
        </w:rPr>
        <w:t xml:space="preserve">duana Canoas que es la que sirve </w:t>
      </w:r>
      <w:r>
        <w:rPr>
          <w:rFonts w:ascii="Times New Roman" w:hAnsi="Times New Roman" w:cs="Times New Roman"/>
          <w:sz w:val="24"/>
          <w:szCs w:val="24"/>
          <w:lang w:val="es-ES_tradnl"/>
        </w:rPr>
        <w:t>a</w:t>
      </w:r>
      <w:r w:rsidRPr="003A7B80">
        <w:rPr>
          <w:rFonts w:ascii="Times New Roman" w:hAnsi="Times New Roman" w:cs="Times New Roman"/>
          <w:sz w:val="24"/>
          <w:szCs w:val="24"/>
          <w:lang w:val="es-ES_tradnl"/>
        </w:rPr>
        <w:t>l Corredor Pacífico</w:t>
      </w:r>
      <w:r w:rsidR="0062610E">
        <w:rPr>
          <w:rFonts w:ascii="Times New Roman" w:hAnsi="Times New Roman" w:cs="Times New Roman"/>
          <w:sz w:val="24"/>
          <w:szCs w:val="24"/>
          <w:lang w:val="es-ES_tradnl"/>
        </w:rPr>
        <w:t xml:space="preserve"> o Mesoamericano</w:t>
      </w:r>
      <w:r w:rsidRPr="003A7B80">
        <w:rPr>
          <w:rFonts w:ascii="Times New Roman" w:hAnsi="Times New Roman" w:cs="Times New Roman"/>
          <w:sz w:val="24"/>
          <w:szCs w:val="24"/>
          <w:lang w:val="es-ES_tradnl"/>
        </w:rPr>
        <w:t xml:space="preserve">. </w:t>
      </w:r>
    </w:p>
    <w:p w14:paraId="36928C51" w14:textId="77777777" w:rsidR="001B4483" w:rsidRPr="001B4483" w:rsidRDefault="001B4483" w:rsidP="001B4483">
      <w:pPr>
        <w:pStyle w:val="ListParagraph"/>
        <w:rPr>
          <w:rFonts w:ascii="Times New Roman" w:hAnsi="Times New Roman"/>
          <w:sz w:val="24"/>
          <w:szCs w:val="24"/>
          <w:lang w:val="es-ES"/>
        </w:rPr>
      </w:pPr>
    </w:p>
    <w:p w14:paraId="1E16CA0A" w14:textId="7130653B" w:rsidR="009502FE" w:rsidRPr="009502FE" w:rsidRDefault="004E3509" w:rsidP="00A77C2C">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9502FE">
        <w:rPr>
          <w:rFonts w:ascii="Times New Roman" w:hAnsi="Times New Roman"/>
          <w:sz w:val="24"/>
          <w:szCs w:val="24"/>
          <w:lang w:val="es-ES"/>
        </w:rPr>
        <w:t>Dentro de las reformas adoptadas por Panamá y establecidas en el CAUCA y RECAUCA, es la incorporación de</w:t>
      </w:r>
      <w:r w:rsidRPr="009502FE">
        <w:rPr>
          <w:rFonts w:ascii="Times New Roman" w:hAnsi="Times New Roman" w:cs="Times New Roman"/>
          <w:sz w:val="24"/>
          <w:szCs w:val="24"/>
          <w:lang w:val="es-ES_tradnl"/>
        </w:rPr>
        <w:t xml:space="preserve"> la figura del </w:t>
      </w:r>
      <w:r w:rsidR="00616009" w:rsidRPr="009502FE">
        <w:rPr>
          <w:rFonts w:ascii="Times New Roman" w:hAnsi="Times New Roman" w:cs="Times New Roman"/>
          <w:sz w:val="24"/>
          <w:szCs w:val="24"/>
          <w:lang w:val="es-ES_tradnl"/>
        </w:rPr>
        <w:t>O</w:t>
      </w:r>
      <w:r w:rsidRPr="009502FE">
        <w:rPr>
          <w:rFonts w:ascii="Times New Roman" w:hAnsi="Times New Roman" w:cs="Times New Roman"/>
          <w:sz w:val="24"/>
          <w:szCs w:val="24"/>
          <w:lang w:val="es-ES_tradnl"/>
        </w:rPr>
        <w:t xml:space="preserve">perador </w:t>
      </w:r>
      <w:r w:rsidR="00616009" w:rsidRPr="009502FE">
        <w:rPr>
          <w:rFonts w:ascii="Times New Roman" w:hAnsi="Times New Roman" w:cs="Times New Roman"/>
          <w:sz w:val="24"/>
          <w:szCs w:val="24"/>
          <w:lang w:val="es-ES_tradnl"/>
        </w:rPr>
        <w:t>E</w:t>
      </w:r>
      <w:r w:rsidRPr="009502FE">
        <w:rPr>
          <w:rFonts w:ascii="Times New Roman" w:hAnsi="Times New Roman" w:cs="Times New Roman"/>
          <w:sz w:val="24"/>
          <w:szCs w:val="24"/>
          <w:lang w:val="es-ES_tradnl"/>
        </w:rPr>
        <w:t xml:space="preserve">conómico </w:t>
      </w:r>
      <w:r w:rsidR="00616009" w:rsidRPr="009502FE">
        <w:rPr>
          <w:rFonts w:ascii="Times New Roman" w:hAnsi="Times New Roman" w:cs="Times New Roman"/>
          <w:sz w:val="24"/>
          <w:szCs w:val="24"/>
          <w:lang w:val="es-ES_tradnl"/>
        </w:rPr>
        <w:t>A</w:t>
      </w:r>
      <w:r w:rsidRPr="009502FE">
        <w:rPr>
          <w:rFonts w:ascii="Times New Roman" w:hAnsi="Times New Roman" w:cs="Times New Roman"/>
          <w:sz w:val="24"/>
          <w:szCs w:val="24"/>
          <w:lang w:val="es-ES_tradnl"/>
        </w:rPr>
        <w:t>utorizado</w:t>
      </w:r>
      <w:r w:rsidR="00616009" w:rsidRPr="009502FE">
        <w:rPr>
          <w:rFonts w:ascii="Times New Roman" w:hAnsi="Times New Roman" w:cs="Times New Roman"/>
          <w:sz w:val="24"/>
          <w:szCs w:val="24"/>
          <w:lang w:val="es-ES_tradnl"/>
        </w:rPr>
        <w:t xml:space="preserve"> la cual es una acreditación establecida por protocolos internacionales para probar el cumplimiento de ciertas medidas relacionadas con la seguridad y buenas prácticas en la cadena de suministro internacional de mercancías. Un aspecto clave de la certificación OEA es que permitirá </w:t>
      </w:r>
      <w:r w:rsidR="00616009" w:rsidRPr="009502FE">
        <w:rPr>
          <w:rFonts w:ascii="Times New Roman" w:hAnsi="Times New Roman"/>
          <w:sz w:val="24"/>
          <w:szCs w:val="24"/>
          <w:lang w:val="es-ES"/>
        </w:rPr>
        <w:t>prevenir los riesgos que enfrenta la cadena logística internacional, como narcotráfico, tráfico de armas, explosivos, comercialización de precursores químicos, delitos informáticos, lavado de activos y contrabando.</w:t>
      </w:r>
      <w:r w:rsidR="009502FE" w:rsidRPr="009502FE">
        <w:rPr>
          <w:rFonts w:ascii="Times New Roman" w:hAnsi="Times New Roman"/>
          <w:sz w:val="24"/>
          <w:szCs w:val="24"/>
          <w:lang w:val="es-ES"/>
        </w:rPr>
        <w:t xml:space="preserve"> En tal sentido, </w:t>
      </w:r>
      <w:r w:rsidR="00616009" w:rsidRPr="009502FE">
        <w:rPr>
          <w:rFonts w:ascii="Times New Roman" w:hAnsi="Times New Roman"/>
          <w:sz w:val="24"/>
          <w:szCs w:val="24"/>
          <w:lang w:val="es-ES"/>
        </w:rPr>
        <w:t>la</w:t>
      </w:r>
      <w:r w:rsidR="002C1EBA" w:rsidRPr="009502FE">
        <w:rPr>
          <w:rFonts w:ascii="Times New Roman" w:hAnsi="Times New Roman"/>
          <w:sz w:val="24"/>
          <w:szCs w:val="24"/>
          <w:lang w:val="es-ES"/>
        </w:rPr>
        <w:t xml:space="preserve"> futura</w:t>
      </w:r>
      <w:r w:rsidR="00616009" w:rsidRPr="009502FE">
        <w:rPr>
          <w:rFonts w:ascii="Times New Roman" w:hAnsi="Times New Roman"/>
          <w:sz w:val="24"/>
          <w:szCs w:val="24"/>
          <w:lang w:val="es-ES"/>
        </w:rPr>
        <w:t xml:space="preserve"> implementación del OEA</w:t>
      </w:r>
      <w:r w:rsidR="009502FE">
        <w:rPr>
          <w:rFonts w:ascii="Times New Roman" w:hAnsi="Times New Roman"/>
          <w:sz w:val="24"/>
          <w:szCs w:val="24"/>
          <w:lang w:val="es-ES"/>
        </w:rPr>
        <w:t xml:space="preserve"> tendrá</w:t>
      </w:r>
      <w:r w:rsidR="00616009" w:rsidRPr="009502FE">
        <w:rPr>
          <w:rFonts w:ascii="Times New Roman" w:hAnsi="Times New Roman"/>
          <w:sz w:val="24"/>
          <w:szCs w:val="24"/>
          <w:lang w:val="es-ES"/>
        </w:rPr>
        <w:t xml:space="preserve"> </w:t>
      </w:r>
      <w:r w:rsidR="009502FE" w:rsidRPr="009502FE">
        <w:rPr>
          <w:rFonts w:ascii="Times New Roman" w:hAnsi="Times New Roman"/>
          <w:sz w:val="24"/>
          <w:szCs w:val="24"/>
          <w:lang w:val="es-ES"/>
        </w:rPr>
        <w:t xml:space="preserve">impactos en la integración regional </w:t>
      </w:r>
      <w:r w:rsidR="009502FE">
        <w:rPr>
          <w:rFonts w:ascii="Times New Roman" w:hAnsi="Times New Roman"/>
          <w:sz w:val="24"/>
          <w:szCs w:val="24"/>
          <w:lang w:val="es-ES"/>
        </w:rPr>
        <w:t xml:space="preserve">porque </w:t>
      </w:r>
      <w:r w:rsidR="00616009" w:rsidRPr="009502FE">
        <w:rPr>
          <w:rFonts w:ascii="Times New Roman" w:hAnsi="Times New Roman"/>
          <w:sz w:val="24"/>
          <w:szCs w:val="24"/>
          <w:lang w:val="es-ES"/>
        </w:rPr>
        <w:t>permitirá generar mayor competitividad al comercio exterior, reducir el costo y tiempo de paso por la aduana, reducir las inspecciones a la carga, dar prioridad en la aplicación de los controles, asegurar la cadena logística, aligerar el procedimiento durante el despacho de las mercancías, aplicar un sistema de gestión que permita mitigar el riesgo y el reconocimiento mutuo del programa de las empresas panameñas certificadas como OEA por otros programas globales</w:t>
      </w:r>
      <w:r w:rsidR="009502FE">
        <w:rPr>
          <w:rFonts w:ascii="Times New Roman" w:hAnsi="Times New Roman"/>
          <w:sz w:val="24"/>
          <w:szCs w:val="24"/>
          <w:lang w:val="es-ES"/>
        </w:rPr>
        <w:t>, incluyendo países Centroamericanos que ya cuentan con el programa de OEA</w:t>
      </w:r>
      <w:r w:rsidR="00DB16A3">
        <w:rPr>
          <w:rStyle w:val="FootnoteReference"/>
          <w:szCs w:val="24"/>
          <w:lang w:val="es-ES"/>
        </w:rPr>
        <w:footnoteReference w:id="17"/>
      </w:r>
      <w:r w:rsidR="00616009" w:rsidRPr="009502FE">
        <w:rPr>
          <w:rFonts w:ascii="Times New Roman" w:hAnsi="Times New Roman"/>
          <w:sz w:val="24"/>
          <w:szCs w:val="24"/>
          <w:lang w:val="es-ES"/>
        </w:rPr>
        <w:t xml:space="preserve">. </w:t>
      </w:r>
    </w:p>
    <w:p w14:paraId="365BC79E" w14:textId="77777777" w:rsidR="009502FE" w:rsidRPr="009502FE" w:rsidRDefault="009502FE" w:rsidP="009502FE">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366D9CF2" w14:textId="77777777" w:rsidR="00DB16A3" w:rsidRDefault="00FE4CC8" w:rsidP="000C6C36">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DB16A3">
        <w:rPr>
          <w:rFonts w:ascii="Times New Roman" w:hAnsi="Times New Roman" w:cs="Times New Roman"/>
          <w:sz w:val="24"/>
          <w:szCs w:val="24"/>
          <w:lang w:val="es-ES_tradnl"/>
        </w:rPr>
        <w:t xml:space="preserve">Otra medida de política impulsada por el PBL y que representa posibles impactos positivos en el </w:t>
      </w:r>
      <w:r w:rsidR="00164358" w:rsidRPr="00DB16A3">
        <w:rPr>
          <w:rFonts w:ascii="Times New Roman" w:hAnsi="Times New Roman" w:cs="Times New Roman"/>
          <w:sz w:val="24"/>
          <w:szCs w:val="24"/>
          <w:lang w:val="es-ES_tradnl"/>
        </w:rPr>
        <w:t>sector</w:t>
      </w:r>
      <w:r w:rsidRPr="00DB16A3">
        <w:rPr>
          <w:rFonts w:ascii="Times New Roman" w:hAnsi="Times New Roman" w:cs="Times New Roman"/>
          <w:sz w:val="24"/>
          <w:szCs w:val="24"/>
          <w:lang w:val="es-ES_tradnl"/>
        </w:rPr>
        <w:t xml:space="preserve"> logístico </w:t>
      </w:r>
      <w:r w:rsidR="00DB16A3" w:rsidRPr="00DB16A3">
        <w:rPr>
          <w:rFonts w:ascii="Times New Roman" w:hAnsi="Times New Roman" w:cs="Times New Roman"/>
          <w:sz w:val="24"/>
          <w:szCs w:val="24"/>
          <w:lang w:val="es-ES_tradnl"/>
        </w:rPr>
        <w:t xml:space="preserve">regional, </w:t>
      </w:r>
      <w:r w:rsidR="0077051A" w:rsidRPr="00DB16A3">
        <w:rPr>
          <w:rFonts w:ascii="Times New Roman" w:hAnsi="Times New Roman" w:cs="Times New Roman"/>
          <w:sz w:val="24"/>
          <w:szCs w:val="24"/>
          <w:lang w:val="es-ES_tradnl"/>
        </w:rPr>
        <w:t xml:space="preserve">es la </w:t>
      </w:r>
      <w:r w:rsidRPr="00DB16A3">
        <w:rPr>
          <w:rFonts w:ascii="Times New Roman" w:hAnsi="Times New Roman" w:cs="Times New Roman"/>
          <w:sz w:val="24"/>
          <w:szCs w:val="24"/>
          <w:lang w:val="es-ES_tradnl"/>
        </w:rPr>
        <w:t>Ley de Financiamiento Naval</w:t>
      </w:r>
      <w:r w:rsidR="00DF1843" w:rsidRPr="00DB16A3">
        <w:rPr>
          <w:rFonts w:ascii="Times New Roman" w:hAnsi="Times New Roman" w:cs="Times New Roman"/>
          <w:sz w:val="24"/>
          <w:szCs w:val="24"/>
          <w:lang w:val="es-ES_tradnl"/>
        </w:rPr>
        <w:t xml:space="preserve">. Este nuevo marco jurídico otorga incentivos fiscales a entidades que se dediquen al negocio de financiamiento naval, </w:t>
      </w:r>
      <w:r w:rsidR="00E00BB3" w:rsidRPr="00DB16A3">
        <w:rPr>
          <w:rFonts w:ascii="Times New Roman" w:hAnsi="Times New Roman" w:cs="Times New Roman"/>
          <w:sz w:val="24"/>
          <w:szCs w:val="24"/>
          <w:lang w:val="es-ES_tradnl"/>
        </w:rPr>
        <w:t xml:space="preserve">la implementación de esta reforma permitiría </w:t>
      </w:r>
      <w:r w:rsidR="00DF1843" w:rsidRPr="00DB16A3">
        <w:rPr>
          <w:rFonts w:ascii="Times New Roman" w:hAnsi="Times New Roman" w:cs="Times New Roman"/>
          <w:sz w:val="24"/>
          <w:szCs w:val="24"/>
          <w:lang w:val="es-ES_tradnl"/>
        </w:rPr>
        <w:t>movilizar mayores recursos al sector y dinamizarlo, creando mayor oferta y menores costos de transporte marítimo</w:t>
      </w:r>
      <w:r w:rsidR="00E00BB3" w:rsidRPr="00DB16A3">
        <w:rPr>
          <w:rFonts w:ascii="Times New Roman" w:hAnsi="Times New Roman" w:cs="Times New Roman"/>
          <w:sz w:val="24"/>
          <w:szCs w:val="24"/>
          <w:lang w:val="es-ES_tradnl"/>
        </w:rPr>
        <w:t>, esto permitiría hacer el sector más competitivo beneficiando también a los usuarios regionales de los servicios.</w:t>
      </w:r>
      <w:r w:rsidR="00DF1843" w:rsidRPr="00DB16A3">
        <w:rPr>
          <w:rFonts w:ascii="Times New Roman" w:hAnsi="Times New Roman" w:cs="Times New Roman"/>
          <w:sz w:val="24"/>
          <w:szCs w:val="24"/>
          <w:lang w:val="es-ES_tradnl"/>
        </w:rPr>
        <w:t xml:space="preserve"> </w:t>
      </w:r>
    </w:p>
    <w:p w14:paraId="262AB826" w14:textId="77777777" w:rsidR="00DB16A3" w:rsidRPr="00DB16A3" w:rsidRDefault="00DB16A3" w:rsidP="00DB16A3">
      <w:pPr>
        <w:pStyle w:val="ListParagraph"/>
        <w:rPr>
          <w:rFonts w:ascii="Times New Roman" w:hAnsi="Times New Roman"/>
          <w:sz w:val="24"/>
          <w:szCs w:val="24"/>
          <w:lang w:val="es-ES_tradnl"/>
        </w:rPr>
      </w:pPr>
    </w:p>
    <w:p w14:paraId="3DE4869C" w14:textId="1053B007" w:rsidR="00DB16A3" w:rsidRPr="00586C4A" w:rsidRDefault="00E00BB3" w:rsidP="00BA6B7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DB16A3">
        <w:rPr>
          <w:rFonts w:ascii="Times New Roman" w:hAnsi="Times New Roman"/>
          <w:sz w:val="24"/>
          <w:szCs w:val="24"/>
          <w:lang w:val="es-ES_tradnl"/>
        </w:rPr>
        <w:t>Como ya se ha mencionado, l</w:t>
      </w:r>
      <w:r w:rsidR="00785FD4" w:rsidRPr="00DB16A3">
        <w:rPr>
          <w:rFonts w:ascii="Times New Roman" w:hAnsi="Times New Roman"/>
          <w:sz w:val="24"/>
          <w:szCs w:val="24"/>
          <w:lang w:val="es-ES_tradnl"/>
        </w:rPr>
        <w:t xml:space="preserve">a relevancia regional de Panamá </w:t>
      </w:r>
      <w:r w:rsidR="007D237C" w:rsidRPr="00DB16A3">
        <w:rPr>
          <w:rFonts w:ascii="Times New Roman" w:hAnsi="Times New Roman"/>
          <w:sz w:val="24"/>
          <w:szCs w:val="24"/>
          <w:lang w:val="es-ES_tradnl"/>
        </w:rPr>
        <w:t xml:space="preserve">se evidencia en el </w:t>
      </w:r>
      <w:r w:rsidR="00785FD4" w:rsidRPr="00DB16A3">
        <w:rPr>
          <w:rFonts w:ascii="Times New Roman" w:hAnsi="Times New Roman"/>
          <w:sz w:val="24"/>
          <w:szCs w:val="24"/>
          <w:lang w:val="es-ES_tradnl"/>
        </w:rPr>
        <w:t xml:space="preserve">uso de los puertos por </w:t>
      </w:r>
      <w:r w:rsidR="007D237C" w:rsidRPr="00DB16A3">
        <w:rPr>
          <w:rFonts w:ascii="Times New Roman" w:hAnsi="Times New Roman"/>
          <w:sz w:val="24"/>
          <w:szCs w:val="24"/>
          <w:lang w:val="es-ES_tradnl"/>
        </w:rPr>
        <w:t xml:space="preserve">parte de </w:t>
      </w:r>
      <w:r w:rsidR="00785FD4" w:rsidRPr="00DB16A3">
        <w:rPr>
          <w:rFonts w:ascii="Times New Roman" w:hAnsi="Times New Roman"/>
          <w:sz w:val="24"/>
          <w:szCs w:val="24"/>
          <w:lang w:val="es-ES_tradnl"/>
        </w:rPr>
        <w:t xml:space="preserve">los países de </w:t>
      </w:r>
      <w:r w:rsidR="007000C7">
        <w:rPr>
          <w:rFonts w:ascii="Times New Roman" w:hAnsi="Times New Roman"/>
          <w:sz w:val="24"/>
          <w:szCs w:val="24"/>
          <w:lang w:val="es-ES_tradnl"/>
        </w:rPr>
        <w:t>Centroamérica</w:t>
      </w:r>
      <w:r w:rsidR="007332EC" w:rsidRPr="00DB16A3">
        <w:rPr>
          <w:rFonts w:ascii="Times New Roman" w:hAnsi="Times New Roman"/>
          <w:sz w:val="24"/>
          <w:szCs w:val="24"/>
          <w:lang w:val="es-ES_tradnl"/>
        </w:rPr>
        <w:t xml:space="preserve"> y la importancia que representa el canal para</w:t>
      </w:r>
      <w:r w:rsidR="00DB16A3" w:rsidRPr="00DB16A3">
        <w:rPr>
          <w:rFonts w:ascii="Times New Roman" w:hAnsi="Times New Roman"/>
          <w:sz w:val="24"/>
          <w:szCs w:val="24"/>
          <w:lang w:val="es-ES_tradnl"/>
        </w:rPr>
        <w:t xml:space="preserve"> los</w:t>
      </w:r>
      <w:r w:rsidR="007332EC" w:rsidRPr="00DB16A3">
        <w:rPr>
          <w:rFonts w:ascii="Times New Roman" w:hAnsi="Times New Roman"/>
          <w:sz w:val="24"/>
          <w:szCs w:val="24"/>
          <w:lang w:val="es-ES_tradnl"/>
        </w:rPr>
        <w:t xml:space="preserve"> países de Sur</w:t>
      </w:r>
      <w:r w:rsidR="00FE3BC2">
        <w:rPr>
          <w:rFonts w:ascii="Times New Roman" w:hAnsi="Times New Roman"/>
          <w:sz w:val="24"/>
          <w:szCs w:val="24"/>
          <w:lang w:val="es-ES_tradnl"/>
        </w:rPr>
        <w:t>a</w:t>
      </w:r>
      <w:r w:rsidR="007332EC" w:rsidRPr="00DB16A3">
        <w:rPr>
          <w:rFonts w:ascii="Times New Roman" w:hAnsi="Times New Roman"/>
          <w:sz w:val="24"/>
          <w:szCs w:val="24"/>
          <w:lang w:val="es-ES_tradnl"/>
        </w:rPr>
        <w:t xml:space="preserve">mérica, quienes movilizan </w:t>
      </w:r>
      <w:r w:rsidR="00370370" w:rsidRPr="00DB16A3">
        <w:rPr>
          <w:rFonts w:ascii="Times New Roman" w:hAnsi="Times New Roman"/>
          <w:sz w:val="24"/>
          <w:szCs w:val="24"/>
          <w:lang w:val="es-ES_tradnl"/>
        </w:rPr>
        <w:t>sus</w:t>
      </w:r>
      <w:r w:rsidR="007332EC" w:rsidRPr="00DB16A3">
        <w:rPr>
          <w:rFonts w:ascii="Times New Roman" w:hAnsi="Times New Roman"/>
          <w:sz w:val="24"/>
          <w:szCs w:val="24"/>
          <w:lang w:val="es-ES_tradnl"/>
        </w:rPr>
        <w:t xml:space="preserve"> mercancías </w:t>
      </w:r>
      <w:r w:rsidR="001367C2" w:rsidRPr="00DB16A3">
        <w:rPr>
          <w:rFonts w:ascii="Times New Roman" w:hAnsi="Times New Roman"/>
          <w:sz w:val="24"/>
          <w:szCs w:val="24"/>
          <w:lang w:val="es-ES_tradnl"/>
        </w:rPr>
        <w:t>usando vía marítimas global</w:t>
      </w:r>
      <w:r w:rsidR="007D237C" w:rsidRPr="00DB16A3">
        <w:rPr>
          <w:rFonts w:ascii="Times New Roman" w:hAnsi="Times New Roman"/>
          <w:sz w:val="24"/>
          <w:szCs w:val="24"/>
          <w:lang w:val="es-ES_tradnl"/>
        </w:rPr>
        <w:t>es que el canal de Panamá</w:t>
      </w:r>
      <w:r w:rsidR="0086138E" w:rsidRPr="00DB16A3">
        <w:rPr>
          <w:rFonts w:ascii="Times New Roman" w:hAnsi="Times New Roman"/>
          <w:sz w:val="24"/>
          <w:szCs w:val="24"/>
          <w:lang w:val="es-ES_tradnl"/>
        </w:rPr>
        <w:t xml:space="preserve"> ofrece</w:t>
      </w:r>
      <w:r w:rsidR="006952A4" w:rsidRPr="00DB16A3">
        <w:rPr>
          <w:rFonts w:ascii="Times New Roman" w:hAnsi="Times New Roman"/>
          <w:sz w:val="24"/>
          <w:szCs w:val="24"/>
          <w:lang w:val="es-ES_tradnl"/>
        </w:rPr>
        <w:t>, además de los corredores viales utilizadas por el transporte de carga regional</w:t>
      </w:r>
      <w:r w:rsidR="0086138E" w:rsidRPr="00DB16A3">
        <w:rPr>
          <w:rFonts w:ascii="Times New Roman" w:hAnsi="Times New Roman"/>
          <w:sz w:val="24"/>
          <w:szCs w:val="24"/>
          <w:lang w:val="es-ES_tradnl"/>
        </w:rPr>
        <w:t xml:space="preserve">. Por lo anterior, existen oportunidades de continuar mejorando las cadenas logísticas e implementando medidas de política y administrativas que permitan continuar el proceso de modernización de los sistemas logístico </w:t>
      </w:r>
      <w:r w:rsidR="00E8426C" w:rsidRPr="00DB16A3">
        <w:rPr>
          <w:rFonts w:ascii="Times New Roman" w:hAnsi="Times New Roman"/>
          <w:sz w:val="24"/>
          <w:szCs w:val="24"/>
          <w:lang w:val="es-ES_tradnl"/>
        </w:rPr>
        <w:t xml:space="preserve">lo cual continuará impactando positivamente a los países de la región. </w:t>
      </w:r>
      <w:r w:rsidR="00DB5A75" w:rsidRPr="00DB16A3">
        <w:rPr>
          <w:rFonts w:ascii="Times New Roman" w:hAnsi="Times New Roman"/>
          <w:sz w:val="24"/>
          <w:szCs w:val="24"/>
          <w:lang w:val="es-ES_tradnl"/>
        </w:rPr>
        <w:t>El programa continuará materializando los resultados obtenidos hasta la fecha en materia de coordinación transfronteriza, sobre todo en temas de fortalecimiento de las capacidades institucionales y de coordinación regional</w:t>
      </w:r>
      <w:r w:rsidR="005070CE" w:rsidRPr="00DB16A3">
        <w:rPr>
          <w:rFonts w:ascii="Times New Roman" w:hAnsi="Times New Roman"/>
          <w:sz w:val="24"/>
          <w:szCs w:val="24"/>
          <w:lang w:val="es-ES_tradnl"/>
        </w:rPr>
        <w:t xml:space="preserve"> a nivel Centroamericano</w:t>
      </w:r>
      <w:r w:rsidR="00DB5A75" w:rsidRPr="00DB16A3">
        <w:rPr>
          <w:rFonts w:ascii="Times New Roman" w:hAnsi="Times New Roman"/>
          <w:sz w:val="24"/>
          <w:szCs w:val="24"/>
          <w:lang w:val="es-ES_tradnl"/>
        </w:rPr>
        <w:t xml:space="preserve">. </w:t>
      </w:r>
    </w:p>
    <w:p w14:paraId="671CDFDD" w14:textId="77777777" w:rsidR="00586C4A" w:rsidRPr="00586C4A" w:rsidRDefault="00586C4A" w:rsidP="00586C4A">
      <w:pPr>
        <w:pStyle w:val="ListParagraph"/>
        <w:rPr>
          <w:rFonts w:ascii="Times New Roman" w:hAnsi="Times New Roman" w:cs="Times New Roman"/>
          <w:sz w:val="24"/>
          <w:szCs w:val="24"/>
          <w:lang w:val="es-ES_tradnl"/>
        </w:rPr>
      </w:pPr>
    </w:p>
    <w:p w14:paraId="7594C37F" w14:textId="77777777" w:rsidR="00586C4A" w:rsidRPr="00DB16A3" w:rsidRDefault="00586C4A" w:rsidP="00586C4A">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bookmarkStart w:id="0" w:name="_GoBack"/>
      <w:bookmarkEnd w:id="0"/>
    </w:p>
    <w:p w14:paraId="2597BD55" w14:textId="77777777" w:rsidR="003B3911" w:rsidRPr="003B3911" w:rsidRDefault="003B3911" w:rsidP="003B3911">
      <w:pPr>
        <w:pStyle w:val="ListParagraph"/>
        <w:rPr>
          <w:rFonts w:ascii="Times New Roman" w:hAnsi="Times New Roman" w:cs="Times New Roman"/>
          <w:sz w:val="24"/>
          <w:szCs w:val="24"/>
          <w:lang w:val="es-ES_tradnl"/>
        </w:rPr>
      </w:pPr>
    </w:p>
    <w:p w14:paraId="08216115" w14:textId="7A1908DD" w:rsidR="007E4218" w:rsidRPr="00CC615E" w:rsidRDefault="007E4218" w:rsidP="00CC615E">
      <w:pPr>
        <w:pStyle w:val="ListParagraph"/>
        <w:numPr>
          <w:ilvl w:val="0"/>
          <w:numId w:val="14"/>
        </w:numPr>
        <w:shd w:val="clear" w:color="auto" w:fill="FFFFFF"/>
        <w:tabs>
          <w:tab w:val="left" w:pos="270"/>
          <w:tab w:val="left" w:pos="360"/>
          <w:tab w:val="left" w:pos="450"/>
          <w:tab w:val="left" w:pos="2085"/>
        </w:tabs>
        <w:spacing w:after="0" w:line="0" w:lineRule="atLeast"/>
        <w:jc w:val="both"/>
        <w:rPr>
          <w:rFonts w:ascii="Times New Roman" w:hAnsi="Times New Roman"/>
          <w:sz w:val="24"/>
          <w:szCs w:val="24"/>
          <w:lang w:val="es-ES"/>
        </w:rPr>
      </w:pPr>
      <w:r w:rsidRPr="00CC615E">
        <w:rPr>
          <w:rFonts w:ascii="Times New Roman" w:hAnsi="Times New Roman"/>
          <w:b/>
          <w:color w:val="1F497D"/>
          <w:sz w:val="24"/>
          <w:lang w:val="es-ES"/>
        </w:rPr>
        <w:t>Validación de criterios en el marco de la Estrategia de Integración</w:t>
      </w:r>
    </w:p>
    <w:p w14:paraId="731AF957" w14:textId="0FBCF253" w:rsidR="00545B66" w:rsidRPr="005E7522" w:rsidRDefault="00545B66" w:rsidP="00CC615E">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2A53191B" w14:textId="77777777" w:rsidR="00671A7D" w:rsidRPr="00671A7D" w:rsidRDefault="00671A7D" w:rsidP="00785FD4">
      <w:pPr>
        <w:pStyle w:val="ListParagraph"/>
        <w:numPr>
          <w:ilvl w:val="0"/>
          <w:numId w:val="15"/>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vanish/>
          <w:sz w:val="24"/>
          <w:szCs w:val="24"/>
          <w:lang w:val="es-ES"/>
        </w:rPr>
      </w:pPr>
    </w:p>
    <w:p w14:paraId="184C4EC1" w14:textId="1608FE00" w:rsidR="00A1434E" w:rsidRPr="00A1434E" w:rsidRDefault="005B25EB" w:rsidP="00E55246">
      <w:pPr>
        <w:pStyle w:val="ListParagraph"/>
        <w:numPr>
          <w:ilvl w:val="1"/>
          <w:numId w:val="15"/>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szCs w:val="24"/>
          <w:lang w:val="es-ES_tradnl"/>
        </w:rPr>
      </w:pPr>
      <w:r w:rsidRPr="00A1434E">
        <w:rPr>
          <w:rFonts w:ascii="Times New Roman" w:hAnsi="Times New Roman"/>
          <w:sz w:val="24"/>
          <w:szCs w:val="24"/>
          <w:lang w:val="es-ES"/>
        </w:rPr>
        <w:t>El</w:t>
      </w:r>
      <w:r w:rsidR="007910D2" w:rsidRPr="00A1434E">
        <w:rPr>
          <w:rFonts w:ascii="Times New Roman" w:hAnsi="Times New Roman"/>
          <w:sz w:val="24"/>
          <w:szCs w:val="24"/>
          <w:lang w:val="es-ES"/>
        </w:rPr>
        <w:t xml:space="preserve"> </w:t>
      </w:r>
      <w:r w:rsidR="0002611F" w:rsidRPr="00A1434E">
        <w:rPr>
          <w:rFonts w:ascii="Times New Roman" w:hAnsi="Times New Roman" w:cs="Times New Roman"/>
          <w:sz w:val="24"/>
          <w:lang w:val="es-ES_tradnl"/>
        </w:rPr>
        <w:t xml:space="preserve">Apoyo al </w:t>
      </w:r>
      <w:r w:rsidR="0002611F" w:rsidRPr="00403C4E">
        <w:rPr>
          <w:rFonts w:ascii="Times New Roman" w:hAnsi="Times New Roman" w:cs="Times New Roman"/>
          <w:i/>
          <w:sz w:val="24"/>
          <w:lang w:val="es-ES_tradnl"/>
        </w:rPr>
        <w:t>Programa de Reformas del Sector Transporte y Logística de Panamá</w:t>
      </w:r>
      <w:r w:rsidR="0086022E" w:rsidRPr="00403C4E">
        <w:rPr>
          <w:rFonts w:ascii="Times New Roman" w:hAnsi="Times New Roman" w:cs="Times New Roman"/>
          <w:i/>
          <w:sz w:val="24"/>
          <w:lang w:val="es-ES_tradnl"/>
        </w:rPr>
        <w:t>,</w:t>
      </w:r>
      <w:r w:rsidR="0002611F" w:rsidRPr="00403C4E">
        <w:rPr>
          <w:rFonts w:ascii="Times New Roman" w:hAnsi="Times New Roman" w:cs="Times New Roman"/>
          <w:i/>
          <w:sz w:val="24"/>
          <w:lang w:val="es-ES_tradnl"/>
        </w:rPr>
        <w:t xml:space="preserve"> Fase III</w:t>
      </w:r>
      <w:r w:rsidR="0086022E" w:rsidRPr="00403C4E">
        <w:rPr>
          <w:rFonts w:ascii="Times New Roman" w:hAnsi="Times New Roman" w:cs="Times New Roman"/>
          <w:i/>
          <w:sz w:val="24"/>
          <w:lang w:val="es-ES_tradnl"/>
        </w:rPr>
        <w:t xml:space="preserve"> (</w:t>
      </w:r>
      <w:r w:rsidR="0002611F" w:rsidRPr="00403C4E">
        <w:rPr>
          <w:rFonts w:ascii="Times New Roman" w:hAnsi="Times New Roman" w:cs="Times New Roman"/>
          <w:i/>
          <w:sz w:val="24"/>
          <w:lang w:val="es-ES_tradnl"/>
        </w:rPr>
        <w:t>PN</w:t>
      </w:r>
      <w:r w:rsidR="0086022E" w:rsidRPr="00403C4E">
        <w:rPr>
          <w:rFonts w:ascii="Times New Roman" w:hAnsi="Times New Roman" w:cs="Times New Roman"/>
          <w:i/>
          <w:sz w:val="24"/>
          <w:lang w:val="es-ES_tradnl"/>
        </w:rPr>
        <w:t>-</w:t>
      </w:r>
      <w:r w:rsidR="0002611F" w:rsidRPr="00403C4E">
        <w:rPr>
          <w:rFonts w:ascii="Times New Roman" w:hAnsi="Times New Roman" w:cs="Times New Roman"/>
          <w:i/>
          <w:sz w:val="24"/>
          <w:lang w:val="es-ES_tradnl"/>
        </w:rPr>
        <w:t>L1151</w:t>
      </w:r>
      <w:r w:rsidR="0086022E" w:rsidRPr="00403C4E">
        <w:rPr>
          <w:rFonts w:ascii="Times New Roman" w:hAnsi="Times New Roman" w:cs="Times New Roman"/>
          <w:i/>
          <w:sz w:val="24"/>
          <w:lang w:val="es-ES_tradnl"/>
        </w:rPr>
        <w:t>)</w:t>
      </w:r>
      <w:r w:rsidR="00403C4E">
        <w:rPr>
          <w:rFonts w:ascii="Times New Roman" w:hAnsi="Times New Roman" w:cs="Times New Roman"/>
          <w:i/>
          <w:sz w:val="24"/>
          <w:lang w:val="es-ES_tradnl"/>
        </w:rPr>
        <w:t>,</w:t>
      </w:r>
      <w:r w:rsidR="0086022E" w:rsidRPr="00403C4E">
        <w:rPr>
          <w:rFonts w:ascii="Times New Roman" w:hAnsi="Times New Roman" w:cs="Times New Roman"/>
          <w:i/>
          <w:sz w:val="24"/>
          <w:lang w:val="es-ES_tradnl"/>
        </w:rPr>
        <w:t xml:space="preserve"> </w:t>
      </w:r>
      <w:r w:rsidR="007910D2" w:rsidRPr="00A1434E">
        <w:rPr>
          <w:rFonts w:ascii="Times New Roman" w:hAnsi="Times New Roman"/>
          <w:sz w:val="24"/>
          <w:szCs w:val="24"/>
          <w:lang w:val="es-ES"/>
        </w:rPr>
        <w:t xml:space="preserve">está alineada con el desafío de desarrollo de integración económica incluido en la Estrategia Institucional del Banco 2010-2020 (GN-2788-5); puesto que </w:t>
      </w:r>
      <w:r w:rsidR="008D6539" w:rsidRPr="00A1434E">
        <w:rPr>
          <w:rFonts w:ascii="Times New Roman" w:hAnsi="Times New Roman" w:cs="Times New Roman"/>
          <w:sz w:val="24"/>
          <w:lang w:val="es-ES_tradnl"/>
        </w:rPr>
        <w:t>contribuir a la mejora del desempeño logístico de Panamá y a la mejora de su competitividad</w:t>
      </w:r>
      <w:r w:rsidR="00A1434E" w:rsidRPr="00A1434E">
        <w:rPr>
          <w:rFonts w:ascii="Times New Roman" w:hAnsi="Times New Roman" w:cs="Times New Roman"/>
          <w:sz w:val="24"/>
          <w:lang w:val="es-ES_tradnl"/>
        </w:rPr>
        <w:t xml:space="preserve"> </w:t>
      </w:r>
      <w:r w:rsidR="00A1434E" w:rsidRPr="00A1434E">
        <w:rPr>
          <w:rFonts w:ascii="Times New Roman" w:hAnsi="Times New Roman" w:cs="Times New Roman"/>
          <w:sz w:val="24"/>
          <w:szCs w:val="24"/>
          <w:lang w:val="es-ES_tradnl"/>
        </w:rPr>
        <w:t>especialmente por medio la planificación integral de la infraestructura de transporte</w:t>
      </w:r>
      <w:r w:rsidR="00A1434E">
        <w:rPr>
          <w:rFonts w:ascii="Times New Roman" w:hAnsi="Times New Roman" w:cs="Times New Roman"/>
          <w:sz w:val="24"/>
          <w:szCs w:val="24"/>
          <w:lang w:val="es-ES_tradnl"/>
        </w:rPr>
        <w:t>, la mejora en los procesos de comercio exterior y armonización de la normativa arancelaria del país</w:t>
      </w:r>
      <w:r w:rsidR="00403C4E">
        <w:rPr>
          <w:rFonts w:ascii="Times New Roman" w:hAnsi="Times New Roman" w:cs="Times New Roman"/>
          <w:sz w:val="24"/>
          <w:szCs w:val="24"/>
          <w:lang w:val="es-ES_tradnl"/>
        </w:rPr>
        <w:t>,</w:t>
      </w:r>
      <w:r w:rsidR="00A1434E">
        <w:rPr>
          <w:rFonts w:ascii="Times New Roman" w:hAnsi="Times New Roman" w:cs="Times New Roman"/>
          <w:sz w:val="24"/>
          <w:szCs w:val="24"/>
          <w:lang w:val="es-ES_tradnl"/>
        </w:rPr>
        <w:t xml:space="preserve"> con la adoptada en por el Sistema de Integración Centroamericana</w:t>
      </w:r>
      <w:r w:rsidR="00403C4E">
        <w:rPr>
          <w:rFonts w:ascii="Times New Roman" w:hAnsi="Times New Roman" w:cs="Times New Roman"/>
          <w:sz w:val="24"/>
          <w:szCs w:val="24"/>
          <w:lang w:val="es-ES_tradnl"/>
        </w:rPr>
        <w:t xml:space="preserve"> (SICA)</w:t>
      </w:r>
      <w:r w:rsidR="00A1434E">
        <w:rPr>
          <w:rFonts w:ascii="Times New Roman" w:hAnsi="Times New Roman" w:cs="Times New Roman"/>
          <w:sz w:val="24"/>
          <w:szCs w:val="24"/>
          <w:lang w:val="es-ES_tradnl"/>
        </w:rPr>
        <w:t xml:space="preserve">. </w:t>
      </w:r>
    </w:p>
    <w:p w14:paraId="0E3737EF" w14:textId="77777777" w:rsidR="008D6539" w:rsidRPr="008D6539" w:rsidRDefault="008D6539" w:rsidP="008D6539">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p>
    <w:p w14:paraId="4818C9AB" w14:textId="35EC09B5" w:rsidR="00D83052" w:rsidRPr="00D83052" w:rsidRDefault="005070C6" w:rsidP="00D83052">
      <w:pPr>
        <w:pStyle w:val="ListParagraph"/>
        <w:numPr>
          <w:ilvl w:val="1"/>
          <w:numId w:val="16"/>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5070C6">
        <w:rPr>
          <w:rFonts w:ascii="Times New Roman" w:hAnsi="Times New Roman"/>
          <w:sz w:val="24"/>
          <w:szCs w:val="24"/>
          <w:lang w:val="es-ES"/>
        </w:rPr>
        <w:t>Dentro de l</w:t>
      </w:r>
      <w:r w:rsidR="004422AB" w:rsidRPr="005070C6">
        <w:rPr>
          <w:rFonts w:ascii="Times New Roman" w:hAnsi="Times New Roman"/>
          <w:sz w:val="24"/>
          <w:szCs w:val="24"/>
          <w:lang w:val="es-ES"/>
        </w:rPr>
        <w:t>os resultados e</w:t>
      </w:r>
      <w:r w:rsidR="00B33CE8" w:rsidRPr="005070C6">
        <w:rPr>
          <w:rFonts w:ascii="Times New Roman" w:hAnsi="Times New Roman"/>
          <w:sz w:val="24"/>
          <w:szCs w:val="24"/>
          <w:lang w:val="es-ES"/>
        </w:rPr>
        <w:t>sperado</w:t>
      </w:r>
      <w:r w:rsidR="00B33CE8" w:rsidRPr="005070C6">
        <w:rPr>
          <w:rFonts w:ascii="Times New Roman" w:hAnsi="Times New Roman" w:cs="Times New Roman"/>
          <w:sz w:val="24"/>
          <w:szCs w:val="24"/>
          <w:lang w:val="es-ES"/>
        </w:rPr>
        <w:t>s</w:t>
      </w:r>
      <w:r w:rsidRPr="005070C6">
        <w:rPr>
          <w:rFonts w:ascii="Times New Roman" w:hAnsi="Times New Roman" w:cs="Times New Roman"/>
          <w:sz w:val="24"/>
          <w:szCs w:val="24"/>
          <w:lang w:val="es-ES"/>
        </w:rPr>
        <w:t xml:space="preserve"> del PBL y que atañen a la integración económica se espera mejorar el comercio intrarregional </w:t>
      </w:r>
      <w:r w:rsidR="00090DC3">
        <w:rPr>
          <w:rFonts w:ascii="Times New Roman" w:hAnsi="Times New Roman" w:cs="Times New Roman"/>
          <w:sz w:val="24"/>
          <w:szCs w:val="24"/>
          <w:lang w:val="es-ES"/>
        </w:rPr>
        <w:t>Mesoamericano</w:t>
      </w:r>
      <w:r w:rsidRPr="005070C6">
        <w:rPr>
          <w:rFonts w:ascii="Times New Roman" w:hAnsi="Times New Roman" w:cs="Times New Roman"/>
          <w:sz w:val="24"/>
          <w:szCs w:val="24"/>
          <w:lang w:val="es-ES"/>
        </w:rPr>
        <w:t xml:space="preserve"> reduciendo los tiempos de despacho en aduanas según se presenta en la matriz de resultados de la operación. </w:t>
      </w:r>
      <w:r w:rsidRPr="005070C6">
        <w:rPr>
          <w:sz w:val="24"/>
          <w:lang w:val="es-ES"/>
        </w:rPr>
        <w:t xml:space="preserve"> </w:t>
      </w:r>
      <w:r w:rsidR="00C82356" w:rsidRPr="005070C6">
        <w:rPr>
          <w:rFonts w:ascii="Times New Roman" w:hAnsi="Times New Roman"/>
          <w:sz w:val="24"/>
          <w:szCs w:val="24"/>
          <w:lang w:val="es-ES"/>
        </w:rPr>
        <w:t xml:space="preserve">El proyecto también está alineado y contribuye con el Marco </w:t>
      </w:r>
      <w:r w:rsidR="00EB3257" w:rsidRPr="005070C6">
        <w:rPr>
          <w:rFonts w:ascii="Times New Roman" w:hAnsi="Times New Roman"/>
          <w:sz w:val="24"/>
          <w:szCs w:val="24"/>
          <w:lang w:val="es-ES"/>
        </w:rPr>
        <w:t>de Resultados Corporativo (CRF)</w:t>
      </w:r>
      <w:r w:rsidR="00C82356" w:rsidRPr="005070C6">
        <w:rPr>
          <w:rFonts w:ascii="Times New Roman" w:hAnsi="Times New Roman"/>
          <w:sz w:val="24"/>
          <w:szCs w:val="24"/>
          <w:lang w:val="es-ES"/>
        </w:rPr>
        <w:t xml:space="preserve"> a través </w:t>
      </w:r>
      <w:r w:rsidR="00FF1E69" w:rsidRPr="005070C6">
        <w:rPr>
          <w:rFonts w:ascii="Times New Roman" w:hAnsi="Times New Roman"/>
          <w:sz w:val="24"/>
          <w:szCs w:val="24"/>
          <w:lang w:val="es-ES"/>
        </w:rPr>
        <w:t>del</w:t>
      </w:r>
      <w:r w:rsidR="00C82356" w:rsidRPr="005070C6">
        <w:rPr>
          <w:rFonts w:ascii="Times New Roman" w:hAnsi="Times New Roman"/>
          <w:sz w:val="24"/>
          <w:szCs w:val="24"/>
          <w:lang w:val="es-ES"/>
        </w:rPr>
        <w:t xml:space="preserve"> indicador vinculado con el Desafío Regional de Integración Económica reflejados en la Matriz de Resultados del Programa: </w:t>
      </w:r>
      <w:r w:rsidRPr="005070C6">
        <w:rPr>
          <w:rFonts w:ascii="Times New Roman" w:hAnsi="Times New Roman"/>
          <w:sz w:val="24"/>
          <w:szCs w:val="24"/>
          <w:lang w:val="es-ES"/>
        </w:rPr>
        <w:t>Apoyo a proyectos transnacionales y transfronterizos</w:t>
      </w:r>
      <w:r w:rsidR="00EB3257" w:rsidRPr="005070C6">
        <w:rPr>
          <w:rFonts w:ascii="Times New Roman" w:hAnsi="Times New Roman"/>
          <w:sz w:val="24"/>
          <w:szCs w:val="24"/>
          <w:lang w:val="es-ES"/>
        </w:rPr>
        <w:t>,</w:t>
      </w:r>
      <w:r w:rsidR="00CC615E" w:rsidRPr="005070C6">
        <w:rPr>
          <w:rFonts w:ascii="Times New Roman" w:hAnsi="Times New Roman"/>
          <w:sz w:val="24"/>
          <w:szCs w:val="24"/>
          <w:lang w:val="es-ES"/>
        </w:rPr>
        <w:t xml:space="preserve"> </w:t>
      </w:r>
      <w:r>
        <w:rPr>
          <w:rFonts w:ascii="Times New Roman" w:hAnsi="Times New Roman" w:cs="Times New Roman"/>
          <w:sz w:val="24"/>
          <w:lang w:val="es-ES_tradnl"/>
        </w:rPr>
        <w:t>debido a impacto que tendrán las reformas al contexto de comercio regional y global</w:t>
      </w:r>
      <w:r w:rsidR="00D83052">
        <w:rPr>
          <w:rFonts w:ascii="Times New Roman" w:hAnsi="Times New Roman" w:cs="Times New Roman"/>
          <w:sz w:val="24"/>
          <w:lang w:val="es-ES_tradnl"/>
        </w:rPr>
        <w:t xml:space="preserve"> y que permitirán a Panamá </w:t>
      </w:r>
      <w:r w:rsidR="00D83052" w:rsidRPr="00D83052">
        <w:rPr>
          <w:rFonts w:ascii="Times New Roman" w:hAnsi="Times New Roman" w:cs="Times New Roman"/>
          <w:sz w:val="24"/>
          <w:lang w:val="es-ES_tradnl"/>
        </w:rPr>
        <w:t xml:space="preserve">posicionan progresivamente como </w:t>
      </w:r>
      <w:r w:rsidR="00D83052" w:rsidRPr="00D83052">
        <w:rPr>
          <w:rFonts w:ascii="Times New Roman" w:hAnsi="Times New Roman" w:cs="Times New Roman"/>
          <w:i/>
          <w:sz w:val="24"/>
          <w:lang w:val="es-ES_tradnl"/>
        </w:rPr>
        <w:t>hub</w:t>
      </w:r>
      <w:r w:rsidR="00D83052" w:rsidRPr="00D83052">
        <w:rPr>
          <w:rFonts w:ascii="Times New Roman" w:hAnsi="Times New Roman" w:cs="Times New Roman"/>
          <w:sz w:val="24"/>
          <w:lang w:val="es-ES_tradnl"/>
        </w:rPr>
        <w:t xml:space="preserve"> de servicios logísticos</w:t>
      </w:r>
      <w:r w:rsidR="003676E5">
        <w:rPr>
          <w:rFonts w:ascii="Times New Roman" w:hAnsi="Times New Roman" w:cs="Times New Roman"/>
          <w:sz w:val="24"/>
          <w:lang w:val="es-ES_tradnl"/>
        </w:rPr>
        <w:t xml:space="preserve"> favoreciendo en competitividad a la región</w:t>
      </w:r>
      <w:r w:rsidR="00D83052" w:rsidRPr="00D83052">
        <w:rPr>
          <w:rFonts w:ascii="Times New Roman" w:hAnsi="Times New Roman" w:cs="Times New Roman"/>
          <w:sz w:val="24"/>
          <w:lang w:val="es-ES_tradnl"/>
        </w:rPr>
        <w:t>.</w:t>
      </w:r>
    </w:p>
    <w:p w14:paraId="448C924F" w14:textId="77777777" w:rsidR="007910D2" w:rsidRPr="007910D2" w:rsidRDefault="007910D2" w:rsidP="007910D2">
      <w:pPr>
        <w:pStyle w:val="ListParagraph"/>
        <w:rPr>
          <w:rFonts w:ascii="Times New Roman" w:hAnsi="Times New Roman"/>
          <w:sz w:val="24"/>
          <w:szCs w:val="24"/>
          <w:lang w:val="es-ES"/>
        </w:rPr>
      </w:pPr>
    </w:p>
    <w:p w14:paraId="721D0316" w14:textId="740D2C44" w:rsidR="0008630E" w:rsidRDefault="00C82356" w:rsidP="0008630E">
      <w:pPr>
        <w:pStyle w:val="ListParagraph"/>
        <w:numPr>
          <w:ilvl w:val="1"/>
          <w:numId w:val="16"/>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08630E">
        <w:rPr>
          <w:rFonts w:ascii="Times New Roman" w:hAnsi="Times New Roman"/>
          <w:sz w:val="24"/>
          <w:szCs w:val="24"/>
          <w:lang w:val="es-ES"/>
        </w:rPr>
        <w:t xml:space="preserve">Finalmente, de acuerdo a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el criterio de </w:t>
      </w:r>
      <w:r w:rsidRPr="0008630E">
        <w:rPr>
          <w:rFonts w:ascii="Times New Roman" w:hAnsi="Times New Roman"/>
          <w:b/>
          <w:sz w:val="24"/>
          <w:szCs w:val="24"/>
          <w:lang w:val="es-ES"/>
        </w:rPr>
        <w:t>Focalización Multinacional</w:t>
      </w:r>
      <w:r w:rsidRPr="0008630E">
        <w:rPr>
          <w:rFonts w:ascii="Times New Roman" w:hAnsi="Times New Roman"/>
          <w:sz w:val="24"/>
          <w:szCs w:val="24"/>
          <w:lang w:val="es-ES"/>
        </w:rPr>
        <w:t xml:space="preserve"> ya que </w:t>
      </w:r>
      <w:r w:rsidR="003676E5" w:rsidRPr="0008630E">
        <w:rPr>
          <w:rFonts w:ascii="Times New Roman" w:hAnsi="Times New Roman" w:cs="Times New Roman"/>
          <w:sz w:val="24"/>
          <w:lang w:val="es-ES_tradnl"/>
        </w:rPr>
        <w:t>se apoya una acción nacional unilateral, orientada a un objetivo relacionado con la mayor inserción regional y mundial de los sectores públicos y privado de Panamá.</w:t>
      </w:r>
      <w:r w:rsidR="0008630E" w:rsidRPr="0008630E">
        <w:rPr>
          <w:rFonts w:ascii="Times New Roman" w:hAnsi="Times New Roman" w:cs="Times New Roman"/>
          <w:sz w:val="24"/>
          <w:lang w:val="es-ES_tradnl"/>
        </w:rPr>
        <w:t xml:space="preserve"> Las reformas</w:t>
      </w:r>
      <w:r w:rsidR="0008630E">
        <w:rPr>
          <w:rFonts w:ascii="Times New Roman" w:hAnsi="Times New Roman" w:cs="Times New Roman"/>
          <w:sz w:val="24"/>
          <w:lang w:val="es-ES_tradnl"/>
        </w:rPr>
        <w:t xml:space="preserve"> propuestas</w:t>
      </w:r>
      <w:r w:rsidR="0008630E" w:rsidRPr="0008630E">
        <w:rPr>
          <w:rFonts w:ascii="Times New Roman" w:hAnsi="Times New Roman" w:cs="Times New Roman"/>
          <w:sz w:val="24"/>
          <w:lang w:val="es-ES_tradnl"/>
        </w:rPr>
        <w:t xml:space="preserve">, aunque a nivel nacional, atienden a objetivos de mejora de la integración comercial </w:t>
      </w:r>
      <w:r w:rsidR="00947CFF">
        <w:rPr>
          <w:rFonts w:ascii="Times New Roman" w:hAnsi="Times New Roman" w:cs="Times New Roman"/>
          <w:sz w:val="24"/>
          <w:lang w:val="es-ES_tradnl"/>
        </w:rPr>
        <w:t>de</w:t>
      </w:r>
      <w:r w:rsidR="0008630E" w:rsidRPr="0008630E">
        <w:rPr>
          <w:rFonts w:ascii="Times New Roman" w:hAnsi="Times New Roman" w:cs="Times New Roman"/>
          <w:sz w:val="24"/>
          <w:lang w:val="es-ES_tradnl"/>
        </w:rPr>
        <w:t xml:space="preserve"> otros países.</w:t>
      </w:r>
      <w:r w:rsidR="0008630E">
        <w:rPr>
          <w:rFonts w:ascii="Times New Roman" w:hAnsi="Times New Roman" w:cs="Times New Roman"/>
          <w:sz w:val="24"/>
          <w:lang w:val="es-ES_tradnl"/>
        </w:rPr>
        <w:t xml:space="preserve"> </w:t>
      </w:r>
      <w:r w:rsidR="0008630E" w:rsidRPr="0008630E">
        <w:rPr>
          <w:rFonts w:ascii="Times New Roman" w:hAnsi="Times New Roman" w:cs="Times New Roman"/>
          <w:sz w:val="24"/>
          <w:lang w:val="es-ES_tradnl"/>
        </w:rPr>
        <w:t xml:space="preserve">También se apoyarán medidas de planificación y gestión de las infraestructuras del país que están alineadas con la focalización multinacional </w:t>
      </w:r>
      <w:r w:rsidR="0008630E">
        <w:rPr>
          <w:rFonts w:ascii="Times New Roman" w:hAnsi="Times New Roman" w:cs="Times New Roman"/>
          <w:sz w:val="24"/>
          <w:lang w:val="es-ES_tradnl"/>
        </w:rPr>
        <w:t>m</w:t>
      </w:r>
      <w:r w:rsidR="0008630E" w:rsidRPr="0008630E">
        <w:rPr>
          <w:rFonts w:ascii="Times New Roman" w:hAnsi="Times New Roman" w:cs="Times New Roman"/>
          <w:sz w:val="24"/>
          <w:lang w:val="es-ES_tradnl"/>
        </w:rPr>
        <w:t>ediante la preparación y aprobación de planes maestros nacionales orientados a la mejora de las principales infraestructuras de integración internacional (</w:t>
      </w:r>
      <w:r w:rsidR="00947CFF">
        <w:rPr>
          <w:rFonts w:ascii="Times New Roman" w:hAnsi="Times New Roman" w:cs="Times New Roman"/>
          <w:sz w:val="24"/>
          <w:lang w:val="es-ES_tradnl"/>
        </w:rPr>
        <w:t>p</w:t>
      </w:r>
      <w:r w:rsidR="0008630E" w:rsidRPr="0008630E">
        <w:rPr>
          <w:rFonts w:ascii="Times New Roman" w:hAnsi="Times New Roman" w:cs="Times New Roman"/>
          <w:sz w:val="24"/>
          <w:lang w:val="es-ES_tradnl"/>
        </w:rPr>
        <w:t xml:space="preserve">uertos, </w:t>
      </w:r>
      <w:r w:rsidR="00947CFF">
        <w:rPr>
          <w:rFonts w:ascii="Times New Roman" w:hAnsi="Times New Roman" w:cs="Times New Roman"/>
          <w:sz w:val="24"/>
          <w:lang w:val="es-ES_tradnl"/>
        </w:rPr>
        <w:t>a</w:t>
      </w:r>
      <w:r w:rsidR="0008630E" w:rsidRPr="0008630E">
        <w:rPr>
          <w:rFonts w:ascii="Times New Roman" w:hAnsi="Times New Roman" w:cs="Times New Roman"/>
          <w:sz w:val="24"/>
          <w:lang w:val="es-ES_tradnl"/>
        </w:rPr>
        <w:t xml:space="preserve">eropuertos y </w:t>
      </w:r>
      <w:r w:rsidR="00947CFF">
        <w:rPr>
          <w:rFonts w:ascii="Times New Roman" w:hAnsi="Times New Roman" w:cs="Times New Roman"/>
          <w:sz w:val="24"/>
          <w:lang w:val="es-ES_tradnl"/>
        </w:rPr>
        <w:t>c</w:t>
      </w:r>
      <w:r w:rsidR="0008630E" w:rsidRPr="0008630E">
        <w:rPr>
          <w:rFonts w:ascii="Times New Roman" w:hAnsi="Times New Roman" w:cs="Times New Roman"/>
          <w:sz w:val="24"/>
          <w:lang w:val="es-ES_tradnl"/>
        </w:rPr>
        <w:t>anal)</w:t>
      </w:r>
      <w:r w:rsidR="0008630E">
        <w:rPr>
          <w:rFonts w:ascii="Times New Roman" w:hAnsi="Times New Roman" w:cs="Times New Roman"/>
          <w:sz w:val="24"/>
          <w:lang w:val="es-ES_tradnl"/>
        </w:rPr>
        <w:t>.</w:t>
      </w:r>
    </w:p>
    <w:p w14:paraId="0268A7C9" w14:textId="77777777" w:rsidR="0008630E" w:rsidRPr="0008630E" w:rsidRDefault="0008630E" w:rsidP="0008630E">
      <w:pPr>
        <w:pStyle w:val="ListParagraph"/>
        <w:rPr>
          <w:rFonts w:ascii="Times New Roman" w:hAnsi="Times New Roman" w:cs="Times New Roman"/>
          <w:sz w:val="24"/>
          <w:lang w:val="es-ES_tradnl"/>
        </w:rPr>
      </w:pPr>
    </w:p>
    <w:p w14:paraId="2D011500" w14:textId="7E8296CF" w:rsidR="000117DB" w:rsidRPr="000117DB" w:rsidRDefault="000117DB" w:rsidP="000117DB">
      <w:pPr>
        <w:pStyle w:val="ListParagraph"/>
        <w:numPr>
          <w:ilvl w:val="1"/>
          <w:numId w:val="16"/>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0117DB">
        <w:rPr>
          <w:rFonts w:ascii="Times New Roman" w:hAnsi="Times New Roman" w:cs="Times New Roman"/>
          <w:sz w:val="24"/>
          <w:lang w:val="es-ES_tradnl"/>
        </w:rPr>
        <w:t xml:space="preserve">La presente operación también cumple con el criterio de </w:t>
      </w:r>
      <w:r w:rsidRPr="000117DB">
        <w:rPr>
          <w:rFonts w:ascii="Times New Roman" w:hAnsi="Times New Roman" w:cs="Times New Roman"/>
          <w:b/>
          <w:sz w:val="24"/>
          <w:lang w:val="es-ES_tradnl"/>
        </w:rPr>
        <w:t xml:space="preserve">Subsidiaridad Nacional, </w:t>
      </w:r>
      <w:r w:rsidRPr="000117DB">
        <w:rPr>
          <w:rFonts w:ascii="Times New Roman" w:hAnsi="Times New Roman" w:cs="Times New Roman"/>
          <w:sz w:val="24"/>
          <w:lang w:val="es-ES_tradnl"/>
        </w:rPr>
        <w:t xml:space="preserve">ya que contribuye a la armonización </w:t>
      </w:r>
      <w:r>
        <w:rPr>
          <w:rFonts w:ascii="Times New Roman" w:hAnsi="Times New Roman" w:cs="Times New Roman"/>
          <w:sz w:val="24"/>
          <w:lang w:val="es-ES_tradnl"/>
        </w:rPr>
        <w:t xml:space="preserve">de normas ligadas a una </w:t>
      </w:r>
      <w:r w:rsidRPr="000117DB">
        <w:rPr>
          <w:rFonts w:ascii="Times New Roman" w:hAnsi="Times New Roman" w:cs="Times New Roman"/>
          <w:sz w:val="24"/>
          <w:lang w:val="es-ES_tradnl"/>
        </w:rPr>
        <w:t>iniciativa supranacional</w:t>
      </w:r>
      <w:r>
        <w:rPr>
          <w:rFonts w:ascii="Times New Roman" w:hAnsi="Times New Roman" w:cs="Times New Roman"/>
          <w:sz w:val="24"/>
          <w:lang w:val="es-ES_tradnl"/>
        </w:rPr>
        <w:t xml:space="preserve"> y con normativas de carácter internacional</w:t>
      </w:r>
      <w:r w:rsidRPr="000117DB">
        <w:rPr>
          <w:rFonts w:ascii="Times New Roman" w:hAnsi="Times New Roman" w:cs="Times New Roman"/>
          <w:sz w:val="24"/>
          <w:lang w:val="es-ES_tradnl"/>
        </w:rPr>
        <w:t xml:space="preserve">. </w:t>
      </w:r>
      <w:r>
        <w:rPr>
          <w:rFonts w:ascii="Times New Roman" w:hAnsi="Times New Roman" w:cs="Times New Roman"/>
          <w:sz w:val="24"/>
          <w:lang w:val="es-ES_tradnl"/>
        </w:rPr>
        <w:t xml:space="preserve">Concretamente la aprobación del CAUCA y RECAUCA, </w:t>
      </w:r>
      <w:r w:rsidRPr="000117DB">
        <w:rPr>
          <w:rFonts w:ascii="Times New Roman" w:hAnsi="Times New Roman" w:cs="Times New Roman"/>
          <w:sz w:val="24"/>
          <w:lang w:val="es-ES_tradnl"/>
        </w:rPr>
        <w:t>así como la Implementación del Convenio de Facilitación del Tráfico Marítimo Internacional (FAL65) de la Organización Marítima Internacional.</w:t>
      </w:r>
      <w:r>
        <w:rPr>
          <w:rFonts w:ascii="Times New Roman" w:hAnsi="Times New Roman" w:cs="Times New Roman"/>
          <w:sz w:val="24"/>
          <w:lang w:val="es-ES_tradnl"/>
        </w:rPr>
        <w:t xml:space="preserve"> </w:t>
      </w:r>
      <w:r w:rsidRPr="000117DB">
        <w:rPr>
          <w:rFonts w:ascii="Times New Roman" w:hAnsi="Times New Roman" w:cs="Times New Roman"/>
          <w:sz w:val="24"/>
          <w:lang w:val="es-ES_tradnl"/>
        </w:rPr>
        <w:t>Adicionalmente la operación apoyará la aprobación por parte de la asamblea del Acuerdo sobre Facilitación del Comercio de la Organización Mundial del Comercio (OMC)</w:t>
      </w:r>
      <w:r w:rsidR="00947CFF">
        <w:rPr>
          <w:rFonts w:ascii="Times New Roman" w:hAnsi="Times New Roman" w:cs="Times New Roman"/>
          <w:sz w:val="24"/>
          <w:lang w:val="es-ES_tradnl"/>
        </w:rPr>
        <w:t>,</w:t>
      </w:r>
      <w:r w:rsidRPr="000117DB">
        <w:rPr>
          <w:rFonts w:ascii="Times New Roman" w:hAnsi="Times New Roman" w:cs="Times New Roman"/>
          <w:sz w:val="24"/>
          <w:lang w:val="es-ES_tradnl"/>
        </w:rPr>
        <w:t xml:space="preserve"> Paquete de Bali y la implementación de medidas de facilitación acordadas por el Consejo de Ministros de Integración y Comercio (COMIECO) de Centroamérica.</w:t>
      </w:r>
    </w:p>
    <w:p w14:paraId="639268A5" w14:textId="60687461" w:rsidR="005527BC" w:rsidRPr="0054280B" w:rsidRDefault="005527BC" w:rsidP="0054280B">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lang w:val="es-ES_tradnl"/>
        </w:rPr>
      </w:pPr>
    </w:p>
    <w:sectPr w:rsidR="005527BC" w:rsidRPr="0054280B">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D09E1" w14:textId="77777777" w:rsidR="00E85F34" w:rsidRDefault="00E85F34" w:rsidP="001D27B9">
      <w:pPr>
        <w:spacing w:after="0" w:line="240" w:lineRule="auto"/>
      </w:pPr>
      <w:r>
        <w:separator/>
      </w:r>
    </w:p>
  </w:endnote>
  <w:endnote w:type="continuationSeparator" w:id="0">
    <w:p w14:paraId="3A19ABAE" w14:textId="77777777" w:rsidR="00E85F34" w:rsidRDefault="00E85F34" w:rsidP="001D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814144"/>
      <w:docPartObj>
        <w:docPartGallery w:val="Page Numbers (Bottom of Page)"/>
        <w:docPartUnique/>
      </w:docPartObj>
    </w:sdtPr>
    <w:sdtEndPr/>
    <w:sdtContent>
      <w:p w14:paraId="657C4331" w14:textId="37EB86EE" w:rsidR="00E55246" w:rsidRDefault="00E55246">
        <w:pPr>
          <w:pStyle w:val="Footer"/>
          <w:jc w:val="right"/>
        </w:pPr>
        <w:r>
          <w:t xml:space="preserve">Page | </w:t>
        </w:r>
        <w:r>
          <w:fldChar w:fldCharType="begin"/>
        </w:r>
        <w:r>
          <w:instrText xml:space="preserve"> PAGE   \* MERGEFORMAT </w:instrText>
        </w:r>
        <w:r>
          <w:fldChar w:fldCharType="separate"/>
        </w:r>
        <w:r>
          <w:rPr>
            <w:noProof/>
          </w:rPr>
          <w:t>5</w:t>
        </w:r>
        <w:r>
          <w:rPr>
            <w:noProof/>
          </w:rPr>
          <w:fldChar w:fldCharType="end"/>
        </w:r>
        <w:r>
          <w:t xml:space="preserve"> </w:t>
        </w:r>
      </w:p>
    </w:sdtContent>
  </w:sdt>
  <w:p w14:paraId="6B2A8F88" w14:textId="77777777" w:rsidR="00E55246" w:rsidRDefault="00E55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AA934" w14:textId="77777777" w:rsidR="00E85F34" w:rsidRDefault="00E85F34" w:rsidP="001D27B9">
      <w:pPr>
        <w:spacing w:after="0" w:line="240" w:lineRule="auto"/>
      </w:pPr>
      <w:r>
        <w:separator/>
      </w:r>
    </w:p>
  </w:footnote>
  <w:footnote w:type="continuationSeparator" w:id="0">
    <w:p w14:paraId="327B57A3" w14:textId="77777777" w:rsidR="00E85F34" w:rsidRDefault="00E85F34" w:rsidP="001D27B9">
      <w:pPr>
        <w:spacing w:after="0" w:line="240" w:lineRule="auto"/>
      </w:pPr>
      <w:r>
        <w:continuationSeparator/>
      </w:r>
    </w:p>
  </w:footnote>
  <w:footnote w:id="1">
    <w:p w14:paraId="0BF4191C" w14:textId="53F77A4B" w:rsidR="00490D1A" w:rsidRPr="00007B13" w:rsidRDefault="00490D1A" w:rsidP="00007B13">
      <w:pPr>
        <w:pStyle w:val="FootnoteText"/>
        <w:jc w:val="both"/>
        <w:rPr>
          <w:lang w:val="es-ES_tradnl"/>
        </w:rPr>
      </w:pPr>
      <w:r>
        <w:rPr>
          <w:rStyle w:val="FootnoteReference"/>
        </w:rPr>
        <w:footnoteRef/>
      </w:r>
      <w:r w:rsidRPr="00007B13">
        <w:rPr>
          <w:lang w:val="es-ES_tradnl"/>
        </w:rPr>
        <w:t xml:space="preserve"> </w:t>
      </w:r>
      <w:r w:rsidRPr="00007B13">
        <w:rPr>
          <w:rFonts w:ascii="Times New Roman" w:hAnsi="Times New Roman"/>
          <w:lang w:val="es-ES_tradnl"/>
        </w:rPr>
        <w:t xml:space="preserve">Los Servicios Logísticos de Valor Agregado (SLVA) </w:t>
      </w:r>
      <w:r w:rsidR="00595921">
        <w:rPr>
          <w:rFonts w:ascii="Times New Roman" w:hAnsi="Times New Roman"/>
          <w:lang w:val="es-ES_tradnl"/>
        </w:rPr>
        <w:t>i</w:t>
      </w:r>
      <w:r w:rsidRPr="00007B13">
        <w:rPr>
          <w:rFonts w:ascii="Times New Roman" w:hAnsi="Times New Roman"/>
          <w:lang w:val="es-ES_tradnl"/>
        </w:rPr>
        <w:t xml:space="preserve">ncluyen, entre otros, actividades de montaje o desmontaje, etiquetado, empaquetado, logística inversa, control de calidad, reparaciones y/o modificaciones a los productos en base a las preferencias de los clientes. Los bienes, tras finalizar estos procesos, salen del </w:t>
      </w:r>
      <w:r w:rsidRPr="00007B13">
        <w:rPr>
          <w:rFonts w:ascii="Times New Roman" w:hAnsi="Times New Roman"/>
          <w:i/>
          <w:lang w:val="es-ES_tradnl"/>
        </w:rPr>
        <w:t>hub logístico</w:t>
      </w:r>
      <w:r w:rsidRPr="00007B13">
        <w:rPr>
          <w:rFonts w:ascii="Times New Roman" w:hAnsi="Times New Roman"/>
          <w:lang w:val="es-ES_tradnl"/>
        </w:rPr>
        <w:t>, con una clasificación arancelaria diferente y un valor más elevado.</w:t>
      </w:r>
    </w:p>
  </w:footnote>
  <w:footnote w:id="2">
    <w:p w14:paraId="34CFC8D3" w14:textId="3C912CFA" w:rsidR="00B8133F" w:rsidRPr="00007B13" w:rsidRDefault="00B8133F" w:rsidP="00007B13">
      <w:pPr>
        <w:pStyle w:val="FootnoteText"/>
        <w:jc w:val="both"/>
        <w:rPr>
          <w:rFonts w:ascii="Times New Roman" w:hAnsi="Times New Roman"/>
          <w:lang w:val="es-ES_tradnl"/>
        </w:rPr>
      </w:pPr>
      <w:r w:rsidRPr="00007B13">
        <w:rPr>
          <w:rStyle w:val="FootnoteReference"/>
          <w:rFonts w:ascii="Times New Roman" w:hAnsi="Times New Roman"/>
        </w:rPr>
        <w:footnoteRef/>
      </w:r>
      <w:r w:rsidRPr="00007B13">
        <w:rPr>
          <w:rFonts w:ascii="Times New Roman" w:hAnsi="Times New Roman"/>
          <w:lang w:val="es-ES_tradnl"/>
        </w:rPr>
        <w:t xml:space="preserve"> Dentro de la agenda estratégica </w:t>
      </w:r>
      <w:r w:rsidR="00140EE0" w:rsidRPr="00007B13">
        <w:rPr>
          <w:rFonts w:ascii="Times New Roman" w:hAnsi="Times New Roman"/>
          <w:lang w:val="es-ES_tradnl"/>
        </w:rPr>
        <w:t>para la competitividad logística de Panamá definida en su Plan Nacional de Logística 2014-2024 y en el documento de Estrategia Logística Nacional 2030</w:t>
      </w:r>
      <w:r w:rsidR="00140EE0">
        <w:rPr>
          <w:rFonts w:ascii="Times New Roman" w:hAnsi="Times New Roman"/>
          <w:lang w:val="es-ES_tradnl"/>
        </w:rPr>
        <w:t>;</w:t>
      </w:r>
      <w:r w:rsidR="00140EE0" w:rsidRPr="00007B13">
        <w:rPr>
          <w:rFonts w:ascii="Times New Roman" w:hAnsi="Times New Roman"/>
          <w:lang w:val="es-ES_tradnl"/>
        </w:rPr>
        <w:t xml:space="preserve"> se definen tres subsistemas estratégicos en los cuales se focalizan las acciones, estos son: (i) Hub de Servicios logísticos de valor agregado (SLVA) del conglomerado del Canal, (ii) Logística de apoyo al sector agrícola y (iii) Logística de apoyo al Comercio Regional. Est</w:t>
      </w:r>
      <w:r w:rsidR="00140EE0">
        <w:rPr>
          <w:rFonts w:ascii="Times New Roman" w:hAnsi="Times New Roman"/>
          <w:lang w:val="es-ES_tradnl"/>
        </w:rPr>
        <w:t>e</w:t>
      </w:r>
      <w:r w:rsidR="00140EE0" w:rsidRPr="00007B13">
        <w:rPr>
          <w:rFonts w:ascii="Times New Roman" w:hAnsi="Times New Roman"/>
          <w:lang w:val="es-ES_tradnl"/>
        </w:rPr>
        <w:t xml:space="preserve"> último subsistema se enfoca en profundizar los nexos comerciales con los países de la Región y reducir las ineficiencias en los flujos actuales entre Panamá y sus vecinos.</w:t>
      </w:r>
    </w:p>
  </w:footnote>
  <w:footnote w:id="3">
    <w:p w14:paraId="2500FBDF" w14:textId="0FBA738F" w:rsidR="00E55246" w:rsidRPr="0013738A" w:rsidRDefault="00E55246">
      <w:pPr>
        <w:pStyle w:val="FootnoteText"/>
        <w:rPr>
          <w:lang w:val="es-ES_tradnl"/>
        </w:rPr>
      </w:pPr>
      <w:r>
        <w:rPr>
          <w:rStyle w:val="FootnoteReference"/>
        </w:rPr>
        <w:footnoteRef/>
      </w:r>
      <w:r w:rsidRPr="0013738A">
        <w:rPr>
          <w:lang w:val="es-ES_tradnl"/>
        </w:rPr>
        <w:t xml:space="preserve"> </w:t>
      </w:r>
      <w:r w:rsidRPr="0013738A">
        <w:rPr>
          <w:rFonts w:ascii="Times New Roman" w:hAnsi="Times New Roman"/>
          <w:lang w:val="es-ES_tradnl"/>
        </w:rPr>
        <w:t>En 2016 Panamá se situó en la posición 40, mejorando 5 posiciones en comparación con 2014. Cabe resaltar que este ranking es basado en percepciones</w:t>
      </w:r>
      <w:r w:rsidR="009433F0">
        <w:rPr>
          <w:rFonts w:ascii="Times New Roman" w:hAnsi="Times New Roman"/>
          <w:lang w:val="es-ES_tradnl"/>
        </w:rPr>
        <w:t xml:space="preserve"> y no en las reformas efectivamente realizadas</w:t>
      </w:r>
      <w:r w:rsidRPr="0013738A">
        <w:rPr>
          <w:rFonts w:ascii="Times New Roman" w:hAnsi="Times New Roman"/>
          <w:lang w:val="es-ES_tradnl"/>
        </w:rPr>
        <w:t>.</w:t>
      </w:r>
      <w:r w:rsidRPr="0013738A">
        <w:rPr>
          <w:lang w:val="es-ES_tradnl"/>
        </w:rPr>
        <w:t xml:space="preserve"> </w:t>
      </w:r>
    </w:p>
  </w:footnote>
  <w:footnote w:id="4">
    <w:p w14:paraId="1A4A7FC1" w14:textId="25E0A17B" w:rsidR="00E55246" w:rsidRPr="00280FCC" w:rsidRDefault="00E55246">
      <w:pPr>
        <w:pStyle w:val="FootnoteText"/>
        <w:rPr>
          <w:lang w:val="es-ES_tradnl"/>
        </w:rPr>
      </w:pPr>
      <w:r>
        <w:rPr>
          <w:rStyle w:val="FootnoteReference"/>
        </w:rPr>
        <w:footnoteRef/>
      </w:r>
      <w:r w:rsidRPr="007A4330">
        <w:rPr>
          <w:rFonts w:ascii="Times New Roman" w:hAnsi="Times New Roman"/>
          <w:lang w:val="es-ES_tradnl"/>
        </w:rPr>
        <w:t>En</w:t>
      </w:r>
      <w:r>
        <w:rPr>
          <w:lang w:val="es-ES_tradnl"/>
        </w:rPr>
        <w:t xml:space="preserve"> el</w:t>
      </w:r>
      <w:r w:rsidRPr="00280FCC">
        <w:rPr>
          <w:lang w:val="es-ES_tradnl"/>
        </w:rPr>
        <w:t xml:space="preserve"> </w:t>
      </w:r>
      <w:r w:rsidRPr="00280FCC">
        <w:rPr>
          <w:rFonts w:ascii="Times New Roman" w:hAnsi="Times New Roman"/>
          <w:i/>
          <w:lang w:val="es-ES_tradnl"/>
        </w:rPr>
        <w:t xml:space="preserve">Doing Business </w:t>
      </w:r>
      <w:r>
        <w:rPr>
          <w:rFonts w:ascii="Times New Roman" w:hAnsi="Times New Roman"/>
          <w:lang w:val="es-ES_tradnl"/>
        </w:rPr>
        <w:t>el cual mide</w:t>
      </w:r>
      <w:r w:rsidRPr="00280FCC">
        <w:rPr>
          <w:rFonts w:ascii="Times New Roman" w:hAnsi="Times New Roman"/>
          <w:lang w:val="es-ES_tradnl"/>
        </w:rPr>
        <w:t xml:space="preserve"> el desempeño del entorno legal, regulatorio e institucional</w:t>
      </w:r>
      <w:r>
        <w:rPr>
          <w:rFonts w:ascii="Times New Roman" w:hAnsi="Times New Roman"/>
          <w:lang w:val="es-ES_tradnl"/>
        </w:rPr>
        <w:t>,</w:t>
      </w:r>
      <w:r w:rsidRPr="00280FCC">
        <w:rPr>
          <w:rFonts w:ascii="Times New Roman" w:hAnsi="Times New Roman"/>
          <w:lang w:val="es-ES_tradnl"/>
        </w:rPr>
        <w:t xml:space="preserve"> Panamá se situó </w:t>
      </w:r>
      <w:r>
        <w:rPr>
          <w:rFonts w:ascii="Times New Roman" w:hAnsi="Times New Roman"/>
          <w:lang w:val="es-ES_tradnl"/>
        </w:rPr>
        <w:t xml:space="preserve">en 2017 </w:t>
      </w:r>
      <w:r w:rsidRPr="00280FCC">
        <w:rPr>
          <w:rFonts w:ascii="Times New Roman" w:hAnsi="Times New Roman"/>
          <w:lang w:val="es-ES_tradnl"/>
        </w:rPr>
        <w:t>en el lugar 70 del ranking global para 190 países</w:t>
      </w:r>
      <w:r>
        <w:rPr>
          <w:rFonts w:ascii="Times New Roman" w:hAnsi="Times New Roman"/>
          <w:lang w:val="es-ES_tradnl"/>
        </w:rPr>
        <w:t>.</w:t>
      </w:r>
    </w:p>
  </w:footnote>
  <w:footnote w:id="5">
    <w:p w14:paraId="23AE3AF5" w14:textId="771C0582" w:rsidR="00AF26B8" w:rsidRPr="00007B13" w:rsidRDefault="00AF26B8" w:rsidP="00007B13">
      <w:pPr>
        <w:pStyle w:val="FootnoteText"/>
        <w:jc w:val="both"/>
        <w:rPr>
          <w:lang w:val="es-ES_tradnl"/>
        </w:rPr>
      </w:pPr>
      <w:r>
        <w:rPr>
          <w:rStyle w:val="FootnoteReference"/>
        </w:rPr>
        <w:footnoteRef/>
      </w:r>
      <w:r w:rsidRPr="00007B13">
        <w:rPr>
          <w:lang w:val="es-ES_tradnl"/>
        </w:rPr>
        <w:t xml:space="preserve"> </w:t>
      </w:r>
      <w:r w:rsidR="00933C39" w:rsidRPr="00007B13">
        <w:rPr>
          <w:rFonts w:ascii="Times New Roman" w:hAnsi="Times New Roman"/>
          <w:lang w:val="es-ES_tradnl"/>
        </w:rPr>
        <w:t>Las operaciones por valor de USD150 millones y USD200 millones, se denominaron Programa de Apoyo a la Política Nacional Logística</w:t>
      </w:r>
      <w:r w:rsidR="00933C39">
        <w:rPr>
          <w:rFonts w:ascii="Times New Roman" w:hAnsi="Times New Roman"/>
          <w:lang w:val="es-ES_tradnl"/>
        </w:rPr>
        <w:t xml:space="preserve"> Fase I</w:t>
      </w:r>
      <w:r w:rsidR="00933C39" w:rsidRPr="00007B13">
        <w:rPr>
          <w:rFonts w:ascii="Times New Roman" w:hAnsi="Times New Roman"/>
          <w:lang w:val="es-ES_tradnl"/>
        </w:rPr>
        <w:t xml:space="preserve"> (PN-L1110) y </w:t>
      </w:r>
      <w:r w:rsidR="00933C39" w:rsidRPr="00C64156">
        <w:rPr>
          <w:rFonts w:ascii="Times New Roman" w:hAnsi="Times New Roman"/>
          <w:lang w:val="es-ES_tradnl"/>
        </w:rPr>
        <w:t>Programa de Apoyo a la Política Nacional Logística</w:t>
      </w:r>
      <w:r w:rsidR="00933C39">
        <w:rPr>
          <w:rFonts w:ascii="Times New Roman" w:hAnsi="Times New Roman"/>
          <w:lang w:val="es-ES_tradnl"/>
        </w:rPr>
        <w:t xml:space="preserve"> Fase II </w:t>
      </w:r>
      <w:r w:rsidR="00933C39" w:rsidRPr="00007B13">
        <w:rPr>
          <w:rFonts w:ascii="Times New Roman" w:hAnsi="Times New Roman"/>
          <w:lang w:val="es-ES_tradnl"/>
        </w:rPr>
        <w:t>(PN-L1119)</w:t>
      </w:r>
      <w:r w:rsidR="00933C39">
        <w:rPr>
          <w:rFonts w:ascii="Times New Roman" w:hAnsi="Times New Roman"/>
          <w:lang w:val="es-ES_tradnl"/>
        </w:rPr>
        <w:t xml:space="preserve">. </w:t>
      </w:r>
    </w:p>
  </w:footnote>
  <w:footnote w:id="6">
    <w:p w14:paraId="37364A2F" w14:textId="6FA015DE" w:rsidR="00E55246" w:rsidRPr="00A92DF0" w:rsidRDefault="00E55246" w:rsidP="00A92DF0">
      <w:pPr>
        <w:pStyle w:val="FootnoteText"/>
        <w:jc w:val="both"/>
        <w:rPr>
          <w:lang w:val="es-ES_tradnl"/>
        </w:rPr>
      </w:pPr>
      <w:r>
        <w:rPr>
          <w:rStyle w:val="FootnoteReference"/>
        </w:rPr>
        <w:footnoteRef/>
      </w:r>
      <w:r w:rsidRPr="00A92DF0">
        <w:rPr>
          <w:lang w:val="es-ES_tradnl"/>
        </w:rPr>
        <w:t xml:space="preserve"> </w:t>
      </w:r>
      <w:r w:rsidRPr="00A92DF0">
        <w:rPr>
          <w:rFonts w:ascii="Times New Roman" w:hAnsi="Times New Roman"/>
          <w:lang w:val="es-ES_tradnl"/>
        </w:rPr>
        <w:t>Este indicador, nos permite determinar la importancia relativa del comercio internacional en la economía de un país, y al mismo tiempo nos da una noción de que tan vulnerable es el país a los choques externos provenientes de otras economías o a contagio por crisis sistémica.</w:t>
      </w:r>
    </w:p>
  </w:footnote>
  <w:footnote w:id="7">
    <w:p w14:paraId="22FFEE8B" w14:textId="06C470A7" w:rsidR="00E55246" w:rsidRPr="000A2292" w:rsidRDefault="00E55246" w:rsidP="00DF7448">
      <w:pPr>
        <w:pStyle w:val="FootnoteText"/>
        <w:jc w:val="both"/>
        <w:rPr>
          <w:lang w:val="es-ES_tradnl"/>
        </w:rPr>
      </w:pPr>
      <w:r>
        <w:rPr>
          <w:rStyle w:val="FootnoteReference"/>
        </w:rPr>
        <w:footnoteRef/>
      </w:r>
      <w:r w:rsidRPr="000A2292">
        <w:rPr>
          <w:lang w:val="es-ES_tradnl"/>
        </w:rPr>
        <w:t xml:space="preserve"> </w:t>
      </w:r>
      <w:r w:rsidRPr="00DF7448">
        <w:rPr>
          <w:rFonts w:ascii="Times New Roman" w:hAnsi="Times New Roman"/>
          <w:lang w:val="es-ES_tradnl"/>
        </w:rPr>
        <w:t>Las exportaciones de bienes representaron para Panamá únicamente el 1.28% del PIB en el año 2015, mientras que las importaciones representaron 22% del PIB para el mismo año.</w:t>
      </w:r>
      <w:r>
        <w:rPr>
          <w:lang w:val="es-ES_tradnl"/>
        </w:rPr>
        <w:t xml:space="preserve"> </w:t>
      </w:r>
      <w:r w:rsidRPr="00E11BFA">
        <w:rPr>
          <w:rFonts w:ascii="Times New Roman" w:hAnsi="Times New Roman"/>
          <w:lang w:val="es-ES_tradnl"/>
        </w:rPr>
        <w:t>Con exportaciones bajas, Panamá es un país importador neto</w:t>
      </w:r>
      <w:r w:rsidRPr="001963B4">
        <w:rPr>
          <w:rFonts w:ascii="Times New Roman" w:hAnsi="Times New Roman"/>
          <w:lang w:val="es-ES_tradnl"/>
        </w:rPr>
        <w:t xml:space="preserve"> y balanza comercial deficitaria.</w:t>
      </w:r>
      <w:r>
        <w:rPr>
          <w:lang w:val="es-ES_tradnl"/>
        </w:rPr>
        <w:t xml:space="preserve"> </w:t>
      </w:r>
    </w:p>
  </w:footnote>
  <w:footnote w:id="8">
    <w:p w14:paraId="4FE479D4" w14:textId="4E4FF601" w:rsidR="00E55246" w:rsidRPr="00B4749F" w:rsidRDefault="00E55246" w:rsidP="00B4749F">
      <w:pPr>
        <w:tabs>
          <w:tab w:val="left" w:pos="270"/>
          <w:tab w:val="left" w:pos="360"/>
          <w:tab w:val="left" w:pos="450"/>
          <w:tab w:val="left" w:pos="2085"/>
        </w:tabs>
        <w:spacing w:after="0" w:line="240" w:lineRule="auto"/>
        <w:jc w:val="both"/>
        <w:rPr>
          <w:rFonts w:ascii="Times New Roman" w:hAnsi="Times New Roman"/>
          <w:sz w:val="24"/>
          <w:szCs w:val="24"/>
          <w:lang w:val="es-ES_tradnl"/>
        </w:rPr>
      </w:pPr>
      <w:r w:rsidRPr="00B4749F">
        <w:rPr>
          <w:rStyle w:val="FootnoteReference"/>
          <w:sz w:val="12"/>
        </w:rPr>
        <w:footnoteRef/>
      </w:r>
      <w:r w:rsidRPr="00B4749F">
        <w:rPr>
          <w:sz w:val="16"/>
          <w:lang w:val="es-ES_tradnl"/>
        </w:rPr>
        <w:t xml:space="preserve"> </w:t>
      </w:r>
      <w:r w:rsidRPr="00B4749F">
        <w:rPr>
          <w:rFonts w:ascii="Times New Roman" w:hAnsi="Times New Roman"/>
          <w:sz w:val="18"/>
          <w:szCs w:val="24"/>
          <w:lang w:val="es-ES_tradnl"/>
        </w:rPr>
        <w:t>Las categorías de servicios en los cuales tiene mayor participación como exportador a nivel regional son las de transporte (77,3% del total exportado por Centroamérica), comunicaciones (34,6%), seguros (65,7%), servicios financieros (93,7%) y los servicios personales, culturales y recreativos (57,4%).</w:t>
      </w:r>
    </w:p>
  </w:footnote>
  <w:footnote w:id="9">
    <w:p w14:paraId="375FD69F" w14:textId="45508833" w:rsidR="00E55246" w:rsidRPr="00A71821" w:rsidRDefault="00E55246" w:rsidP="00030038">
      <w:pPr>
        <w:spacing w:after="0"/>
        <w:jc w:val="both"/>
        <w:rPr>
          <w:rFonts w:ascii="Times New Roman" w:hAnsi="Times New Roman"/>
          <w:sz w:val="24"/>
          <w:szCs w:val="24"/>
          <w:lang w:val="es-ES_tradnl"/>
        </w:rPr>
      </w:pPr>
      <w:r>
        <w:rPr>
          <w:rStyle w:val="FootnoteReference"/>
        </w:rPr>
        <w:footnoteRef/>
      </w:r>
      <w:r w:rsidRPr="00A71821">
        <w:rPr>
          <w:lang w:val="es-ES_tradnl"/>
        </w:rPr>
        <w:t xml:space="preserve"> </w:t>
      </w:r>
      <w:r w:rsidRPr="000403F3">
        <w:rPr>
          <w:rFonts w:ascii="Times New Roman" w:hAnsi="Times New Roman"/>
          <w:sz w:val="18"/>
          <w:szCs w:val="24"/>
          <w:lang w:val="es-ES_tradnl"/>
        </w:rPr>
        <w:t>Suscribió el Protocolo de Tegucigalpa a la Carta de la Organización de Estados Centroamericanos (ODECA), el 13 de diciembre de 1991. Sin embargo, fue hasta el 29 de junio de 2012 que Panamá se adhirió al Subsistema de Integración Económica Centroamericana.</w:t>
      </w:r>
    </w:p>
  </w:footnote>
  <w:footnote w:id="10">
    <w:p w14:paraId="67C5DBCC" w14:textId="488D7DE1" w:rsidR="00E55246" w:rsidRPr="00AA15B6" w:rsidRDefault="00E55246" w:rsidP="00AA15B6">
      <w:pPr>
        <w:pStyle w:val="FootnoteText"/>
        <w:jc w:val="both"/>
        <w:rPr>
          <w:lang w:val="es-ES_tradnl"/>
        </w:rPr>
      </w:pPr>
      <w:r w:rsidRPr="00AA15B6">
        <w:rPr>
          <w:rFonts w:ascii="Times New Roman" w:eastAsiaTheme="minorHAnsi" w:hAnsi="Times New Roman" w:cstheme="minorBidi"/>
          <w:szCs w:val="24"/>
          <w:lang w:val="es-ES_tradnl"/>
        </w:rPr>
        <w:footnoteRef/>
      </w:r>
      <w:r w:rsidRPr="00AA15B6">
        <w:rPr>
          <w:rFonts w:ascii="Times New Roman" w:eastAsiaTheme="minorHAnsi" w:hAnsi="Times New Roman" w:cstheme="minorBidi"/>
          <w:szCs w:val="24"/>
          <w:lang w:val="es-ES_tradnl"/>
        </w:rPr>
        <w:t xml:space="preserve"> </w:t>
      </w:r>
      <w:r>
        <w:rPr>
          <w:rFonts w:ascii="Times New Roman" w:eastAsiaTheme="minorHAnsi" w:hAnsi="Times New Roman" w:cstheme="minorBidi"/>
          <w:szCs w:val="24"/>
          <w:lang w:val="es-ES_tradnl"/>
        </w:rPr>
        <w:t xml:space="preserve">La </w:t>
      </w:r>
      <w:r w:rsidRPr="00AA15B6">
        <w:rPr>
          <w:rFonts w:ascii="Times New Roman" w:eastAsiaTheme="minorHAnsi" w:hAnsi="Times New Roman" w:cstheme="minorBidi"/>
          <w:szCs w:val="24"/>
          <w:lang w:val="es-ES_tradnl"/>
        </w:rPr>
        <w:t xml:space="preserve">creación del Gabinete Logístico </w:t>
      </w:r>
      <w:r>
        <w:rPr>
          <w:rFonts w:ascii="Times New Roman" w:eastAsiaTheme="minorHAnsi" w:hAnsi="Times New Roman" w:cstheme="minorBidi"/>
          <w:szCs w:val="24"/>
          <w:lang w:val="es-ES_tradnl"/>
        </w:rPr>
        <w:t xml:space="preserve">en 2012 </w:t>
      </w:r>
      <w:r w:rsidRPr="00AA15B6">
        <w:rPr>
          <w:rFonts w:ascii="Times New Roman" w:eastAsiaTheme="minorHAnsi" w:hAnsi="Times New Roman" w:cstheme="minorBidi"/>
          <w:szCs w:val="24"/>
          <w:lang w:val="es-ES_tradnl"/>
        </w:rPr>
        <w:t>y de la Oficina de Coordinación del Gabinete Logístico (OCGL) ha supuesto un gran paso hacia una institucionalidad avanzada en la logística de Panamá</w:t>
      </w:r>
      <w:r>
        <w:rPr>
          <w:rFonts w:ascii="Times New Roman" w:eastAsiaTheme="minorHAnsi" w:hAnsi="Times New Roman" w:cstheme="minorBidi"/>
          <w:szCs w:val="24"/>
          <w:lang w:val="es-ES_tradnl"/>
        </w:rPr>
        <w:t xml:space="preserve"> ya que dio respuesta a las necesidades de liderazgo y coordinación interinstitucional claves para el éxito en la implementación de las políticas relevantes para los procesos logísticos y comerciales. </w:t>
      </w:r>
      <w:r w:rsidRPr="00616009">
        <w:rPr>
          <w:rFonts w:ascii="Times New Roman" w:hAnsi="Times New Roman"/>
          <w:lang w:val="es-ES_tradnl"/>
        </w:rPr>
        <w:t xml:space="preserve">El Gabinete Logístico es presidido por un titular de la Presidencia y está integrado por autoridades de los ministerios de Comercio e Industrias, Relaciones Exteriores, Obras Públicas, Economía y Finanzas, Vivienda y Ordenamiento Territorial, </w:t>
      </w:r>
      <w:hyperlink r:id="rId1" w:tooltip="Autoridad Nacional de Aduanas de Panamá" w:history="1">
        <w:r w:rsidRPr="00FE4CC8">
          <w:rPr>
            <w:rFonts w:ascii="Times New Roman" w:hAnsi="Times New Roman"/>
            <w:lang w:val="es-ES_tradnl"/>
          </w:rPr>
          <w:t>Autoridad del Canal de Panamá</w:t>
        </w:r>
      </w:hyperlink>
      <w:r w:rsidRPr="00FE4CC8">
        <w:rPr>
          <w:rFonts w:ascii="Times New Roman" w:hAnsi="Times New Roman"/>
          <w:lang w:val="es-ES_tradnl"/>
        </w:rPr>
        <w:t xml:space="preserve">, Autoridad </w:t>
      </w:r>
      <w:r w:rsidRPr="00616009">
        <w:rPr>
          <w:rFonts w:ascii="Times New Roman" w:hAnsi="Times New Roman"/>
          <w:lang w:val="es-ES_tradnl"/>
        </w:rPr>
        <w:t>Marítima de Panamá, Autoridad de Aeronáutica Civil, Autoridad Nacional de Aduanas, Autoridad de Tránsito y Transporte Terrestre, Secretaría del Metro, Zona Libre de Colon, Tocumen, S.A. y la Secretaría Nacional de Ciencia, Tecnología e Innovación.</w:t>
      </w:r>
    </w:p>
  </w:footnote>
  <w:footnote w:id="11">
    <w:p w14:paraId="5077A796" w14:textId="77777777" w:rsidR="00F302E5" w:rsidRPr="002D372A" w:rsidRDefault="00F302E5" w:rsidP="00F302E5">
      <w:pPr>
        <w:pStyle w:val="FootnoteText"/>
        <w:rPr>
          <w:lang w:val="es-ES_tradnl"/>
        </w:rPr>
      </w:pPr>
      <w:r>
        <w:rPr>
          <w:rStyle w:val="FootnoteReference"/>
        </w:rPr>
        <w:footnoteRef/>
      </w:r>
      <w:r w:rsidRPr="002D372A">
        <w:rPr>
          <w:lang w:val="es-ES_tradnl"/>
        </w:rPr>
        <w:t xml:space="preserve"> </w:t>
      </w:r>
      <w:r w:rsidRPr="002D372A">
        <w:rPr>
          <w:rFonts w:ascii="Times New Roman" w:eastAsiaTheme="minorHAnsi" w:hAnsi="Times New Roman" w:cstheme="minorBidi"/>
          <w:szCs w:val="24"/>
          <w:lang w:val="es-ES_tradnl"/>
        </w:rPr>
        <w:t>Estrategia logística nacional de Panamá 2030. Junio 2017. Gabinete logístico y BID.</w:t>
      </w:r>
      <w:r w:rsidRPr="002D372A">
        <w:rPr>
          <w:sz w:val="12"/>
          <w:lang w:val="es-ES_tradnl"/>
        </w:rPr>
        <w:t xml:space="preserve"> </w:t>
      </w:r>
    </w:p>
  </w:footnote>
  <w:footnote w:id="12">
    <w:p w14:paraId="21B56296" w14:textId="491B5C5C" w:rsidR="00E55246" w:rsidRPr="00D64745" w:rsidRDefault="00E55246" w:rsidP="00D64745">
      <w:pPr>
        <w:pStyle w:val="FootnoteText"/>
        <w:jc w:val="both"/>
        <w:rPr>
          <w:i/>
          <w:lang w:val="es-ES_tradnl"/>
        </w:rPr>
      </w:pPr>
      <w:r>
        <w:rPr>
          <w:rStyle w:val="FootnoteReference"/>
        </w:rPr>
        <w:footnoteRef/>
      </w:r>
      <w:r w:rsidRPr="00D64745">
        <w:rPr>
          <w:lang w:val="es-ES_tradnl"/>
        </w:rPr>
        <w:t xml:space="preserve"> </w:t>
      </w:r>
      <w:r w:rsidRPr="00D64745">
        <w:rPr>
          <w:rFonts w:ascii="Times New Roman" w:eastAsiaTheme="minorHAnsi" w:hAnsi="Times New Roman" w:cstheme="minorBidi"/>
          <w:szCs w:val="24"/>
          <w:lang w:val="es-ES_tradnl"/>
        </w:rPr>
        <w:t>En el año fiscal 2017, un total de 244.6 millones de toneladas largas transitaron por el Canal de Panamá</w:t>
      </w:r>
      <w:r>
        <w:rPr>
          <w:rFonts w:ascii="Times New Roman" w:eastAsiaTheme="minorHAnsi" w:hAnsi="Times New Roman" w:cstheme="minorBidi"/>
          <w:szCs w:val="24"/>
          <w:lang w:val="es-ES_tradnl"/>
        </w:rPr>
        <w:t>, esto representó un crecimiento de 16% con respecto al año 2016</w:t>
      </w:r>
      <w:r w:rsidRPr="00D64745">
        <w:rPr>
          <w:rFonts w:ascii="Times New Roman" w:eastAsiaTheme="minorHAnsi" w:hAnsi="Times New Roman" w:cstheme="minorBidi"/>
          <w:szCs w:val="24"/>
          <w:lang w:val="es-ES_tradnl"/>
        </w:rPr>
        <w:t>. La principal carga que transita por el canal es carga en contenedores, seguida por granos.</w:t>
      </w:r>
      <w:r>
        <w:rPr>
          <w:rFonts w:ascii="Times New Roman" w:eastAsiaTheme="minorHAnsi" w:hAnsi="Times New Roman" w:cstheme="minorBidi"/>
          <w:szCs w:val="24"/>
          <w:lang w:val="es-ES_tradnl"/>
        </w:rPr>
        <w:t xml:space="preserve"> </w:t>
      </w:r>
      <w:r>
        <w:rPr>
          <w:rFonts w:ascii="Times New Roman" w:eastAsiaTheme="minorHAnsi" w:hAnsi="Times New Roman" w:cstheme="minorBidi"/>
          <w:i/>
          <w:szCs w:val="24"/>
          <w:lang w:val="es-ES_tradnl"/>
        </w:rPr>
        <w:t xml:space="preserve">Fuente: </w:t>
      </w:r>
      <w:r w:rsidRPr="000818E2">
        <w:rPr>
          <w:rFonts w:ascii="Times New Roman" w:eastAsiaTheme="minorHAnsi" w:hAnsi="Times New Roman" w:cstheme="minorBidi"/>
          <w:szCs w:val="24"/>
          <w:lang w:val="es-ES_tradnl"/>
        </w:rPr>
        <w:t>Anuario estadístico Agencia Marítima Portuaria.</w:t>
      </w:r>
      <w:r>
        <w:rPr>
          <w:rFonts w:ascii="Times New Roman" w:eastAsiaTheme="minorHAnsi" w:hAnsi="Times New Roman" w:cstheme="minorBidi"/>
          <w:szCs w:val="24"/>
          <w:lang w:val="es-ES_tradnl"/>
        </w:rPr>
        <w:t xml:space="preserve"> </w:t>
      </w:r>
      <w:hyperlink r:id="rId2" w:history="1">
        <w:r w:rsidRPr="000818E2">
          <w:rPr>
            <w:rStyle w:val="Hyperlink"/>
            <w:rFonts w:ascii="Times New Roman" w:eastAsiaTheme="minorHAnsi" w:hAnsi="Times New Roman" w:cstheme="minorBidi"/>
            <w:color w:val="0000FF"/>
            <w:szCs w:val="24"/>
            <w:lang w:val="es-ES_tradnl"/>
          </w:rPr>
          <w:t>www.amp.gob.pa</w:t>
        </w:r>
      </w:hyperlink>
      <w:r w:rsidRPr="000818E2">
        <w:rPr>
          <w:rFonts w:ascii="Times New Roman" w:eastAsiaTheme="minorHAnsi" w:hAnsi="Times New Roman" w:cstheme="minorBidi"/>
          <w:color w:val="0000FF"/>
          <w:szCs w:val="24"/>
          <w:lang w:val="es-ES_tradnl"/>
        </w:rPr>
        <w:t xml:space="preserve"> </w:t>
      </w:r>
      <w:r w:rsidRPr="000818E2">
        <w:rPr>
          <w:rFonts w:ascii="Times New Roman" w:eastAsiaTheme="minorHAnsi" w:hAnsi="Times New Roman" w:cstheme="minorBidi"/>
          <w:i/>
          <w:color w:val="0000FF"/>
          <w:szCs w:val="24"/>
          <w:lang w:val="es-ES_tradnl"/>
        </w:rPr>
        <w:t xml:space="preserve"> </w:t>
      </w:r>
    </w:p>
  </w:footnote>
  <w:footnote w:id="13">
    <w:p w14:paraId="0E20DB2D" w14:textId="6341989D" w:rsidR="00E55246" w:rsidRPr="002B4AAD" w:rsidRDefault="00E55246">
      <w:pPr>
        <w:pStyle w:val="FootnoteText"/>
        <w:rPr>
          <w:lang w:val="es-ES_tradnl"/>
        </w:rPr>
      </w:pPr>
      <w:r>
        <w:rPr>
          <w:rStyle w:val="FootnoteReference"/>
        </w:rPr>
        <w:footnoteRef/>
      </w:r>
      <w:r w:rsidRPr="002B4AAD">
        <w:rPr>
          <w:lang w:val="es-ES_tradnl"/>
        </w:rPr>
        <w:t xml:space="preserve"> </w:t>
      </w:r>
      <w:r w:rsidRPr="00007B13">
        <w:rPr>
          <w:rFonts w:ascii="Times New Roman" w:eastAsiaTheme="minorHAnsi" w:hAnsi="Times New Roman" w:cstheme="minorBidi"/>
          <w:i/>
          <w:szCs w:val="24"/>
          <w:lang w:val="es-ES_tradnl"/>
        </w:rPr>
        <w:t>Fuente</w:t>
      </w:r>
      <w:r w:rsidRPr="002B4AAD">
        <w:rPr>
          <w:rFonts w:ascii="Times New Roman" w:eastAsiaTheme="minorHAnsi" w:hAnsi="Times New Roman" w:cstheme="minorBidi"/>
          <w:szCs w:val="24"/>
          <w:lang w:val="es-ES_tradnl"/>
        </w:rPr>
        <w:t>: Autoridad del Canal de Panamá</w:t>
      </w:r>
    </w:p>
  </w:footnote>
  <w:footnote w:id="14">
    <w:p w14:paraId="75E31C34" w14:textId="77777777" w:rsidR="00DE7949" w:rsidRPr="000A32CC" w:rsidRDefault="00DE7949" w:rsidP="00DE7949">
      <w:pPr>
        <w:pStyle w:val="FootnoteText"/>
        <w:rPr>
          <w:lang w:val="es-ES_tradnl"/>
        </w:rPr>
      </w:pPr>
      <w:r>
        <w:rPr>
          <w:rStyle w:val="FootnoteReference"/>
        </w:rPr>
        <w:footnoteRef/>
      </w:r>
      <w:r w:rsidRPr="000A32CC">
        <w:rPr>
          <w:lang w:val="es-ES_tradnl"/>
        </w:rPr>
        <w:t xml:space="preserve"> </w:t>
      </w:r>
      <w:r w:rsidRPr="000A32CC">
        <w:rPr>
          <w:rFonts w:ascii="Times New Roman" w:hAnsi="Times New Roman"/>
          <w:lang w:val="es-ES_tradnl"/>
        </w:rPr>
        <w:t>Plan Nacional de Logística de Cargas – PNLog Panamá, 2014 - 2024</w:t>
      </w:r>
    </w:p>
  </w:footnote>
  <w:footnote w:id="15">
    <w:p w14:paraId="14CA89F0" w14:textId="4CDFBEC4" w:rsidR="00E55246" w:rsidRPr="0094004A" w:rsidRDefault="00E55246" w:rsidP="0094004A">
      <w:pPr>
        <w:pStyle w:val="FootnoteText"/>
        <w:jc w:val="both"/>
        <w:rPr>
          <w:rFonts w:ascii="Times New Roman" w:hAnsi="Times New Roman"/>
          <w:szCs w:val="18"/>
          <w:lang w:val="es-ES_tradnl"/>
        </w:rPr>
      </w:pPr>
      <w:r w:rsidRPr="0094004A">
        <w:rPr>
          <w:rStyle w:val="FootnoteReference"/>
          <w:rFonts w:ascii="Times New Roman" w:hAnsi="Times New Roman"/>
          <w:szCs w:val="18"/>
          <w:lang w:val="es-ES_tradnl"/>
        </w:rPr>
        <w:footnoteRef/>
      </w:r>
      <w:r w:rsidRPr="0094004A">
        <w:rPr>
          <w:rFonts w:ascii="Times New Roman" w:hAnsi="Times New Roman"/>
          <w:szCs w:val="18"/>
          <w:lang w:val="es-ES_tradnl"/>
        </w:rPr>
        <w:t xml:space="preserve"> </w:t>
      </w:r>
      <w:r w:rsidRPr="0094004A">
        <w:rPr>
          <w:rFonts w:ascii="Times New Roman" w:eastAsiaTheme="minorHAnsi" w:hAnsi="Times New Roman"/>
          <w:szCs w:val="18"/>
          <w:lang w:val="es-ES_tradnl"/>
        </w:rPr>
        <w:t>Aprobados en 2013 y 2015 respectivamente.</w:t>
      </w:r>
    </w:p>
  </w:footnote>
  <w:footnote w:id="16">
    <w:p w14:paraId="711CEFA8" w14:textId="54B10F52" w:rsidR="00E55246" w:rsidRPr="0094004A" w:rsidRDefault="00E55246" w:rsidP="0094004A">
      <w:pPr>
        <w:pStyle w:val="FootnoteText"/>
        <w:jc w:val="both"/>
        <w:rPr>
          <w:lang w:val="es-ES_tradnl"/>
        </w:rPr>
      </w:pPr>
      <w:r w:rsidRPr="0094004A">
        <w:rPr>
          <w:rStyle w:val="FootnoteReference"/>
          <w:rFonts w:ascii="Times New Roman" w:hAnsi="Times New Roman"/>
        </w:rPr>
        <w:footnoteRef/>
      </w:r>
      <w:r w:rsidRPr="0094004A">
        <w:rPr>
          <w:rFonts w:ascii="Times New Roman" w:hAnsi="Times New Roman"/>
          <w:lang w:val="es-ES_tradnl"/>
        </w:rPr>
        <w:t xml:space="preserve"> Plan de Transporte y Logística de la Zona Interoceánica (PTLZI), </w:t>
      </w:r>
      <w:r w:rsidRPr="0094004A">
        <w:rPr>
          <w:rFonts w:ascii="Times New Roman" w:hAnsi="Times New Roman"/>
          <w:szCs w:val="18"/>
          <w:lang w:val="es-ES"/>
        </w:rPr>
        <w:t>Plan Maestro de Transporte y Logística (PMTL) y Política Nacional de Ordenamiento Territorial (PNOT)</w:t>
      </w:r>
      <w:r w:rsidR="00531FB0">
        <w:rPr>
          <w:rFonts w:ascii="Times New Roman" w:hAnsi="Times New Roman"/>
          <w:szCs w:val="18"/>
          <w:lang w:val="es-ES"/>
        </w:rPr>
        <w:t xml:space="preserve"> este último,</w:t>
      </w:r>
      <w:r w:rsidRPr="0094004A">
        <w:rPr>
          <w:rFonts w:ascii="Times New Roman" w:hAnsi="Times New Roman"/>
          <w:szCs w:val="18"/>
          <w:lang w:val="es-ES"/>
        </w:rPr>
        <w:t xml:space="preserve"> enfocado en las potencialidades productivas y logísticas del país.</w:t>
      </w:r>
    </w:p>
  </w:footnote>
  <w:footnote w:id="17">
    <w:p w14:paraId="68A8827D" w14:textId="2E64F80D" w:rsidR="00DB16A3" w:rsidRPr="00DB16A3" w:rsidRDefault="00DB16A3" w:rsidP="00DB16A3">
      <w:pPr>
        <w:pStyle w:val="FootnoteText"/>
        <w:jc w:val="both"/>
        <w:rPr>
          <w:lang w:val="es-ES_tradnl"/>
        </w:rPr>
      </w:pPr>
      <w:r>
        <w:rPr>
          <w:rStyle w:val="FootnoteReference"/>
        </w:rPr>
        <w:footnoteRef/>
      </w:r>
      <w:r w:rsidRPr="00DB16A3">
        <w:rPr>
          <w:lang w:val="es-ES_tradnl"/>
        </w:rPr>
        <w:t xml:space="preserve"> </w:t>
      </w:r>
      <w:r w:rsidRPr="00DB16A3">
        <w:rPr>
          <w:rFonts w:ascii="Times New Roman" w:hAnsi="Times New Roman"/>
          <w:sz w:val="20"/>
          <w:szCs w:val="24"/>
          <w:lang w:val="es-ES"/>
        </w:rPr>
        <w:t>Cabe destacar que la puesta en marcha de esta certificación está siendo impulsada por el Gabinete Logístico cuya constitución se realizó durante la primera fase del PBL.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6EDE"/>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ECE20D7"/>
    <w:multiLevelType w:val="hybridMultilevel"/>
    <w:tmpl w:val="BB229F6C"/>
    <w:lvl w:ilvl="0" w:tplc="E6A28C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70728"/>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BF7B99"/>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947D7"/>
    <w:multiLevelType w:val="hybridMultilevel"/>
    <w:tmpl w:val="43D0D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771B0"/>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7520D8"/>
    <w:multiLevelType w:val="hybridMultilevel"/>
    <w:tmpl w:val="63309D12"/>
    <w:lvl w:ilvl="0" w:tplc="F84C4430">
      <w:start w:val="6"/>
      <w:numFmt w:val="upperRoman"/>
      <w:lvlText w:val="%1."/>
      <w:lvlJc w:val="left"/>
      <w:pPr>
        <w:ind w:left="450" w:hanging="720"/>
      </w:pPr>
      <w:rPr>
        <w:rFonts w:hint="default"/>
        <w:b/>
        <w:color w:val="1F497D"/>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2C9217D"/>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7360F"/>
    <w:multiLevelType w:val="hybridMultilevel"/>
    <w:tmpl w:val="48C8AEB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2B7ECA"/>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EE22AE"/>
    <w:multiLevelType w:val="hybridMultilevel"/>
    <w:tmpl w:val="4FE8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5" w15:restartNumberingAfterBreak="0">
    <w:nsid w:val="742B5738"/>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61B4E97"/>
    <w:multiLevelType w:val="multilevel"/>
    <w:tmpl w:val="F23EE2A8"/>
    <w:lvl w:ilvl="0">
      <w:start w:val="1"/>
      <w:numFmt w:val="upperRoman"/>
      <w:lvlText w:val="%1."/>
      <w:lvlJc w:val="right"/>
      <w:pPr>
        <w:ind w:left="1260" w:hanging="720"/>
      </w:pPr>
      <w:rPr>
        <w:rFonts w:hint="default"/>
        <w:color w:val="44546A" w:themeColor="text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3"/>
  </w:num>
  <w:num w:numId="3">
    <w:abstractNumId w:val="1"/>
  </w:num>
  <w:num w:numId="4">
    <w:abstractNumId w:val="10"/>
  </w:num>
  <w:num w:numId="5">
    <w:abstractNumId w:val="4"/>
  </w:num>
  <w:num w:numId="6">
    <w:abstractNumId w:val="9"/>
  </w:num>
  <w:num w:numId="7">
    <w:abstractNumId w:val="16"/>
  </w:num>
  <w:num w:numId="8">
    <w:abstractNumId w:val="12"/>
  </w:num>
  <w:num w:numId="9">
    <w:abstractNumId w:val="8"/>
  </w:num>
  <w:num w:numId="10">
    <w:abstractNumId w:val="0"/>
  </w:num>
  <w:num w:numId="11">
    <w:abstractNumId w:val="2"/>
  </w:num>
  <w:num w:numId="12">
    <w:abstractNumId w:val="11"/>
  </w:num>
  <w:num w:numId="13">
    <w:abstractNumId w:val="3"/>
  </w:num>
  <w:num w:numId="14">
    <w:abstractNumId w:val="6"/>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540"/>
    <w:rsid w:val="00000ABE"/>
    <w:rsid w:val="000015AE"/>
    <w:rsid w:val="00001628"/>
    <w:rsid w:val="00002817"/>
    <w:rsid w:val="00003193"/>
    <w:rsid w:val="00003CEB"/>
    <w:rsid w:val="000040D4"/>
    <w:rsid w:val="00005A55"/>
    <w:rsid w:val="00005E7F"/>
    <w:rsid w:val="0000726D"/>
    <w:rsid w:val="00007B13"/>
    <w:rsid w:val="000117DB"/>
    <w:rsid w:val="00013100"/>
    <w:rsid w:val="00013EB3"/>
    <w:rsid w:val="000156BA"/>
    <w:rsid w:val="0001573E"/>
    <w:rsid w:val="000170D7"/>
    <w:rsid w:val="0002328B"/>
    <w:rsid w:val="00023B35"/>
    <w:rsid w:val="0002502D"/>
    <w:rsid w:val="000259FE"/>
    <w:rsid w:val="0002611F"/>
    <w:rsid w:val="00026933"/>
    <w:rsid w:val="000275CE"/>
    <w:rsid w:val="000277B3"/>
    <w:rsid w:val="00030038"/>
    <w:rsid w:val="000348C0"/>
    <w:rsid w:val="000374C0"/>
    <w:rsid w:val="000403F3"/>
    <w:rsid w:val="00043CFD"/>
    <w:rsid w:val="00043FC1"/>
    <w:rsid w:val="00045F84"/>
    <w:rsid w:val="000478DD"/>
    <w:rsid w:val="00047DE7"/>
    <w:rsid w:val="0005014A"/>
    <w:rsid w:val="00050378"/>
    <w:rsid w:val="000516FC"/>
    <w:rsid w:val="00052C4C"/>
    <w:rsid w:val="00053CA0"/>
    <w:rsid w:val="00054D5C"/>
    <w:rsid w:val="00054F51"/>
    <w:rsid w:val="000555E8"/>
    <w:rsid w:val="000602E6"/>
    <w:rsid w:val="00060A9E"/>
    <w:rsid w:val="000618D6"/>
    <w:rsid w:val="000621C6"/>
    <w:rsid w:val="00062566"/>
    <w:rsid w:val="00063446"/>
    <w:rsid w:val="00063EB4"/>
    <w:rsid w:val="00065B59"/>
    <w:rsid w:val="0006626E"/>
    <w:rsid w:val="000663C6"/>
    <w:rsid w:val="00066580"/>
    <w:rsid w:val="00066602"/>
    <w:rsid w:val="0006786A"/>
    <w:rsid w:val="00067B31"/>
    <w:rsid w:val="000702B4"/>
    <w:rsid w:val="00070599"/>
    <w:rsid w:val="00070A4B"/>
    <w:rsid w:val="00070B15"/>
    <w:rsid w:val="00071BDC"/>
    <w:rsid w:val="000726E6"/>
    <w:rsid w:val="00073E9D"/>
    <w:rsid w:val="0007401E"/>
    <w:rsid w:val="00074AF4"/>
    <w:rsid w:val="00080264"/>
    <w:rsid w:val="000818E2"/>
    <w:rsid w:val="00082BEB"/>
    <w:rsid w:val="0008310A"/>
    <w:rsid w:val="00083B2E"/>
    <w:rsid w:val="00084397"/>
    <w:rsid w:val="00085A3B"/>
    <w:rsid w:val="0008630E"/>
    <w:rsid w:val="000878CE"/>
    <w:rsid w:val="00090DC3"/>
    <w:rsid w:val="00091AA9"/>
    <w:rsid w:val="0009245F"/>
    <w:rsid w:val="00095DEC"/>
    <w:rsid w:val="000A13FE"/>
    <w:rsid w:val="000A1698"/>
    <w:rsid w:val="000A2292"/>
    <w:rsid w:val="000A32CC"/>
    <w:rsid w:val="000A4355"/>
    <w:rsid w:val="000A5664"/>
    <w:rsid w:val="000A7A25"/>
    <w:rsid w:val="000A7D8F"/>
    <w:rsid w:val="000B223C"/>
    <w:rsid w:val="000B32BF"/>
    <w:rsid w:val="000B541B"/>
    <w:rsid w:val="000B5CBA"/>
    <w:rsid w:val="000C0E84"/>
    <w:rsid w:val="000C1139"/>
    <w:rsid w:val="000C1477"/>
    <w:rsid w:val="000C15DF"/>
    <w:rsid w:val="000C1DBB"/>
    <w:rsid w:val="000C2151"/>
    <w:rsid w:val="000C6806"/>
    <w:rsid w:val="000C7AF8"/>
    <w:rsid w:val="000C7BB6"/>
    <w:rsid w:val="000D2718"/>
    <w:rsid w:val="000D272F"/>
    <w:rsid w:val="000D442D"/>
    <w:rsid w:val="000D505A"/>
    <w:rsid w:val="000D5C7D"/>
    <w:rsid w:val="000D67E5"/>
    <w:rsid w:val="000E1DB8"/>
    <w:rsid w:val="000E23DC"/>
    <w:rsid w:val="000E2513"/>
    <w:rsid w:val="000E48F0"/>
    <w:rsid w:val="000E4A51"/>
    <w:rsid w:val="000E5157"/>
    <w:rsid w:val="000E5691"/>
    <w:rsid w:val="000E654E"/>
    <w:rsid w:val="000E6ACC"/>
    <w:rsid w:val="000E6B95"/>
    <w:rsid w:val="000E6C24"/>
    <w:rsid w:val="000F04A7"/>
    <w:rsid w:val="000F0A57"/>
    <w:rsid w:val="000F1B0A"/>
    <w:rsid w:val="000F2706"/>
    <w:rsid w:val="000F298E"/>
    <w:rsid w:val="000F352D"/>
    <w:rsid w:val="000F4231"/>
    <w:rsid w:val="000F5EBE"/>
    <w:rsid w:val="000F6C9B"/>
    <w:rsid w:val="00100FA6"/>
    <w:rsid w:val="001012B3"/>
    <w:rsid w:val="00102D08"/>
    <w:rsid w:val="00103469"/>
    <w:rsid w:val="00103976"/>
    <w:rsid w:val="00103A82"/>
    <w:rsid w:val="001042A8"/>
    <w:rsid w:val="00105393"/>
    <w:rsid w:val="001075A1"/>
    <w:rsid w:val="00112852"/>
    <w:rsid w:val="00112F96"/>
    <w:rsid w:val="00113761"/>
    <w:rsid w:val="001140FB"/>
    <w:rsid w:val="001144B3"/>
    <w:rsid w:val="00114ED5"/>
    <w:rsid w:val="00115129"/>
    <w:rsid w:val="001154FB"/>
    <w:rsid w:val="00116B3B"/>
    <w:rsid w:val="00123200"/>
    <w:rsid w:val="00124BDF"/>
    <w:rsid w:val="00125090"/>
    <w:rsid w:val="00127E06"/>
    <w:rsid w:val="00131C1B"/>
    <w:rsid w:val="001353CF"/>
    <w:rsid w:val="001362D9"/>
    <w:rsid w:val="001367C2"/>
    <w:rsid w:val="0013738A"/>
    <w:rsid w:val="001402C2"/>
    <w:rsid w:val="001406B3"/>
    <w:rsid w:val="00140EE0"/>
    <w:rsid w:val="00143038"/>
    <w:rsid w:val="0014442D"/>
    <w:rsid w:val="00145A96"/>
    <w:rsid w:val="0014694E"/>
    <w:rsid w:val="00150A66"/>
    <w:rsid w:val="001510AB"/>
    <w:rsid w:val="001534CB"/>
    <w:rsid w:val="00153695"/>
    <w:rsid w:val="00153836"/>
    <w:rsid w:val="001545B0"/>
    <w:rsid w:val="0015480E"/>
    <w:rsid w:val="001559CA"/>
    <w:rsid w:val="00156652"/>
    <w:rsid w:val="001569CC"/>
    <w:rsid w:val="0015792D"/>
    <w:rsid w:val="00157989"/>
    <w:rsid w:val="00157F1F"/>
    <w:rsid w:val="00157FAE"/>
    <w:rsid w:val="001603C3"/>
    <w:rsid w:val="00163B8C"/>
    <w:rsid w:val="00163D56"/>
    <w:rsid w:val="00164358"/>
    <w:rsid w:val="001649A6"/>
    <w:rsid w:val="001716E5"/>
    <w:rsid w:val="00172C51"/>
    <w:rsid w:val="0017323E"/>
    <w:rsid w:val="00173728"/>
    <w:rsid w:val="001749E8"/>
    <w:rsid w:val="00174ADD"/>
    <w:rsid w:val="00175EE2"/>
    <w:rsid w:val="0017655D"/>
    <w:rsid w:val="00176E84"/>
    <w:rsid w:val="00180184"/>
    <w:rsid w:val="00182B63"/>
    <w:rsid w:val="00191FAB"/>
    <w:rsid w:val="00193373"/>
    <w:rsid w:val="001933DD"/>
    <w:rsid w:val="00193A49"/>
    <w:rsid w:val="00193B28"/>
    <w:rsid w:val="001963B4"/>
    <w:rsid w:val="00196E07"/>
    <w:rsid w:val="00197B9D"/>
    <w:rsid w:val="001A0143"/>
    <w:rsid w:val="001A02D9"/>
    <w:rsid w:val="001A037F"/>
    <w:rsid w:val="001A1001"/>
    <w:rsid w:val="001A123A"/>
    <w:rsid w:val="001A20AE"/>
    <w:rsid w:val="001A3D15"/>
    <w:rsid w:val="001A42D6"/>
    <w:rsid w:val="001A55C7"/>
    <w:rsid w:val="001A5A4E"/>
    <w:rsid w:val="001A7919"/>
    <w:rsid w:val="001A7A6F"/>
    <w:rsid w:val="001A7B72"/>
    <w:rsid w:val="001B0F84"/>
    <w:rsid w:val="001B1CA4"/>
    <w:rsid w:val="001B2453"/>
    <w:rsid w:val="001B4483"/>
    <w:rsid w:val="001B4EBE"/>
    <w:rsid w:val="001B6C1B"/>
    <w:rsid w:val="001B71A9"/>
    <w:rsid w:val="001B73A2"/>
    <w:rsid w:val="001B7D5B"/>
    <w:rsid w:val="001C00FF"/>
    <w:rsid w:val="001C067E"/>
    <w:rsid w:val="001C2258"/>
    <w:rsid w:val="001C2788"/>
    <w:rsid w:val="001C4513"/>
    <w:rsid w:val="001C6811"/>
    <w:rsid w:val="001C6AB6"/>
    <w:rsid w:val="001D05B1"/>
    <w:rsid w:val="001D08C6"/>
    <w:rsid w:val="001D169A"/>
    <w:rsid w:val="001D1F70"/>
    <w:rsid w:val="001D2271"/>
    <w:rsid w:val="001D27B9"/>
    <w:rsid w:val="001D3094"/>
    <w:rsid w:val="001E10DC"/>
    <w:rsid w:val="001E239D"/>
    <w:rsid w:val="001E3E74"/>
    <w:rsid w:val="001E41BB"/>
    <w:rsid w:val="001E41FB"/>
    <w:rsid w:val="001E4514"/>
    <w:rsid w:val="001E4553"/>
    <w:rsid w:val="001E4F72"/>
    <w:rsid w:val="001E575F"/>
    <w:rsid w:val="001E5848"/>
    <w:rsid w:val="001E5A51"/>
    <w:rsid w:val="001E68B3"/>
    <w:rsid w:val="001F0F01"/>
    <w:rsid w:val="001F1E45"/>
    <w:rsid w:val="001F293D"/>
    <w:rsid w:val="001F38D8"/>
    <w:rsid w:val="001F3C3F"/>
    <w:rsid w:val="001F3D23"/>
    <w:rsid w:val="00200B25"/>
    <w:rsid w:val="002016C5"/>
    <w:rsid w:val="00202ADB"/>
    <w:rsid w:val="00203C7B"/>
    <w:rsid w:val="002042CD"/>
    <w:rsid w:val="0020461C"/>
    <w:rsid w:val="00204AF9"/>
    <w:rsid w:val="00206540"/>
    <w:rsid w:val="00206854"/>
    <w:rsid w:val="00207DAE"/>
    <w:rsid w:val="00207E6D"/>
    <w:rsid w:val="00207EC0"/>
    <w:rsid w:val="0021090C"/>
    <w:rsid w:val="00210E3F"/>
    <w:rsid w:val="00211161"/>
    <w:rsid w:val="002123EC"/>
    <w:rsid w:val="002137C2"/>
    <w:rsid w:val="00213CCB"/>
    <w:rsid w:val="00215616"/>
    <w:rsid w:val="0021676B"/>
    <w:rsid w:val="00216A24"/>
    <w:rsid w:val="00216A39"/>
    <w:rsid w:val="00217085"/>
    <w:rsid w:val="00220A32"/>
    <w:rsid w:val="00223214"/>
    <w:rsid w:val="0022497B"/>
    <w:rsid w:val="00225D21"/>
    <w:rsid w:val="002261B4"/>
    <w:rsid w:val="0022645C"/>
    <w:rsid w:val="00232BDF"/>
    <w:rsid w:val="0023344F"/>
    <w:rsid w:val="00234B0A"/>
    <w:rsid w:val="00235C02"/>
    <w:rsid w:val="0023659E"/>
    <w:rsid w:val="002401BC"/>
    <w:rsid w:val="00240EF9"/>
    <w:rsid w:val="00241D54"/>
    <w:rsid w:val="0024527D"/>
    <w:rsid w:val="00246D06"/>
    <w:rsid w:val="00246D4E"/>
    <w:rsid w:val="00250BC5"/>
    <w:rsid w:val="00251568"/>
    <w:rsid w:val="00253764"/>
    <w:rsid w:val="002548AB"/>
    <w:rsid w:val="00254AA3"/>
    <w:rsid w:val="00256E44"/>
    <w:rsid w:val="00260283"/>
    <w:rsid w:val="00260333"/>
    <w:rsid w:val="00260666"/>
    <w:rsid w:val="00261F6C"/>
    <w:rsid w:val="00262A2A"/>
    <w:rsid w:val="00262CFC"/>
    <w:rsid w:val="0026368E"/>
    <w:rsid w:val="002648C4"/>
    <w:rsid w:val="00264F9E"/>
    <w:rsid w:val="0026740C"/>
    <w:rsid w:val="00270578"/>
    <w:rsid w:val="00271916"/>
    <w:rsid w:val="00271953"/>
    <w:rsid w:val="002736A6"/>
    <w:rsid w:val="00273A07"/>
    <w:rsid w:val="00273FD3"/>
    <w:rsid w:val="00276C61"/>
    <w:rsid w:val="0028050A"/>
    <w:rsid w:val="00280FCC"/>
    <w:rsid w:val="00283344"/>
    <w:rsid w:val="00286091"/>
    <w:rsid w:val="0028674B"/>
    <w:rsid w:val="00294C3A"/>
    <w:rsid w:val="00294FD1"/>
    <w:rsid w:val="00295D5B"/>
    <w:rsid w:val="002961D7"/>
    <w:rsid w:val="002963B6"/>
    <w:rsid w:val="00296C4F"/>
    <w:rsid w:val="0029762B"/>
    <w:rsid w:val="00297A91"/>
    <w:rsid w:val="002A008F"/>
    <w:rsid w:val="002A021B"/>
    <w:rsid w:val="002A0EC6"/>
    <w:rsid w:val="002A24EF"/>
    <w:rsid w:val="002A356B"/>
    <w:rsid w:val="002A43D2"/>
    <w:rsid w:val="002A5E9A"/>
    <w:rsid w:val="002A7B5C"/>
    <w:rsid w:val="002B1025"/>
    <w:rsid w:val="002B1ACD"/>
    <w:rsid w:val="002B1C71"/>
    <w:rsid w:val="002B1F0C"/>
    <w:rsid w:val="002B4AAD"/>
    <w:rsid w:val="002B6DAE"/>
    <w:rsid w:val="002B704A"/>
    <w:rsid w:val="002B78EA"/>
    <w:rsid w:val="002C1EBA"/>
    <w:rsid w:val="002C2064"/>
    <w:rsid w:val="002C2780"/>
    <w:rsid w:val="002C2FD5"/>
    <w:rsid w:val="002C3A7F"/>
    <w:rsid w:val="002C55A8"/>
    <w:rsid w:val="002C6697"/>
    <w:rsid w:val="002C7217"/>
    <w:rsid w:val="002C7A95"/>
    <w:rsid w:val="002D0B49"/>
    <w:rsid w:val="002D0B70"/>
    <w:rsid w:val="002D22A0"/>
    <w:rsid w:val="002D2640"/>
    <w:rsid w:val="002D372A"/>
    <w:rsid w:val="002D4E90"/>
    <w:rsid w:val="002D587E"/>
    <w:rsid w:val="002D602F"/>
    <w:rsid w:val="002D6382"/>
    <w:rsid w:val="002D6576"/>
    <w:rsid w:val="002D7335"/>
    <w:rsid w:val="002E0B68"/>
    <w:rsid w:val="002E149E"/>
    <w:rsid w:val="002E22CE"/>
    <w:rsid w:val="002E28FF"/>
    <w:rsid w:val="002E2F81"/>
    <w:rsid w:val="002E313F"/>
    <w:rsid w:val="002E34BF"/>
    <w:rsid w:val="002E47D5"/>
    <w:rsid w:val="002E58C1"/>
    <w:rsid w:val="002E77CC"/>
    <w:rsid w:val="002E7AEE"/>
    <w:rsid w:val="002F08E2"/>
    <w:rsid w:val="002F0C97"/>
    <w:rsid w:val="002F46C1"/>
    <w:rsid w:val="002F63FC"/>
    <w:rsid w:val="002F7834"/>
    <w:rsid w:val="00300506"/>
    <w:rsid w:val="00300B64"/>
    <w:rsid w:val="003028B8"/>
    <w:rsid w:val="00305102"/>
    <w:rsid w:val="00305A71"/>
    <w:rsid w:val="00305C31"/>
    <w:rsid w:val="00305E8F"/>
    <w:rsid w:val="0030615E"/>
    <w:rsid w:val="003116CA"/>
    <w:rsid w:val="0031262A"/>
    <w:rsid w:val="003129C2"/>
    <w:rsid w:val="00316744"/>
    <w:rsid w:val="00316BE0"/>
    <w:rsid w:val="003177C4"/>
    <w:rsid w:val="00317838"/>
    <w:rsid w:val="003211A5"/>
    <w:rsid w:val="003216E1"/>
    <w:rsid w:val="00321D09"/>
    <w:rsid w:val="00324364"/>
    <w:rsid w:val="00324E51"/>
    <w:rsid w:val="00326964"/>
    <w:rsid w:val="00330A43"/>
    <w:rsid w:val="00332260"/>
    <w:rsid w:val="00333D46"/>
    <w:rsid w:val="00335BB8"/>
    <w:rsid w:val="00335BE7"/>
    <w:rsid w:val="00336C1F"/>
    <w:rsid w:val="00341995"/>
    <w:rsid w:val="0034200E"/>
    <w:rsid w:val="003449E6"/>
    <w:rsid w:val="00345226"/>
    <w:rsid w:val="0034645A"/>
    <w:rsid w:val="00347FA3"/>
    <w:rsid w:val="003520E9"/>
    <w:rsid w:val="00353183"/>
    <w:rsid w:val="00353A0B"/>
    <w:rsid w:val="0035403C"/>
    <w:rsid w:val="00354F4F"/>
    <w:rsid w:val="003566F9"/>
    <w:rsid w:val="003622AB"/>
    <w:rsid w:val="00362ABC"/>
    <w:rsid w:val="00362D52"/>
    <w:rsid w:val="003640CE"/>
    <w:rsid w:val="00365C40"/>
    <w:rsid w:val="00367311"/>
    <w:rsid w:val="003676E5"/>
    <w:rsid w:val="00367976"/>
    <w:rsid w:val="00367C6A"/>
    <w:rsid w:val="00370370"/>
    <w:rsid w:val="00371BF9"/>
    <w:rsid w:val="003733BF"/>
    <w:rsid w:val="00374144"/>
    <w:rsid w:val="0037456B"/>
    <w:rsid w:val="00374B9D"/>
    <w:rsid w:val="00374FC6"/>
    <w:rsid w:val="003753CF"/>
    <w:rsid w:val="003769D0"/>
    <w:rsid w:val="003807C8"/>
    <w:rsid w:val="00382B47"/>
    <w:rsid w:val="00382CC2"/>
    <w:rsid w:val="00385CE2"/>
    <w:rsid w:val="003876CA"/>
    <w:rsid w:val="003903A6"/>
    <w:rsid w:val="00390460"/>
    <w:rsid w:val="00391A3A"/>
    <w:rsid w:val="003921F1"/>
    <w:rsid w:val="003923E5"/>
    <w:rsid w:val="0039310A"/>
    <w:rsid w:val="00393F19"/>
    <w:rsid w:val="003951F3"/>
    <w:rsid w:val="003953FA"/>
    <w:rsid w:val="00396629"/>
    <w:rsid w:val="00396A8C"/>
    <w:rsid w:val="003971F6"/>
    <w:rsid w:val="00397C06"/>
    <w:rsid w:val="003A0D77"/>
    <w:rsid w:val="003A0F52"/>
    <w:rsid w:val="003A1A9E"/>
    <w:rsid w:val="003A1BA8"/>
    <w:rsid w:val="003A1BCB"/>
    <w:rsid w:val="003A1DE8"/>
    <w:rsid w:val="003A2545"/>
    <w:rsid w:val="003A3713"/>
    <w:rsid w:val="003A3D1B"/>
    <w:rsid w:val="003A4764"/>
    <w:rsid w:val="003A7686"/>
    <w:rsid w:val="003A7B80"/>
    <w:rsid w:val="003B0411"/>
    <w:rsid w:val="003B1683"/>
    <w:rsid w:val="003B360A"/>
    <w:rsid w:val="003B3911"/>
    <w:rsid w:val="003B3BF3"/>
    <w:rsid w:val="003B5062"/>
    <w:rsid w:val="003B70D9"/>
    <w:rsid w:val="003B7B47"/>
    <w:rsid w:val="003B7FBA"/>
    <w:rsid w:val="003C0693"/>
    <w:rsid w:val="003C22A9"/>
    <w:rsid w:val="003C26DF"/>
    <w:rsid w:val="003C2E9F"/>
    <w:rsid w:val="003C2F6F"/>
    <w:rsid w:val="003C42AD"/>
    <w:rsid w:val="003C476A"/>
    <w:rsid w:val="003C56CD"/>
    <w:rsid w:val="003C7698"/>
    <w:rsid w:val="003D0810"/>
    <w:rsid w:val="003D1773"/>
    <w:rsid w:val="003D2EDA"/>
    <w:rsid w:val="003D38A5"/>
    <w:rsid w:val="003D3E2E"/>
    <w:rsid w:val="003D3F4C"/>
    <w:rsid w:val="003D5A99"/>
    <w:rsid w:val="003D5B7B"/>
    <w:rsid w:val="003E2031"/>
    <w:rsid w:val="003E2925"/>
    <w:rsid w:val="003E317D"/>
    <w:rsid w:val="003E4473"/>
    <w:rsid w:val="003E501F"/>
    <w:rsid w:val="003E564A"/>
    <w:rsid w:val="003E7157"/>
    <w:rsid w:val="003E7EAA"/>
    <w:rsid w:val="003F1259"/>
    <w:rsid w:val="003F3A9F"/>
    <w:rsid w:val="003F5CC0"/>
    <w:rsid w:val="003F63EB"/>
    <w:rsid w:val="003F6460"/>
    <w:rsid w:val="003F67BC"/>
    <w:rsid w:val="003F6BF5"/>
    <w:rsid w:val="0040072B"/>
    <w:rsid w:val="00400D27"/>
    <w:rsid w:val="00401FE3"/>
    <w:rsid w:val="004020B9"/>
    <w:rsid w:val="00403C4E"/>
    <w:rsid w:val="00404645"/>
    <w:rsid w:val="00404B15"/>
    <w:rsid w:val="0040500D"/>
    <w:rsid w:val="004064CF"/>
    <w:rsid w:val="004065C5"/>
    <w:rsid w:val="00407E3A"/>
    <w:rsid w:val="00412CC0"/>
    <w:rsid w:val="0041386F"/>
    <w:rsid w:val="004148D5"/>
    <w:rsid w:val="004158C1"/>
    <w:rsid w:val="00415DB4"/>
    <w:rsid w:val="0041680F"/>
    <w:rsid w:val="004235CC"/>
    <w:rsid w:val="0042525B"/>
    <w:rsid w:val="004253E8"/>
    <w:rsid w:val="0043027D"/>
    <w:rsid w:val="00430941"/>
    <w:rsid w:val="0043281A"/>
    <w:rsid w:val="00432976"/>
    <w:rsid w:val="00432BA1"/>
    <w:rsid w:val="0043301A"/>
    <w:rsid w:val="00433132"/>
    <w:rsid w:val="00436C7D"/>
    <w:rsid w:val="00436D20"/>
    <w:rsid w:val="00436DCC"/>
    <w:rsid w:val="00436F13"/>
    <w:rsid w:val="00441478"/>
    <w:rsid w:val="00441538"/>
    <w:rsid w:val="004422AB"/>
    <w:rsid w:val="0044346B"/>
    <w:rsid w:val="00443575"/>
    <w:rsid w:val="0044460C"/>
    <w:rsid w:val="00445508"/>
    <w:rsid w:val="004466AE"/>
    <w:rsid w:val="004468CD"/>
    <w:rsid w:val="0044734B"/>
    <w:rsid w:val="00454613"/>
    <w:rsid w:val="0045475F"/>
    <w:rsid w:val="00454775"/>
    <w:rsid w:val="00454BC0"/>
    <w:rsid w:val="00455298"/>
    <w:rsid w:val="00455FA6"/>
    <w:rsid w:val="00456E73"/>
    <w:rsid w:val="00460A93"/>
    <w:rsid w:val="00461232"/>
    <w:rsid w:val="00462918"/>
    <w:rsid w:val="0046316B"/>
    <w:rsid w:val="00470EC5"/>
    <w:rsid w:val="00471BBB"/>
    <w:rsid w:val="00472A81"/>
    <w:rsid w:val="00473D72"/>
    <w:rsid w:val="00475948"/>
    <w:rsid w:val="00475C8C"/>
    <w:rsid w:val="004761FB"/>
    <w:rsid w:val="0047667F"/>
    <w:rsid w:val="00480D92"/>
    <w:rsid w:val="00481079"/>
    <w:rsid w:val="00483924"/>
    <w:rsid w:val="00485271"/>
    <w:rsid w:val="00486B2F"/>
    <w:rsid w:val="00487321"/>
    <w:rsid w:val="004904E9"/>
    <w:rsid w:val="00490D1A"/>
    <w:rsid w:val="00491D47"/>
    <w:rsid w:val="00491D70"/>
    <w:rsid w:val="00492A04"/>
    <w:rsid w:val="00492C04"/>
    <w:rsid w:val="00495A25"/>
    <w:rsid w:val="00496B79"/>
    <w:rsid w:val="004A358F"/>
    <w:rsid w:val="004A4214"/>
    <w:rsid w:val="004A4707"/>
    <w:rsid w:val="004A4DB5"/>
    <w:rsid w:val="004A56C6"/>
    <w:rsid w:val="004A68A9"/>
    <w:rsid w:val="004A7318"/>
    <w:rsid w:val="004A7C55"/>
    <w:rsid w:val="004B1582"/>
    <w:rsid w:val="004B2394"/>
    <w:rsid w:val="004B4214"/>
    <w:rsid w:val="004B4EDB"/>
    <w:rsid w:val="004B71B4"/>
    <w:rsid w:val="004B7CA1"/>
    <w:rsid w:val="004C0613"/>
    <w:rsid w:val="004C215A"/>
    <w:rsid w:val="004C3336"/>
    <w:rsid w:val="004C4954"/>
    <w:rsid w:val="004C567F"/>
    <w:rsid w:val="004C5D59"/>
    <w:rsid w:val="004C6602"/>
    <w:rsid w:val="004D0BC4"/>
    <w:rsid w:val="004D1C40"/>
    <w:rsid w:val="004D45AB"/>
    <w:rsid w:val="004D51EE"/>
    <w:rsid w:val="004D52F2"/>
    <w:rsid w:val="004D66BC"/>
    <w:rsid w:val="004E068B"/>
    <w:rsid w:val="004E08B4"/>
    <w:rsid w:val="004E17D4"/>
    <w:rsid w:val="004E217C"/>
    <w:rsid w:val="004E21F8"/>
    <w:rsid w:val="004E2EFF"/>
    <w:rsid w:val="004E3088"/>
    <w:rsid w:val="004E3509"/>
    <w:rsid w:val="004F02D0"/>
    <w:rsid w:val="004F12F2"/>
    <w:rsid w:val="004F2F36"/>
    <w:rsid w:val="004F547F"/>
    <w:rsid w:val="004F58C6"/>
    <w:rsid w:val="004F669B"/>
    <w:rsid w:val="004F78F2"/>
    <w:rsid w:val="00503523"/>
    <w:rsid w:val="005054D9"/>
    <w:rsid w:val="0050705D"/>
    <w:rsid w:val="005070C6"/>
    <w:rsid w:val="005070CE"/>
    <w:rsid w:val="00507DC7"/>
    <w:rsid w:val="005100AD"/>
    <w:rsid w:val="0051041B"/>
    <w:rsid w:val="0051278A"/>
    <w:rsid w:val="00512D41"/>
    <w:rsid w:val="00513861"/>
    <w:rsid w:val="00514849"/>
    <w:rsid w:val="00514A29"/>
    <w:rsid w:val="00515AE1"/>
    <w:rsid w:val="005163CB"/>
    <w:rsid w:val="00516C61"/>
    <w:rsid w:val="005175ED"/>
    <w:rsid w:val="00520E16"/>
    <w:rsid w:val="005212FF"/>
    <w:rsid w:val="00522898"/>
    <w:rsid w:val="00522B48"/>
    <w:rsid w:val="005262E3"/>
    <w:rsid w:val="0053175B"/>
    <w:rsid w:val="00531DBF"/>
    <w:rsid w:val="00531FB0"/>
    <w:rsid w:val="0053386C"/>
    <w:rsid w:val="00533C56"/>
    <w:rsid w:val="00534119"/>
    <w:rsid w:val="00534495"/>
    <w:rsid w:val="00534D8F"/>
    <w:rsid w:val="00535413"/>
    <w:rsid w:val="00537675"/>
    <w:rsid w:val="00537E0F"/>
    <w:rsid w:val="005403C9"/>
    <w:rsid w:val="0054047F"/>
    <w:rsid w:val="00540F71"/>
    <w:rsid w:val="00541719"/>
    <w:rsid w:val="0054280B"/>
    <w:rsid w:val="00542C8C"/>
    <w:rsid w:val="005434FF"/>
    <w:rsid w:val="00543D76"/>
    <w:rsid w:val="00544F1E"/>
    <w:rsid w:val="0054503B"/>
    <w:rsid w:val="00545B66"/>
    <w:rsid w:val="00545DB8"/>
    <w:rsid w:val="005474A6"/>
    <w:rsid w:val="005518C9"/>
    <w:rsid w:val="00552540"/>
    <w:rsid w:val="005525D5"/>
    <w:rsid w:val="005527BC"/>
    <w:rsid w:val="00554861"/>
    <w:rsid w:val="00560968"/>
    <w:rsid w:val="00560B76"/>
    <w:rsid w:val="00560D49"/>
    <w:rsid w:val="00561422"/>
    <w:rsid w:val="005632E9"/>
    <w:rsid w:val="00566AEA"/>
    <w:rsid w:val="00566C07"/>
    <w:rsid w:val="00567FEA"/>
    <w:rsid w:val="00571743"/>
    <w:rsid w:val="00573A9F"/>
    <w:rsid w:val="00576017"/>
    <w:rsid w:val="0057684D"/>
    <w:rsid w:val="00576E4D"/>
    <w:rsid w:val="005820A2"/>
    <w:rsid w:val="00582210"/>
    <w:rsid w:val="00583BC1"/>
    <w:rsid w:val="005846F8"/>
    <w:rsid w:val="00585ABE"/>
    <w:rsid w:val="00585B64"/>
    <w:rsid w:val="0058685D"/>
    <w:rsid w:val="00586C4A"/>
    <w:rsid w:val="005900F2"/>
    <w:rsid w:val="00592E2C"/>
    <w:rsid w:val="00595921"/>
    <w:rsid w:val="00597915"/>
    <w:rsid w:val="00597B6C"/>
    <w:rsid w:val="005A0570"/>
    <w:rsid w:val="005A1115"/>
    <w:rsid w:val="005A3494"/>
    <w:rsid w:val="005A3E2C"/>
    <w:rsid w:val="005A7B4D"/>
    <w:rsid w:val="005B080E"/>
    <w:rsid w:val="005B0D3C"/>
    <w:rsid w:val="005B25EB"/>
    <w:rsid w:val="005B2A64"/>
    <w:rsid w:val="005B4767"/>
    <w:rsid w:val="005B6E5E"/>
    <w:rsid w:val="005B7746"/>
    <w:rsid w:val="005C0439"/>
    <w:rsid w:val="005C065E"/>
    <w:rsid w:val="005C1670"/>
    <w:rsid w:val="005C19C3"/>
    <w:rsid w:val="005C35C1"/>
    <w:rsid w:val="005C6001"/>
    <w:rsid w:val="005D01FB"/>
    <w:rsid w:val="005D0DCC"/>
    <w:rsid w:val="005D1F31"/>
    <w:rsid w:val="005D4848"/>
    <w:rsid w:val="005D4BB1"/>
    <w:rsid w:val="005D4F96"/>
    <w:rsid w:val="005D79C5"/>
    <w:rsid w:val="005E0E28"/>
    <w:rsid w:val="005E5819"/>
    <w:rsid w:val="005E6B77"/>
    <w:rsid w:val="005E7522"/>
    <w:rsid w:val="005F0253"/>
    <w:rsid w:val="005F09C4"/>
    <w:rsid w:val="005F1230"/>
    <w:rsid w:val="005F218F"/>
    <w:rsid w:val="005F21B7"/>
    <w:rsid w:val="005F4A88"/>
    <w:rsid w:val="005F4E0C"/>
    <w:rsid w:val="00602062"/>
    <w:rsid w:val="00604E5C"/>
    <w:rsid w:val="00605F57"/>
    <w:rsid w:val="00606BB2"/>
    <w:rsid w:val="0060734E"/>
    <w:rsid w:val="006079A4"/>
    <w:rsid w:val="00607D5B"/>
    <w:rsid w:val="00610BB4"/>
    <w:rsid w:val="00610E3A"/>
    <w:rsid w:val="00611A61"/>
    <w:rsid w:val="006137F7"/>
    <w:rsid w:val="0061396D"/>
    <w:rsid w:val="00613A5E"/>
    <w:rsid w:val="0061421D"/>
    <w:rsid w:val="00616009"/>
    <w:rsid w:val="0061678A"/>
    <w:rsid w:val="00617150"/>
    <w:rsid w:val="0061722C"/>
    <w:rsid w:val="00620FBE"/>
    <w:rsid w:val="0062110F"/>
    <w:rsid w:val="00624FCD"/>
    <w:rsid w:val="00625043"/>
    <w:rsid w:val="0062610E"/>
    <w:rsid w:val="0062761E"/>
    <w:rsid w:val="00633516"/>
    <w:rsid w:val="00633E9E"/>
    <w:rsid w:val="00636652"/>
    <w:rsid w:val="00637608"/>
    <w:rsid w:val="006404E9"/>
    <w:rsid w:val="00642E61"/>
    <w:rsid w:val="00644F89"/>
    <w:rsid w:val="00647B92"/>
    <w:rsid w:val="00647DFC"/>
    <w:rsid w:val="00647E22"/>
    <w:rsid w:val="006509EF"/>
    <w:rsid w:val="006517DC"/>
    <w:rsid w:val="00652326"/>
    <w:rsid w:val="006538A6"/>
    <w:rsid w:val="006538C1"/>
    <w:rsid w:val="00654503"/>
    <w:rsid w:val="006605F7"/>
    <w:rsid w:val="00660BC6"/>
    <w:rsid w:val="00660DD3"/>
    <w:rsid w:val="006631D7"/>
    <w:rsid w:val="006667EF"/>
    <w:rsid w:val="006672D4"/>
    <w:rsid w:val="00671A7D"/>
    <w:rsid w:val="006726F0"/>
    <w:rsid w:val="00674152"/>
    <w:rsid w:val="00675566"/>
    <w:rsid w:val="00675FC0"/>
    <w:rsid w:val="00680480"/>
    <w:rsid w:val="00682AEF"/>
    <w:rsid w:val="00683582"/>
    <w:rsid w:val="00683B96"/>
    <w:rsid w:val="00684376"/>
    <w:rsid w:val="0069082F"/>
    <w:rsid w:val="00691363"/>
    <w:rsid w:val="006938BA"/>
    <w:rsid w:val="00693DAC"/>
    <w:rsid w:val="006942F4"/>
    <w:rsid w:val="00695088"/>
    <w:rsid w:val="006952A4"/>
    <w:rsid w:val="00695CE1"/>
    <w:rsid w:val="00696B5C"/>
    <w:rsid w:val="00696E5F"/>
    <w:rsid w:val="00697883"/>
    <w:rsid w:val="006A0E86"/>
    <w:rsid w:val="006A1577"/>
    <w:rsid w:val="006A2837"/>
    <w:rsid w:val="006A3EE6"/>
    <w:rsid w:val="006A46F5"/>
    <w:rsid w:val="006A5CF7"/>
    <w:rsid w:val="006A6A5C"/>
    <w:rsid w:val="006A6D0B"/>
    <w:rsid w:val="006B1E91"/>
    <w:rsid w:val="006B4D08"/>
    <w:rsid w:val="006C0335"/>
    <w:rsid w:val="006C2301"/>
    <w:rsid w:val="006C2DA6"/>
    <w:rsid w:val="006C4AE5"/>
    <w:rsid w:val="006C54EF"/>
    <w:rsid w:val="006C5B52"/>
    <w:rsid w:val="006D0737"/>
    <w:rsid w:val="006D4759"/>
    <w:rsid w:val="006D4D97"/>
    <w:rsid w:val="006D5256"/>
    <w:rsid w:val="006D6E1C"/>
    <w:rsid w:val="006D6F86"/>
    <w:rsid w:val="006D7D92"/>
    <w:rsid w:val="006D7E54"/>
    <w:rsid w:val="006E08F9"/>
    <w:rsid w:val="006E1B1E"/>
    <w:rsid w:val="006E1C47"/>
    <w:rsid w:val="006E3263"/>
    <w:rsid w:val="006E4372"/>
    <w:rsid w:val="006E43AD"/>
    <w:rsid w:val="006E4C7F"/>
    <w:rsid w:val="006E4FEA"/>
    <w:rsid w:val="006E5A0D"/>
    <w:rsid w:val="006E6272"/>
    <w:rsid w:val="006E69A3"/>
    <w:rsid w:val="006F01B5"/>
    <w:rsid w:val="006F0739"/>
    <w:rsid w:val="006F08D5"/>
    <w:rsid w:val="006F1B82"/>
    <w:rsid w:val="006F2288"/>
    <w:rsid w:val="006F6FFF"/>
    <w:rsid w:val="007000C7"/>
    <w:rsid w:val="007014A8"/>
    <w:rsid w:val="00701654"/>
    <w:rsid w:val="00701E2C"/>
    <w:rsid w:val="00702185"/>
    <w:rsid w:val="00702840"/>
    <w:rsid w:val="0070286C"/>
    <w:rsid w:val="007039A7"/>
    <w:rsid w:val="007065D5"/>
    <w:rsid w:val="00706AF3"/>
    <w:rsid w:val="00710171"/>
    <w:rsid w:val="007101C0"/>
    <w:rsid w:val="00710866"/>
    <w:rsid w:val="00714A01"/>
    <w:rsid w:val="00715812"/>
    <w:rsid w:val="00721372"/>
    <w:rsid w:val="00724745"/>
    <w:rsid w:val="00726FE6"/>
    <w:rsid w:val="007273E7"/>
    <w:rsid w:val="00727FEE"/>
    <w:rsid w:val="0073084C"/>
    <w:rsid w:val="00732518"/>
    <w:rsid w:val="007332EC"/>
    <w:rsid w:val="00734841"/>
    <w:rsid w:val="00734F49"/>
    <w:rsid w:val="0073557E"/>
    <w:rsid w:val="00736985"/>
    <w:rsid w:val="00740811"/>
    <w:rsid w:val="00741746"/>
    <w:rsid w:val="007464FB"/>
    <w:rsid w:val="0074768F"/>
    <w:rsid w:val="0075106C"/>
    <w:rsid w:val="0075279A"/>
    <w:rsid w:val="00752B42"/>
    <w:rsid w:val="007534E2"/>
    <w:rsid w:val="00753F31"/>
    <w:rsid w:val="00753F86"/>
    <w:rsid w:val="00754075"/>
    <w:rsid w:val="00754956"/>
    <w:rsid w:val="00754C49"/>
    <w:rsid w:val="00756792"/>
    <w:rsid w:val="00760B2E"/>
    <w:rsid w:val="00760D84"/>
    <w:rsid w:val="0076332A"/>
    <w:rsid w:val="007638B9"/>
    <w:rsid w:val="00765730"/>
    <w:rsid w:val="0076578E"/>
    <w:rsid w:val="0076793C"/>
    <w:rsid w:val="0077051A"/>
    <w:rsid w:val="00770A57"/>
    <w:rsid w:val="00771D8F"/>
    <w:rsid w:val="00772B1E"/>
    <w:rsid w:val="00772D26"/>
    <w:rsid w:val="00773194"/>
    <w:rsid w:val="007749AE"/>
    <w:rsid w:val="00775106"/>
    <w:rsid w:val="00775548"/>
    <w:rsid w:val="00775DA8"/>
    <w:rsid w:val="00776958"/>
    <w:rsid w:val="00776DE6"/>
    <w:rsid w:val="00777DEA"/>
    <w:rsid w:val="007814F0"/>
    <w:rsid w:val="00784CDF"/>
    <w:rsid w:val="00785763"/>
    <w:rsid w:val="00785FD4"/>
    <w:rsid w:val="00790AA0"/>
    <w:rsid w:val="00791053"/>
    <w:rsid w:val="007910D2"/>
    <w:rsid w:val="00793AA4"/>
    <w:rsid w:val="007940FC"/>
    <w:rsid w:val="007953B0"/>
    <w:rsid w:val="00795832"/>
    <w:rsid w:val="00795CED"/>
    <w:rsid w:val="00796250"/>
    <w:rsid w:val="0079638B"/>
    <w:rsid w:val="00797A9F"/>
    <w:rsid w:val="00797CD9"/>
    <w:rsid w:val="007A0538"/>
    <w:rsid w:val="007A06F4"/>
    <w:rsid w:val="007A304A"/>
    <w:rsid w:val="007A4330"/>
    <w:rsid w:val="007A565D"/>
    <w:rsid w:val="007A5CE4"/>
    <w:rsid w:val="007A5E80"/>
    <w:rsid w:val="007A7C7F"/>
    <w:rsid w:val="007B0195"/>
    <w:rsid w:val="007B0335"/>
    <w:rsid w:val="007B1C68"/>
    <w:rsid w:val="007B1C96"/>
    <w:rsid w:val="007B2550"/>
    <w:rsid w:val="007B2BD9"/>
    <w:rsid w:val="007B386F"/>
    <w:rsid w:val="007B4CE6"/>
    <w:rsid w:val="007B5498"/>
    <w:rsid w:val="007B746B"/>
    <w:rsid w:val="007B7566"/>
    <w:rsid w:val="007C14DB"/>
    <w:rsid w:val="007C15BB"/>
    <w:rsid w:val="007C2677"/>
    <w:rsid w:val="007C26FC"/>
    <w:rsid w:val="007C44D0"/>
    <w:rsid w:val="007C5155"/>
    <w:rsid w:val="007C5CEB"/>
    <w:rsid w:val="007C6D8A"/>
    <w:rsid w:val="007C704C"/>
    <w:rsid w:val="007C7968"/>
    <w:rsid w:val="007D0D13"/>
    <w:rsid w:val="007D237C"/>
    <w:rsid w:val="007D34F6"/>
    <w:rsid w:val="007D418B"/>
    <w:rsid w:val="007D756C"/>
    <w:rsid w:val="007D763F"/>
    <w:rsid w:val="007D7DBF"/>
    <w:rsid w:val="007E11FF"/>
    <w:rsid w:val="007E4218"/>
    <w:rsid w:val="007E439E"/>
    <w:rsid w:val="007E5266"/>
    <w:rsid w:val="007E5278"/>
    <w:rsid w:val="007F2784"/>
    <w:rsid w:val="007F2CF4"/>
    <w:rsid w:val="007F3195"/>
    <w:rsid w:val="007F3A24"/>
    <w:rsid w:val="007F3CA5"/>
    <w:rsid w:val="007F3D2D"/>
    <w:rsid w:val="007F403C"/>
    <w:rsid w:val="007F5DF1"/>
    <w:rsid w:val="007F60E3"/>
    <w:rsid w:val="007F6CFE"/>
    <w:rsid w:val="00802FAD"/>
    <w:rsid w:val="00805D6C"/>
    <w:rsid w:val="008064E8"/>
    <w:rsid w:val="008073BD"/>
    <w:rsid w:val="008078C5"/>
    <w:rsid w:val="00807E25"/>
    <w:rsid w:val="00811912"/>
    <w:rsid w:val="00812016"/>
    <w:rsid w:val="00814337"/>
    <w:rsid w:val="0081504D"/>
    <w:rsid w:val="008168D3"/>
    <w:rsid w:val="0081717C"/>
    <w:rsid w:val="008171A1"/>
    <w:rsid w:val="00817202"/>
    <w:rsid w:val="008179D5"/>
    <w:rsid w:val="0082033A"/>
    <w:rsid w:val="0082323D"/>
    <w:rsid w:val="00823D99"/>
    <w:rsid w:val="00823E10"/>
    <w:rsid w:val="00824268"/>
    <w:rsid w:val="008256FC"/>
    <w:rsid w:val="00826C76"/>
    <w:rsid w:val="00827A53"/>
    <w:rsid w:val="008300E7"/>
    <w:rsid w:val="00830204"/>
    <w:rsid w:val="00830F96"/>
    <w:rsid w:val="008319F1"/>
    <w:rsid w:val="00832B00"/>
    <w:rsid w:val="0083415B"/>
    <w:rsid w:val="00834726"/>
    <w:rsid w:val="00834F14"/>
    <w:rsid w:val="008364D5"/>
    <w:rsid w:val="00836AAC"/>
    <w:rsid w:val="00837033"/>
    <w:rsid w:val="008403EC"/>
    <w:rsid w:val="00842391"/>
    <w:rsid w:val="00844530"/>
    <w:rsid w:val="00846CCC"/>
    <w:rsid w:val="00850A96"/>
    <w:rsid w:val="00851529"/>
    <w:rsid w:val="00852956"/>
    <w:rsid w:val="0085609B"/>
    <w:rsid w:val="008579C5"/>
    <w:rsid w:val="0086022E"/>
    <w:rsid w:val="0086138E"/>
    <w:rsid w:val="0086345E"/>
    <w:rsid w:val="00865529"/>
    <w:rsid w:val="00865FF1"/>
    <w:rsid w:val="00871618"/>
    <w:rsid w:val="00871DA1"/>
    <w:rsid w:val="008723F6"/>
    <w:rsid w:val="00875CA9"/>
    <w:rsid w:val="00875DE8"/>
    <w:rsid w:val="00880836"/>
    <w:rsid w:val="00882BF0"/>
    <w:rsid w:val="00883926"/>
    <w:rsid w:val="008842CF"/>
    <w:rsid w:val="00884660"/>
    <w:rsid w:val="00885319"/>
    <w:rsid w:val="00886ECB"/>
    <w:rsid w:val="00887C17"/>
    <w:rsid w:val="008932AB"/>
    <w:rsid w:val="008955F6"/>
    <w:rsid w:val="00895898"/>
    <w:rsid w:val="008959D8"/>
    <w:rsid w:val="0089656A"/>
    <w:rsid w:val="008972F4"/>
    <w:rsid w:val="00897B5B"/>
    <w:rsid w:val="008A1763"/>
    <w:rsid w:val="008A240A"/>
    <w:rsid w:val="008A429A"/>
    <w:rsid w:val="008B24CB"/>
    <w:rsid w:val="008B2FDC"/>
    <w:rsid w:val="008B372F"/>
    <w:rsid w:val="008B3F0C"/>
    <w:rsid w:val="008B5715"/>
    <w:rsid w:val="008B7170"/>
    <w:rsid w:val="008B7521"/>
    <w:rsid w:val="008B7600"/>
    <w:rsid w:val="008C07B5"/>
    <w:rsid w:val="008C699E"/>
    <w:rsid w:val="008C6A84"/>
    <w:rsid w:val="008C7EB9"/>
    <w:rsid w:val="008D1FD6"/>
    <w:rsid w:val="008D20AB"/>
    <w:rsid w:val="008D2823"/>
    <w:rsid w:val="008D29DD"/>
    <w:rsid w:val="008D4DED"/>
    <w:rsid w:val="008D6539"/>
    <w:rsid w:val="008D6EAF"/>
    <w:rsid w:val="008D7384"/>
    <w:rsid w:val="008E0757"/>
    <w:rsid w:val="008E1319"/>
    <w:rsid w:val="008E20FE"/>
    <w:rsid w:val="008E2209"/>
    <w:rsid w:val="008E29C6"/>
    <w:rsid w:val="008E33E6"/>
    <w:rsid w:val="008E483A"/>
    <w:rsid w:val="008E5414"/>
    <w:rsid w:val="008E6313"/>
    <w:rsid w:val="008F28A6"/>
    <w:rsid w:val="008F465D"/>
    <w:rsid w:val="008F4BA5"/>
    <w:rsid w:val="008F6304"/>
    <w:rsid w:val="009006B2"/>
    <w:rsid w:val="009006BA"/>
    <w:rsid w:val="009008B9"/>
    <w:rsid w:val="00900D0A"/>
    <w:rsid w:val="009010F0"/>
    <w:rsid w:val="00902944"/>
    <w:rsid w:val="00902DFD"/>
    <w:rsid w:val="00903673"/>
    <w:rsid w:val="0091009F"/>
    <w:rsid w:val="00910FCA"/>
    <w:rsid w:val="009126F2"/>
    <w:rsid w:val="009134F4"/>
    <w:rsid w:val="00914486"/>
    <w:rsid w:val="00921D13"/>
    <w:rsid w:val="00923486"/>
    <w:rsid w:val="00925D65"/>
    <w:rsid w:val="00925E01"/>
    <w:rsid w:val="0092705B"/>
    <w:rsid w:val="00927C3C"/>
    <w:rsid w:val="00933C39"/>
    <w:rsid w:val="00933D32"/>
    <w:rsid w:val="00933DCC"/>
    <w:rsid w:val="00934FEE"/>
    <w:rsid w:val="00940035"/>
    <w:rsid w:val="0094004A"/>
    <w:rsid w:val="00942273"/>
    <w:rsid w:val="00942AB1"/>
    <w:rsid w:val="009433F0"/>
    <w:rsid w:val="009439BB"/>
    <w:rsid w:val="00943C32"/>
    <w:rsid w:val="00946142"/>
    <w:rsid w:val="0094694B"/>
    <w:rsid w:val="009478A9"/>
    <w:rsid w:val="00947CFF"/>
    <w:rsid w:val="009502FE"/>
    <w:rsid w:val="0095048D"/>
    <w:rsid w:val="00951438"/>
    <w:rsid w:val="009531CE"/>
    <w:rsid w:val="00953938"/>
    <w:rsid w:val="00954822"/>
    <w:rsid w:val="00954CB9"/>
    <w:rsid w:val="00954D4F"/>
    <w:rsid w:val="009550A8"/>
    <w:rsid w:val="00956D0C"/>
    <w:rsid w:val="009574D7"/>
    <w:rsid w:val="0096077B"/>
    <w:rsid w:val="00962ED0"/>
    <w:rsid w:val="00962F3E"/>
    <w:rsid w:val="00963CB4"/>
    <w:rsid w:val="00963D84"/>
    <w:rsid w:val="00967E46"/>
    <w:rsid w:val="00970C05"/>
    <w:rsid w:val="009715B5"/>
    <w:rsid w:val="009719AE"/>
    <w:rsid w:val="00971CFA"/>
    <w:rsid w:val="00971D81"/>
    <w:rsid w:val="00972623"/>
    <w:rsid w:val="009739A8"/>
    <w:rsid w:val="00976E87"/>
    <w:rsid w:val="0098095A"/>
    <w:rsid w:val="00980C71"/>
    <w:rsid w:val="009831FB"/>
    <w:rsid w:val="00983FD0"/>
    <w:rsid w:val="00985197"/>
    <w:rsid w:val="00986A9C"/>
    <w:rsid w:val="00994A3D"/>
    <w:rsid w:val="00994CA1"/>
    <w:rsid w:val="00995652"/>
    <w:rsid w:val="00997E80"/>
    <w:rsid w:val="009A11DC"/>
    <w:rsid w:val="009A3723"/>
    <w:rsid w:val="009A550D"/>
    <w:rsid w:val="009A5855"/>
    <w:rsid w:val="009A6B70"/>
    <w:rsid w:val="009B0152"/>
    <w:rsid w:val="009B045F"/>
    <w:rsid w:val="009B06D3"/>
    <w:rsid w:val="009B095E"/>
    <w:rsid w:val="009B352E"/>
    <w:rsid w:val="009B5BA1"/>
    <w:rsid w:val="009B61EF"/>
    <w:rsid w:val="009B6B49"/>
    <w:rsid w:val="009B715C"/>
    <w:rsid w:val="009C15C5"/>
    <w:rsid w:val="009C195B"/>
    <w:rsid w:val="009C59E3"/>
    <w:rsid w:val="009C6D7D"/>
    <w:rsid w:val="009D0061"/>
    <w:rsid w:val="009D1827"/>
    <w:rsid w:val="009D3132"/>
    <w:rsid w:val="009D4580"/>
    <w:rsid w:val="009D5A6E"/>
    <w:rsid w:val="009D72DD"/>
    <w:rsid w:val="009D7D3D"/>
    <w:rsid w:val="009D7F21"/>
    <w:rsid w:val="009E0A3D"/>
    <w:rsid w:val="009E21C8"/>
    <w:rsid w:val="009E2BC2"/>
    <w:rsid w:val="009E2F30"/>
    <w:rsid w:val="009E380B"/>
    <w:rsid w:val="009E42AC"/>
    <w:rsid w:val="009E48D3"/>
    <w:rsid w:val="009E4A3B"/>
    <w:rsid w:val="009E5B56"/>
    <w:rsid w:val="009E5FBD"/>
    <w:rsid w:val="009F1018"/>
    <w:rsid w:val="009F1621"/>
    <w:rsid w:val="009F3E60"/>
    <w:rsid w:val="009F64D6"/>
    <w:rsid w:val="009F77DF"/>
    <w:rsid w:val="009F784A"/>
    <w:rsid w:val="00A010F6"/>
    <w:rsid w:val="00A043DD"/>
    <w:rsid w:val="00A04DFA"/>
    <w:rsid w:val="00A04E7C"/>
    <w:rsid w:val="00A05873"/>
    <w:rsid w:val="00A05EC9"/>
    <w:rsid w:val="00A06BF7"/>
    <w:rsid w:val="00A076EB"/>
    <w:rsid w:val="00A102C5"/>
    <w:rsid w:val="00A11486"/>
    <w:rsid w:val="00A13709"/>
    <w:rsid w:val="00A13832"/>
    <w:rsid w:val="00A1434E"/>
    <w:rsid w:val="00A146FE"/>
    <w:rsid w:val="00A1614D"/>
    <w:rsid w:val="00A17360"/>
    <w:rsid w:val="00A17841"/>
    <w:rsid w:val="00A20A16"/>
    <w:rsid w:val="00A233DB"/>
    <w:rsid w:val="00A25688"/>
    <w:rsid w:val="00A25E66"/>
    <w:rsid w:val="00A2700F"/>
    <w:rsid w:val="00A27787"/>
    <w:rsid w:val="00A27896"/>
    <w:rsid w:val="00A3053B"/>
    <w:rsid w:val="00A31BCB"/>
    <w:rsid w:val="00A329E1"/>
    <w:rsid w:val="00A35C32"/>
    <w:rsid w:val="00A408A4"/>
    <w:rsid w:val="00A40BA8"/>
    <w:rsid w:val="00A4139E"/>
    <w:rsid w:val="00A4333B"/>
    <w:rsid w:val="00A44A58"/>
    <w:rsid w:val="00A470D7"/>
    <w:rsid w:val="00A472F8"/>
    <w:rsid w:val="00A50A35"/>
    <w:rsid w:val="00A51673"/>
    <w:rsid w:val="00A536B5"/>
    <w:rsid w:val="00A56702"/>
    <w:rsid w:val="00A570AA"/>
    <w:rsid w:val="00A57D26"/>
    <w:rsid w:val="00A60E5A"/>
    <w:rsid w:val="00A6143E"/>
    <w:rsid w:val="00A63274"/>
    <w:rsid w:val="00A637B9"/>
    <w:rsid w:val="00A63C23"/>
    <w:rsid w:val="00A64185"/>
    <w:rsid w:val="00A662D1"/>
    <w:rsid w:val="00A669CA"/>
    <w:rsid w:val="00A67728"/>
    <w:rsid w:val="00A67A11"/>
    <w:rsid w:val="00A70713"/>
    <w:rsid w:val="00A71821"/>
    <w:rsid w:val="00A71FC4"/>
    <w:rsid w:val="00A723A4"/>
    <w:rsid w:val="00A72BD8"/>
    <w:rsid w:val="00A72C81"/>
    <w:rsid w:val="00A73F0C"/>
    <w:rsid w:val="00A767DB"/>
    <w:rsid w:val="00A810C0"/>
    <w:rsid w:val="00A81F64"/>
    <w:rsid w:val="00A83759"/>
    <w:rsid w:val="00A8538C"/>
    <w:rsid w:val="00A85869"/>
    <w:rsid w:val="00A8690A"/>
    <w:rsid w:val="00A87494"/>
    <w:rsid w:val="00A87806"/>
    <w:rsid w:val="00A9188C"/>
    <w:rsid w:val="00A92B09"/>
    <w:rsid w:val="00A92DF0"/>
    <w:rsid w:val="00A93767"/>
    <w:rsid w:val="00A93BA5"/>
    <w:rsid w:val="00A96BDC"/>
    <w:rsid w:val="00A97966"/>
    <w:rsid w:val="00A97984"/>
    <w:rsid w:val="00AA05DA"/>
    <w:rsid w:val="00AA121F"/>
    <w:rsid w:val="00AA15B6"/>
    <w:rsid w:val="00AA1DB1"/>
    <w:rsid w:val="00AA1EEA"/>
    <w:rsid w:val="00AA435B"/>
    <w:rsid w:val="00AA5D8F"/>
    <w:rsid w:val="00AA5E17"/>
    <w:rsid w:val="00AA7518"/>
    <w:rsid w:val="00AB33A3"/>
    <w:rsid w:val="00AB3EE0"/>
    <w:rsid w:val="00AB4BCB"/>
    <w:rsid w:val="00AB4D7F"/>
    <w:rsid w:val="00AB4DC3"/>
    <w:rsid w:val="00AB5511"/>
    <w:rsid w:val="00AB6C78"/>
    <w:rsid w:val="00AB740F"/>
    <w:rsid w:val="00AB7CE8"/>
    <w:rsid w:val="00AC0499"/>
    <w:rsid w:val="00AC1EEA"/>
    <w:rsid w:val="00AC3AF8"/>
    <w:rsid w:val="00AC4039"/>
    <w:rsid w:val="00AC784E"/>
    <w:rsid w:val="00AD0331"/>
    <w:rsid w:val="00AD0512"/>
    <w:rsid w:val="00AD0E08"/>
    <w:rsid w:val="00AD12F1"/>
    <w:rsid w:val="00AD2106"/>
    <w:rsid w:val="00AD2E66"/>
    <w:rsid w:val="00AD3D3C"/>
    <w:rsid w:val="00AD4AA0"/>
    <w:rsid w:val="00AD59E6"/>
    <w:rsid w:val="00AE05B1"/>
    <w:rsid w:val="00AE0978"/>
    <w:rsid w:val="00AE2468"/>
    <w:rsid w:val="00AE3920"/>
    <w:rsid w:val="00AE4D82"/>
    <w:rsid w:val="00AE5572"/>
    <w:rsid w:val="00AE55F6"/>
    <w:rsid w:val="00AE6431"/>
    <w:rsid w:val="00AF0AE7"/>
    <w:rsid w:val="00AF0BC2"/>
    <w:rsid w:val="00AF2104"/>
    <w:rsid w:val="00AF26B8"/>
    <w:rsid w:val="00AF2C17"/>
    <w:rsid w:val="00AF3423"/>
    <w:rsid w:val="00AF4409"/>
    <w:rsid w:val="00AF5763"/>
    <w:rsid w:val="00AF65B0"/>
    <w:rsid w:val="00AF77C6"/>
    <w:rsid w:val="00AF79B0"/>
    <w:rsid w:val="00B0006D"/>
    <w:rsid w:val="00B0030E"/>
    <w:rsid w:val="00B020B6"/>
    <w:rsid w:val="00B039CE"/>
    <w:rsid w:val="00B0464A"/>
    <w:rsid w:val="00B050BB"/>
    <w:rsid w:val="00B05319"/>
    <w:rsid w:val="00B05D73"/>
    <w:rsid w:val="00B05F8F"/>
    <w:rsid w:val="00B064DD"/>
    <w:rsid w:val="00B06B20"/>
    <w:rsid w:val="00B10669"/>
    <w:rsid w:val="00B11272"/>
    <w:rsid w:val="00B146B5"/>
    <w:rsid w:val="00B17899"/>
    <w:rsid w:val="00B17D6F"/>
    <w:rsid w:val="00B22882"/>
    <w:rsid w:val="00B23C11"/>
    <w:rsid w:val="00B25264"/>
    <w:rsid w:val="00B25762"/>
    <w:rsid w:val="00B25CD9"/>
    <w:rsid w:val="00B269C0"/>
    <w:rsid w:val="00B32C7A"/>
    <w:rsid w:val="00B3350B"/>
    <w:rsid w:val="00B337A8"/>
    <w:rsid w:val="00B33CE8"/>
    <w:rsid w:val="00B367D3"/>
    <w:rsid w:val="00B41322"/>
    <w:rsid w:val="00B41EC6"/>
    <w:rsid w:val="00B41F40"/>
    <w:rsid w:val="00B42887"/>
    <w:rsid w:val="00B45B40"/>
    <w:rsid w:val="00B47319"/>
    <w:rsid w:val="00B4749F"/>
    <w:rsid w:val="00B47619"/>
    <w:rsid w:val="00B47F90"/>
    <w:rsid w:val="00B52385"/>
    <w:rsid w:val="00B52572"/>
    <w:rsid w:val="00B52F4C"/>
    <w:rsid w:val="00B558DF"/>
    <w:rsid w:val="00B60544"/>
    <w:rsid w:val="00B60860"/>
    <w:rsid w:val="00B61ED5"/>
    <w:rsid w:val="00B62CFA"/>
    <w:rsid w:val="00B667F6"/>
    <w:rsid w:val="00B6736B"/>
    <w:rsid w:val="00B67A0A"/>
    <w:rsid w:val="00B704B7"/>
    <w:rsid w:val="00B70E10"/>
    <w:rsid w:val="00B7215B"/>
    <w:rsid w:val="00B726A5"/>
    <w:rsid w:val="00B73C29"/>
    <w:rsid w:val="00B74DCD"/>
    <w:rsid w:val="00B751D4"/>
    <w:rsid w:val="00B7618D"/>
    <w:rsid w:val="00B7663D"/>
    <w:rsid w:val="00B76ECE"/>
    <w:rsid w:val="00B80CDC"/>
    <w:rsid w:val="00B8133F"/>
    <w:rsid w:val="00B816CF"/>
    <w:rsid w:val="00B832E2"/>
    <w:rsid w:val="00B83AB7"/>
    <w:rsid w:val="00B87BF1"/>
    <w:rsid w:val="00B87E3C"/>
    <w:rsid w:val="00B90721"/>
    <w:rsid w:val="00B90D0E"/>
    <w:rsid w:val="00B926C4"/>
    <w:rsid w:val="00B956B9"/>
    <w:rsid w:val="00B956DA"/>
    <w:rsid w:val="00B9631B"/>
    <w:rsid w:val="00B97588"/>
    <w:rsid w:val="00BA0203"/>
    <w:rsid w:val="00BA0925"/>
    <w:rsid w:val="00BA0AD2"/>
    <w:rsid w:val="00BA25DE"/>
    <w:rsid w:val="00BA3914"/>
    <w:rsid w:val="00BA490F"/>
    <w:rsid w:val="00BA591A"/>
    <w:rsid w:val="00BA5D80"/>
    <w:rsid w:val="00BA6302"/>
    <w:rsid w:val="00BA680E"/>
    <w:rsid w:val="00BA6D28"/>
    <w:rsid w:val="00BA72D3"/>
    <w:rsid w:val="00BB0A64"/>
    <w:rsid w:val="00BB1BDD"/>
    <w:rsid w:val="00BB2F24"/>
    <w:rsid w:val="00BB3466"/>
    <w:rsid w:val="00BB40B9"/>
    <w:rsid w:val="00BB4DAF"/>
    <w:rsid w:val="00BB64D3"/>
    <w:rsid w:val="00BB6905"/>
    <w:rsid w:val="00BB7858"/>
    <w:rsid w:val="00BC0955"/>
    <w:rsid w:val="00BC1265"/>
    <w:rsid w:val="00BC18DC"/>
    <w:rsid w:val="00BC19DF"/>
    <w:rsid w:val="00BC247F"/>
    <w:rsid w:val="00BC28F1"/>
    <w:rsid w:val="00BC4A3E"/>
    <w:rsid w:val="00BC4D03"/>
    <w:rsid w:val="00BC5DDE"/>
    <w:rsid w:val="00BC7571"/>
    <w:rsid w:val="00BD0B3E"/>
    <w:rsid w:val="00BD192B"/>
    <w:rsid w:val="00BD1F8E"/>
    <w:rsid w:val="00BD5298"/>
    <w:rsid w:val="00BD7969"/>
    <w:rsid w:val="00BD7A98"/>
    <w:rsid w:val="00BE00BA"/>
    <w:rsid w:val="00BE032F"/>
    <w:rsid w:val="00BE06F5"/>
    <w:rsid w:val="00BE1A48"/>
    <w:rsid w:val="00BE2682"/>
    <w:rsid w:val="00BE58C5"/>
    <w:rsid w:val="00BE5B41"/>
    <w:rsid w:val="00BE6386"/>
    <w:rsid w:val="00BE67A2"/>
    <w:rsid w:val="00BF17E7"/>
    <w:rsid w:val="00BF27F9"/>
    <w:rsid w:val="00BF388A"/>
    <w:rsid w:val="00BF563C"/>
    <w:rsid w:val="00BF64DD"/>
    <w:rsid w:val="00C00D4F"/>
    <w:rsid w:val="00C016AB"/>
    <w:rsid w:val="00C02143"/>
    <w:rsid w:val="00C024CA"/>
    <w:rsid w:val="00C03FDF"/>
    <w:rsid w:val="00C04A66"/>
    <w:rsid w:val="00C061C3"/>
    <w:rsid w:val="00C062C0"/>
    <w:rsid w:val="00C0696E"/>
    <w:rsid w:val="00C10B47"/>
    <w:rsid w:val="00C119B1"/>
    <w:rsid w:val="00C1252D"/>
    <w:rsid w:val="00C203B5"/>
    <w:rsid w:val="00C209E1"/>
    <w:rsid w:val="00C20F8C"/>
    <w:rsid w:val="00C217AA"/>
    <w:rsid w:val="00C227AD"/>
    <w:rsid w:val="00C235D3"/>
    <w:rsid w:val="00C239DF"/>
    <w:rsid w:val="00C23DA9"/>
    <w:rsid w:val="00C261BD"/>
    <w:rsid w:val="00C34101"/>
    <w:rsid w:val="00C34A1A"/>
    <w:rsid w:val="00C350BA"/>
    <w:rsid w:val="00C35DD5"/>
    <w:rsid w:val="00C37C6F"/>
    <w:rsid w:val="00C37F4C"/>
    <w:rsid w:val="00C42640"/>
    <w:rsid w:val="00C43F0A"/>
    <w:rsid w:val="00C44532"/>
    <w:rsid w:val="00C44D65"/>
    <w:rsid w:val="00C4598E"/>
    <w:rsid w:val="00C509B2"/>
    <w:rsid w:val="00C51C94"/>
    <w:rsid w:val="00C547CD"/>
    <w:rsid w:val="00C56A81"/>
    <w:rsid w:val="00C57C89"/>
    <w:rsid w:val="00C60F0B"/>
    <w:rsid w:val="00C6147C"/>
    <w:rsid w:val="00C6196B"/>
    <w:rsid w:val="00C6331F"/>
    <w:rsid w:val="00C63DDA"/>
    <w:rsid w:val="00C64E26"/>
    <w:rsid w:val="00C70F20"/>
    <w:rsid w:val="00C72407"/>
    <w:rsid w:val="00C72A13"/>
    <w:rsid w:val="00C76410"/>
    <w:rsid w:val="00C769F8"/>
    <w:rsid w:val="00C76DFC"/>
    <w:rsid w:val="00C80C5B"/>
    <w:rsid w:val="00C80D08"/>
    <w:rsid w:val="00C813CC"/>
    <w:rsid w:val="00C82356"/>
    <w:rsid w:val="00C838B0"/>
    <w:rsid w:val="00C83ED7"/>
    <w:rsid w:val="00C85A66"/>
    <w:rsid w:val="00C86BA8"/>
    <w:rsid w:val="00C874F3"/>
    <w:rsid w:val="00C90144"/>
    <w:rsid w:val="00C927A7"/>
    <w:rsid w:val="00C94381"/>
    <w:rsid w:val="00C97883"/>
    <w:rsid w:val="00C97995"/>
    <w:rsid w:val="00CA0A8D"/>
    <w:rsid w:val="00CA1933"/>
    <w:rsid w:val="00CA1F4C"/>
    <w:rsid w:val="00CA2EAA"/>
    <w:rsid w:val="00CA3FE7"/>
    <w:rsid w:val="00CA4493"/>
    <w:rsid w:val="00CA4B93"/>
    <w:rsid w:val="00CA60E6"/>
    <w:rsid w:val="00CA75FB"/>
    <w:rsid w:val="00CB0390"/>
    <w:rsid w:val="00CB0A3F"/>
    <w:rsid w:val="00CB0BF5"/>
    <w:rsid w:val="00CB2532"/>
    <w:rsid w:val="00CB29B5"/>
    <w:rsid w:val="00CB2D07"/>
    <w:rsid w:val="00CB506D"/>
    <w:rsid w:val="00CB528A"/>
    <w:rsid w:val="00CB6559"/>
    <w:rsid w:val="00CC0A8D"/>
    <w:rsid w:val="00CC1D28"/>
    <w:rsid w:val="00CC1D53"/>
    <w:rsid w:val="00CC25B1"/>
    <w:rsid w:val="00CC3144"/>
    <w:rsid w:val="00CC36F8"/>
    <w:rsid w:val="00CC615E"/>
    <w:rsid w:val="00CC61DC"/>
    <w:rsid w:val="00CC659F"/>
    <w:rsid w:val="00CC7745"/>
    <w:rsid w:val="00CD12C3"/>
    <w:rsid w:val="00CD1F3F"/>
    <w:rsid w:val="00CD2F5C"/>
    <w:rsid w:val="00CD312B"/>
    <w:rsid w:val="00CD327F"/>
    <w:rsid w:val="00CD39B4"/>
    <w:rsid w:val="00CD5A49"/>
    <w:rsid w:val="00CD6724"/>
    <w:rsid w:val="00CE0AD8"/>
    <w:rsid w:val="00CE261C"/>
    <w:rsid w:val="00CE2D24"/>
    <w:rsid w:val="00CE2ED1"/>
    <w:rsid w:val="00CE3C10"/>
    <w:rsid w:val="00CE4046"/>
    <w:rsid w:val="00CE70AD"/>
    <w:rsid w:val="00CF012D"/>
    <w:rsid w:val="00CF2643"/>
    <w:rsid w:val="00CF3A30"/>
    <w:rsid w:val="00CF3BA8"/>
    <w:rsid w:val="00CF6CD4"/>
    <w:rsid w:val="00D0060A"/>
    <w:rsid w:val="00D00ADD"/>
    <w:rsid w:val="00D030B4"/>
    <w:rsid w:val="00D03AC0"/>
    <w:rsid w:val="00D04242"/>
    <w:rsid w:val="00D04AF6"/>
    <w:rsid w:val="00D04FC9"/>
    <w:rsid w:val="00D07E35"/>
    <w:rsid w:val="00D102CD"/>
    <w:rsid w:val="00D1033F"/>
    <w:rsid w:val="00D10750"/>
    <w:rsid w:val="00D129EC"/>
    <w:rsid w:val="00D12E80"/>
    <w:rsid w:val="00D1531F"/>
    <w:rsid w:val="00D17C93"/>
    <w:rsid w:val="00D200ED"/>
    <w:rsid w:val="00D22A3A"/>
    <w:rsid w:val="00D23208"/>
    <w:rsid w:val="00D23432"/>
    <w:rsid w:val="00D237F4"/>
    <w:rsid w:val="00D249CB"/>
    <w:rsid w:val="00D25BB2"/>
    <w:rsid w:val="00D26CA7"/>
    <w:rsid w:val="00D275D1"/>
    <w:rsid w:val="00D301CB"/>
    <w:rsid w:val="00D3079C"/>
    <w:rsid w:val="00D311DB"/>
    <w:rsid w:val="00D34346"/>
    <w:rsid w:val="00D36A3B"/>
    <w:rsid w:val="00D373AB"/>
    <w:rsid w:val="00D3796B"/>
    <w:rsid w:val="00D37A63"/>
    <w:rsid w:val="00D405E9"/>
    <w:rsid w:val="00D41AF9"/>
    <w:rsid w:val="00D41E22"/>
    <w:rsid w:val="00D42EE6"/>
    <w:rsid w:val="00D433B9"/>
    <w:rsid w:val="00D4364F"/>
    <w:rsid w:val="00D438F0"/>
    <w:rsid w:val="00D45A5D"/>
    <w:rsid w:val="00D464E4"/>
    <w:rsid w:val="00D50119"/>
    <w:rsid w:val="00D51281"/>
    <w:rsid w:val="00D5179B"/>
    <w:rsid w:val="00D52125"/>
    <w:rsid w:val="00D531BD"/>
    <w:rsid w:val="00D5463E"/>
    <w:rsid w:val="00D54720"/>
    <w:rsid w:val="00D547FB"/>
    <w:rsid w:val="00D54A93"/>
    <w:rsid w:val="00D54CCB"/>
    <w:rsid w:val="00D54DA7"/>
    <w:rsid w:val="00D551BB"/>
    <w:rsid w:val="00D55E0B"/>
    <w:rsid w:val="00D56343"/>
    <w:rsid w:val="00D57607"/>
    <w:rsid w:val="00D57A5C"/>
    <w:rsid w:val="00D610BC"/>
    <w:rsid w:val="00D633FA"/>
    <w:rsid w:val="00D635EA"/>
    <w:rsid w:val="00D63B58"/>
    <w:rsid w:val="00D63C6B"/>
    <w:rsid w:val="00D63E33"/>
    <w:rsid w:val="00D64745"/>
    <w:rsid w:val="00D647D4"/>
    <w:rsid w:val="00D70F89"/>
    <w:rsid w:val="00D740F5"/>
    <w:rsid w:val="00D741A1"/>
    <w:rsid w:val="00D747BB"/>
    <w:rsid w:val="00D768CA"/>
    <w:rsid w:val="00D83052"/>
    <w:rsid w:val="00D8401B"/>
    <w:rsid w:val="00D85C78"/>
    <w:rsid w:val="00D86946"/>
    <w:rsid w:val="00D872C4"/>
    <w:rsid w:val="00D90EC5"/>
    <w:rsid w:val="00D91403"/>
    <w:rsid w:val="00D95769"/>
    <w:rsid w:val="00D9641A"/>
    <w:rsid w:val="00DA0225"/>
    <w:rsid w:val="00DA0A3A"/>
    <w:rsid w:val="00DA3DA1"/>
    <w:rsid w:val="00DA49FA"/>
    <w:rsid w:val="00DA4E70"/>
    <w:rsid w:val="00DA5F0D"/>
    <w:rsid w:val="00DB168D"/>
    <w:rsid w:val="00DB16A3"/>
    <w:rsid w:val="00DB1D39"/>
    <w:rsid w:val="00DB5A75"/>
    <w:rsid w:val="00DB65CE"/>
    <w:rsid w:val="00DB65DD"/>
    <w:rsid w:val="00DB703D"/>
    <w:rsid w:val="00DB7F64"/>
    <w:rsid w:val="00DC11F2"/>
    <w:rsid w:val="00DC225E"/>
    <w:rsid w:val="00DC2A08"/>
    <w:rsid w:val="00DC3140"/>
    <w:rsid w:val="00DD18FE"/>
    <w:rsid w:val="00DD1BE6"/>
    <w:rsid w:val="00DD2147"/>
    <w:rsid w:val="00DD2190"/>
    <w:rsid w:val="00DD4080"/>
    <w:rsid w:val="00DD4B84"/>
    <w:rsid w:val="00DD5244"/>
    <w:rsid w:val="00DD549F"/>
    <w:rsid w:val="00DD73DA"/>
    <w:rsid w:val="00DD7DEF"/>
    <w:rsid w:val="00DE03B2"/>
    <w:rsid w:val="00DE10CD"/>
    <w:rsid w:val="00DE158F"/>
    <w:rsid w:val="00DE163B"/>
    <w:rsid w:val="00DE7551"/>
    <w:rsid w:val="00DE7949"/>
    <w:rsid w:val="00DF006A"/>
    <w:rsid w:val="00DF0491"/>
    <w:rsid w:val="00DF1843"/>
    <w:rsid w:val="00DF2C98"/>
    <w:rsid w:val="00DF41E2"/>
    <w:rsid w:val="00DF51FB"/>
    <w:rsid w:val="00DF52B9"/>
    <w:rsid w:val="00DF5431"/>
    <w:rsid w:val="00DF6822"/>
    <w:rsid w:val="00DF7448"/>
    <w:rsid w:val="00E002D2"/>
    <w:rsid w:val="00E005C6"/>
    <w:rsid w:val="00E00BB3"/>
    <w:rsid w:val="00E04EA0"/>
    <w:rsid w:val="00E1115F"/>
    <w:rsid w:val="00E11BFA"/>
    <w:rsid w:val="00E122E3"/>
    <w:rsid w:val="00E13C36"/>
    <w:rsid w:val="00E13DD5"/>
    <w:rsid w:val="00E14630"/>
    <w:rsid w:val="00E165F6"/>
    <w:rsid w:val="00E1703C"/>
    <w:rsid w:val="00E1713F"/>
    <w:rsid w:val="00E17655"/>
    <w:rsid w:val="00E21ADA"/>
    <w:rsid w:val="00E21B98"/>
    <w:rsid w:val="00E22E0F"/>
    <w:rsid w:val="00E2407E"/>
    <w:rsid w:val="00E24F1D"/>
    <w:rsid w:val="00E25A71"/>
    <w:rsid w:val="00E260F6"/>
    <w:rsid w:val="00E27162"/>
    <w:rsid w:val="00E27861"/>
    <w:rsid w:val="00E3006A"/>
    <w:rsid w:val="00E31A33"/>
    <w:rsid w:val="00E31C18"/>
    <w:rsid w:val="00E34265"/>
    <w:rsid w:val="00E3595E"/>
    <w:rsid w:val="00E3598F"/>
    <w:rsid w:val="00E3644F"/>
    <w:rsid w:val="00E403DA"/>
    <w:rsid w:val="00E40972"/>
    <w:rsid w:val="00E426E9"/>
    <w:rsid w:val="00E44186"/>
    <w:rsid w:val="00E4425A"/>
    <w:rsid w:val="00E44744"/>
    <w:rsid w:val="00E45DF3"/>
    <w:rsid w:val="00E46FD5"/>
    <w:rsid w:val="00E470E6"/>
    <w:rsid w:val="00E50DC5"/>
    <w:rsid w:val="00E5189E"/>
    <w:rsid w:val="00E54BAB"/>
    <w:rsid w:val="00E55246"/>
    <w:rsid w:val="00E55B81"/>
    <w:rsid w:val="00E5706B"/>
    <w:rsid w:val="00E57101"/>
    <w:rsid w:val="00E57764"/>
    <w:rsid w:val="00E577C6"/>
    <w:rsid w:val="00E6274B"/>
    <w:rsid w:val="00E631F0"/>
    <w:rsid w:val="00E63565"/>
    <w:rsid w:val="00E6438F"/>
    <w:rsid w:val="00E647B3"/>
    <w:rsid w:val="00E65EA5"/>
    <w:rsid w:val="00E67058"/>
    <w:rsid w:val="00E71B31"/>
    <w:rsid w:val="00E74685"/>
    <w:rsid w:val="00E75606"/>
    <w:rsid w:val="00E75DBE"/>
    <w:rsid w:val="00E77D57"/>
    <w:rsid w:val="00E77E0A"/>
    <w:rsid w:val="00E80317"/>
    <w:rsid w:val="00E80850"/>
    <w:rsid w:val="00E835C4"/>
    <w:rsid w:val="00E83F37"/>
    <w:rsid w:val="00E8426C"/>
    <w:rsid w:val="00E84805"/>
    <w:rsid w:val="00E851D2"/>
    <w:rsid w:val="00E85F34"/>
    <w:rsid w:val="00E904B7"/>
    <w:rsid w:val="00E9089C"/>
    <w:rsid w:val="00E919D1"/>
    <w:rsid w:val="00E91E95"/>
    <w:rsid w:val="00E9293D"/>
    <w:rsid w:val="00E92F11"/>
    <w:rsid w:val="00E942B0"/>
    <w:rsid w:val="00E94D6F"/>
    <w:rsid w:val="00EA0279"/>
    <w:rsid w:val="00EA1EBF"/>
    <w:rsid w:val="00EA2A53"/>
    <w:rsid w:val="00EA3AF1"/>
    <w:rsid w:val="00EA466F"/>
    <w:rsid w:val="00EA4ADD"/>
    <w:rsid w:val="00EA5C03"/>
    <w:rsid w:val="00EB0642"/>
    <w:rsid w:val="00EB3257"/>
    <w:rsid w:val="00EB45C6"/>
    <w:rsid w:val="00EB6424"/>
    <w:rsid w:val="00EC0E6A"/>
    <w:rsid w:val="00EC1F42"/>
    <w:rsid w:val="00EC2640"/>
    <w:rsid w:val="00EC4903"/>
    <w:rsid w:val="00EC580B"/>
    <w:rsid w:val="00EC74BF"/>
    <w:rsid w:val="00EC78F4"/>
    <w:rsid w:val="00ED1040"/>
    <w:rsid w:val="00ED4689"/>
    <w:rsid w:val="00EE04A7"/>
    <w:rsid w:val="00EE1117"/>
    <w:rsid w:val="00EE203A"/>
    <w:rsid w:val="00EE30CD"/>
    <w:rsid w:val="00EE3C1D"/>
    <w:rsid w:val="00EE48E9"/>
    <w:rsid w:val="00EE6419"/>
    <w:rsid w:val="00EE7E12"/>
    <w:rsid w:val="00EF0763"/>
    <w:rsid w:val="00EF3E1A"/>
    <w:rsid w:val="00EF5BAD"/>
    <w:rsid w:val="00EF702D"/>
    <w:rsid w:val="00EF7664"/>
    <w:rsid w:val="00F006B6"/>
    <w:rsid w:val="00F01F4C"/>
    <w:rsid w:val="00F03FD4"/>
    <w:rsid w:val="00F07571"/>
    <w:rsid w:val="00F1285B"/>
    <w:rsid w:val="00F12DA4"/>
    <w:rsid w:val="00F132C2"/>
    <w:rsid w:val="00F139B0"/>
    <w:rsid w:val="00F16429"/>
    <w:rsid w:val="00F179BB"/>
    <w:rsid w:val="00F17CA4"/>
    <w:rsid w:val="00F2152C"/>
    <w:rsid w:val="00F21ACF"/>
    <w:rsid w:val="00F22176"/>
    <w:rsid w:val="00F221D2"/>
    <w:rsid w:val="00F23CA5"/>
    <w:rsid w:val="00F24419"/>
    <w:rsid w:val="00F24FB4"/>
    <w:rsid w:val="00F302E5"/>
    <w:rsid w:val="00F365F8"/>
    <w:rsid w:val="00F3747A"/>
    <w:rsid w:val="00F412E8"/>
    <w:rsid w:val="00F4332E"/>
    <w:rsid w:val="00F444B7"/>
    <w:rsid w:val="00F44B40"/>
    <w:rsid w:val="00F52DED"/>
    <w:rsid w:val="00F52EA4"/>
    <w:rsid w:val="00F54D8C"/>
    <w:rsid w:val="00F54FC2"/>
    <w:rsid w:val="00F566E6"/>
    <w:rsid w:val="00F577E9"/>
    <w:rsid w:val="00F60B5E"/>
    <w:rsid w:val="00F61D25"/>
    <w:rsid w:val="00F628D0"/>
    <w:rsid w:val="00F63D1F"/>
    <w:rsid w:val="00F640CD"/>
    <w:rsid w:val="00F661AF"/>
    <w:rsid w:val="00F66933"/>
    <w:rsid w:val="00F67A16"/>
    <w:rsid w:val="00F67E87"/>
    <w:rsid w:val="00F67EAF"/>
    <w:rsid w:val="00F71376"/>
    <w:rsid w:val="00F7210B"/>
    <w:rsid w:val="00F7372B"/>
    <w:rsid w:val="00F7494A"/>
    <w:rsid w:val="00F74B96"/>
    <w:rsid w:val="00F74BF6"/>
    <w:rsid w:val="00F75BB2"/>
    <w:rsid w:val="00F75BEC"/>
    <w:rsid w:val="00F762F2"/>
    <w:rsid w:val="00F77787"/>
    <w:rsid w:val="00F801EE"/>
    <w:rsid w:val="00F81750"/>
    <w:rsid w:val="00F83464"/>
    <w:rsid w:val="00F84B9D"/>
    <w:rsid w:val="00F86E87"/>
    <w:rsid w:val="00F903D8"/>
    <w:rsid w:val="00F91CEA"/>
    <w:rsid w:val="00F92174"/>
    <w:rsid w:val="00F92729"/>
    <w:rsid w:val="00F94131"/>
    <w:rsid w:val="00F9430D"/>
    <w:rsid w:val="00F9660E"/>
    <w:rsid w:val="00F9694F"/>
    <w:rsid w:val="00F969E8"/>
    <w:rsid w:val="00F96CA4"/>
    <w:rsid w:val="00F97037"/>
    <w:rsid w:val="00FA21A0"/>
    <w:rsid w:val="00FA29DF"/>
    <w:rsid w:val="00FA2FF6"/>
    <w:rsid w:val="00FA4DF2"/>
    <w:rsid w:val="00FA597B"/>
    <w:rsid w:val="00FA63CA"/>
    <w:rsid w:val="00FA6707"/>
    <w:rsid w:val="00FA6C56"/>
    <w:rsid w:val="00FA6CAC"/>
    <w:rsid w:val="00FB068F"/>
    <w:rsid w:val="00FB128E"/>
    <w:rsid w:val="00FB230D"/>
    <w:rsid w:val="00FB6350"/>
    <w:rsid w:val="00FB6D97"/>
    <w:rsid w:val="00FC141B"/>
    <w:rsid w:val="00FC1C84"/>
    <w:rsid w:val="00FC6DAE"/>
    <w:rsid w:val="00FC73FE"/>
    <w:rsid w:val="00FD15D6"/>
    <w:rsid w:val="00FD4BA1"/>
    <w:rsid w:val="00FD58A0"/>
    <w:rsid w:val="00FD718E"/>
    <w:rsid w:val="00FE03A9"/>
    <w:rsid w:val="00FE06E3"/>
    <w:rsid w:val="00FE0A43"/>
    <w:rsid w:val="00FE115C"/>
    <w:rsid w:val="00FE1A8C"/>
    <w:rsid w:val="00FE32E0"/>
    <w:rsid w:val="00FE3BC2"/>
    <w:rsid w:val="00FE4123"/>
    <w:rsid w:val="00FE4CC8"/>
    <w:rsid w:val="00FE5AD9"/>
    <w:rsid w:val="00FF1E69"/>
    <w:rsid w:val="00FF31A7"/>
    <w:rsid w:val="00FF722A"/>
    <w:rsid w:val="00FF7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96198"/>
  <w15:chartTrackingRefBased/>
  <w15:docId w15:val="{1A4AA8FF-A7DE-49A7-A9A1-E3819961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C26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2540"/>
    <w:pPr>
      <w:spacing w:after="200" w:line="276" w:lineRule="auto"/>
      <w:ind w:left="720"/>
      <w:contextualSpacing/>
    </w:pPr>
  </w:style>
  <w:style w:type="character" w:customStyle="1" w:styleId="ListParagraphChar">
    <w:name w:val="List Paragraph Char"/>
    <w:link w:val="ListParagraph"/>
    <w:uiPriority w:val="34"/>
    <w:rsid w:val="00552540"/>
  </w:style>
  <w:style w:type="paragraph" w:styleId="IntenseQuote">
    <w:name w:val="Intense Quote"/>
    <w:basedOn w:val="Normal"/>
    <w:next w:val="Normal"/>
    <w:link w:val="IntenseQuoteChar"/>
    <w:uiPriority w:val="30"/>
    <w:qFormat/>
    <w:rsid w:val="00552540"/>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eQuoteChar">
    <w:name w:val="Intense Quote Char"/>
    <w:basedOn w:val="DefaultParagraphFont"/>
    <w:link w:val="IntenseQuote"/>
    <w:uiPriority w:val="30"/>
    <w:rsid w:val="00552540"/>
    <w:rPr>
      <w:b/>
      <w:bCs/>
      <w:i/>
      <w:iCs/>
      <w:color w:val="5B9BD5" w:themeColor="accent1"/>
    </w:rPr>
  </w:style>
  <w:style w:type="paragraph" w:styleId="CommentText">
    <w:name w:val="annotation text"/>
    <w:basedOn w:val="Normal"/>
    <w:link w:val="CommentTextChar"/>
    <w:uiPriority w:val="99"/>
    <w:semiHidden/>
    <w:unhideWhenUsed/>
    <w:rsid w:val="001D27B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1D27B9"/>
    <w:rPr>
      <w:rFonts w:ascii="Calibri" w:eastAsia="Calibri" w:hAnsi="Calibri" w:cs="Times New Roman"/>
      <w:sz w:val="20"/>
      <w:szCs w:val="20"/>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qFormat/>
    <w:rsid w:val="001D27B9"/>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rsid w:val="001D27B9"/>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1D27B9"/>
    <w:rPr>
      <w:rFonts w:ascii="Arial" w:hAnsi="Arial"/>
      <w:sz w:val="18"/>
      <w:vertAlign w:val="superscript"/>
    </w:rPr>
  </w:style>
  <w:style w:type="paragraph" w:styleId="Header">
    <w:name w:val="header"/>
    <w:basedOn w:val="Normal"/>
    <w:link w:val="HeaderChar"/>
    <w:uiPriority w:val="99"/>
    <w:unhideWhenUsed/>
    <w:rsid w:val="001D27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7B9"/>
  </w:style>
  <w:style w:type="paragraph" w:styleId="Footer">
    <w:name w:val="footer"/>
    <w:basedOn w:val="Normal"/>
    <w:link w:val="FooterChar"/>
    <w:uiPriority w:val="99"/>
    <w:unhideWhenUsed/>
    <w:rsid w:val="001D27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7B9"/>
  </w:style>
  <w:style w:type="character" w:styleId="Hyperlink">
    <w:name w:val="Hyperlink"/>
    <w:basedOn w:val="DefaultParagraphFont"/>
    <w:uiPriority w:val="99"/>
    <w:unhideWhenUsed/>
    <w:rsid w:val="00B62CFA"/>
    <w:rPr>
      <w:color w:val="0563C1" w:themeColor="hyperlink"/>
      <w:u w:val="single"/>
    </w:rPr>
  </w:style>
  <w:style w:type="character" w:styleId="CommentReference">
    <w:name w:val="annotation reference"/>
    <w:basedOn w:val="DefaultParagraphFont"/>
    <w:uiPriority w:val="99"/>
    <w:semiHidden/>
    <w:unhideWhenUsed/>
    <w:rsid w:val="00F86E87"/>
    <w:rPr>
      <w:sz w:val="16"/>
      <w:szCs w:val="16"/>
    </w:rPr>
  </w:style>
  <w:style w:type="paragraph" w:styleId="CommentSubject">
    <w:name w:val="annotation subject"/>
    <w:basedOn w:val="CommentText"/>
    <w:next w:val="CommentText"/>
    <w:link w:val="CommentSubjectChar"/>
    <w:uiPriority w:val="99"/>
    <w:semiHidden/>
    <w:unhideWhenUsed/>
    <w:rsid w:val="00F86E8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86E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86E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E87"/>
    <w:rPr>
      <w:rFonts w:ascii="Segoe UI" w:hAnsi="Segoe UI" w:cs="Segoe UI"/>
      <w:sz w:val="18"/>
      <w:szCs w:val="18"/>
    </w:rPr>
  </w:style>
  <w:style w:type="paragraph" w:styleId="Caption">
    <w:name w:val="caption"/>
    <w:aliases w:val="GRÁFICOS,CUADROS"/>
    <w:basedOn w:val="Normal"/>
    <w:next w:val="Normal"/>
    <w:link w:val="CaptionChar"/>
    <w:unhideWhenUsed/>
    <w:qFormat/>
    <w:rsid w:val="00E1703C"/>
    <w:pPr>
      <w:spacing w:after="200" w:line="240" w:lineRule="auto"/>
    </w:pPr>
    <w:rPr>
      <w:b/>
      <w:bCs/>
      <w:color w:val="5B9BD5" w:themeColor="accent1"/>
      <w:sz w:val="18"/>
      <w:szCs w:val="18"/>
    </w:rPr>
  </w:style>
  <w:style w:type="character" w:customStyle="1" w:styleId="CaptionChar">
    <w:name w:val="Caption Char"/>
    <w:aliases w:val="GRÁFICOS Char,CUADROS Char"/>
    <w:link w:val="Caption"/>
    <w:locked/>
    <w:rsid w:val="00E1703C"/>
    <w:rPr>
      <w:b/>
      <w:bCs/>
      <w:color w:val="5B9BD5" w:themeColor="accent1"/>
      <w:sz w:val="18"/>
      <w:szCs w:val="18"/>
    </w:rPr>
  </w:style>
  <w:style w:type="paragraph" w:customStyle="1" w:styleId="Default">
    <w:name w:val="Default"/>
    <w:rsid w:val="00DD18FE"/>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semiHidden/>
    <w:unhideWhenUsed/>
    <w:rsid w:val="000D505A"/>
    <w:rPr>
      <w:color w:val="2B579A"/>
      <w:shd w:val="clear" w:color="auto" w:fill="E6E6E6"/>
    </w:rPr>
  </w:style>
  <w:style w:type="character" w:customStyle="1" w:styleId="Heading2Char">
    <w:name w:val="Heading 2 Char"/>
    <w:basedOn w:val="DefaultParagraphFont"/>
    <w:link w:val="Heading2"/>
    <w:uiPriority w:val="9"/>
    <w:rsid w:val="007C2677"/>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44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44B4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F44B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5">
    <w:name w:val="Grid Table 1 Light Accent 5"/>
    <w:basedOn w:val="TableNormal"/>
    <w:uiPriority w:val="46"/>
    <w:rsid w:val="00F44B4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44B4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44B40"/>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F44B4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0818E2"/>
    <w:rPr>
      <w:color w:val="808080"/>
      <w:shd w:val="clear" w:color="auto" w:fill="E6E6E6"/>
    </w:rPr>
  </w:style>
  <w:style w:type="paragraph" w:customStyle="1" w:styleId="Paragraph">
    <w:name w:val="Paragraph"/>
    <w:aliases w:val="paragraph,p,PARAGRAPH,PG,pa,at"/>
    <w:basedOn w:val="BodyTextIndent"/>
    <w:link w:val="ParagraphChar"/>
    <w:qFormat/>
    <w:rsid w:val="005070C6"/>
    <w:pPr>
      <w:tabs>
        <w:tab w:val="num" w:pos="720"/>
      </w:tabs>
      <w:spacing w:before="120" w:line="240" w:lineRule="auto"/>
      <w:ind w:left="720" w:hanging="720"/>
      <w:jc w:val="both"/>
      <w:outlineLvl w:val="1"/>
    </w:pPr>
    <w:rPr>
      <w:rFonts w:ascii="Times New Roman" w:eastAsia="Times New Roman" w:hAnsi="Times New Roman" w:cs="Times New Roman"/>
      <w:sz w:val="24"/>
      <w:szCs w:val="24"/>
      <w:lang w:val="es-ES_tradnl"/>
    </w:rPr>
  </w:style>
  <w:style w:type="character" w:customStyle="1" w:styleId="ParagraphChar">
    <w:name w:val="Paragraph Char"/>
    <w:link w:val="Paragraph"/>
    <w:rsid w:val="005070C6"/>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iPriority w:val="99"/>
    <w:semiHidden/>
    <w:unhideWhenUsed/>
    <w:rsid w:val="005070C6"/>
    <w:pPr>
      <w:spacing w:after="120"/>
      <w:ind w:left="360"/>
    </w:pPr>
  </w:style>
  <w:style w:type="character" w:customStyle="1" w:styleId="BodyTextIndentChar">
    <w:name w:val="Body Text Indent Char"/>
    <w:basedOn w:val="DefaultParagraphFont"/>
    <w:link w:val="BodyTextIndent"/>
    <w:uiPriority w:val="99"/>
    <w:semiHidden/>
    <w:rsid w:val="005070C6"/>
  </w:style>
  <w:style w:type="paragraph" w:styleId="Revision">
    <w:name w:val="Revision"/>
    <w:hidden/>
    <w:uiPriority w:val="99"/>
    <w:semiHidden/>
    <w:rsid w:val="00E359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2399">
      <w:bodyDiv w:val="1"/>
      <w:marLeft w:val="0"/>
      <w:marRight w:val="0"/>
      <w:marTop w:val="0"/>
      <w:marBottom w:val="0"/>
      <w:divBdr>
        <w:top w:val="none" w:sz="0" w:space="0" w:color="auto"/>
        <w:left w:val="none" w:sz="0" w:space="0" w:color="auto"/>
        <w:bottom w:val="none" w:sz="0" w:space="0" w:color="auto"/>
        <w:right w:val="none" w:sz="0" w:space="0" w:color="auto"/>
      </w:divBdr>
    </w:div>
    <w:div w:id="299649682">
      <w:bodyDiv w:val="1"/>
      <w:marLeft w:val="0"/>
      <w:marRight w:val="0"/>
      <w:marTop w:val="0"/>
      <w:marBottom w:val="0"/>
      <w:divBdr>
        <w:top w:val="none" w:sz="0" w:space="0" w:color="auto"/>
        <w:left w:val="none" w:sz="0" w:space="0" w:color="auto"/>
        <w:bottom w:val="none" w:sz="0" w:space="0" w:color="auto"/>
        <w:right w:val="none" w:sz="0" w:space="0" w:color="auto"/>
      </w:divBdr>
    </w:div>
    <w:div w:id="837574167">
      <w:bodyDiv w:val="1"/>
      <w:marLeft w:val="0"/>
      <w:marRight w:val="0"/>
      <w:marTop w:val="0"/>
      <w:marBottom w:val="0"/>
      <w:divBdr>
        <w:top w:val="none" w:sz="0" w:space="0" w:color="auto"/>
        <w:left w:val="none" w:sz="0" w:space="0" w:color="auto"/>
        <w:bottom w:val="none" w:sz="0" w:space="0" w:color="auto"/>
        <w:right w:val="none" w:sz="0" w:space="0" w:color="auto"/>
      </w:divBdr>
    </w:div>
    <w:div w:id="898785132">
      <w:bodyDiv w:val="1"/>
      <w:marLeft w:val="0"/>
      <w:marRight w:val="0"/>
      <w:marTop w:val="0"/>
      <w:marBottom w:val="0"/>
      <w:divBdr>
        <w:top w:val="none" w:sz="0" w:space="0" w:color="auto"/>
        <w:left w:val="none" w:sz="0" w:space="0" w:color="auto"/>
        <w:bottom w:val="none" w:sz="0" w:space="0" w:color="auto"/>
        <w:right w:val="none" w:sz="0" w:space="0" w:color="auto"/>
      </w:divBdr>
    </w:div>
    <w:div w:id="1187795873">
      <w:bodyDiv w:val="1"/>
      <w:marLeft w:val="0"/>
      <w:marRight w:val="0"/>
      <w:marTop w:val="0"/>
      <w:marBottom w:val="0"/>
      <w:divBdr>
        <w:top w:val="none" w:sz="0" w:space="0" w:color="auto"/>
        <w:left w:val="none" w:sz="0" w:space="0" w:color="auto"/>
        <w:bottom w:val="none" w:sz="0" w:space="0" w:color="auto"/>
        <w:right w:val="none" w:sz="0" w:space="0" w:color="auto"/>
      </w:divBdr>
      <w:divsChild>
        <w:div w:id="67383304">
          <w:marLeft w:val="0"/>
          <w:marRight w:val="0"/>
          <w:marTop w:val="0"/>
          <w:marBottom w:val="0"/>
          <w:divBdr>
            <w:top w:val="none" w:sz="0" w:space="0" w:color="auto"/>
            <w:left w:val="none" w:sz="0" w:space="0" w:color="auto"/>
            <w:bottom w:val="none" w:sz="0" w:space="0" w:color="auto"/>
            <w:right w:val="none" w:sz="0" w:space="0" w:color="auto"/>
          </w:divBdr>
          <w:divsChild>
            <w:div w:id="907114748">
              <w:marLeft w:val="0"/>
              <w:marRight w:val="0"/>
              <w:marTop w:val="0"/>
              <w:marBottom w:val="0"/>
              <w:divBdr>
                <w:top w:val="none" w:sz="0" w:space="0" w:color="auto"/>
                <w:left w:val="none" w:sz="0" w:space="0" w:color="auto"/>
                <w:bottom w:val="none" w:sz="0" w:space="0" w:color="auto"/>
                <w:right w:val="none" w:sz="0" w:space="0" w:color="auto"/>
              </w:divBdr>
              <w:divsChild>
                <w:div w:id="10840193">
                  <w:marLeft w:val="0"/>
                  <w:marRight w:val="0"/>
                  <w:marTop w:val="0"/>
                  <w:marBottom w:val="0"/>
                  <w:divBdr>
                    <w:top w:val="none" w:sz="0" w:space="0" w:color="auto"/>
                    <w:left w:val="none" w:sz="0" w:space="0" w:color="auto"/>
                    <w:bottom w:val="none" w:sz="0" w:space="0" w:color="auto"/>
                    <w:right w:val="none" w:sz="0" w:space="0" w:color="auto"/>
                  </w:divBdr>
                  <w:divsChild>
                    <w:div w:id="111023082">
                      <w:marLeft w:val="0"/>
                      <w:marRight w:val="0"/>
                      <w:marTop w:val="0"/>
                      <w:marBottom w:val="0"/>
                      <w:divBdr>
                        <w:top w:val="none" w:sz="0" w:space="0" w:color="auto"/>
                        <w:left w:val="none" w:sz="0" w:space="0" w:color="auto"/>
                        <w:bottom w:val="none" w:sz="0" w:space="0" w:color="auto"/>
                        <w:right w:val="none" w:sz="0" w:space="0" w:color="auto"/>
                      </w:divBdr>
                      <w:divsChild>
                        <w:div w:id="1371804877">
                          <w:marLeft w:val="0"/>
                          <w:marRight w:val="0"/>
                          <w:marTop w:val="0"/>
                          <w:marBottom w:val="0"/>
                          <w:divBdr>
                            <w:top w:val="none" w:sz="0" w:space="0" w:color="auto"/>
                            <w:left w:val="none" w:sz="0" w:space="0" w:color="auto"/>
                            <w:bottom w:val="none" w:sz="0" w:space="0" w:color="auto"/>
                            <w:right w:val="none" w:sz="0" w:space="0" w:color="auto"/>
                          </w:divBdr>
                          <w:divsChild>
                            <w:div w:id="637107401">
                              <w:marLeft w:val="0"/>
                              <w:marRight w:val="0"/>
                              <w:marTop w:val="0"/>
                              <w:marBottom w:val="0"/>
                              <w:divBdr>
                                <w:top w:val="none" w:sz="0" w:space="0" w:color="auto"/>
                                <w:left w:val="none" w:sz="0" w:space="0" w:color="auto"/>
                                <w:bottom w:val="none" w:sz="0" w:space="0" w:color="auto"/>
                                <w:right w:val="none" w:sz="0" w:space="0" w:color="auto"/>
                              </w:divBdr>
                              <w:divsChild>
                                <w:div w:id="1446340513">
                                  <w:marLeft w:val="0"/>
                                  <w:marRight w:val="0"/>
                                  <w:marTop w:val="0"/>
                                  <w:marBottom w:val="0"/>
                                  <w:divBdr>
                                    <w:top w:val="none" w:sz="0" w:space="0" w:color="auto"/>
                                    <w:left w:val="none" w:sz="0" w:space="0" w:color="auto"/>
                                    <w:bottom w:val="none" w:sz="0" w:space="0" w:color="auto"/>
                                    <w:right w:val="none" w:sz="0" w:space="0" w:color="auto"/>
                                  </w:divBdr>
                                  <w:divsChild>
                                    <w:div w:id="928196793">
                                      <w:marLeft w:val="60"/>
                                      <w:marRight w:val="0"/>
                                      <w:marTop w:val="0"/>
                                      <w:marBottom w:val="0"/>
                                      <w:divBdr>
                                        <w:top w:val="none" w:sz="0" w:space="0" w:color="auto"/>
                                        <w:left w:val="none" w:sz="0" w:space="0" w:color="auto"/>
                                        <w:bottom w:val="none" w:sz="0" w:space="0" w:color="auto"/>
                                        <w:right w:val="none" w:sz="0" w:space="0" w:color="auto"/>
                                      </w:divBdr>
                                      <w:divsChild>
                                        <w:div w:id="1232352925">
                                          <w:marLeft w:val="0"/>
                                          <w:marRight w:val="0"/>
                                          <w:marTop w:val="0"/>
                                          <w:marBottom w:val="0"/>
                                          <w:divBdr>
                                            <w:top w:val="none" w:sz="0" w:space="0" w:color="auto"/>
                                            <w:left w:val="none" w:sz="0" w:space="0" w:color="auto"/>
                                            <w:bottom w:val="none" w:sz="0" w:space="0" w:color="auto"/>
                                            <w:right w:val="none" w:sz="0" w:space="0" w:color="auto"/>
                                          </w:divBdr>
                                          <w:divsChild>
                                            <w:div w:id="912466004">
                                              <w:marLeft w:val="0"/>
                                              <w:marRight w:val="0"/>
                                              <w:marTop w:val="0"/>
                                              <w:marBottom w:val="120"/>
                                              <w:divBdr>
                                                <w:top w:val="single" w:sz="6" w:space="0" w:color="F5F5F5"/>
                                                <w:left w:val="single" w:sz="6" w:space="0" w:color="F5F5F5"/>
                                                <w:bottom w:val="single" w:sz="6" w:space="0" w:color="F5F5F5"/>
                                                <w:right w:val="single" w:sz="6" w:space="0" w:color="F5F5F5"/>
                                              </w:divBdr>
                                              <w:divsChild>
                                                <w:div w:id="85201352">
                                                  <w:marLeft w:val="0"/>
                                                  <w:marRight w:val="0"/>
                                                  <w:marTop w:val="0"/>
                                                  <w:marBottom w:val="0"/>
                                                  <w:divBdr>
                                                    <w:top w:val="none" w:sz="0" w:space="0" w:color="auto"/>
                                                    <w:left w:val="none" w:sz="0" w:space="0" w:color="auto"/>
                                                    <w:bottom w:val="none" w:sz="0" w:space="0" w:color="auto"/>
                                                    <w:right w:val="none" w:sz="0" w:space="0" w:color="auto"/>
                                                  </w:divBdr>
                                                  <w:divsChild>
                                                    <w:div w:id="13603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3510386">
      <w:bodyDiv w:val="1"/>
      <w:marLeft w:val="0"/>
      <w:marRight w:val="0"/>
      <w:marTop w:val="0"/>
      <w:marBottom w:val="0"/>
      <w:divBdr>
        <w:top w:val="none" w:sz="0" w:space="0" w:color="auto"/>
        <w:left w:val="none" w:sz="0" w:space="0" w:color="auto"/>
        <w:bottom w:val="none" w:sz="0" w:space="0" w:color="auto"/>
        <w:right w:val="none" w:sz="0" w:space="0" w:color="auto"/>
      </w:divBdr>
    </w:div>
    <w:div w:id="1427654128">
      <w:bodyDiv w:val="1"/>
      <w:marLeft w:val="0"/>
      <w:marRight w:val="0"/>
      <w:marTop w:val="0"/>
      <w:marBottom w:val="0"/>
      <w:divBdr>
        <w:top w:val="none" w:sz="0" w:space="0" w:color="auto"/>
        <w:left w:val="none" w:sz="0" w:space="0" w:color="auto"/>
        <w:bottom w:val="none" w:sz="0" w:space="0" w:color="auto"/>
        <w:right w:val="none" w:sz="0" w:space="0" w:color="auto"/>
      </w:divBdr>
    </w:div>
    <w:div w:id="1649893293">
      <w:bodyDiv w:val="1"/>
      <w:marLeft w:val="0"/>
      <w:marRight w:val="0"/>
      <w:marTop w:val="0"/>
      <w:marBottom w:val="0"/>
      <w:divBdr>
        <w:top w:val="none" w:sz="0" w:space="0" w:color="auto"/>
        <w:left w:val="none" w:sz="0" w:space="0" w:color="auto"/>
        <w:bottom w:val="none" w:sz="0" w:space="0" w:color="auto"/>
        <w:right w:val="none" w:sz="0" w:space="0" w:color="auto"/>
      </w:divBdr>
      <w:divsChild>
        <w:div w:id="612321861">
          <w:marLeft w:val="0"/>
          <w:marRight w:val="0"/>
          <w:marTop w:val="0"/>
          <w:marBottom w:val="0"/>
          <w:divBdr>
            <w:top w:val="none" w:sz="0" w:space="0" w:color="auto"/>
            <w:left w:val="none" w:sz="0" w:space="0" w:color="auto"/>
            <w:bottom w:val="none" w:sz="0" w:space="0" w:color="auto"/>
            <w:right w:val="none" w:sz="0" w:space="0" w:color="auto"/>
          </w:divBdr>
          <w:divsChild>
            <w:div w:id="787622512">
              <w:marLeft w:val="0"/>
              <w:marRight w:val="0"/>
              <w:marTop w:val="0"/>
              <w:marBottom w:val="0"/>
              <w:divBdr>
                <w:top w:val="none" w:sz="0" w:space="0" w:color="auto"/>
                <w:left w:val="none" w:sz="0" w:space="0" w:color="auto"/>
                <w:bottom w:val="none" w:sz="0" w:space="0" w:color="auto"/>
                <w:right w:val="none" w:sz="0" w:space="0" w:color="auto"/>
              </w:divBdr>
              <w:divsChild>
                <w:div w:id="2132623656">
                  <w:marLeft w:val="0"/>
                  <w:marRight w:val="0"/>
                  <w:marTop w:val="0"/>
                  <w:marBottom w:val="0"/>
                  <w:divBdr>
                    <w:top w:val="none" w:sz="0" w:space="0" w:color="auto"/>
                    <w:left w:val="none" w:sz="0" w:space="0" w:color="auto"/>
                    <w:bottom w:val="none" w:sz="0" w:space="0" w:color="auto"/>
                    <w:right w:val="none" w:sz="0" w:space="0" w:color="auto"/>
                  </w:divBdr>
                  <w:divsChild>
                    <w:div w:id="1282761631">
                      <w:marLeft w:val="0"/>
                      <w:marRight w:val="0"/>
                      <w:marTop w:val="0"/>
                      <w:marBottom w:val="0"/>
                      <w:divBdr>
                        <w:top w:val="none" w:sz="0" w:space="0" w:color="auto"/>
                        <w:left w:val="none" w:sz="0" w:space="0" w:color="auto"/>
                        <w:bottom w:val="none" w:sz="0" w:space="0" w:color="auto"/>
                        <w:right w:val="none" w:sz="0" w:space="0" w:color="auto"/>
                      </w:divBdr>
                      <w:divsChild>
                        <w:div w:id="690033364">
                          <w:marLeft w:val="0"/>
                          <w:marRight w:val="0"/>
                          <w:marTop w:val="0"/>
                          <w:marBottom w:val="0"/>
                          <w:divBdr>
                            <w:top w:val="none" w:sz="0" w:space="0" w:color="auto"/>
                            <w:left w:val="none" w:sz="0" w:space="0" w:color="auto"/>
                            <w:bottom w:val="none" w:sz="0" w:space="0" w:color="auto"/>
                            <w:right w:val="none" w:sz="0" w:space="0" w:color="auto"/>
                          </w:divBdr>
                          <w:divsChild>
                            <w:div w:id="1093628300">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17004986">
                                      <w:marLeft w:val="60"/>
                                      <w:marRight w:val="0"/>
                                      <w:marTop w:val="0"/>
                                      <w:marBottom w:val="0"/>
                                      <w:divBdr>
                                        <w:top w:val="none" w:sz="0" w:space="0" w:color="auto"/>
                                        <w:left w:val="none" w:sz="0" w:space="0" w:color="auto"/>
                                        <w:bottom w:val="none" w:sz="0" w:space="0" w:color="auto"/>
                                        <w:right w:val="none" w:sz="0" w:space="0" w:color="auto"/>
                                      </w:divBdr>
                                      <w:divsChild>
                                        <w:div w:id="503545678">
                                          <w:marLeft w:val="0"/>
                                          <w:marRight w:val="0"/>
                                          <w:marTop w:val="0"/>
                                          <w:marBottom w:val="0"/>
                                          <w:divBdr>
                                            <w:top w:val="none" w:sz="0" w:space="0" w:color="auto"/>
                                            <w:left w:val="none" w:sz="0" w:space="0" w:color="auto"/>
                                            <w:bottom w:val="none" w:sz="0" w:space="0" w:color="auto"/>
                                            <w:right w:val="none" w:sz="0" w:space="0" w:color="auto"/>
                                          </w:divBdr>
                                          <w:divsChild>
                                            <w:div w:id="821391525">
                                              <w:marLeft w:val="0"/>
                                              <w:marRight w:val="0"/>
                                              <w:marTop w:val="0"/>
                                              <w:marBottom w:val="120"/>
                                              <w:divBdr>
                                                <w:top w:val="single" w:sz="6" w:space="0" w:color="F5F5F5"/>
                                                <w:left w:val="single" w:sz="6" w:space="0" w:color="F5F5F5"/>
                                                <w:bottom w:val="single" w:sz="6" w:space="0" w:color="F5F5F5"/>
                                                <w:right w:val="single" w:sz="6" w:space="0" w:color="F5F5F5"/>
                                              </w:divBdr>
                                              <w:divsChild>
                                                <w:div w:id="927470875">
                                                  <w:marLeft w:val="0"/>
                                                  <w:marRight w:val="0"/>
                                                  <w:marTop w:val="0"/>
                                                  <w:marBottom w:val="0"/>
                                                  <w:divBdr>
                                                    <w:top w:val="none" w:sz="0" w:space="0" w:color="auto"/>
                                                    <w:left w:val="none" w:sz="0" w:space="0" w:color="auto"/>
                                                    <w:bottom w:val="none" w:sz="0" w:space="0" w:color="auto"/>
                                                    <w:right w:val="none" w:sz="0" w:space="0" w:color="auto"/>
                                                  </w:divBdr>
                                                  <w:divsChild>
                                                    <w:div w:id="6000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51315">
      <w:bodyDiv w:val="1"/>
      <w:marLeft w:val="0"/>
      <w:marRight w:val="0"/>
      <w:marTop w:val="0"/>
      <w:marBottom w:val="0"/>
      <w:divBdr>
        <w:top w:val="none" w:sz="0" w:space="0" w:color="auto"/>
        <w:left w:val="none" w:sz="0" w:space="0" w:color="auto"/>
        <w:bottom w:val="none" w:sz="0" w:space="0" w:color="auto"/>
        <w:right w:val="none" w:sz="0" w:space="0" w:color="auto"/>
      </w:divBdr>
      <w:divsChild>
        <w:div w:id="35276254">
          <w:marLeft w:val="0"/>
          <w:marRight w:val="0"/>
          <w:marTop w:val="0"/>
          <w:marBottom w:val="0"/>
          <w:divBdr>
            <w:top w:val="none" w:sz="0" w:space="0" w:color="auto"/>
            <w:left w:val="none" w:sz="0" w:space="0" w:color="auto"/>
            <w:bottom w:val="none" w:sz="0" w:space="0" w:color="auto"/>
            <w:right w:val="none" w:sz="0" w:space="0" w:color="auto"/>
          </w:divBdr>
          <w:divsChild>
            <w:div w:id="18432682">
              <w:marLeft w:val="0"/>
              <w:marRight w:val="0"/>
              <w:marTop w:val="0"/>
              <w:marBottom w:val="0"/>
              <w:divBdr>
                <w:top w:val="none" w:sz="0" w:space="0" w:color="auto"/>
                <w:left w:val="none" w:sz="0" w:space="0" w:color="auto"/>
                <w:bottom w:val="none" w:sz="0" w:space="0" w:color="auto"/>
                <w:right w:val="none" w:sz="0" w:space="0" w:color="auto"/>
              </w:divBdr>
              <w:divsChild>
                <w:div w:id="490219543">
                  <w:marLeft w:val="0"/>
                  <w:marRight w:val="0"/>
                  <w:marTop w:val="0"/>
                  <w:marBottom w:val="0"/>
                  <w:divBdr>
                    <w:top w:val="none" w:sz="0" w:space="0" w:color="auto"/>
                    <w:left w:val="none" w:sz="0" w:space="0" w:color="auto"/>
                    <w:bottom w:val="none" w:sz="0" w:space="0" w:color="auto"/>
                    <w:right w:val="none" w:sz="0" w:space="0" w:color="auto"/>
                  </w:divBdr>
                  <w:divsChild>
                    <w:div w:id="1130246165">
                      <w:marLeft w:val="0"/>
                      <w:marRight w:val="0"/>
                      <w:marTop w:val="0"/>
                      <w:marBottom w:val="0"/>
                      <w:divBdr>
                        <w:top w:val="none" w:sz="0" w:space="0" w:color="auto"/>
                        <w:left w:val="none" w:sz="0" w:space="0" w:color="auto"/>
                        <w:bottom w:val="none" w:sz="0" w:space="0" w:color="auto"/>
                        <w:right w:val="none" w:sz="0" w:space="0" w:color="auto"/>
                      </w:divBdr>
                      <w:divsChild>
                        <w:div w:id="982737909">
                          <w:marLeft w:val="0"/>
                          <w:marRight w:val="0"/>
                          <w:marTop w:val="0"/>
                          <w:marBottom w:val="0"/>
                          <w:divBdr>
                            <w:top w:val="none" w:sz="0" w:space="0" w:color="auto"/>
                            <w:left w:val="none" w:sz="0" w:space="0" w:color="auto"/>
                            <w:bottom w:val="none" w:sz="0" w:space="0" w:color="auto"/>
                            <w:right w:val="none" w:sz="0" w:space="0" w:color="auto"/>
                          </w:divBdr>
                          <w:divsChild>
                            <w:div w:id="150028017">
                              <w:marLeft w:val="0"/>
                              <w:marRight w:val="0"/>
                              <w:marTop w:val="0"/>
                              <w:marBottom w:val="0"/>
                              <w:divBdr>
                                <w:top w:val="none" w:sz="0" w:space="0" w:color="auto"/>
                                <w:left w:val="none" w:sz="0" w:space="0" w:color="auto"/>
                                <w:bottom w:val="none" w:sz="0" w:space="0" w:color="auto"/>
                                <w:right w:val="none" w:sz="0" w:space="0" w:color="auto"/>
                              </w:divBdr>
                              <w:divsChild>
                                <w:div w:id="810755919">
                                  <w:marLeft w:val="0"/>
                                  <w:marRight w:val="0"/>
                                  <w:marTop w:val="0"/>
                                  <w:marBottom w:val="0"/>
                                  <w:divBdr>
                                    <w:top w:val="none" w:sz="0" w:space="0" w:color="auto"/>
                                    <w:left w:val="none" w:sz="0" w:space="0" w:color="auto"/>
                                    <w:bottom w:val="none" w:sz="0" w:space="0" w:color="auto"/>
                                    <w:right w:val="none" w:sz="0" w:space="0" w:color="auto"/>
                                  </w:divBdr>
                                  <w:divsChild>
                                    <w:div w:id="474877614">
                                      <w:marLeft w:val="60"/>
                                      <w:marRight w:val="0"/>
                                      <w:marTop w:val="0"/>
                                      <w:marBottom w:val="0"/>
                                      <w:divBdr>
                                        <w:top w:val="none" w:sz="0" w:space="0" w:color="auto"/>
                                        <w:left w:val="none" w:sz="0" w:space="0" w:color="auto"/>
                                        <w:bottom w:val="none" w:sz="0" w:space="0" w:color="auto"/>
                                        <w:right w:val="none" w:sz="0" w:space="0" w:color="auto"/>
                                      </w:divBdr>
                                      <w:divsChild>
                                        <w:div w:id="1288660533">
                                          <w:marLeft w:val="0"/>
                                          <w:marRight w:val="0"/>
                                          <w:marTop w:val="0"/>
                                          <w:marBottom w:val="0"/>
                                          <w:divBdr>
                                            <w:top w:val="none" w:sz="0" w:space="0" w:color="auto"/>
                                            <w:left w:val="none" w:sz="0" w:space="0" w:color="auto"/>
                                            <w:bottom w:val="none" w:sz="0" w:space="0" w:color="auto"/>
                                            <w:right w:val="none" w:sz="0" w:space="0" w:color="auto"/>
                                          </w:divBdr>
                                          <w:divsChild>
                                            <w:div w:id="1180463724">
                                              <w:marLeft w:val="0"/>
                                              <w:marRight w:val="0"/>
                                              <w:marTop w:val="0"/>
                                              <w:marBottom w:val="120"/>
                                              <w:divBdr>
                                                <w:top w:val="single" w:sz="6" w:space="0" w:color="F5F5F5"/>
                                                <w:left w:val="single" w:sz="6" w:space="0" w:color="F5F5F5"/>
                                                <w:bottom w:val="single" w:sz="6" w:space="0" w:color="F5F5F5"/>
                                                <w:right w:val="single" w:sz="6" w:space="0" w:color="F5F5F5"/>
                                              </w:divBdr>
                                              <w:divsChild>
                                                <w:div w:id="262609280">
                                                  <w:marLeft w:val="0"/>
                                                  <w:marRight w:val="0"/>
                                                  <w:marTop w:val="0"/>
                                                  <w:marBottom w:val="0"/>
                                                  <w:divBdr>
                                                    <w:top w:val="none" w:sz="0" w:space="0" w:color="auto"/>
                                                    <w:left w:val="none" w:sz="0" w:space="0" w:color="auto"/>
                                                    <w:bottom w:val="none" w:sz="0" w:space="0" w:color="auto"/>
                                                    <w:right w:val="none" w:sz="0" w:space="0" w:color="auto"/>
                                                  </w:divBdr>
                                                  <w:divsChild>
                                                    <w:div w:id="17739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23" Type="http://schemas.openxmlformats.org/officeDocument/2006/relationships/customXml" Target="../customXml/item8.xml"/><Relationship Id="rId10" Type="http://schemas.openxmlformats.org/officeDocument/2006/relationships/image" Target="media/image1.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2" Type="http://schemas.openxmlformats.org/officeDocument/2006/relationships/hyperlink" Target="http://www.amp.gob.pa" TargetMode="External"/><Relationship Id="rId1" Type="http://schemas.openxmlformats.org/officeDocument/2006/relationships/hyperlink" Target="https://www.centralamericadata.com/es/search?q1=content_es_le:%22Autoridad+Nacional+de+Aduanas+de+Panam%C3%A1%2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Documents\GII\Pipeline\Pipeline%20INE%202018\PBL%20Panam&#225;\Producto%20Interno%20Bruto%20Real_%20CA%20%20Variaci&#243;n%20anual%20.csv"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gabrielaar\AppData\Roaming\Microsoft\Excel\&#205;ndice%20de%20apertura%20comercial%20%20Porcentaje%20%20(1)%20(version%201).xlsb"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abrielaar\Documents\GII\Pipeline\Pipeline%20INE%202018\PBL%20Panam&#225;\estad&#237;sticas\A181Exp_Pa&#237;s_Ene-DIC_2016%20(P).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gabrielaar\Documents\GII\Pipeline\Pipeline%20INE%202018\PBL%20Panam&#225;\estad&#237;sticas\Inversi&#243;n%20Extranjera%20Directa%20en%20el%20pa&#237;s%20%20Millones%20de%20US%20d&#243;lares%20(1).csv"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s-ES_tradn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'Producto Interno Bruto Real_ CA'!$A$6:$A$22</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'Producto Interno Bruto Real_ CA'!$G$6:$G$22</c:f>
              <c:numCache>
                <c:formatCode>General</c:formatCode>
                <c:ptCount val="17"/>
                <c:pt idx="0">
                  <c:v>2.7</c:v>
                </c:pt>
                <c:pt idx="1">
                  <c:v>0.6</c:v>
                </c:pt>
                <c:pt idx="2">
                  <c:v>2.2000000000000002</c:v>
                </c:pt>
                <c:pt idx="3">
                  <c:v>4.2</c:v>
                </c:pt>
                <c:pt idx="4">
                  <c:v>7.5</c:v>
                </c:pt>
                <c:pt idx="5">
                  <c:v>7.2</c:v>
                </c:pt>
                <c:pt idx="6">
                  <c:v>8.5</c:v>
                </c:pt>
                <c:pt idx="7">
                  <c:v>12.1</c:v>
                </c:pt>
                <c:pt idx="8">
                  <c:v>8.6</c:v>
                </c:pt>
                <c:pt idx="9">
                  <c:v>1.6</c:v>
                </c:pt>
                <c:pt idx="10">
                  <c:v>5.8</c:v>
                </c:pt>
                <c:pt idx="11">
                  <c:v>11.8</c:v>
                </c:pt>
                <c:pt idx="12">
                  <c:v>9.1999999999999993</c:v>
                </c:pt>
                <c:pt idx="13">
                  <c:v>6.6</c:v>
                </c:pt>
                <c:pt idx="14">
                  <c:v>6.1</c:v>
                </c:pt>
                <c:pt idx="15">
                  <c:v>5.8</c:v>
                </c:pt>
                <c:pt idx="16">
                  <c:v>4.9000000000000004</c:v>
                </c:pt>
              </c:numCache>
            </c:numRef>
          </c:val>
          <c:smooth val="0"/>
          <c:extLst>
            <c:ext xmlns:c16="http://schemas.microsoft.com/office/drawing/2014/chart" uri="{C3380CC4-5D6E-409C-BE32-E72D297353CC}">
              <c16:uniqueId val="{00000000-5B82-4F92-955D-989931A2E7F6}"/>
            </c:ext>
          </c:extLst>
        </c:ser>
        <c:dLbls>
          <c:dLblPos val="ctr"/>
          <c:showLegendKey val="0"/>
          <c:showVal val="1"/>
          <c:showCatName val="0"/>
          <c:showSerName val="0"/>
          <c:showPercent val="0"/>
          <c:showBubbleSize val="0"/>
        </c:dLbls>
        <c:marker val="1"/>
        <c:smooth val="0"/>
        <c:axId val="483730552"/>
        <c:axId val="483730880"/>
      </c:lineChart>
      <c:catAx>
        <c:axId val="483730552"/>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dk1">
                    <a:lumMod val="65000"/>
                    <a:lumOff val="35000"/>
                  </a:schemeClr>
                </a:solidFill>
                <a:latin typeface="+mn-lt"/>
                <a:ea typeface="+mn-ea"/>
                <a:cs typeface="+mn-cs"/>
              </a:defRPr>
            </a:pPr>
            <a:endParaRPr lang="es-ES_tradnl"/>
          </a:p>
        </c:txPr>
        <c:crossAx val="483730880"/>
        <c:crosses val="autoZero"/>
        <c:auto val="1"/>
        <c:lblAlgn val="ctr"/>
        <c:lblOffset val="100"/>
        <c:noMultiLvlLbl val="0"/>
      </c:catAx>
      <c:valAx>
        <c:axId val="483730880"/>
        <c:scaling>
          <c:orientation val="minMax"/>
        </c:scaling>
        <c:delete val="1"/>
        <c:axPos val="l"/>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s-ES_tradnl"/>
                  <a:t>Tasa de Crecimiento Anual</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ES_tradnl"/>
            </a:p>
          </c:txPr>
        </c:title>
        <c:numFmt formatCode="General" sourceLinked="1"/>
        <c:majorTickMark val="none"/>
        <c:minorTickMark val="none"/>
        <c:tickLblPos val="nextTo"/>
        <c:crossAx val="4837305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ES_trad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dLbl>
              <c:idx val="5"/>
              <c:spPr>
                <a:noFill/>
                <a:ln>
                  <a:noFill/>
                </a:ln>
                <a:effectLst/>
              </c:spPr>
              <c:txPr>
                <a:bodyPr rot="-5400000" spcFirstLastPara="1" vertOverflow="clip" horzOverflow="clip" vert="horz" wrap="square" lIns="38100" tIns="19050" rIns="38100" bIns="19050" anchor="ctr" anchorCtr="1">
                  <a:spAutoFit/>
                </a:bodyPr>
                <a:lstStyle/>
                <a:p>
                  <a:pPr>
                    <a:defRPr sz="900" b="0" i="1" u="none" strike="noStrike" kern="1200" baseline="0">
                      <a:solidFill>
                        <a:srgbClr val="0000FF"/>
                      </a:solidFill>
                      <a:latin typeface="+mn-lt"/>
                      <a:ea typeface="+mn-ea"/>
                      <a:cs typeface="+mn-cs"/>
                    </a:defRPr>
                  </a:pPr>
                  <a:endParaRPr lang="es-ES_tradnl"/>
                </a:p>
              </c:txPr>
              <c:dLblPos val="outEnd"/>
              <c:showLegendKey val="0"/>
              <c:showVal val="1"/>
              <c:showCatName val="0"/>
              <c:showSerName val="0"/>
              <c:showPercent val="0"/>
              <c:showBubbleSize val="0"/>
              <c:extLst>
                <c:ext xmlns:c16="http://schemas.microsoft.com/office/drawing/2014/chart" uri="{C3380CC4-5D6E-409C-BE32-E72D297353CC}">
                  <c16:uniqueId val="{00000000-46D9-4710-84FE-5B34AB9B6AB6}"/>
                </c:ext>
              </c:extLst>
            </c:dLbl>
            <c:spPr>
              <a:noFill/>
              <a:ln>
                <a:noFill/>
              </a:ln>
              <a:effectLst/>
            </c:spPr>
            <c:txPr>
              <a:bodyPr rot="-5400000" spcFirstLastPara="1" vertOverflow="clip" horzOverflow="clip"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s-ES_tradn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'Índice de apertura comercial  P'!$B$5:$G$5</c:f>
              <c:strCache>
                <c:ptCount val="6"/>
                <c:pt idx="0">
                  <c:v>Costa Rica</c:v>
                </c:pt>
                <c:pt idx="1">
                  <c:v>El Salvador</c:v>
                </c:pt>
                <c:pt idx="2">
                  <c:v>Guatemala</c:v>
                </c:pt>
                <c:pt idx="3">
                  <c:v>Honduras</c:v>
                </c:pt>
                <c:pt idx="4">
                  <c:v>Nicaragua</c:v>
                </c:pt>
                <c:pt idx="5">
                  <c:v>Panamá</c:v>
                </c:pt>
              </c:strCache>
            </c:strRef>
          </c:cat>
          <c:val>
            <c:numRef>
              <c:f>'Índice de apertura comercial  P'!$B$17:$G$17</c:f>
              <c:numCache>
                <c:formatCode>0%</c:formatCode>
                <c:ptCount val="6"/>
                <c:pt idx="0">
                  <c:v>0.433</c:v>
                </c:pt>
                <c:pt idx="1">
                  <c:v>0.502</c:v>
                </c:pt>
                <c:pt idx="2">
                  <c:v>0.32200000000000001</c:v>
                </c:pt>
                <c:pt idx="3">
                  <c:v>0.57100000000000006</c:v>
                </c:pt>
                <c:pt idx="4">
                  <c:v>0.60699999999999998</c:v>
                </c:pt>
                <c:pt idx="5">
                  <c:v>0.23</c:v>
                </c:pt>
              </c:numCache>
            </c:numRef>
          </c:val>
          <c:extLst>
            <c:ext xmlns:c16="http://schemas.microsoft.com/office/drawing/2014/chart" uri="{C3380CC4-5D6E-409C-BE32-E72D297353CC}">
              <c16:uniqueId val="{00000000-3968-49E0-A23F-2919854A5E91}"/>
            </c:ext>
          </c:extLst>
        </c:ser>
        <c:dLbls>
          <c:dLblPos val="outEnd"/>
          <c:showLegendKey val="0"/>
          <c:showVal val="1"/>
          <c:showCatName val="0"/>
          <c:showSerName val="0"/>
          <c:showPercent val="0"/>
          <c:showBubbleSize val="0"/>
        </c:dLbls>
        <c:gapWidth val="444"/>
        <c:overlap val="-90"/>
        <c:axId val="968482792"/>
        <c:axId val="968483120"/>
      </c:barChart>
      <c:catAx>
        <c:axId val="9684827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ES_tradnl"/>
          </a:p>
        </c:txPr>
        <c:crossAx val="968483120"/>
        <c:crosses val="autoZero"/>
        <c:auto val="1"/>
        <c:lblAlgn val="ctr"/>
        <c:lblOffset val="100"/>
        <c:noMultiLvlLbl val="0"/>
      </c:catAx>
      <c:valAx>
        <c:axId val="968483120"/>
        <c:scaling>
          <c:orientation val="minMax"/>
        </c:scaling>
        <c:delete val="1"/>
        <c:axPos val="l"/>
        <c:numFmt formatCode="0%" sourceLinked="1"/>
        <c:majorTickMark val="none"/>
        <c:minorTickMark val="none"/>
        <c:tickLblPos val="nextTo"/>
        <c:crossAx val="9684827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1" u="none" strike="noStrike" kern="1200" baseline="0">
                    <a:solidFill>
                      <a:schemeClr val="tx1">
                        <a:lumMod val="75000"/>
                        <a:lumOff val="25000"/>
                      </a:schemeClr>
                    </a:solidFill>
                    <a:latin typeface="+mn-lt"/>
                    <a:ea typeface="+mn-ea"/>
                    <a:cs typeface="+mn-cs"/>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EneMar_2016!$A$97:$A$103</c:f>
              <c:strCache>
                <c:ptCount val="7"/>
                <c:pt idx="0">
                  <c:v>TLC América del Norte</c:v>
                </c:pt>
                <c:pt idx="1">
                  <c:v>Mercado Común Centroamericano (MCCA)</c:v>
                </c:pt>
                <c:pt idx="2">
                  <c:v>Asociación Latinoamericana de Integración (ALADI)</c:v>
                </c:pt>
                <c:pt idx="3">
                  <c:v>Resto de América </c:v>
                </c:pt>
                <c:pt idx="4">
                  <c:v>Comunidad Andina</c:v>
                </c:pt>
                <c:pt idx="5">
                  <c:v>CARICOM</c:v>
                </c:pt>
                <c:pt idx="6">
                  <c:v>MERCOSUR</c:v>
                </c:pt>
              </c:strCache>
            </c:strRef>
          </c:cat>
          <c:val>
            <c:numRef>
              <c:f>EneMar_2016!$B$97:$B$103</c:f>
              <c:numCache>
                <c:formatCode>0%</c:formatCode>
                <c:ptCount val="7"/>
                <c:pt idx="0">
                  <c:v>0.21477234857297359</c:v>
                </c:pt>
                <c:pt idx="1">
                  <c:v>0.1272392587888353</c:v>
                </c:pt>
                <c:pt idx="2">
                  <c:v>5.6255776957563335E-2</c:v>
                </c:pt>
                <c:pt idx="3">
                  <c:v>5.4971484623075134E-2</c:v>
                </c:pt>
                <c:pt idx="4">
                  <c:v>3.2038142067569185E-2</c:v>
                </c:pt>
                <c:pt idx="5">
                  <c:v>2.9648760980149274E-2</c:v>
                </c:pt>
                <c:pt idx="6">
                  <c:v>7.4573841307368728E-3</c:v>
                </c:pt>
              </c:numCache>
            </c:numRef>
          </c:val>
          <c:extLst>
            <c:ext xmlns:c16="http://schemas.microsoft.com/office/drawing/2014/chart" uri="{C3380CC4-5D6E-409C-BE32-E72D297353CC}">
              <c16:uniqueId val="{00000000-6C8F-4017-87D0-DA2282DEF1C9}"/>
            </c:ext>
          </c:extLst>
        </c:ser>
        <c:dLbls>
          <c:showLegendKey val="0"/>
          <c:showVal val="1"/>
          <c:showCatName val="0"/>
          <c:showSerName val="0"/>
          <c:showPercent val="0"/>
          <c:showBubbleSize val="0"/>
        </c:dLbls>
        <c:gapWidth val="150"/>
        <c:overlap val="-25"/>
        <c:axId val="710203440"/>
        <c:axId val="699339680"/>
      </c:barChart>
      <c:catAx>
        <c:axId val="710203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_tradnl"/>
          </a:p>
        </c:txPr>
        <c:crossAx val="699339680"/>
        <c:crosses val="autoZero"/>
        <c:auto val="1"/>
        <c:lblAlgn val="ctr"/>
        <c:lblOffset val="100"/>
        <c:noMultiLvlLbl val="0"/>
      </c:catAx>
      <c:valAx>
        <c:axId val="699339680"/>
        <c:scaling>
          <c:orientation val="minMax"/>
        </c:scaling>
        <c:delete val="1"/>
        <c:axPos val="l"/>
        <c:numFmt formatCode="0%" sourceLinked="1"/>
        <c:majorTickMark val="none"/>
        <c:minorTickMark val="none"/>
        <c:tickLblPos val="nextTo"/>
        <c:crossAx val="7102034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ES_tradn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FED-4086-B5A8-56FBDC2CC58D}"/>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FED-4086-B5A8-56FBDC2CC58D}"/>
              </c:ext>
            </c:extLst>
          </c:dPt>
          <c:dPt>
            <c:idx val="2"/>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FED-4086-B5A8-56FBDC2CC58D}"/>
              </c:ext>
            </c:extLst>
          </c:dPt>
          <c:dPt>
            <c:idx val="3"/>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FED-4086-B5A8-56FBDC2CC58D}"/>
              </c:ext>
            </c:extLst>
          </c:dPt>
          <c:dPt>
            <c:idx val="4"/>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FED-4086-B5A8-56FBDC2CC58D}"/>
              </c:ext>
            </c:extLst>
          </c:dPt>
          <c:dPt>
            <c:idx val="5"/>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FED-4086-B5A8-56FBDC2CC58D}"/>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s-ES_tradnl"/>
                </a:p>
              </c:txPr>
              <c:dLblPos val="outEnd"/>
              <c:showLegendKey val="0"/>
              <c:showVal val="1"/>
              <c:showCatName val="1"/>
              <c:showSerName val="0"/>
              <c:showPercent val="0"/>
              <c:showBubbleSize val="0"/>
              <c:extLst>
                <c:ext xmlns:c16="http://schemas.microsoft.com/office/drawing/2014/chart" uri="{C3380CC4-5D6E-409C-BE32-E72D297353CC}">
                  <c16:uniqueId val="{00000001-CFED-4086-B5A8-56FBDC2CC58D}"/>
                </c:ext>
              </c:extLst>
            </c:dLbl>
            <c:dLbl>
              <c:idx val="1"/>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3"/>
                      </a:solidFill>
                      <a:latin typeface="+mn-lt"/>
                      <a:ea typeface="+mn-ea"/>
                      <a:cs typeface="+mn-cs"/>
                    </a:defRPr>
                  </a:pPr>
                  <a:endParaRPr lang="es-ES_tradnl"/>
                </a:p>
              </c:txPr>
              <c:dLblPos val="outEnd"/>
              <c:showLegendKey val="0"/>
              <c:showVal val="1"/>
              <c:showCatName val="1"/>
              <c:showSerName val="0"/>
              <c:showPercent val="0"/>
              <c:showBubbleSize val="0"/>
              <c:extLst>
                <c:ext xmlns:c16="http://schemas.microsoft.com/office/drawing/2014/chart" uri="{C3380CC4-5D6E-409C-BE32-E72D297353CC}">
                  <c16:uniqueId val="{00000003-CFED-4086-B5A8-56FBDC2CC58D}"/>
                </c:ext>
              </c:extLst>
            </c:dLbl>
            <c:dLbl>
              <c:idx val="2"/>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5"/>
                      </a:solidFill>
                      <a:latin typeface="+mn-lt"/>
                      <a:ea typeface="+mn-ea"/>
                      <a:cs typeface="+mn-cs"/>
                    </a:defRPr>
                  </a:pPr>
                  <a:endParaRPr lang="es-ES_tradnl"/>
                </a:p>
              </c:txPr>
              <c:dLblPos val="outEnd"/>
              <c:showLegendKey val="0"/>
              <c:showVal val="1"/>
              <c:showCatName val="1"/>
              <c:showSerName val="0"/>
              <c:showPercent val="0"/>
              <c:showBubbleSize val="0"/>
              <c:extLst>
                <c:ext xmlns:c16="http://schemas.microsoft.com/office/drawing/2014/chart" uri="{C3380CC4-5D6E-409C-BE32-E72D297353CC}">
                  <c16:uniqueId val="{00000005-CFED-4086-B5A8-56FBDC2CC58D}"/>
                </c:ext>
              </c:extLst>
            </c:dLbl>
            <c:dLbl>
              <c:idx val="3"/>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lumMod val="60000"/>
                        </a:schemeClr>
                      </a:solidFill>
                      <a:latin typeface="+mn-lt"/>
                      <a:ea typeface="+mn-ea"/>
                      <a:cs typeface="+mn-cs"/>
                    </a:defRPr>
                  </a:pPr>
                  <a:endParaRPr lang="es-ES_tradnl"/>
                </a:p>
              </c:txPr>
              <c:dLblPos val="outEnd"/>
              <c:showLegendKey val="0"/>
              <c:showVal val="1"/>
              <c:showCatName val="1"/>
              <c:showSerName val="0"/>
              <c:showPercent val="0"/>
              <c:showBubbleSize val="0"/>
              <c:extLst>
                <c:ext xmlns:c16="http://schemas.microsoft.com/office/drawing/2014/chart" uri="{C3380CC4-5D6E-409C-BE32-E72D297353CC}">
                  <c16:uniqueId val="{00000007-CFED-4086-B5A8-56FBDC2CC58D}"/>
                </c:ext>
              </c:extLst>
            </c:dLbl>
            <c:dLbl>
              <c:idx val="4"/>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3">
                          <a:lumMod val="60000"/>
                        </a:schemeClr>
                      </a:solidFill>
                      <a:latin typeface="+mn-lt"/>
                      <a:ea typeface="+mn-ea"/>
                      <a:cs typeface="+mn-cs"/>
                    </a:defRPr>
                  </a:pPr>
                  <a:endParaRPr lang="es-ES_tradnl"/>
                </a:p>
              </c:txPr>
              <c:dLblPos val="outEnd"/>
              <c:showLegendKey val="0"/>
              <c:showVal val="1"/>
              <c:showCatName val="1"/>
              <c:showSerName val="0"/>
              <c:showPercent val="0"/>
              <c:showBubbleSize val="0"/>
              <c:extLst>
                <c:ext xmlns:c16="http://schemas.microsoft.com/office/drawing/2014/chart" uri="{C3380CC4-5D6E-409C-BE32-E72D297353CC}">
                  <c16:uniqueId val="{00000009-CFED-4086-B5A8-56FBDC2CC58D}"/>
                </c:ext>
              </c:extLst>
            </c:dLbl>
            <c:dLbl>
              <c:idx val="5"/>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5">
                          <a:lumMod val="60000"/>
                        </a:schemeClr>
                      </a:solidFill>
                      <a:latin typeface="+mn-lt"/>
                      <a:ea typeface="+mn-ea"/>
                      <a:cs typeface="+mn-cs"/>
                    </a:defRPr>
                  </a:pPr>
                  <a:endParaRPr lang="es-ES_tradnl"/>
                </a:p>
              </c:txPr>
              <c:dLblPos val="outEnd"/>
              <c:showLegendKey val="0"/>
              <c:showVal val="1"/>
              <c:showCatName val="1"/>
              <c:showSerName val="0"/>
              <c:showPercent val="0"/>
              <c:showBubbleSize val="0"/>
              <c:extLst>
                <c:ext xmlns:c16="http://schemas.microsoft.com/office/drawing/2014/chart" uri="{C3380CC4-5D6E-409C-BE32-E72D297353CC}">
                  <c16:uniqueId val="{0000000B-CFED-4086-B5A8-56FBDC2CC58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s-ES_tradnl"/>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'Inversión Extranjera Directa en'!$B$4:$G$4</c:f>
              <c:strCache>
                <c:ptCount val="6"/>
                <c:pt idx="0">
                  <c:v>Costa Rica</c:v>
                </c:pt>
                <c:pt idx="1">
                  <c:v>El Salvador</c:v>
                </c:pt>
                <c:pt idx="2">
                  <c:v>Guatemala</c:v>
                </c:pt>
                <c:pt idx="3">
                  <c:v>Honduras</c:v>
                </c:pt>
                <c:pt idx="4">
                  <c:v>Nicaragua</c:v>
                </c:pt>
                <c:pt idx="5">
                  <c:v>Panamá</c:v>
                </c:pt>
              </c:strCache>
            </c:strRef>
          </c:cat>
          <c:val>
            <c:numRef>
              <c:f>'Inversión Extranjera Directa en'!$K$31:$P$31</c:f>
              <c:numCache>
                <c:formatCode>0%</c:formatCode>
                <c:ptCount val="6"/>
                <c:pt idx="0">
                  <c:v>0.24200925244453789</c:v>
                </c:pt>
                <c:pt idx="1">
                  <c:v>3.2514982651666489E-2</c:v>
                </c:pt>
                <c:pt idx="2">
                  <c:v>0.10345915256019345</c:v>
                </c:pt>
                <c:pt idx="3">
                  <c:v>8.7801843479479891E-2</c:v>
                </c:pt>
                <c:pt idx="4">
                  <c:v>7.7787123681351406E-2</c:v>
                </c:pt>
                <c:pt idx="5">
                  <c:v>0.45642764518277079</c:v>
                </c:pt>
              </c:numCache>
            </c:numRef>
          </c:val>
          <c:extLst>
            <c:ext xmlns:c16="http://schemas.microsoft.com/office/drawing/2014/chart" uri="{C3380CC4-5D6E-409C-BE32-E72D297353CC}">
              <c16:uniqueId val="{0000000C-CFED-4086-B5A8-56FBDC2CC58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Reversed" id="25">
  <a:schemeClr val="accent5"/>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4">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00" kern="120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cs:styleClr val="auto"/>
    </cs:fontRef>
    <cs:spPr/>
    <cs:defRPr sz="900" b="1" i="0" u="none" strike="noStrike" kern="1200" baseline="0"/>
  </cs:dataLabel>
  <cs:dataLabelCallout>
    <cs:lnRef idx="0"/>
    <cs:fillRef idx="0"/>
    <cs:effectRef idx="0"/>
    <cs:fontRef idx="minor">
      <a:schemeClr val="dk1">
        <a:lumMod val="65000"/>
        <a:lumOff val="35000"/>
      </a:schemeClr>
    </cs:fontRef>
    <cs:spPr>
      <a:solidFill>
        <a:schemeClr val="lt1"/>
      </a:solidFill>
      <a:ln w="9575">
        <a:solidFill>
          <a:schemeClr val="lt1">
            <a:lumMod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19050" cap="rnd" cmpd="sng" algn="ctr">
        <a:solidFill>
          <a:schemeClr val="phClr">
            <a:shade val="95000"/>
            <a:satMod val="105000"/>
          </a:schemeClr>
        </a:solidFill>
        <a:round/>
      </a:ln>
    </cs:spPr>
  </cs:dataPointLine>
  <cs:dataPointMarker>
    <cs:lnRef idx="0"/>
    <cs:fillRef idx="0"/>
    <cs:effectRef idx="0"/>
    <cs:fontRef idx="minor">
      <a:schemeClr val="dk1"/>
    </cs:fontRef>
    <cs:spPr>
      <a:solidFill>
        <a:schemeClr val="lt1"/>
      </a:solidFill>
    </cs:spPr>
  </cs:dataPointMarker>
  <cs:dataPointMarkerLayout symbol="circle" size="17"/>
  <cs:dataPointWireframe>
    <cs:lnRef idx="0">
      <cs:styleClr val="auto"/>
    </cs:lnRef>
    <cs:fillRef idx="1"/>
    <cs:effectRef idx="0"/>
    <cs:fontRef idx="minor">
      <a:schemeClr val="dk1"/>
    </cs:fontRef>
    <cs:spPr>
      <a:ln w="9525">
        <a:solidFill>
          <a:schemeClr val="phClr"/>
        </a:solidFill>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35000"/>
            <a:lumOff val="65000"/>
          </a:schemeClr>
        </a:solidFill>
      </a:ln>
    </cs:spPr>
  </cs:dropLine>
  <cs:errorBar>
    <cs:lnRef idx="0"/>
    <cs:fillRef idx="0"/>
    <cs:effectRef idx="0"/>
    <cs:fontRef idx="minor">
      <a:schemeClr val="dk1"/>
    </cs:fontRef>
    <cs:spPr>
      <a:ln w="9525">
        <a:solidFill>
          <a:schemeClr val="dk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ln>
    </cs:spPr>
  </cs:seriesLine>
  <cs:title>
    <cs:lnRef idx="0"/>
    <cs:fillRef idx="0"/>
    <cs:effectRef idx="0"/>
    <cs:fontRef idx="minor">
      <a:schemeClr val="dk1"/>
    </cs:fontRef>
    <cs:defRPr sz="1440" b="0" kern="1200" cap="all" spc="0" baseline="0">
      <a:gradFill>
        <a:gsLst>
          <a:gs pos="0">
            <a:schemeClr val="dk1">
              <a:lumMod val="50000"/>
              <a:lumOff val="50000"/>
            </a:schemeClr>
          </a:gs>
          <a:gs pos="100000">
            <a:schemeClr val="dk1">
              <a:lumMod val="85000"/>
              <a:lumOff val="15000"/>
            </a:schemeClr>
          </a:gs>
        </a:gsLst>
        <a:lin ang="5400000" scaled="0"/>
      </a:gradFill>
    </cs:defRPr>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50000"/>
            <a:lumOff val="50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26" ma:contentTypeDescription="The base project type from which other project content types inherit their information." ma:contentTypeScope="" ma:versionID="976951553aa431c6950bf4755254f7b3">
  <xsd:schema xmlns:xsd="http://www.w3.org/2001/XMLSchema" xmlns:xs="http://www.w3.org/2001/XMLSchema" xmlns:p="http://schemas.microsoft.com/office/2006/metadata/properties" xmlns:ns2="cdc7663a-08f0-4737-9e8c-148ce897a09c" targetNamespace="http://schemas.microsoft.com/office/2006/metadata/properties" ma:root="true" ma:fieldsID="8d073e775635db644a8d7d93086897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163" ma:contentTypeDescription="A content type to manage public (operations) IDB documents" ma:contentTypeScope="" ma:versionID="c06d6f7c141ee9f7594e9ee42b72a46e">
  <xsd:schema xmlns:xsd="http://www.w3.org/2001/XMLSchema" xmlns:xs="http://www.w3.org/2001/XMLSchema" xmlns:p="http://schemas.microsoft.com/office/2006/metadata/properties" xmlns:ns2="cdc7663a-08f0-4737-9e8c-148ce897a09c" targetNamespace="http://schemas.microsoft.com/office/2006/metadata/properties" ma:root="true" ma:fieldsID="ef1a656a2907f67721338e601b0d80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Alonso Martin,Tania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22</Value>
      <Value>25</Value>
      <Value>67</Value>
      <Value>1</Value>
      <Value>91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R0002227786</Record_x0020_Number>
    <_dlc_DocId xmlns="cdc7663a-08f0-4737-9e8c-148ce897a09c">EZSHARE-39050635-10</_dlc_DocId>
    <_dlc_DocIdUrl xmlns="cdc7663a-08f0-4737-9e8c-148ce897a09c">
      <Url>https://idbg.sharepoint.com/teams/EZ-PN-LON/PN-L1151/_layouts/15/DocIdRedir.aspx?ID=EZSHARE-39050635-10</Url>
      <Description>EZSHARE-39050635-10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059CE30-5D39-4CEC-A1C3-44393EF1C3E5}">
  <ds:schemaRefs>
    <ds:schemaRef ds:uri="http://schemas.openxmlformats.org/officeDocument/2006/bibliography"/>
  </ds:schemaRefs>
</ds:datastoreItem>
</file>

<file path=customXml/itemProps2.xml><?xml version="1.0" encoding="utf-8"?>
<ds:datastoreItem xmlns:ds="http://schemas.openxmlformats.org/officeDocument/2006/customXml" ds:itemID="{7728FB43-CECF-4AC0-9ACF-471C6CA25418}"/>
</file>

<file path=customXml/itemProps3.xml><?xml version="1.0" encoding="utf-8"?>
<ds:datastoreItem xmlns:ds="http://schemas.openxmlformats.org/officeDocument/2006/customXml" ds:itemID="{79A8943C-A639-4775-B172-5854063785BF}"/>
</file>

<file path=customXml/itemProps4.xml><?xml version="1.0" encoding="utf-8"?>
<ds:datastoreItem xmlns:ds="http://schemas.openxmlformats.org/officeDocument/2006/customXml" ds:itemID="{0E577E3B-EE0F-486E-92E9-EB0A26BCD22A}"/>
</file>

<file path=customXml/itemProps5.xml><?xml version="1.0" encoding="utf-8"?>
<ds:datastoreItem xmlns:ds="http://schemas.openxmlformats.org/officeDocument/2006/customXml" ds:itemID="{1D82877C-A40D-49EC-B7CB-396E09AFE91C}"/>
</file>

<file path=customXml/itemProps6.xml><?xml version="1.0" encoding="utf-8"?>
<ds:datastoreItem xmlns:ds="http://schemas.openxmlformats.org/officeDocument/2006/customXml" ds:itemID="{5082145C-7162-4993-B827-B9A59B851E31}"/>
</file>

<file path=customXml/itemProps7.xml><?xml version="1.0" encoding="utf-8"?>
<ds:datastoreItem xmlns:ds="http://schemas.openxmlformats.org/officeDocument/2006/customXml" ds:itemID="{CF5D9E7F-5AC1-4101-8DD4-4571384F7F2C}"/>
</file>

<file path=customXml/itemProps8.xml><?xml version="1.0" encoding="utf-8"?>
<ds:datastoreItem xmlns:ds="http://schemas.openxmlformats.org/officeDocument/2006/customXml" ds:itemID="{230E5BD4-2599-427E-A279-B06AD890865D}"/>
</file>

<file path=docProps/app.xml><?xml version="1.0" encoding="utf-8"?>
<Properties xmlns="http://schemas.openxmlformats.org/officeDocument/2006/extended-properties" xmlns:vt="http://schemas.openxmlformats.org/officeDocument/2006/docPropsVTypes">
  <Template>Normal.dotm</Template>
  <TotalTime>11</TotalTime>
  <Pages>13</Pages>
  <Words>5446</Words>
  <Characters>29954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Arteaga Velazquez, Gabriela Maria</cp:lastModifiedBy>
  <cp:revision>7</cp:revision>
  <cp:lastPrinted>2018-03-27T21:59:00Z</cp:lastPrinted>
  <dcterms:created xsi:type="dcterms:W3CDTF">2018-04-10T18:20:00Z</dcterms:created>
  <dcterms:modified xsi:type="dcterms:W3CDTF">2018-04-10T18:32:00Z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91;#LOGISTIC PLANNING, MULTIMODAL TRANSPORT AND LOGISTIC PLATFORMS|c57ab9df-eb0b-4c79-9bde-1271a3d462be</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67;#TRANSPORT|5a25d1a8-4baf-41a8-9e3b-e167accda6ea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89c5199a-5a7b-45a5-b463-fdd4ba78dfea</vt:lpwstr>
  </property>
  <property fmtid="{D5CDD505-2E9C-101B-9397-08002B2CF9AE}" pid="12" name="Disclosure Activity">
    <vt:lpwstr>Loan Proposal</vt:lpwstr>
  </property>
  <property fmtid="{D5CDD505-2E9C-101B-9397-08002B2CF9AE}" pid="13" name="ContentTypeId">
    <vt:lpwstr>0x0101001A458A224826124E8B45B1D613300CFC0041AF64753591D9489FDFDD5B2BC7F5AD</vt:lpwstr>
  </property>
</Properties>
</file>