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F70C2A" w14:textId="77777777" w:rsidR="00A763AE" w:rsidRPr="00074BA4" w:rsidRDefault="004C46EE" w:rsidP="00341A7E">
      <w:pPr>
        <w:autoSpaceDE w:val="0"/>
        <w:autoSpaceDN w:val="0"/>
        <w:adjustRightInd w:val="0"/>
        <w:spacing w:after="120" w:line="240" w:lineRule="auto"/>
        <w:jc w:val="center"/>
        <w:rPr>
          <w:rFonts w:ascii="Arial" w:hAnsi="Arial" w:cs="Arial"/>
          <w:b/>
          <w:bCs/>
          <w:smallCaps/>
          <w:sz w:val="18"/>
          <w:szCs w:val="18"/>
          <w:lang w:val="es-ES"/>
        </w:rPr>
      </w:pPr>
      <w:r w:rsidRPr="00074BA4">
        <w:rPr>
          <w:rFonts w:ascii="Arial" w:hAnsi="Arial" w:cs="Arial"/>
          <w:b/>
          <w:bCs/>
          <w:smallCaps/>
          <w:sz w:val="18"/>
          <w:szCs w:val="18"/>
          <w:lang w:val="es-ES"/>
        </w:rPr>
        <w:t>MATRIZ DE RESULTADOS</w:t>
      </w:r>
    </w:p>
    <w:p w14:paraId="689A873D" w14:textId="77777777" w:rsidR="00FF533C" w:rsidRPr="00074BA4" w:rsidRDefault="00FE40E8" w:rsidP="00FF533C">
      <w:pPr>
        <w:keepNext/>
        <w:widowControl w:val="0"/>
        <w:suppressAutoHyphens/>
        <w:spacing w:before="60" w:after="60"/>
        <w:jc w:val="both"/>
        <w:rPr>
          <w:rFonts w:ascii="Arial" w:hAnsi="Arial" w:cs="Arial"/>
          <w:sz w:val="18"/>
          <w:szCs w:val="18"/>
          <w:lang w:val="es-ES_tradnl"/>
        </w:rPr>
      </w:pPr>
      <w:r w:rsidRPr="00074BA4">
        <w:rPr>
          <w:rFonts w:ascii="Arial" w:hAnsi="Arial" w:cs="Arial"/>
          <w:b/>
          <w:sz w:val="18"/>
          <w:szCs w:val="18"/>
          <w:lang w:val="es-ES"/>
        </w:rPr>
        <w:t>O</w:t>
      </w:r>
      <w:r w:rsidR="004C46EE" w:rsidRPr="00074BA4">
        <w:rPr>
          <w:rFonts w:ascii="Arial" w:hAnsi="Arial" w:cs="Arial"/>
          <w:b/>
          <w:sz w:val="18"/>
          <w:szCs w:val="18"/>
          <w:lang w:val="es-ES"/>
        </w:rPr>
        <w:t>bjetivo</w:t>
      </w:r>
      <w:r w:rsidR="001975ED" w:rsidRPr="00074BA4">
        <w:rPr>
          <w:rFonts w:ascii="Arial" w:hAnsi="Arial" w:cs="Arial"/>
          <w:b/>
          <w:sz w:val="18"/>
          <w:szCs w:val="18"/>
          <w:lang w:val="es-ES"/>
        </w:rPr>
        <w:t>:</w:t>
      </w:r>
      <w:r w:rsidR="001975ED" w:rsidRPr="00074BA4">
        <w:rPr>
          <w:rFonts w:ascii="Arial" w:hAnsi="Arial" w:cs="Arial"/>
          <w:sz w:val="18"/>
          <w:szCs w:val="18"/>
          <w:lang w:val="es-ES"/>
        </w:rPr>
        <w:t xml:space="preserve"> </w:t>
      </w:r>
      <w:r w:rsidR="00FF533C" w:rsidRPr="00074BA4">
        <w:rPr>
          <w:rFonts w:ascii="Arial" w:hAnsi="Arial" w:cs="Arial"/>
          <w:sz w:val="18"/>
          <w:szCs w:val="18"/>
          <w:lang w:val="es-ES_tradnl"/>
        </w:rPr>
        <w:t>El objetivo del programa es contribuir a la mejora del desempeño logístico de Panamá, a través de la reducción de restricciones normativas e institucionales que limitan el desempeño del país especialmente en los ámbitos de: (i) SLVA; (ii) logística de apoyo al sector agrícola; y (iii) logística de apoyo al comercio regional.</w:t>
      </w:r>
    </w:p>
    <w:p w14:paraId="0B432327" w14:textId="77777777" w:rsidR="001975ED" w:rsidRPr="00074BA4" w:rsidRDefault="00FF533C" w:rsidP="00FF533C">
      <w:pPr>
        <w:pStyle w:val="Paragraph"/>
        <w:numPr>
          <w:ilvl w:val="0"/>
          <w:numId w:val="0"/>
        </w:numPr>
        <w:tabs>
          <w:tab w:val="left" w:pos="720"/>
        </w:tabs>
        <w:spacing w:before="0"/>
        <w:ind w:left="58" w:right="144"/>
        <w:rPr>
          <w:rFonts w:ascii="Arial" w:hAnsi="Arial" w:cs="Arial"/>
          <w:sz w:val="18"/>
          <w:szCs w:val="18"/>
          <w:lang w:val="es-ES"/>
        </w:rPr>
      </w:pPr>
      <w:r w:rsidRPr="00074BA4">
        <w:rPr>
          <w:rFonts w:ascii="Arial" w:hAnsi="Arial" w:cs="Arial"/>
          <w:b/>
          <w:spacing w:val="-3"/>
          <w:sz w:val="18"/>
          <w:szCs w:val="18"/>
          <w:lang w:val="es-ES_tradnl"/>
        </w:rPr>
        <w:t xml:space="preserve"> </w:t>
      </w:r>
      <w:r w:rsidRPr="00074BA4">
        <w:rPr>
          <w:rFonts w:ascii="Arial" w:hAnsi="Arial" w:cs="Arial"/>
          <w:spacing w:val="-3"/>
          <w:sz w:val="18"/>
          <w:szCs w:val="18"/>
          <w:lang w:val="es-ES_tradnl"/>
        </w:rPr>
        <w:t>Los objetivos específicos del programa son: (i) fortalecimiento del marco legal y regulatorio; (ii) consolidación del marco institucional de logística y transporte; y (iii) fortalecimiento del sistema de planificación multisectorial y de facilitación comercial, que contribuirán al incremento de la inversión en el sector de logística y transporte (puertos, aeropuerto y vías), la ampliación del área logística utilizada, a la reducción del tiempo del despacho de mercancías y a la provisión de recursos humanos en el área de logística.</w:t>
      </w:r>
    </w:p>
    <w:tbl>
      <w:tblPr>
        <w:tblW w:w="1413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0"/>
        <w:gridCol w:w="989"/>
        <w:gridCol w:w="1070"/>
        <w:gridCol w:w="815"/>
        <w:gridCol w:w="726"/>
        <w:gridCol w:w="766"/>
        <w:gridCol w:w="766"/>
        <w:gridCol w:w="766"/>
        <w:gridCol w:w="824"/>
        <w:gridCol w:w="1558"/>
        <w:gridCol w:w="4050"/>
      </w:tblGrid>
      <w:tr w:rsidR="00FF3DFD" w:rsidRPr="00074BA4" w14:paraId="3819F9B7" w14:textId="77777777" w:rsidTr="00C17BD3">
        <w:trPr>
          <w:trHeight w:val="64"/>
          <w:tblHeader/>
        </w:trPr>
        <w:tc>
          <w:tcPr>
            <w:tcW w:w="14130" w:type="dxa"/>
            <w:gridSpan w:val="11"/>
            <w:shd w:val="clear" w:color="auto" w:fill="C6D9F1"/>
            <w:vAlign w:val="center"/>
          </w:tcPr>
          <w:p w14:paraId="29A8498A" w14:textId="77777777" w:rsidR="00FF3DFD" w:rsidRPr="00074BA4" w:rsidRDefault="00FF3DFD" w:rsidP="002F6A68">
            <w:pPr>
              <w:spacing w:after="0" w:line="240" w:lineRule="auto"/>
              <w:jc w:val="center"/>
              <w:rPr>
                <w:rFonts w:ascii="Arial" w:hAnsi="Arial" w:cs="Arial"/>
                <w:b/>
                <w:sz w:val="18"/>
                <w:szCs w:val="18"/>
                <w:lang w:val="es-ES_tradnl"/>
              </w:rPr>
            </w:pPr>
            <w:r w:rsidRPr="00074BA4">
              <w:rPr>
                <w:rFonts w:ascii="Arial" w:hAnsi="Arial" w:cs="Arial"/>
                <w:b/>
                <w:sz w:val="18"/>
                <w:szCs w:val="18"/>
                <w:lang w:val="es-ES"/>
              </w:rPr>
              <w:t>Impactos Esperados</w:t>
            </w:r>
          </w:p>
        </w:tc>
      </w:tr>
      <w:tr w:rsidR="00021AF9" w:rsidRPr="00074BA4" w14:paraId="47C22B42" w14:textId="77777777" w:rsidTr="00C17BD3">
        <w:trPr>
          <w:trHeight w:val="548"/>
          <w:tblHeader/>
        </w:trPr>
        <w:tc>
          <w:tcPr>
            <w:tcW w:w="1800" w:type="dxa"/>
            <w:shd w:val="clear" w:color="auto" w:fill="C6D9F1"/>
            <w:vAlign w:val="center"/>
          </w:tcPr>
          <w:p w14:paraId="578DBF5D" w14:textId="77777777" w:rsidR="00021AF9" w:rsidRPr="00074BA4" w:rsidRDefault="00021AF9" w:rsidP="002F6A68">
            <w:pPr>
              <w:spacing w:after="0" w:line="240" w:lineRule="auto"/>
              <w:jc w:val="center"/>
              <w:rPr>
                <w:rFonts w:ascii="Arial" w:hAnsi="Arial" w:cs="Arial"/>
                <w:b/>
                <w:sz w:val="18"/>
                <w:szCs w:val="18"/>
                <w:lang w:val="es-ES_tradnl"/>
              </w:rPr>
            </w:pPr>
            <w:r w:rsidRPr="00074BA4">
              <w:rPr>
                <w:rFonts w:ascii="Arial" w:hAnsi="Arial" w:cs="Arial"/>
                <w:b/>
                <w:sz w:val="18"/>
                <w:szCs w:val="18"/>
                <w:lang w:val="es-ES_tradnl"/>
              </w:rPr>
              <w:t>Indicadores</w:t>
            </w:r>
          </w:p>
        </w:tc>
        <w:tc>
          <w:tcPr>
            <w:tcW w:w="989" w:type="dxa"/>
            <w:shd w:val="clear" w:color="auto" w:fill="C6D9F1"/>
            <w:vAlign w:val="center"/>
          </w:tcPr>
          <w:p w14:paraId="73F34379" w14:textId="77777777" w:rsidR="00021AF9" w:rsidRPr="00074BA4" w:rsidRDefault="00021AF9" w:rsidP="0040752D">
            <w:pPr>
              <w:spacing w:after="0" w:line="240" w:lineRule="auto"/>
              <w:jc w:val="center"/>
              <w:rPr>
                <w:rFonts w:ascii="Arial" w:hAnsi="Arial" w:cs="Arial"/>
                <w:b/>
                <w:sz w:val="18"/>
                <w:szCs w:val="18"/>
                <w:lang w:val="es-ES_tradnl"/>
              </w:rPr>
            </w:pPr>
            <w:r w:rsidRPr="00074BA4">
              <w:rPr>
                <w:rFonts w:ascii="Arial" w:hAnsi="Arial" w:cs="Arial"/>
                <w:b/>
                <w:sz w:val="18"/>
                <w:szCs w:val="18"/>
                <w:lang w:val="es-ES_tradnl"/>
              </w:rPr>
              <w:t>Unidad</w:t>
            </w:r>
          </w:p>
        </w:tc>
        <w:tc>
          <w:tcPr>
            <w:tcW w:w="1070" w:type="dxa"/>
            <w:shd w:val="clear" w:color="auto" w:fill="C6D9F1"/>
            <w:vAlign w:val="center"/>
          </w:tcPr>
          <w:p w14:paraId="5670805A" w14:textId="77777777" w:rsidR="00021AF9" w:rsidRPr="00074BA4" w:rsidRDefault="00021AF9" w:rsidP="002F6A68">
            <w:pPr>
              <w:spacing w:after="0" w:line="240" w:lineRule="auto"/>
              <w:jc w:val="center"/>
              <w:rPr>
                <w:rFonts w:ascii="Arial" w:hAnsi="Arial" w:cs="Arial"/>
                <w:b/>
                <w:sz w:val="18"/>
                <w:szCs w:val="18"/>
                <w:lang w:val="es-ES_tradnl"/>
              </w:rPr>
            </w:pPr>
            <w:r w:rsidRPr="00074BA4">
              <w:rPr>
                <w:rFonts w:ascii="Arial" w:hAnsi="Arial" w:cs="Arial"/>
                <w:b/>
                <w:sz w:val="18"/>
                <w:szCs w:val="18"/>
                <w:lang w:val="es-ES_tradnl"/>
              </w:rPr>
              <w:t>Línea de Base</w:t>
            </w:r>
          </w:p>
          <w:p w14:paraId="34F8DF3A" w14:textId="77777777" w:rsidR="00021AF9" w:rsidRPr="00074BA4" w:rsidRDefault="00021AF9" w:rsidP="00E443DF">
            <w:pPr>
              <w:spacing w:after="0" w:line="240" w:lineRule="auto"/>
              <w:jc w:val="center"/>
              <w:rPr>
                <w:rFonts w:ascii="Arial" w:hAnsi="Arial" w:cs="Arial"/>
                <w:b/>
                <w:sz w:val="18"/>
                <w:szCs w:val="18"/>
                <w:lang w:val="es-ES_tradnl"/>
              </w:rPr>
            </w:pPr>
            <w:r w:rsidRPr="00074BA4">
              <w:rPr>
                <w:rFonts w:ascii="Arial" w:hAnsi="Arial" w:cs="Arial"/>
                <w:b/>
                <w:sz w:val="18"/>
                <w:szCs w:val="18"/>
                <w:lang w:val="es-ES_tradnl"/>
              </w:rPr>
              <w:t>2014</w:t>
            </w:r>
          </w:p>
        </w:tc>
        <w:tc>
          <w:tcPr>
            <w:tcW w:w="815" w:type="dxa"/>
            <w:shd w:val="clear" w:color="auto" w:fill="C6D9F1"/>
            <w:vAlign w:val="center"/>
          </w:tcPr>
          <w:p w14:paraId="4A988870" w14:textId="77777777" w:rsidR="00021AF9" w:rsidRPr="00074BA4" w:rsidRDefault="00021AF9" w:rsidP="00021AF9">
            <w:pPr>
              <w:spacing w:after="0" w:line="240" w:lineRule="auto"/>
              <w:jc w:val="center"/>
              <w:rPr>
                <w:rFonts w:ascii="Arial" w:hAnsi="Arial" w:cs="Arial"/>
                <w:b/>
                <w:sz w:val="18"/>
                <w:szCs w:val="18"/>
                <w:lang w:val="es-ES_tradnl"/>
              </w:rPr>
            </w:pPr>
            <w:r w:rsidRPr="00074BA4">
              <w:rPr>
                <w:rFonts w:ascii="Arial" w:hAnsi="Arial" w:cs="Arial"/>
                <w:b/>
                <w:sz w:val="18"/>
                <w:szCs w:val="18"/>
                <w:lang w:val="es-ES_tradnl"/>
              </w:rPr>
              <w:t>2015</w:t>
            </w:r>
          </w:p>
        </w:tc>
        <w:tc>
          <w:tcPr>
            <w:tcW w:w="726" w:type="dxa"/>
            <w:shd w:val="clear" w:color="auto" w:fill="C6D9F1"/>
            <w:vAlign w:val="center"/>
          </w:tcPr>
          <w:p w14:paraId="58B71EC2" w14:textId="77777777" w:rsidR="00021AF9" w:rsidRPr="00074BA4" w:rsidRDefault="00021AF9" w:rsidP="00640658">
            <w:pPr>
              <w:spacing w:after="0" w:line="240" w:lineRule="auto"/>
              <w:jc w:val="center"/>
              <w:rPr>
                <w:rFonts w:ascii="Arial" w:hAnsi="Arial" w:cs="Arial"/>
                <w:sz w:val="18"/>
                <w:szCs w:val="18"/>
                <w:lang w:val="es-ES_tradnl"/>
              </w:rPr>
            </w:pPr>
            <w:r w:rsidRPr="00074BA4">
              <w:rPr>
                <w:rFonts w:ascii="Arial" w:hAnsi="Arial" w:cs="Arial"/>
                <w:b/>
                <w:sz w:val="18"/>
                <w:szCs w:val="18"/>
                <w:lang w:val="es-ES_tradnl"/>
              </w:rPr>
              <w:t>2016</w:t>
            </w:r>
          </w:p>
        </w:tc>
        <w:tc>
          <w:tcPr>
            <w:tcW w:w="766" w:type="dxa"/>
            <w:shd w:val="clear" w:color="auto" w:fill="C6D9F1"/>
            <w:vAlign w:val="center"/>
          </w:tcPr>
          <w:p w14:paraId="0423CBCD" w14:textId="77777777" w:rsidR="00021AF9" w:rsidRPr="00074BA4" w:rsidRDefault="00021AF9" w:rsidP="00234E26">
            <w:pPr>
              <w:spacing w:after="0" w:line="240" w:lineRule="auto"/>
              <w:jc w:val="center"/>
              <w:rPr>
                <w:rFonts w:ascii="Arial" w:hAnsi="Arial" w:cs="Arial"/>
                <w:b/>
                <w:sz w:val="18"/>
                <w:szCs w:val="18"/>
                <w:lang w:val="es-ES_tradnl"/>
              </w:rPr>
            </w:pPr>
            <w:r w:rsidRPr="00074BA4">
              <w:rPr>
                <w:rFonts w:ascii="Arial" w:hAnsi="Arial" w:cs="Arial"/>
                <w:b/>
                <w:sz w:val="18"/>
                <w:szCs w:val="18"/>
                <w:lang w:val="es-ES_tradnl"/>
              </w:rPr>
              <w:t>2017</w:t>
            </w:r>
          </w:p>
        </w:tc>
        <w:tc>
          <w:tcPr>
            <w:tcW w:w="766" w:type="dxa"/>
            <w:shd w:val="clear" w:color="auto" w:fill="C6D9F1"/>
            <w:vAlign w:val="center"/>
          </w:tcPr>
          <w:p w14:paraId="6C4E2A59" w14:textId="77777777" w:rsidR="00021AF9" w:rsidRPr="00074BA4" w:rsidRDefault="00021AF9" w:rsidP="00045431">
            <w:pPr>
              <w:spacing w:after="0" w:line="240" w:lineRule="auto"/>
              <w:jc w:val="center"/>
              <w:rPr>
                <w:rFonts w:ascii="Arial" w:hAnsi="Arial" w:cs="Arial"/>
                <w:b/>
                <w:sz w:val="18"/>
                <w:szCs w:val="18"/>
                <w:lang w:val="es-ES_tradnl"/>
              </w:rPr>
            </w:pPr>
            <w:r w:rsidRPr="00074BA4">
              <w:rPr>
                <w:rFonts w:ascii="Arial" w:hAnsi="Arial" w:cs="Arial"/>
                <w:b/>
                <w:sz w:val="18"/>
                <w:szCs w:val="18"/>
                <w:lang w:val="es-ES_tradnl"/>
              </w:rPr>
              <w:t>2018</w:t>
            </w:r>
          </w:p>
        </w:tc>
        <w:tc>
          <w:tcPr>
            <w:tcW w:w="766" w:type="dxa"/>
            <w:shd w:val="clear" w:color="auto" w:fill="C6D9F1"/>
            <w:vAlign w:val="center"/>
          </w:tcPr>
          <w:p w14:paraId="0DBB7EFD" w14:textId="77777777" w:rsidR="00021AF9" w:rsidRPr="00074BA4" w:rsidRDefault="00021AF9" w:rsidP="00045431">
            <w:pPr>
              <w:spacing w:after="0" w:line="240" w:lineRule="auto"/>
              <w:jc w:val="center"/>
              <w:rPr>
                <w:rFonts w:ascii="Arial" w:hAnsi="Arial" w:cs="Arial"/>
                <w:b/>
                <w:sz w:val="18"/>
                <w:szCs w:val="18"/>
                <w:lang w:val="es-ES_tradnl"/>
              </w:rPr>
            </w:pPr>
            <w:r w:rsidRPr="00074BA4">
              <w:rPr>
                <w:rFonts w:ascii="Arial" w:hAnsi="Arial" w:cs="Arial"/>
                <w:b/>
                <w:sz w:val="18"/>
                <w:szCs w:val="18"/>
                <w:lang w:val="es-ES_tradnl"/>
              </w:rPr>
              <w:t>2019</w:t>
            </w:r>
          </w:p>
        </w:tc>
        <w:tc>
          <w:tcPr>
            <w:tcW w:w="824" w:type="dxa"/>
            <w:shd w:val="clear" w:color="auto" w:fill="C6D9F1"/>
            <w:vAlign w:val="center"/>
          </w:tcPr>
          <w:p w14:paraId="6D035DB0" w14:textId="77777777" w:rsidR="00021AF9" w:rsidRPr="00074BA4" w:rsidRDefault="00021AF9" w:rsidP="007B169B">
            <w:pPr>
              <w:spacing w:after="0" w:line="240" w:lineRule="auto"/>
              <w:jc w:val="center"/>
              <w:rPr>
                <w:rFonts w:ascii="Arial" w:hAnsi="Arial" w:cs="Arial"/>
                <w:b/>
                <w:sz w:val="18"/>
                <w:szCs w:val="18"/>
                <w:lang w:val="es-ES_tradnl"/>
              </w:rPr>
            </w:pPr>
            <w:r w:rsidRPr="00074BA4">
              <w:rPr>
                <w:rFonts w:ascii="Arial" w:hAnsi="Arial" w:cs="Arial"/>
                <w:b/>
                <w:sz w:val="18"/>
                <w:szCs w:val="18"/>
                <w:lang w:val="es-ES_tradnl"/>
              </w:rPr>
              <w:t>Meta</w:t>
            </w:r>
          </w:p>
          <w:p w14:paraId="352E2877" w14:textId="77777777" w:rsidR="00021AF9" w:rsidRPr="00074BA4" w:rsidRDefault="00021AF9" w:rsidP="00DB2E2D">
            <w:pPr>
              <w:spacing w:after="0" w:line="240" w:lineRule="auto"/>
              <w:jc w:val="center"/>
              <w:rPr>
                <w:rFonts w:ascii="Arial" w:hAnsi="Arial" w:cs="Arial"/>
                <w:b/>
                <w:sz w:val="18"/>
                <w:szCs w:val="18"/>
                <w:lang w:val="es-ES_tradnl"/>
              </w:rPr>
            </w:pPr>
            <w:r w:rsidRPr="00074BA4">
              <w:rPr>
                <w:rFonts w:ascii="Arial" w:hAnsi="Arial" w:cs="Arial"/>
                <w:b/>
                <w:sz w:val="18"/>
                <w:szCs w:val="18"/>
                <w:lang w:val="es-ES_tradnl"/>
              </w:rPr>
              <w:t>2020</w:t>
            </w:r>
          </w:p>
        </w:tc>
        <w:tc>
          <w:tcPr>
            <w:tcW w:w="1558" w:type="dxa"/>
            <w:shd w:val="clear" w:color="auto" w:fill="C6D9F1"/>
            <w:vAlign w:val="center"/>
          </w:tcPr>
          <w:p w14:paraId="46D33D10" w14:textId="77777777" w:rsidR="00021AF9" w:rsidRPr="00074BA4" w:rsidRDefault="00021AF9" w:rsidP="002F6A68">
            <w:pPr>
              <w:spacing w:after="0" w:line="240" w:lineRule="auto"/>
              <w:jc w:val="center"/>
              <w:rPr>
                <w:rFonts w:ascii="Arial" w:hAnsi="Arial" w:cs="Arial"/>
                <w:b/>
                <w:sz w:val="18"/>
                <w:szCs w:val="18"/>
                <w:lang w:val="es-ES_tradnl"/>
              </w:rPr>
            </w:pPr>
            <w:r w:rsidRPr="00074BA4">
              <w:rPr>
                <w:rFonts w:ascii="Arial" w:hAnsi="Arial" w:cs="Arial"/>
                <w:b/>
                <w:sz w:val="18"/>
                <w:szCs w:val="18"/>
                <w:lang w:val="es-ES_tradnl"/>
              </w:rPr>
              <w:t>Medios de Verificación</w:t>
            </w:r>
          </w:p>
        </w:tc>
        <w:tc>
          <w:tcPr>
            <w:tcW w:w="4050" w:type="dxa"/>
            <w:shd w:val="clear" w:color="auto" w:fill="C6D9F1"/>
            <w:vAlign w:val="center"/>
          </w:tcPr>
          <w:p w14:paraId="30DA74DE" w14:textId="77777777" w:rsidR="00021AF9" w:rsidRPr="00074BA4" w:rsidRDefault="00021AF9" w:rsidP="002F6A68">
            <w:pPr>
              <w:spacing w:after="0" w:line="240" w:lineRule="auto"/>
              <w:jc w:val="center"/>
              <w:rPr>
                <w:rFonts w:ascii="Arial" w:hAnsi="Arial" w:cs="Arial"/>
                <w:b/>
                <w:sz w:val="18"/>
                <w:szCs w:val="18"/>
                <w:lang w:val="es-ES_tradnl"/>
              </w:rPr>
            </w:pPr>
            <w:r w:rsidRPr="00074BA4">
              <w:rPr>
                <w:rFonts w:ascii="Arial" w:hAnsi="Arial" w:cs="Arial"/>
                <w:b/>
                <w:sz w:val="18"/>
                <w:szCs w:val="18"/>
                <w:lang w:val="es-ES_tradnl"/>
              </w:rPr>
              <w:t>Comentarios</w:t>
            </w:r>
          </w:p>
        </w:tc>
      </w:tr>
      <w:tr w:rsidR="00021AF9" w:rsidRPr="00DF1F8D" w14:paraId="1B6FCFEA" w14:textId="77777777" w:rsidTr="00C17BD3">
        <w:trPr>
          <w:trHeight w:val="252"/>
        </w:trPr>
        <w:tc>
          <w:tcPr>
            <w:tcW w:w="14130" w:type="dxa"/>
            <w:gridSpan w:val="11"/>
            <w:shd w:val="clear" w:color="auto" w:fill="D9D9D9"/>
          </w:tcPr>
          <w:p w14:paraId="7F026F2B" w14:textId="77777777" w:rsidR="00021AF9" w:rsidRPr="00074BA4" w:rsidRDefault="00021AF9" w:rsidP="00640658">
            <w:pPr>
              <w:spacing w:after="0" w:line="240" w:lineRule="auto"/>
              <w:rPr>
                <w:rFonts w:ascii="Arial" w:hAnsi="Arial" w:cs="Arial"/>
                <w:b/>
                <w:sz w:val="18"/>
                <w:szCs w:val="18"/>
                <w:lang w:val="es-ES_tradnl"/>
              </w:rPr>
            </w:pPr>
            <w:r w:rsidRPr="00074BA4">
              <w:rPr>
                <w:rFonts w:ascii="Arial" w:hAnsi="Arial" w:cs="Arial"/>
                <w:b/>
                <w:sz w:val="18"/>
                <w:szCs w:val="18"/>
                <w:lang w:val="es-ES_tradnl"/>
              </w:rPr>
              <w:t xml:space="preserve">Impacto 1: Incremento del desempeño del sector logístico de Panamá </w:t>
            </w:r>
          </w:p>
        </w:tc>
      </w:tr>
      <w:tr w:rsidR="00021AF9" w:rsidRPr="00DF1F8D" w14:paraId="1430DEBC" w14:textId="77777777" w:rsidTr="00C17BD3">
        <w:trPr>
          <w:trHeight w:val="1781"/>
        </w:trPr>
        <w:tc>
          <w:tcPr>
            <w:tcW w:w="1800" w:type="dxa"/>
            <w:vAlign w:val="center"/>
          </w:tcPr>
          <w:p w14:paraId="2B881143" w14:textId="77777777" w:rsidR="00021AF9" w:rsidRPr="00074BA4" w:rsidRDefault="00021AF9" w:rsidP="00521F6F">
            <w:pPr>
              <w:spacing w:after="0" w:line="240" w:lineRule="auto"/>
              <w:ind w:hanging="18"/>
              <w:rPr>
                <w:rFonts w:ascii="Arial" w:hAnsi="Arial" w:cs="Arial"/>
                <w:sz w:val="18"/>
                <w:szCs w:val="18"/>
                <w:lang w:val="es-ES_tradnl"/>
              </w:rPr>
            </w:pPr>
            <w:r w:rsidRPr="00074BA4">
              <w:rPr>
                <w:rFonts w:ascii="Arial" w:hAnsi="Arial" w:cs="Arial"/>
                <w:sz w:val="18"/>
                <w:szCs w:val="18"/>
                <w:lang w:val="es-ES_tradnl"/>
              </w:rPr>
              <w:t xml:space="preserve">Índice de Desempeño en Logística (LPI) </w:t>
            </w:r>
          </w:p>
        </w:tc>
        <w:tc>
          <w:tcPr>
            <w:tcW w:w="989" w:type="dxa"/>
            <w:vAlign w:val="center"/>
          </w:tcPr>
          <w:p w14:paraId="1E0AF53C" w14:textId="77777777" w:rsidR="00021AF9" w:rsidRPr="00074BA4" w:rsidRDefault="00021AF9"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Índice</w:t>
            </w:r>
          </w:p>
        </w:tc>
        <w:tc>
          <w:tcPr>
            <w:tcW w:w="1070" w:type="dxa"/>
            <w:vAlign w:val="center"/>
          </w:tcPr>
          <w:p w14:paraId="256EB3A0" w14:textId="77777777" w:rsidR="00021AF9" w:rsidRPr="00074BA4" w:rsidRDefault="00021AF9"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3.19</w:t>
            </w:r>
          </w:p>
        </w:tc>
        <w:tc>
          <w:tcPr>
            <w:tcW w:w="815" w:type="dxa"/>
            <w:vAlign w:val="center"/>
          </w:tcPr>
          <w:p w14:paraId="22EDB6C7" w14:textId="77777777" w:rsidR="00021AF9" w:rsidRPr="00074BA4" w:rsidRDefault="00021AF9" w:rsidP="005E3920">
            <w:pPr>
              <w:spacing w:after="0" w:line="240" w:lineRule="auto"/>
              <w:ind w:hanging="18"/>
              <w:jc w:val="center"/>
              <w:rPr>
                <w:rFonts w:ascii="Arial" w:hAnsi="Arial" w:cs="Arial"/>
                <w:sz w:val="18"/>
                <w:szCs w:val="18"/>
                <w:lang w:val="es-ES_tradnl"/>
              </w:rPr>
            </w:pPr>
          </w:p>
        </w:tc>
        <w:tc>
          <w:tcPr>
            <w:tcW w:w="726" w:type="dxa"/>
            <w:vAlign w:val="center"/>
          </w:tcPr>
          <w:p w14:paraId="7FAD0A9D" w14:textId="38EC06FC" w:rsidR="00571301" w:rsidRPr="00074BA4" w:rsidRDefault="00021AF9" w:rsidP="00311A92">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3.</w:t>
            </w:r>
            <w:r w:rsidR="00424652" w:rsidRPr="00074BA4">
              <w:rPr>
                <w:rFonts w:ascii="Arial" w:hAnsi="Arial" w:cs="Arial"/>
                <w:sz w:val="18"/>
                <w:szCs w:val="18"/>
                <w:lang w:val="es-ES_tradnl"/>
              </w:rPr>
              <w:t>3</w:t>
            </w:r>
            <w:r w:rsidR="00571301" w:rsidRPr="00074BA4">
              <w:rPr>
                <w:rFonts w:ascii="Arial" w:hAnsi="Arial" w:cs="Arial"/>
                <w:sz w:val="18"/>
                <w:szCs w:val="18"/>
                <w:lang w:val="es-ES_tradnl"/>
              </w:rPr>
              <w:t>4</w:t>
            </w:r>
            <w:r w:rsidR="003429F0" w:rsidRPr="00074BA4">
              <w:rPr>
                <w:rFonts w:ascii="Arial" w:hAnsi="Arial" w:cs="Arial"/>
                <w:sz w:val="18"/>
                <w:szCs w:val="18"/>
                <w:lang w:val="es-ES_tradnl"/>
              </w:rPr>
              <w:t>*</w:t>
            </w:r>
          </w:p>
        </w:tc>
        <w:tc>
          <w:tcPr>
            <w:tcW w:w="766" w:type="dxa"/>
            <w:vAlign w:val="center"/>
          </w:tcPr>
          <w:p w14:paraId="2C7D287D" w14:textId="77777777" w:rsidR="00021AF9" w:rsidRPr="00074BA4" w:rsidRDefault="00021AF9" w:rsidP="005E3920">
            <w:pPr>
              <w:spacing w:after="0" w:line="240" w:lineRule="auto"/>
              <w:ind w:hanging="18"/>
              <w:jc w:val="center"/>
              <w:rPr>
                <w:rFonts w:ascii="Arial" w:hAnsi="Arial" w:cs="Arial"/>
                <w:sz w:val="18"/>
                <w:szCs w:val="18"/>
                <w:lang w:val="es-ES_tradnl"/>
              </w:rPr>
            </w:pPr>
          </w:p>
        </w:tc>
        <w:tc>
          <w:tcPr>
            <w:tcW w:w="766" w:type="dxa"/>
            <w:vAlign w:val="center"/>
          </w:tcPr>
          <w:p w14:paraId="58871C33" w14:textId="77777777" w:rsidR="00021AF9" w:rsidRPr="00074BA4" w:rsidRDefault="00424652"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3.40</w:t>
            </w:r>
          </w:p>
        </w:tc>
        <w:tc>
          <w:tcPr>
            <w:tcW w:w="766" w:type="dxa"/>
            <w:vAlign w:val="center"/>
          </w:tcPr>
          <w:p w14:paraId="5251B3BB" w14:textId="77777777" w:rsidR="00021AF9" w:rsidRPr="00074BA4" w:rsidRDefault="00021AF9" w:rsidP="005E3920">
            <w:pPr>
              <w:spacing w:after="0" w:line="240" w:lineRule="auto"/>
              <w:ind w:hanging="18"/>
              <w:jc w:val="center"/>
              <w:rPr>
                <w:rFonts w:ascii="Arial" w:hAnsi="Arial" w:cs="Arial"/>
                <w:sz w:val="18"/>
                <w:szCs w:val="18"/>
                <w:lang w:val="es-ES_tradnl"/>
              </w:rPr>
            </w:pPr>
          </w:p>
        </w:tc>
        <w:tc>
          <w:tcPr>
            <w:tcW w:w="824" w:type="dxa"/>
            <w:vAlign w:val="center"/>
          </w:tcPr>
          <w:p w14:paraId="2368F9A8" w14:textId="77777777" w:rsidR="00021AF9" w:rsidRPr="00074BA4" w:rsidRDefault="00021AF9"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3.46</w:t>
            </w:r>
          </w:p>
        </w:tc>
        <w:tc>
          <w:tcPr>
            <w:tcW w:w="1558" w:type="dxa"/>
          </w:tcPr>
          <w:p w14:paraId="0D3E6B04" w14:textId="77777777" w:rsidR="00021AF9" w:rsidRPr="00074BA4" w:rsidRDefault="00021AF9" w:rsidP="00A41706">
            <w:pPr>
              <w:spacing w:after="0" w:line="240" w:lineRule="auto"/>
              <w:ind w:hanging="18"/>
              <w:jc w:val="both"/>
              <w:rPr>
                <w:rFonts w:ascii="Arial" w:hAnsi="Arial" w:cs="Arial"/>
                <w:sz w:val="18"/>
                <w:szCs w:val="18"/>
              </w:rPr>
            </w:pPr>
            <w:r w:rsidRPr="00074BA4">
              <w:rPr>
                <w:rFonts w:ascii="Arial" w:hAnsi="Arial" w:cs="Arial"/>
                <w:sz w:val="18"/>
                <w:szCs w:val="18"/>
              </w:rPr>
              <w:t xml:space="preserve">Logistics </w:t>
            </w:r>
            <w:r w:rsidRPr="00074BA4">
              <w:rPr>
                <w:rFonts w:ascii="Arial" w:hAnsi="Arial" w:cs="Arial"/>
                <w:i/>
                <w:sz w:val="18"/>
                <w:szCs w:val="18"/>
              </w:rPr>
              <w:t>Performance Index Report LPI</w:t>
            </w:r>
            <w:r w:rsidR="001275B3" w:rsidRPr="00074BA4">
              <w:rPr>
                <w:rFonts w:ascii="Arial" w:hAnsi="Arial" w:cs="Arial"/>
                <w:i/>
                <w:sz w:val="18"/>
                <w:szCs w:val="18"/>
              </w:rPr>
              <w:t xml:space="preserve"> </w:t>
            </w:r>
            <w:r w:rsidRPr="00074BA4">
              <w:rPr>
                <w:rFonts w:ascii="Arial" w:hAnsi="Arial" w:cs="Arial"/>
                <w:i/>
                <w:sz w:val="18"/>
                <w:szCs w:val="18"/>
              </w:rPr>
              <w:t>– World Bank</w:t>
            </w:r>
          </w:p>
        </w:tc>
        <w:tc>
          <w:tcPr>
            <w:tcW w:w="4050" w:type="dxa"/>
          </w:tcPr>
          <w:p w14:paraId="2E9C28C9" w14:textId="77777777" w:rsidR="00021AF9" w:rsidRPr="00074BA4" w:rsidRDefault="00021AF9" w:rsidP="00955D9E">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El índice varía entre 1–5.</w:t>
            </w:r>
          </w:p>
          <w:p w14:paraId="37D56091" w14:textId="77777777" w:rsidR="00785213" w:rsidRPr="00074BA4" w:rsidRDefault="00427488" w:rsidP="00955D9E">
            <w:pPr>
              <w:spacing w:after="0" w:line="240" w:lineRule="auto"/>
              <w:ind w:hanging="18"/>
              <w:jc w:val="both"/>
              <w:rPr>
                <w:rStyle w:val="Hyperlink"/>
                <w:rFonts w:ascii="Arial" w:hAnsi="Arial" w:cs="Arial"/>
                <w:sz w:val="18"/>
                <w:szCs w:val="18"/>
                <w:lang w:val="es-PA"/>
              </w:rPr>
            </w:pPr>
            <w:hyperlink r:id="rId13" w:history="1">
              <w:r w:rsidR="00785213" w:rsidRPr="00074BA4">
                <w:rPr>
                  <w:rStyle w:val="Hyperlink"/>
                  <w:rFonts w:ascii="Arial" w:hAnsi="Arial" w:cs="Arial"/>
                  <w:sz w:val="18"/>
                  <w:szCs w:val="18"/>
                  <w:lang w:val="es-PA"/>
                </w:rPr>
                <w:t>http://datos.bancomundial.org/indicador/LP.LPI.OVRL.XQ</w:t>
              </w:r>
            </w:hyperlink>
          </w:p>
          <w:p w14:paraId="0FE66156" w14:textId="77777777" w:rsidR="003B351C" w:rsidRPr="00074BA4" w:rsidRDefault="003B351C" w:rsidP="00955D9E">
            <w:pPr>
              <w:spacing w:after="0" w:line="240" w:lineRule="auto"/>
              <w:ind w:hanging="18"/>
              <w:jc w:val="both"/>
              <w:rPr>
                <w:rFonts w:ascii="Arial" w:hAnsi="Arial" w:cs="Arial"/>
                <w:sz w:val="18"/>
                <w:szCs w:val="18"/>
                <w:lang w:val="es-ES_tradnl"/>
              </w:rPr>
            </w:pPr>
            <w:r w:rsidRPr="00074BA4">
              <w:rPr>
                <w:rStyle w:val="hps"/>
                <w:rFonts w:ascii="Arial" w:hAnsi="Arial" w:cs="Arial"/>
                <w:color w:val="222222"/>
                <w:sz w:val="18"/>
                <w:szCs w:val="18"/>
                <w:lang w:val="es-ES"/>
              </w:rPr>
              <w:t xml:space="preserve">El </w:t>
            </w:r>
            <w:r w:rsidR="002064ED" w:rsidRPr="00074BA4">
              <w:rPr>
                <w:rStyle w:val="hps"/>
                <w:rFonts w:ascii="Arial" w:hAnsi="Arial" w:cs="Arial"/>
                <w:color w:val="222222"/>
                <w:sz w:val="18"/>
                <w:szCs w:val="18"/>
                <w:lang w:val="es-ES"/>
              </w:rPr>
              <w:t>Índice</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de Desempeño Logístico</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refleja</w:t>
            </w:r>
            <w:r w:rsidR="002064ED" w:rsidRPr="00074BA4">
              <w:rPr>
                <w:rFonts w:ascii="Arial" w:hAnsi="Arial" w:cs="Arial"/>
                <w:color w:val="222222"/>
                <w:sz w:val="18"/>
                <w:szCs w:val="18"/>
                <w:lang w:val="es-ES"/>
              </w:rPr>
              <w:t xml:space="preserve"> </w:t>
            </w:r>
            <w:r w:rsidRPr="00074BA4">
              <w:rPr>
                <w:rFonts w:ascii="Arial" w:hAnsi="Arial" w:cs="Arial"/>
                <w:color w:val="222222"/>
                <w:sz w:val="18"/>
                <w:szCs w:val="18"/>
                <w:lang w:val="es-ES"/>
              </w:rPr>
              <w:t xml:space="preserve">el desempeño </w:t>
            </w:r>
            <w:r w:rsidRPr="00074BA4">
              <w:rPr>
                <w:rStyle w:val="hps"/>
                <w:rFonts w:ascii="Arial" w:hAnsi="Arial" w:cs="Arial"/>
                <w:color w:val="222222"/>
                <w:sz w:val="18"/>
                <w:szCs w:val="18"/>
                <w:lang w:val="es-ES"/>
              </w:rPr>
              <w:t xml:space="preserve">del sector </w:t>
            </w:r>
            <w:r w:rsidR="002064ED" w:rsidRPr="00074BA4">
              <w:rPr>
                <w:rStyle w:val="hps"/>
                <w:rFonts w:ascii="Arial" w:hAnsi="Arial" w:cs="Arial"/>
                <w:color w:val="222222"/>
                <w:sz w:val="18"/>
                <w:szCs w:val="18"/>
                <w:lang w:val="es-ES"/>
              </w:rPr>
              <w:t>logístic</w:t>
            </w:r>
            <w:r w:rsidRPr="00074BA4">
              <w:rPr>
                <w:rStyle w:val="hps"/>
                <w:rFonts w:ascii="Arial" w:hAnsi="Arial" w:cs="Arial"/>
                <w:color w:val="222222"/>
                <w:sz w:val="18"/>
                <w:szCs w:val="18"/>
                <w:lang w:val="es-ES"/>
              </w:rPr>
              <w:t>o</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de un país</w:t>
            </w:r>
            <w:r w:rsidRPr="00074BA4">
              <w:rPr>
                <w:rStyle w:val="hps"/>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basado en</w:t>
            </w:r>
            <w:r w:rsidRPr="00074BA4">
              <w:rPr>
                <w:rStyle w:val="hps"/>
                <w:rFonts w:ascii="Arial" w:hAnsi="Arial" w:cs="Arial"/>
                <w:color w:val="222222"/>
                <w:sz w:val="18"/>
                <w:szCs w:val="18"/>
                <w:lang w:val="es-ES"/>
              </w:rPr>
              <w:t xml:space="preserve">: </w:t>
            </w:r>
            <w:r w:rsidRPr="00074BA4">
              <w:rPr>
                <w:rStyle w:val="hps"/>
                <w:rFonts w:ascii="Arial" w:hAnsi="Arial" w:cs="Arial"/>
                <w:b/>
                <w:color w:val="222222"/>
                <w:sz w:val="18"/>
                <w:szCs w:val="18"/>
                <w:lang w:val="es-ES"/>
              </w:rPr>
              <w:t>i</w:t>
            </w:r>
            <w:r w:rsidR="00571301" w:rsidRPr="00074BA4">
              <w:rPr>
                <w:rStyle w:val="hps"/>
                <w:rFonts w:ascii="Arial" w:hAnsi="Arial" w:cs="Arial"/>
                <w:b/>
                <w:color w:val="222222"/>
                <w:sz w:val="18"/>
                <w:szCs w:val="18"/>
                <w:lang w:val="es-ES"/>
              </w:rPr>
              <w:t xml:space="preserve">) </w:t>
            </w:r>
            <w:r w:rsidR="002064ED" w:rsidRPr="00074BA4">
              <w:rPr>
                <w:rStyle w:val="hps"/>
                <w:rFonts w:ascii="Arial" w:hAnsi="Arial" w:cs="Arial"/>
                <w:color w:val="222222"/>
                <w:sz w:val="18"/>
                <w:szCs w:val="18"/>
                <w:lang w:val="es-ES"/>
              </w:rPr>
              <w:t>la eficiencia</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del</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proceso de</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despacho de aduanas</w:t>
            </w:r>
            <w:r w:rsidRPr="00074BA4">
              <w:rPr>
                <w:rStyle w:val="hps"/>
                <w:rFonts w:ascii="Arial" w:hAnsi="Arial" w:cs="Arial"/>
                <w:color w:val="222222"/>
                <w:sz w:val="18"/>
                <w:szCs w:val="18"/>
                <w:lang w:val="es-ES"/>
              </w:rPr>
              <w:t xml:space="preserve"> y fronteras; </w:t>
            </w:r>
            <w:r w:rsidRPr="00074BA4">
              <w:rPr>
                <w:rStyle w:val="hps"/>
                <w:rFonts w:ascii="Arial" w:hAnsi="Arial" w:cs="Arial"/>
                <w:b/>
                <w:color w:val="222222"/>
                <w:sz w:val="18"/>
                <w:szCs w:val="18"/>
                <w:lang w:val="es-ES"/>
              </w:rPr>
              <w:t>ii</w:t>
            </w:r>
            <w:r w:rsidR="00571301" w:rsidRPr="00074BA4">
              <w:rPr>
                <w:rStyle w:val="hps"/>
                <w:rFonts w:ascii="Arial" w:hAnsi="Arial" w:cs="Arial"/>
                <w:b/>
                <w:color w:val="222222"/>
                <w:sz w:val="18"/>
                <w:szCs w:val="18"/>
                <w:lang w:val="es-ES"/>
              </w:rPr>
              <w:t>)</w:t>
            </w:r>
            <w:r w:rsidR="002064ED" w:rsidRPr="00074BA4">
              <w:rPr>
                <w:rFonts w:ascii="Arial" w:hAnsi="Arial" w:cs="Arial"/>
                <w:color w:val="222222"/>
                <w:sz w:val="18"/>
                <w:szCs w:val="18"/>
                <w:lang w:val="es-ES"/>
              </w:rPr>
              <w:t xml:space="preserve"> la calidad </w:t>
            </w:r>
            <w:r w:rsidR="002064ED" w:rsidRPr="00074BA4">
              <w:rPr>
                <w:rStyle w:val="hps"/>
                <w:rFonts w:ascii="Arial" w:hAnsi="Arial" w:cs="Arial"/>
                <w:color w:val="222222"/>
                <w:sz w:val="18"/>
                <w:szCs w:val="18"/>
                <w:lang w:val="es-ES"/>
              </w:rPr>
              <w:t>del</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comercio y</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la infraestructura</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relacionada con el transporte</w:t>
            </w:r>
            <w:r w:rsidR="00C31318" w:rsidRPr="00074BA4">
              <w:rPr>
                <w:rStyle w:val="hps"/>
                <w:rFonts w:ascii="Arial" w:hAnsi="Arial" w:cs="Arial"/>
                <w:color w:val="222222"/>
                <w:sz w:val="18"/>
                <w:szCs w:val="18"/>
                <w:lang w:val="es-ES"/>
              </w:rPr>
              <w:t xml:space="preserve">; </w:t>
            </w:r>
            <w:r w:rsidR="00C31318" w:rsidRPr="00074BA4">
              <w:rPr>
                <w:rStyle w:val="hps"/>
                <w:rFonts w:ascii="Arial" w:hAnsi="Arial" w:cs="Arial"/>
                <w:b/>
                <w:color w:val="222222"/>
                <w:sz w:val="18"/>
                <w:szCs w:val="18"/>
                <w:lang w:val="es-ES"/>
              </w:rPr>
              <w:t>iii</w:t>
            </w:r>
            <w:r w:rsidR="00571301" w:rsidRPr="00074BA4">
              <w:rPr>
                <w:rStyle w:val="hps"/>
                <w:rFonts w:ascii="Arial" w:hAnsi="Arial" w:cs="Arial"/>
                <w:b/>
                <w:color w:val="222222"/>
                <w:sz w:val="18"/>
                <w:szCs w:val="18"/>
                <w:lang w:val="es-ES"/>
              </w:rPr>
              <w:t>)</w:t>
            </w:r>
            <w:r w:rsidR="00C31318" w:rsidRPr="00074BA4">
              <w:rPr>
                <w:rStyle w:val="hps"/>
                <w:rFonts w:ascii="Arial" w:hAnsi="Arial" w:cs="Arial"/>
                <w:b/>
                <w:color w:val="222222"/>
                <w:sz w:val="18"/>
                <w:szCs w:val="18"/>
                <w:lang w:val="es-ES"/>
              </w:rPr>
              <w:t xml:space="preserve"> </w:t>
            </w:r>
            <w:r w:rsidR="002064ED" w:rsidRPr="00074BA4">
              <w:rPr>
                <w:rFonts w:ascii="Arial" w:hAnsi="Arial" w:cs="Arial"/>
                <w:color w:val="222222"/>
                <w:sz w:val="18"/>
                <w:szCs w:val="18"/>
                <w:lang w:val="es-ES"/>
              </w:rPr>
              <w:t xml:space="preserve">la facilidad de </w:t>
            </w:r>
            <w:r w:rsidR="002064ED" w:rsidRPr="00074BA4">
              <w:rPr>
                <w:rStyle w:val="hps"/>
                <w:rFonts w:ascii="Arial" w:hAnsi="Arial" w:cs="Arial"/>
                <w:color w:val="222222"/>
                <w:sz w:val="18"/>
                <w:szCs w:val="18"/>
                <w:lang w:val="es-ES"/>
              </w:rPr>
              <w:t>organizar</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los envíos</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a precios competitivos</w:t>
            </w:r>
            <w:r w:rsidR="00C31318" w:rsidRPr="00074BA4">
              <w:rPr>
                <w:rStyle w:val="hps"/>
                <w:rFonts w:ascii="Arial" w:hAnsi="Arial" w:cs="Arial"/>
                <w:color w:val="222222"/>
                <w:sz w:val="18"/>
                <w:szCs w:val="18"/>
                <w:lang w:val="es-ES"/>
              </w:rPr>
              <w:t xml:space="preserve">; </w:t>
            </w:r>
            <w:r w:rsidR="00C31318" w:rsidRPr="00074BA4">
              <w:rPr>
                <w:rStyle w:val="hps"/>
                <w:rFonts w:ascii="Arial" w:hAnsi="Arial" w:cs="Arial"/>
                <w:b/>
                <w:color w:val="222222"/>
                <w:sz w:val="18"/>
                <w:szCs w:val="18"/>
                <w:lang w:val="es-ES"/>
              </w:rPr>
              <w:t>iv</w:t>
            </w:r>
            <w:r w:rsidR="00571301" w:rsidRPr="00074BA4">
              <w:rPr>
                <w:rStyle w:val="hps"/>
                <w:rFonts w:ascii="Arial" w:hAnsi="Arial" w:cs="Arial"/>
                <w:b/>
                <w:color w:val="222222"/>
                <w:sz w:val="18"/>
                <w:szCs w:val="18"/>
                <w:lang w:val="es-ES"/>
              </w:rPr>
              <w:t>)</w:t>
            </w:r>
            <w:r w:rsidR="00C31318" w:rsidRPr="00074BA4">
              <w:rPr>
                <w:rStyle w:val="hps"/>
                <w:rFonts w:ascii="Arial" w:hAnsi="Arial" w:cs="Arial"/>
                <w:b/>
                <w:color w:val="222222"/>
                <w:sz w:val="18"/>
                <w:szCs w:val="18"/>
                <w:lang w:val="es-ES"/>
              </w:rPr>
              <w:t xml:space="preserve"> </w:t>
            </w:r>
            <w:r w:rsidR="00C31318" w:rsidRPr="00074BA4">
              <w:rPr>
                <w:rStyle w:val="hps"/>
                <w:rFonts w:ascii="Arial" w:hAnsi="Arial" w:cs="Arial"/>
                <w:color w:val="222222"/>
                <w:sz w:val="18"/>
                <w:szCs w:val="18"/>
                <w:lang w:val="es-ES"/>
              </w:rPr>
              <w:t xml:space="preserve">la </w:t>
            </w:r>
            <w:r w:rsidR="002064ED" w:rsidRPr="00074BA4">
              <w:rPr>
                <w:rStyle w:val="hps"/>
                <w:rFonts w:ascii="Arial" w:hAnsi="Arial" w:cs="Arial"/>
                <w:color w:val="222222"/>
                <w:sz w:val="18"/>
                <w:szCs w:val="18"/>
                <w:lang w:val="es-ES"/>
              </w:rPr>
              <w:t>calidad de los servicios</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de logística</w:t>
            </w:r>
            <w:r w:rsidR="00C31318" w:rsidRPr="00074BA4">
              <w:rPr>
                <w:rStyle w:val="hps"/>
                <w:rFonts w:ascii="Arial" w:hAnsi="Arial" w:cs="Arial"/>
                <w:color w:val="222222"/>
                <w:sz w:val="18"/>
                <w:szCs w:val="18"/>
                <w:lang w:val="es-ES"/>
              </w:rPr>
              <w:t xml:space="preserve">; </w:t>
            </w:r>
            <w:r w:rsidR="00C31318" w:rsidRPr="00074BA4">
              <w:rPr>
                <w:rStyle w:val="hps"/>
                <w:rFonts w:ascii="Arial" w:hAnsi="Arial" w:cs="Arial"/>
                <w:b/>
                <w:color w:val="222222"/>
                <w:sz w:val="18"/>
                <w:szCs w:val="18"/>
                <w:lang w:val="es-ES"/>
              </w:rPr>
              <w:t>v</w:t>
            </w:r>
            <w:r w:rsidR="00571301" w:rsidRPr="00074BA4">
              <w:rPr>
                <w:rStyle w:val="hps"/>
                <w:rFonts w:ascii="Arial" w:hAnsi="Arial" w:cs="Arial"/>
                <w:b/>
                <w:color w:val="222222"/>
                <w:sz w:val="18"/>
                <w:szCs w:val="18"/>
                <w:lang w:val="es-ES"/>
              </w:rPr>
              <w:t>)</w:t>
            </w:r>
            <w:r w:rsidR="00C31318" w:rsidRPr="00074BA4">
              <w:rPr>
                <w:rStyle w:val="hps"/>
                <w:rFonts w:ascii="Arial" w:hAnsi="Arial" w:cs="Arial"/>
                <w:color w:val="222222"/>
                <w:sz w:val="18"/>
                <w:szCs w:val="18"/>
                <w:lang w:val="es-ES"/>
              </w:rPr>
              <w:t xml:space="preserve"> la</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capacidad de</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seguimiento y rastreo de</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envíos</w:t>
            </w:r>
            <w:r w:rsidR="00C31318" w:rsidRPr="00074BA4">
              <w:rPr>
                <w:rStyle w:val="hps"/>
                <w:rFonts w:ascii="Arial" w:hAnsi="Arial" w:cs="Arial"/>
                <w:color w:val="222222"/>
                <w:sz w:val="18"/>
                <w:szCs w:val="18"/>
                <w:lang w:val="es-ES"/>
              </w:rPr>
              <w:t xml:space="preserve">; y </w:t>
            </w:r>
            <w:r w:rsidR="00C31318" w:rsidRPr="00074BA4">
              <w:rPr>
                <w:rStyle w:val="hps"/>
                <w:rFonts w:ascii="Arial" w:hAnsi="Arial" w:cs="Arial"/>
                <w:b/>
                <w:color w:val="222222"/>
                <w:sz w:val="18"/>
                <w:szCs w:val="18"/>
                <w:lang w:val="es-ES"/>
              </w:rPr>
              <w:t>vi</w:t>
            </w:r>
            <w:r w:rsidR="00571301" w:rsidRPr="00074BA4">
              <w:rPr>
                <w:rStyle w:val="hps"/>
                <w:rFonts w:ascii="Arial" w:hAnsi="Arial" w:cs="Arial"/>
                <w:b/>
                <w:color w:val="222222"/>
                <w:sz w:val="18"/>
                <w:szCs w:val="18"/>
                <w:lang w:val="es-ES"/>
              </w:rPr>
              <w:t>)</w:t>
            </w:r>
            <w:r w:rsidR="00C31318" w:rsidRPr="00074BA4">
              <w:rPr>
                <w:rStyle w:val="hps"/>
                <w:rFonts w:ascii="Arial" w:hAnsi="Arial" w:cs="Arial"/>
                <w:b/>
                <w:color w:val="222222"/>
                <w:sz w:val="18"/>
                <w:szCs w:val="18"/>
                <w:lang w:val="es-ES"/>
              </w:rPr>
              <w:t xml:space="preserve"> </w:t>
            </w:r>
            <w:r w:rsidR="002064ED" w:rsidRPr="00074BA4">
              <w:rPr>
                <w:rStyle w:val="hps"/>
                <w:rFonts w:ascii="Arial" w:hAnsi="Arial" w:cs="Arial"/>
                <w:color w:val="222222"/>
                <w:sz w:val="18"/>
                <w:szCs w:val="18"/>
                <w:lang w:val="es-ES"/>
              </w:rPr>
              <w:t>la frecuencia</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con la que</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los envíos</w:t>
            </w:r>
            <w:r w:rsidR="002064ED" w:rsidRPr="00074BA4">
              <w:rPr>
                <w:rFonts w:ascii="Arial" w:hAnsi="Arial" w:cs="Arial"/>
                <w:color w:val="222222"/>
                <w:sz w:val="18"/>
                <w:szCs w:val="18"/>
                <w:lang w:val="es-ES"/>
              </w:rPr>
              <w:t xml:space="preserve"> </w:t>
            </w:r>
            <w:r w:rsidR="00C31318" w:rsidRPr="00074BA4">
              <w:rPr>
                <w:rStyle w:val="hps"/>
                <w:rFonts w:ascii="Arial" w:hAnsi="Arial" w:cs="Arial"/>
                <w:color w:val="222222"/>
                <w:sz w:val="18"/>
                <w:szCs w:val="18"/>
                <w:lang w:val="es-ES"/>
              </w:rPr>
              <w:t>llega</w:t>
            </w:r>
            <w:r w:rsidR="002064ED" w:rsidRPr="00074BA4">
              <w:rPr>
                <w:rStyle w:val="hps"/>
                <w:rFonts w:ascii="Arial" w:hAnsi="Arial" w:cs="Arial"/>
                <w:color w:val="222222"/>
                <w:sz w:val="18"/>
                <w:szCs w:val="18"/>
                <w:lang w:val="es-ES"/>
              </w:rPr>
              <w:t>n</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al destinatario</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dentro del tiempo</w:t>
            </w:r>
            <w:r w:rsidR="002064ED" w:rsidRPr="00074BA4">
              <w:rPr>
                <w:rFonts w:ascii="Arial" w:hAnsi="Arial" w:cs="Arial"/>
                <w:color w:val="222222"/>
                <w:sz w:val="18"/>
                <w:szCs w:val="18"/>
                <w:lang w:val="es-ES"/>
              </w:rPr>
              <w:t xml:space="preserve"> </w:t>
            </w:r>
            <w:r w:rsidR="002064ED" w:rsidRPr="00074BA4">
              <w:rPr>
                <w:rStyle w:val="hps"/>
                <w:rFonts w:ascii="Arial" w:hAnsi="Arial" w:cs="Arial"/>
                <w:color w:val="222222"/>
                <w:sz w:val="18"/>
                <w:szCs w:val="18"/>
                <w:lang w:val="es-ES"/>
              </w:rPr>
              <w:t>programado</w:t>
            </w:r>
            <w:r w:rsidR="00C31318" w:rsidRPr="00074BA4">
              <w:rPr>
                <w:rStyle w:val="hps"/>
                <w:rFonts w:ascii="Arial" w:hAnsi="Arial" w:cs="Arial"/>
                <w:color w:val="222222"/>
                <w:sz w:val="18"/>
                <w:szCs w:val="18"/>
                <w:lang w:val="es-ES"/>
              </w:rPr>
              <w:t>.</w:t>
            </w:r>
          </w:p>
        </w:tc>
      </w:tr>
    </w:tbl>
    <w:p w14:paraId="573143A2" w14:textId="40F77426" w:rsidR="00D613FC" w:rsidRPr="00074BA4" w:rsidRDefault="004A17AE" w:rsidP="00882071">
      <w:pPr>
        <w:autoSpaceDE w:val="0"/>
        <w:autoSpaceDN w:val="0"/>
        <w:adjustRightInd w:val="0"/>
        <w:spacing w:after="120" w:line="240" w:lineRule="auto"/>
        <w:rPr>
          <w:rFonts w:ascii="Arial" w:hAnsi="Arial" w:cs="Arial"/>
          <w:b/>
          <w:color w:val="000000"/>
          <w:sz w:val="18"/>
          <w:szCs w:val="18"/>
          <w:lang w:val="es-ES"/>
        </w:rPr>
      </w:pPr>
      <w:r w:rsidRPr="00074BA4">
        <w:rPr>
          <w:rFonts w:ascii="Arial" w:hAnsi="Arial" w:cs="Arial"/>
          <w:b/>
          <w:color w:val="000000"/>
          <w:sz w:val="18"/>
          <w:szCs w:val="18"/>
          <w:lang w:val="es-ES"/>
        </w:rPr>
        <w:t>** Metas con datos reales.</w:t>
      </w:r>
    </w:p>
    <w:p w14:paraId="17FC7466" w14:textId="77777777" w:rsidR="00C17BD3" w:rsidRPr="00074BA4" w:rsidRDefault="00C17BD3" w:rsidP="00354D7A">
      <w:pPr>
        <w:autoSpaceDE w:val="0"/>
        <w:autoSpaceDN w:val="0"/>
        <w:adjustRightInd w:val="0"/>
        <w:spacing w:after="120" w:line="240" w:lineRule="auto"/>
        <w:jc w:val="center"/>
        <w:rPr>
          <w:rFonts w:ascii="Arial" w:hAnsi="Arial" w:cs="Arial"/>
          <w:b/>
          <w:color w:val="000000"/>
          <w:sz w:val="18"/>
          <w:szCs w:val="18"/>
          <w:lang w:val="es-ES"/>
        </w:rPr>
      </w:pPr>
    </w:p>
    <w:p w14:paraId="4B0A18AA" w14:textId="77777777" w:rsidR="00C17BD3" w:rsidRPr="00074BA4" w:rsidRDefault="00C17BD3" w:rsidP="00354D7A">
      <w:pPr>
        <w:autoSpaceDE w:val="0"/>
        <w:autoSpaceDN w:val="0"/>
        <w:adjustRightInd w:val="0"/>
        <w:spacing w:after="120" w:line="240" w:lineRule="auto"/>
        <w:jc w:val="center"/>
        <w:rPr>
          <w:rFonts w:ascii="Arial" w:hAnsi="Arial" w:cs="Arial"/>
          <w:b/>
          <w:color w:val="000000"/>
          <w:sz w:val="18"/>
          <w:szCs w:val="18"/>
          <w:lang w:val="es-ES"/>
        </w:rPr>
      </w:pPr>
    </w:p>
    <w:tbl>
      <w:tblPr>
        <w:tblW w:w="1413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2"/>
        <w:gridCol w:w="968"/>
        <w:gridCol w:w="22"/>
        <w:gridCol w:w="878"/>
        <w:gridCol w:w="757"/>
        <w:gridCol w:w="30"/>
        <w:gridCol w:w="698"/>
        <w:gridCol w:w="30"/>
        <w:gridCol w:w="15"/>
        <w:gridCol w:w="742"/>
        <w:gridCol w:w="23"/>
        <w:gridCol w:w="720"/>
        <w:gridCol w:w="15"/>
        <w:gridCol w:w="757"/>
        <w:gridCol w:w="38"/>
        <w:gridCol w:w="720"/>
        <w:gridCol w:w="1620"/>
        <w:gridCol w:w="3825"/>
      </w:tblGrid>
      <w:tr w:rsidR="00075F82" w:rsidRPr="00074BA4" w14:paraId="6D631122" w14:textId="77777777" w:rsidTr="00C40230">
        <w:trPr>
          <w:trHeight w:val="368"/>
          <w:tblHeader/>
        </w:trPr>
        <w:tc>
          <w:tcPr>
            <w:tcW w:w="14130" w:type="dxa"/>
            <w:gridSpan w:val="18"/>
            <w:shd w:val="clear" w:color="auto" w:fill="C6D9F1"/>
            <w:vAlign w:val="center"/>
          </w:tcPr>
          <w:p w14:paraId="5D6100A8" w14:textId="77777777" w:rsidR="00075F82" w:rsidRPr="00074BA4" w:rsidRDefault="00075F82" w:rsidP="00F42622">
            <w:pPr>
              <w:spacing w:after="0" w:line="240" w:lineRule="auto"/>
              <w:jc w:val="center"/>
              <w:rPr>
                <w:rFonts w:ascii="Arial" w:hAnsi="Arial" w:cs="Arial"/>
                <w:b/>
                <w:sz w:val="18"/>
                <w:szCs w:val="18"/>
                <w:lang w:val="es-ES"/>
              </w:rPr>
            </w:pPr>
            <w:r w:rsidRPr="00074BA4">
              <w:rPr>
                <w:rFonts w:ascii="Arial" w:hAnsi="Arial" w:cs="Arial"/>
                <w:b/>
                <w:color w:val="000000"/>
                <w:sz w:val="18"/>
                <w:szCs w:val="18"/>
                <w:lang w:val="es-ES"/>
              </w:rPr>
              <w:t>Resultados Esperados</w:t>
            </w:r>
          </w:p>
        </w:tc>
      </w:tr>
      <w:tr w:rsidR="00021AF9" w:rsidRPr="00074BA4" w14:paraId="1B06FEE3" w14:textId="77777777" w:rsidTr="00C40230">
        <w:trPr>
          <w:trHeight w:val="769"/>
          <w:tblHeader/>
        </w:trPr>
        <w:tc>
          <w:tcPr>
            <w:tcW w:w="2272" w:type="dxa"/>
            <w:shd w:val="clear" w:color="auto" w:fill="C6D9F1"/>
            <w:vAlign w:val="center"/>
          </w:tcPr>
          <w:p w14:paraId="0C9538F8" w14:textId="77777777" w:rsidR="00021AF9" w:rsidRPr="00074BA4" w:rsidRDefault="00021AF9" w:rsidP="00F42622">
            <w:pPr>
              <w:spacing w:after="0" w:line="240" w:lineRule="auto"/>
              <w:jc w:val="center"/>
              <w:rPr>
                <w:rFonts w:ascii="Arial" w:hAnsi="Arial" w:cs="Arial"/>
                <w:b/>
                <w:sz w:val="18"/>
                <w:szCs w:val="18"/>
                <w:lang w:val="es-ES"/>
              </w:rPr>
            </w:pPr>
            <w:r w:rsidRPr="00074BA4">
              <w:rPr>
                <w:rFonts w:ascii="Arial" w:hAnsi="Arial" w:cs="Arial"/>
                <w:b/>
                <w:sz w:val="18"/>
                <w:szCs w:val="18"/>
                <w:lang w:val="es-ES"/>
              </w:rPr>
              <w:t>Indicadores</w:t>
            </w:r>
          </w:p>
        </w:tc>
        <w:tc>
          <w:tcPr>
            <w:tcW w:w="990" w:type="dxa"/>
            <w:gridSpan w:val="2"/>
            <w:shd w:val="clear" w:color="auto" w:fill="C6D9F1"/>
            <w:vAlign w:val="center"/>
          </w:tcPr>
          <w:p w14:paraId="53B7400F" w14:textId="77777777" w:rsidR="00021AF9" w:rsidRPr="00074BA4" w:rsidRDefault="00021AF9" w:rsidP="00F42622">
            <w:pPr>
              <w:spacing w:after="0" w:line="240" w:lineRule="auto"/>
              <w:jc w:val="center"/>
              <w:rPr>
                <w:rFonts w:ascii="Arial" w:hAnsi="Arial" w:cs="Arial"/>
                <w:b/>
                <w:sz w:val="18"/>
                <w:szCs w:val="18"/>
                <w:lang w:val="es-ES"/>
              </w:rPr>
            </w:pPr>
            <w:r w:rsidRPr="00074BA4">
              <w:rPr>
                <w:rFonts w:ascii="Arial" w:hAnsi="Arial" w:cs="Arial"/>
                <w:b/>
                <w:sz w:val="18"/>
                <w:szCs w:val="18"/>
                <w:lang w:val="es-ES"/>
              </w:rPr>
              <w:t>Unidad</w:t>
            </w:r>
          </w:p>
        </w:tc>
        <w:tc>
          <w:tcPr>
            <w:tcW w:w="878" w:type="dxa"/>
            <w:shd w:val="clear" w:color="auto" w:fill="C6D9F1"/>
            <w:vAlign w:val="center"/>
          </w:tcPr>
          <w:p w14:paraId="3821619B" w14:textId="77777777" w:rsidR="00021AF9" w:rsidRPr="00074BA4" w:rsidRDefault="00021AF9" w:rsidP="00F42622">
            <w:pPr>
              <w:spacing w:after="0" w:line="240" w:lineRule="auto"/>
              <w:jc w:val="center"/>
              <w:rPr>
                <w:rFonts w:ascii="Arial" w:hAnsi="Arial" w:cs="Arial"/>
                <w:b/>
                <w:sz w:val="18"/>
                <w:szCs w:val="18"/>
                <w:lang w:val="es-ES"/>
              </w:rPr>
            </w:pPr>
            <w:r w:rsidRPr="00074BA4">
              <w:rPr>
                <w:rFonts w:ascii="Arial" w:hAnsi="Arial" w:cs="Arial"/>
                <w:b/>
                <w:sz w:val="18"/>
                <w:szCs w:val="18"/>
                <w:lang w:val="es-ES"/>
              </w:rPr>
              <w:t>Línea Base</w:t>
            </w:r>
          </w:p>
          <w:p w14:paraId="73AA4F32" w14:textId="77777777" w:rsidR="00021AF9" w:rsidRPr="00074BA4" w:rsidRDefault="00021AF9" w:rsidP="00E443DF">
            <w:pPr>
              <w:spacing w:after="0" w:line="240" w:lineRule="auto"/>
              <w:jc w:val="center"/>
              <w:rPr>
                <w:rFonts w:ascii="Arial" w:hAnsi="Arial" w:cs="Arial"/>
                <w:b/>
                <w:sz w:val="18"/>
                <w:szCs w:val="18"/>
                <w:lang w:val="es-ES"/>
              </w:rPr>
            </w:pPr>
            <w:r w:rsidRPr="00074BA4">
              <w:rPr>
                <w:rFonts w:ascii="Arial" w:hAnsi="Arial" w:cs="Arial"/>
                <w:b/>
                <w:sz w:val="18"/>
                <w:szCs w:val="18"/>
                <w:lang w:val="es-ES"/>
              </w:rPr>
              <w:t>2014</w:t>
            </w:r>
          </w:p>
        </w:tc>
        <w:tc>
          <w:tcPr>
            <w:tcW w:w="757" w:type="dxa"/>
            <w:shd w:val="clear" w:color="auto" w:fill="C6D9F1"/>
            <w:vAlign w:val="center"/>
          </w:tcPr>
          <w:p w14:paraId="67AD33D6" w14:textId="77777777" w:rsidR="00021AF9" w:rsidRPr="00074BA4" w:rsidRDefault="00021AF9" w:rsidP="00021AF9">
            <w:pPr>
              <w:spacing w:after="0" w:line="240" w:lineRule="auto"/>
              <w:jc w:val="center"/>
              <w:rPr>
                <w:rFonts w:ascii="Arial" w:hAnsi="Arial" w:cs="Arial"/>
                <w:b/>
                <w:sz w:val="18"/>
                <w:szCs w:val="18"/>
                <w:lang w:val="es-ES"/>
              </w:rPr>
            </w:pPr>
            <w:r w:rsidRPr="00074BA4">
              <w:rPr>
                <w:rFonts w:ascii="Arial" w:hAnsi="Arial" w:cs="Arial"/>
                <w:b/>
                <w:sz w:val="18"/>
                <w:szCs w:val="18"/>
                <w:lang w:val="es-ES"/>
              </w:rPr>
              <w:t>2015</w:t>
            </w:r>
          </w:p>
        </w:tc>
        <w:tc>
          <w:tcPr>
            <w:tcW w:w="758" w:type="dxa"/>
            <w:gridSpan w:val="3"/>
            <w:shd w:val="clear" w:color="auto" w:fill="C6D9F1"/>
            <w:vAlign w:val="center"/>
          </w:tcPr>
          <w:p w14:paraId="7AAA908D" w14:textId="77777777" w:rsidR="00021AF9" w:rsidRPr="00074BA4" w:rsidRDefault="00021AF9" w:rsidP="00045431">
            <w:pPr>
              <w:spacing w:after="0" w:line="240" w:lineRule="auto"/>
              <w:jc w:val="center"/>
              <w:rPr>
                <w:rFonts w:ascii="Arial" w:hAnsi="Arial" w:cs="Arial"/>
                <w:b/>
                <w:sz w:val="18"/>
                <w:szCs w:val="18"/>
                <w:lang w:val="es-ES"/>
              </w:rPr>
            </w:pPr>
            <w:r w:rsidRPr="00074BA4">
              <w:rPr>
                <w:rFonts w:ascii="Arial" w:hAnsi="Arial" w:cs="Arial"/>
                <w:b/>
                <w:sz w:val="18"/>
                <w:szCs w:val="18"/>
                <w:lang w:val="es-ES"/>
              </w:rPr>
              <w:t>2016</w:t>
            </w:r>
          </w:p>
        </w:tc>
        <w:tc>
          <w:tcPr>
            <w:tcW w:w="757" w:type="dxa"/>
            <w:gridSpan w:val="2"/>
            <w:shd w:val="clear" w:color="auto" w:fill="C6D9F1"/>
            <w:vAlign w:val="center"/>
          </w:tcPr>
          <w:p w14:paraId="7C785C11" w14:textId="77777777" w:rsidR="00021AF9" w:rsidRPr="00074BA4" w:rsidRDefault="00021AF9" w:rsidP="00045431">
            <w:pPr>
              <w:spacing w:after="0" w:line="240" w:lineRule="auto"/>
              <w:jc w:val="center"/>
              <w:rPr>
                <w:rFonts w:ascii="Arial" w:hAnsi="Arial" w:cs="Arial"/>
                <w:b/>
                <w:sz w:val="18"/>
                <w:szCs w:val="18"/>
                <w:lang w:val="es-ES"/>
              </w:rPr>
            </w:pPr>
            <w:r w:rsidRPr="00074BA4">
              <w:rPr>
                <w:rFonts w:ascii="Arial" w:hAnsi="Arial" w:cs="Arial"/>
                <w:b/>
                <w:sz w:val="18"/>
                <w:szCs w:val="18"/>
                <w:lang w:val="es-ES"/>
              </w:rPr>
              <w:t>2017</w:t>
            </w:r>
          </w:p>
        </w:tc>
        <w:tc>
          <w:tcPr>
            <w:tcW w:w="758" w:type="dxa"/>
            <w:gridSpan w:val="3"/>
            <w:shd w:val="clear" w:color="auto" w:fill="C6D9F1"/>
            <w:vAlign w:val="center"/>
          </w:tcPr>
          <w:p w14:paraId="3070F947" w14:textId="77777777" w:rsidR="00021AF9" w:rsidRPr="00074BA4" w:rsidRDefault="00021AF9" w:rsidP="00045431">
            <w:pPr>
              <w:spacing w:after="0" w:line="240" w:lineRule="auto"/>
              <w:jc w:val="center"/>
              <w:rPr>
                <w:rFonts w:ascii="Arial" w:hAnsi="Arial" w:cs="Arial"/>
                <w:b/>
                <w:sz w:val="18"/>
                <w:szCs w:val="18"/>
                <w:lang w:val="es-ES"/>
              </w:rPr>
            </w:pPr>
            <w:r w:rsidRPr="00074BA4">
              <w:rPr>
                <w:rFonts w:ascii="Arial" w:hAnsi="Arial" w:cs="Arial"/>
                <w:b/>
                <w:sz w:val="18"/>
                <w:szCs w:val="18"/>
                <w:lang w:val="es-ES"/>
              </w:rPr>
              <w:t>2018</w:t>
            </w:r>
          </w:p>
        </w:tc>
        <w:tc>
          <w:tcPr>
            <w:tcW w:w="757" w:type="dxa"/>
            <w:shd w:val="clear" w:color="auto" w:fill="C6D9F1"/>
            <w:vAlign w:val="center"/>
          </w:tcPr>
          <w:p w14:paraId="7917F16E" w14:textId="77777777" w:rsidR="00021AF9" w:rsidRPr="00074BA4" w:rsidRDefault="00021AF9" w:rsidP="00045431">
            <w:pPr>
              <w:spacing w:after="0" w:line="240" w:lineRule="auto"/>
              <w:jc w:val="center"/>
              <w:rPr>
                <w:rFonts w:ascii="Arial" w:hAnsi="Arial" w:cs="Arial"/>
                <w:b/>
                <w:sz w:val="18"/>
                <w:szCs w:val="18"/>
                <w:lang w:val="es-ES"/>
              </w:rPr>
            </w:pPr>
            <w:r w:rsidRPr="00074BA4">
              <w:rPr>
                <w:rFonts w:ascii="Arial" w:hAnsi="Arial" w:cs="Arial"/>
                <w:b/>
                <w:sz w:val="18"/>
                <w:szCs w:val="18"/>
                <w:lang w:val="es-ES"/>
              </w:rPr>
              <w:t>2019</w:t>
            </w:r>
          </w:p>
        </w:tc>
        <w:tc>
          <w:tcPr>
            <w:tcW w:w="758" w:type="dxa"/>
            <w:gridSpan w:val="2"/>
            <w:shd w:val="clear" w:color="auto" w:fill="C6D9F1"/>
            <w:vAlign w:val="center"/>
          </w:tcPr>
          <w:p w14:paraId="26960498" w14:textId="77777777" w:rsidR="00021AF9" w:rsidRPr="00074BA4" w:rsidRDefault="00021AF9" w:rsidP="00045431">
            <w:pPr>
              <w:spacing w:after="0" w:line="240" w:lineRule="auto"/>
              <w:jc w:val="center"/>
              <w:rPr>
                <w:rFonts w:ascii="Arial" w:hAnsi="Arial" w:cs="Arial"/>
                <w:b/>
                <w:sz w:val="18"/>
                <w:szCs w:val="18"/>
                <w:lang w:val="es-ES"/>
              </w:rPr>
            </w:pPr>
            <w:r w:rsidRPr="00074BA4">
              <w:rPr>
                <w:rFonts w:ascii="Arial" w:hAnsi="Arial" w:cs="Arial"/>
                <w:b/>
                <w:sz w:val="18"/>
                <w:szCs w:val="18"/>
                <w:lang w:val="es-ES"/>
              </w:rPr>
              <w:t>Meta</w:t>
            </w:r>
          </w:p>
          <w:p w14:paraId="643B09F7" w14:textId="77777777" w:rsidR="00021AF9" w:rsidRPr="00074BA4" w:rsidRDefault="00021AF9" w:rsidP="00045431">
            <w:pPr>
              <w:spacing w:after="0" w:line="240" w:lineRule="auto"/>
              <w:jc w:val="center"/>
              <w:rPr>
                <w:rFonts w:ascii="Arial" w:hAnsi="Arial" w:cs="Arial"/>
                <w:sz w:val="18"/>
                <w:szCs w:val="18"/>
                <w:lang w:val="es-ES"/>
              </w:rPr>
            </w:pPr>
            <w:r w:rsidRPr="00074BA4">
              <w:rPr>
                <w:rFonts w:ascii="Arial" w:hAnsi="Arial" w:cs="Arial"/>
                <w:b/>
                <w:sz w:val="18"/>
                <w:szCs w:val="18"/>
                <w:lang w:val="es-ES"/>
              </w:rPr>
              <w:t>2020</w:t>
            </w:r>
          </w:p>
        </w:tc>
        <w:tc>
          <w:tcPr>
            <w:tcW w:w="1620" w:type="dxa"/>
            <w:shd w:val="clear" w:color="auto" w:fill="C6D9F1"/>
            <w:vAlign w:val="center"/>
          </w:tcPr>
          <w:p w14:paraId="47FA4543" w14:textId="77777777" w:rsidR="00021AF9" w:rsidRPr="00074BA4" w:rsidRDefault="00021AF9" w:rsidP="00F42622">
            <w:pPr>
              <w:spacing w:after="0" w:line="240" w:lineRule="auto"/>
              <w:jc w:val="center"/>
              <w:rPr>
                <w:rFonts w:ascii="Arial" w:hAnsi="Arial" w:cs="Arial"/>
                <w:b/>
                <w:sz w:val="18"/>
                <w:szCs w:val="18"/>
                <w:lang w:val="es-ES"/>
              </w:rPr>
            </w:pPr>
            <w:r w:rsidRPr="00074BA4">
              <w:rPr>
                <w:rFonts w:ascii="Arial" w:hAnsi="Arial" w:cs="Arial"/>
                <w:b/>
                <w:sz w:val="18"/>
                <w:szCs w:val="18"/>
                <w:lang w:val="es-ES"/>
              </w:rPr>
              <w:t>Medios de Verificación</w:t>
            </w:r>
          </w:p>
        </w:tc>
        <w:tc>
          <w:tcPr>
            <w:tcW w:w="3825" w:type="dxa"/>
            <w:shd w:val="clear" w:color="auto" w:fill="C6D9F1"/>
            <w:vAlign w:val="center"/>
          </w:tcPr>
          <w:p w14:paraId="673FF0D5" w14:textId="77777777" w:rsidR="00021AF9" w:rsidRPr="00074BA4" w:rsidRDefault="00021AF9" w:rsidP="00F42622">
            <w:pPr>
              <w:spacing w:after="0" w:line="240" w:lineRule="auto"/>
              <w:jc w:val="center"/>
              <w:rPr>
                <w:rFonts w:ascii="Arial" w:hAnsi="Arial" w:cs="Arial"/>
                <w:b/>
                <w:sz w:val="18"/>
                <w:szCs w:val="18"/>
                <w:lang w:val="es-ES"/>
              </w:rPr>
            </w:pPr>
            <w:r w:rsidRPr="00074BA4">
              <w:rPr>
                <w:rFonts w:ascii="Arial" w:hAnsi="Arial" w:cs="Arial"/>
                <w:b/>
                <w:sz w:val="18"/>
                <w:szCs w:val="18"/>
                <w:lang w:val="es-ES"/>
              </w:rPr>
              <w:t>Comentarios</w:t>
            </w:r>
          </w:p>
        </w:tc>
      </w:tr>
      <w:tr w:rsidR="00424652" w:rsidRPr="00DF1F8D" w14:paraId="4F98C9BD" w14:textId="77777777" w:rsidTr="00C40230">
        <w:trPr>
          <w:trHeight w:val="70"/>
        </w:trPr>
        <w:tc>
          <w:tcPr>
            <w:tcW w:w="14130" w:type="dxa"/>
            <w:gridSpan w:val="18"/>
            <w:shd w:val="clear" w:color="auto" w:fill="D9D9D9"/>
          </w:tcPr>
          <w:p w14:paraId="766D0654" w14:textId="77777777" w:rsidR="00424652" w:rsidRPr="00074BA4" w:rsidRDefault="00424652" w:rsidP="00C17BD3">
            <w:pPr>
              <w:spacing w:after="0" w:line="240" w:lineRule="auto"/>
              <w:rPr>
                <w:rFonts w:ascii="Arial" w:hAnsi="Arial" w:cs="Arial"/>
                <w:b/>
                <w:sz w:val="18"/>
                <w:szCs w:val="18"/>
                <w:lang w:val="es-ES"/>
              </w:rPr>
            </w:pPr>
            <w:r w:rsidRPr="00074BA4">
              <w:rPr>
                <w:rFonts w:ascii="Arial" w:hAnsi="Arial" w:cs="Arial"/>
                <w:b/>
                <w:sz w:val="18"/>
                <w:szCs w:val="18"/>
                <w:lang w:val="es-ES"/>
              </w:rPr>
              <w:t xml:space="preserve">Resultado 1: </w:t>
            </w:r>
            <w:r w:rsidR="00C17BD3" w:rsidRPr="00074BA4">
              <w:rPr>
                <w:rFonts w:ascii="Arial" w:hAnsi="Arial" w:cs="Arial"/>
                <w:b/>
                <w:sz w:val="18"/>
                <w:szCs w:val="18"/>
                <w:lang w:val="es-ES"/>
              </w:rPr>
              <w:t xml:space="preserve">Incremento en </w:t>
            </w:r>
            <w:r w:rsidR="00DB468C" w:rsidRPr="00074BA4">
              <w:rPr>
                <w:rFonts w:ascii="Arial" w:hAnsi="Arial" w:cs="Arial"/>
                <w:b/>
                <w:sz w:val="18"/>
                <w:szCs w:val="18"/>
                <w:lang w:val="es-ES"/>
              </w:rPr>
              <w:t xml:space="preserve">la </w:t>
            </w:r>
            <w:r w:rsidR="00C17BD3" w:rsidRPr="00074BA4">
              <w:rPr>
                <w:rFonts w:ascii="Arial" w:hAnsi="Arial" w:cs="Arial"/>
                <w:b/>
                <w:sz w:val="18"/>
                <w:szCs w:val="18"/>
                <w:lang w:val="es-ES"/>
              </w:rPr>
              <w:t xml:space="preserve">inversión </w:t>
            </w:r>
            <w:r w:rsidR="00955D9E" w:rsidRPr="00074BA4">
              <w:rPr>
                <w:rFonts w:ascii="Arial" w:hAnsi="Arial" w:cs="Arial"/>
                <w:b/>
                <w:sz w:val="18"/>
                <w:szCs w:val="18"/>
                <w:lang w:val="es-ES"/>
              </w:rPr>
              <w:t>pública</w:t>
            </w:r>
            <w:r w:rsidR="00C17BD3" w:rsidRPr="00074BA4">
              <w:rPr>
                <w:rFonts w:ascii="Arial" w:hAnsi="Arial" w:cs="Arial"/>
                <w:b/>
                <w:sz w:val="18"/>
                <w:szCs w:val="18"/>
                <w:lang w:val="es-ES"/>
              </w:rPr>
              <w:t xml:space="preserve"> ejecutada en </w:t>
            </w:r>
            <w:r w:rsidR="00DB468C" w:rsidRPr="00074BA4">
              <w:rPr>
                <w:rFonts w:ascii="Arial" w:hAnsi="Arial" w:cs="Arial"/>
                <w:b/>
                <w:sz w:val="18"/>
                <w:szCs w:val="18"/>
                <w:lang w:val="es-ES"/>
              </w:rPr>
              <w:t xml:space="preserve">el sector de transporte y </w:t>
            </w:r>
            <w:r w:rsidR="00C17BD3" w:rsidRPr="00074BA4">
              <w:rPr>
                <w:rFonts w:ascii="Arial" w:hAnsi="Arial" w:cs="Arial"/>
                <w:b/>
                <w:sz w:val="18"/>
                <w:szCs w:val="18"/>
                <w:lang w:val="es-ES"/>
              </w:rPr>
              <w:t xml:space="preserve">logística sobre la inversión </w:t>
            </w:r>
            <w:r w:rsidR="008A3F30" w:rsidRPr="00074BA4">
              <w:rPr>
                <w:rFonts w:ascii="Arial" w:hAnsi="Arial" w:cs="Arial"/>
                <w:b/>
                <w:sz w:val="18"/>
                <w:szCs w:val="18"/>
                <w:lang w:val="es-ES"/>
              </w:rPr>
              <w:t>pública total</w:t>
            </w:r>
            <w:r w:rsidR="00DB468C" w:rsidRPr="00074BA4">
              <w:rPr>
                <w:rFonts w:ascii="Arial" w:hAnsi="Arial" w:cs="Arial"/>
                <w:b/>
                <w:sz w:val="18"/>
                <w:szCs w:val="18"/>
                <w:lang w:val="es-ES"/>
              </w:rPr>
              <w:t xml:space="preserve"> </w:t>
            </w:r>
          </w:p>
        </w:tc>
      </w:tr>
      <w:tr w:rsidR="00021AF9" w:rsidRPr="00DF1F8D" w14:paraId="0C358945" w14:textId="77777777" w:rsidTr="00C40230">
        <w:trPr>
          <w:trHeight w:val="1835"/>
        </w:trPr>
        <w:tc>
          <w:tcPr>
            <w:tcW w:w="2272" w:type="dxa"/>
            <w:vAlign w:val="center"/>
          </w:tcPr>
          <w:p w14:paraId="33803000" w14:textId="5FAA36EC" w:rsidR="00021AF9" w:rsidRPr="00074BA4" w:rsidRDefault="00D72054" w:rsidP="00C17BD3">
            <w:pPr>
              <w:spacing w:after="0" w:line="240" w:lineRule="auto"/>
              <w:ind w:hanging="18"/>
              <w:rPr>
                <w:rFonts w:ascii="Arial" w:hAnsi="Arial" w:cs="Arial"/>
                <w:sz w:val="18"/>
                <w:szCs w:val="18"/>
                <w:lang w:val="es-PA"/>
              </w:rPr>
            </w:pPr>
            <w:r w:rsidRPr="00074BA4">
              <w:rPr>
                <w:rFonts w:ascii="Arial" w:hAnsi="Arial" w:cs="Arial"/>
                <w:sz w:val="18"/>
                <w:szCs w:val="18"/>
                <w:lang w:val="es-ES_tradnl"/>
              </w:rPr>
              <w:lastRenderedPageBreak/>
              <w:t xml:space="preserve">Porcentaje de </w:t>
            </w:r>
            <w:r w:rsidR="00C17BD3" w:rsidRPr="00074BA4">
              <w:rPr>
                <w:rFonts w:ascii="Arial" w:hAnsi="Arial" w:cs="Arial"/>
                <w:sz w:val="18"/>
                <w:szCs w:val="18"/>
                <w:lang w:val="es-ES_tradnl"/>
              </w:rPr>
              <w:t>la i</w:t>
            </w:r>
            <w:r w:rsidR="00F00C75" w:rsidRPr="00074BA4">
              <w:rPr>
                <w:rFonts w:ascii="Arial" w:hAnsi="Arial" w:cs="Arial"/>
                <w:sz w:val="18"/>
                <w:szCs w:val="18"/>
                <w:lang w:val="es-ES_tradnl"/>
              </w:rPr>
              <w:t>nversión</w:t>
            </w:r>
            <w:r w:rsidRPr="00074BA4">
              <w:rPr>
                <w:rFonts w:ascii="Arial" w:hAnsi="Arial" w:cs="Arial"/>
                <w:sz w:val="18"/>
                <w:szCs w:val="18"/>
                <w:lang w:val="es-ES_tradnl"/>
              </w:rPr>
              <w:t xml:space="preserve"> pública ejecutada </w:t>
            </w:r>
            <w:r w:rsidR="00DB468C" w:rsidRPr="00074BA4">
              <w:rPr>
                <w:rFonts w:ascii="Arial" w:hAnsi="Arial" w:cs="Arial"/>
                <w:sz w:val="18"/>
                <w:szCs w:val="18"/>
                <w:lang w:val="es-ES_tradnl"/>
              </w:rPr>
              <w:t>en el sector de transporte</w:t>
            </w:r>
            <w:r w:rsidR="00021AF9" w:rsidRPr="00074BA4">
              <w:rPr>
                <w:rFonts w:ascii="Arial" w:hAnsi="Arial" w:cs="Arial"/>
                <w:sz w:val="18"/>
                <w:szCs w:val="18"/>
                <w:lang w:val="es-ES_tradnl"/>
              </w:rPr>
              <w:t xml:space="preserve"> </w:t>
            </w:r>
            <w:r w:rsidRPr="00074BA4">
              <w:rPr>
                <w:rFonts w:ascii="Arial" w:hAnsi="Arial" w:cs="Arial"/>
                <w:sz w:val="18"/>
                <w:szCs w:val="18"/>
                <w:lang w:val="es-ES_tradnl"/>
              </w:rPr>
              <w:t xml:space="preserve">y logística sobre </w:t>
            </w:r>
            <w:r w:rsidR="00E321D7" w:rsidRPr="00074BA4">
              <w:rPr>
                <w:rFonts w:ascii="Arial" w:hAnsi="Arial" w:cs="Arial"/>
                <w:sz w:val="18"/>
                <w:szCs w:val="18"/>
                <w:lang w:val="es-ES_tradnl"/>
              </w:rPr>
              <w:t>el presupuesto público</w:t>
            </w:r>
            <w:r w:rsidRPr="00074BA4">
              <w:rPr>
                <w:rFonts w:ascii="Arial" w:hAnsi="Arial" w:cs="Arial"/>
                <w:sz w:val="18"/>
                <w:szCs w:val="18"/>
                <w:lang w:val="es-ES_tradnl"/>
              </w:rPr>
              <w:t xml:space="preserve"> total ejecutad</w:t>
            </w:r>
            <w:r w:rsidR="00CF24AB" w:rsidRPr="00074BA4">
              <w:rPr>
                <w:rFonts w:ascii="Arial" w:hAnsi="Arial" w:cs="Arial"/>
                <w:sz w:val="18"/>
                <w:szCs w:val="18"/>
                <w:lang w:val="es-ES_tradnl"/>
              </w:rPr>
              <w:t>o</w:t>
            </w:r>
            <w:r w:rsidRPr="00074BA4">
              <w:rPr>
                <w:rFonts w:ascii="Arial" w:hAnsi="Arial" w:cs="Arial"/>
                <w:sz w:val="18"/>
                <w:szCs w:val="18"/>
                <w:lang w:val="es-ES_tradnl"/>
              </w:rPr>
              <w:t xml:space="preserve"> </w:t>
            </w:r>
            <w:r w:rsidR="00C17BD3" w:rsidRPr="00074BA4">
              <w:rPr>
                <w:rFonts w:ascii="Arial" w:hAnsi="Arial" w:cs="Arial"/>
                <w:sz w:val="18"/>
                <w:szCs w:val="18"/>
                <w:lang w:val="es-ES_tradnl"/>
              </w:rPr>
              <w:t>en el período 2015- 2020</w:t>
            </w:r>
            <w:r w:rsidRPr="00074BA4">
              <w:rPr>
                <w:rFonts w:ascii="Arial" w:hAnsi="Arial" w:cs="Arial"/>
                <w:sz w:val="18"/>
                <w:szCs w:val="18"/>
                <w:lang w:val="es-ES_tradnl"/>
              </w:rPr>
              <w:t xml:space="preserve">. </w:t>
            </w:r>
          </w:p>
        </w:tc>
        <w:tc>
          <w:tcPr>
            <w:tcW w:w="990" w:type="dxa"/>
            <w:gridSpan w:val="2"/>
            <w:vAlign w:val="center"/>
          </w:tcPr>
          <w:p w14:paraId="57BE4FC2" w14:textId="77777777" w:rsidR="00021AF9" w:rsidRPr="00074BA4" w:rsidRDefault="00021AF9"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w:t>
            </w:r>
          </w:p>
        </w:tc>
        <w:tc>
          <w:tcPr>
            <w:tcW w:w="878" w:type="dxa"/>
            <w:vAlign w:val="center"/>
          </w:tcPr>
          <w:p w14:paraId="3B06A490" w14:textId="0048C5CE" w:rsidR="00021AF9" w:rsidRPr="00074BA4" w:rsidRDefault="001275B3"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5,</w:t>
            </w:r>
            <w:r w:rsidR="00A90E56" w:rsidRPr="00074BA4">
              <w:rPr>
                <w:rFonts w:ascii="Arial" w:hAnsi="Arial" w:cs="Arial"/>
                <w:sz w:val="18"/>
                <w:szCs w:val="18"/>
                <w:lang w:val="es-ES_tradnl"/>
              </w:rPr>
              <w:t>9</w:t>
            </w:r>
            <w:r w:rsidR="001B3D7E" w:rsidRPr="00074BA4">
              <w:rPr>
                <w:rStyle w:val="FootnoteReference"/>
                <w:rFonts w:ascii="Arial" w:hAnsi="Arial" w:cs="Arial"/>
                <w:sz w:val="18"/>
                <w:szCs w:val="18"/>
                <w:lang w:val="es-ES_tradnl"/>
              </w:rPr>
              <w:footnoteReference w:id="1"/>
            </w:r>
            <w:r w:rsidR="00A90E56" w:rsidRPr="00074BA4">
              <w:rPr>
                <w:rFonts w:ascii="Arial" w:hAnsi="Arial" w:cs="Arial"/>
                <w:sz w:val="18"/>
                <w:szCs w:val="18"/>
                <w:lang w:val="es-ES_tradnl"/>
              </w:rPr>
              <w:t>%</w:t>
            </w:r>
          </w:p>
        </w:tc>
        <w:tc>
          <w:tcPr>
            <w:tcW w:w="757" w:type="dxa"/>
            <w:vAlign w:val="center"/>
          </w:tcPr>
          <w:p w14:paraId="08E3EF0C" w14:textId="2009F100" w:rsidR="00021AF9" w:rsidRPr="00074BA4" w:rsidRDefault="001275B3"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5,</w:t>
            </w:r>
            <w:r w:rsidR="00B04C24" w:rsidRPr="00074BA4">
              <w:rPr>
                <w:rFonts w:ascii="Arial" w:hAnsi="Arial" w:cs="Arial"/>
                <w:sz w:val="18"/>
                <w:szCs w:val="18"/>
                <w:lang w:val="es-ES_tradnl"/>
              </w:rPr>
              <w:t>87</w:t>
            </w:r>
            <w:r w:rsidR="00C073A1" w:rsidRPr="00074BA4">
              <w:rPr>
                <w:rFonts w:ascii="Arial" w:hAnsi="Arial" w:cs="Arial"/>
                <w:sz w:val="18"/>
                <w:szCs w:val="18"/>
                <w:lang w:val="es-ES_tradnl"/>
              </w:rPr>
              <w:t>%</w:t>
            </w:r>
            <w:r w:rsidR="0028086A" w:rsidRPr="00074BA4">
              <w:rPr>
                <w:rFonts w:ascii="Arial" w:hAnsi="Arial" w:cs="Arial"/>
                <w:sz w:val="18"/>
                <w:szCs w:val="18"/>
                <w:lang w:val="es-ES_tradnl"/>
              </w:rPr>
              <w:t>*</w:t>
            </w:r>
          </w:p>
        </w:tc>
        <w:tc>
          <w:tcPr>
            <w:tcW w:w="758" w:type="dxa"/>
            <w:gridSpan w:val="3"/>
            <w:vAlign w:val="center"/>
          </w:tcPr>
          <w:p w14:paraId="2B5664D2" w14:textId="20932847" w:rsidR="00021AF9" w:rsidRPr="00074BA4" w:rsidRDefault="0028086A"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4,93</w:t>
            </w:r>
            <w:r w:rsidR="00C073A1" w:rsidRPr="00074BA4">
              <w:rPr>
                <w:rFonts w:ascii="Arial" w:hAnsi="Arial" w:cs="Arial"/>
                <w:sz w:val="18"/>
                <w:szCs w:val="18"/>
                <w:lang w:val="es-ES_tradnl"/>
              </w:rPr>
              <w:t>%</w:t>
            </w:r>
            <w:r w:rsidRPr="00074BA4">
              <w:rPr>
                <w:rFonts w:ascii="Arial" w:hAnsi="Arial" w:cs="Arial"/>
                <w:sz w:val="18"/>
                <w:szCs w:val="18"/>
                <w:lang w:val="es-ES_tradnl"/>
              </w:rPr>
              <w:t>*</w:t>
            </w:r>
          </w:p>
        </w:tc>
        <w:tc>
          <w:tcPr>
            <w:tcW w:w="757" w:type="dxa"/>
            <w:gridSpan w:val="2"/>
            <w:vAlign w:val="center"/>
          </w:tcPr>
          <w:p w14:paraId="2C668E61" w14:textId="77777777" w:rsidR="00021AF9" w:rsidRPr="00074BA4" w:rsidRDefault="001275B3"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6,</w:t>
            </w:r>
            <w:r w:rsidR="006C32DD" w:rsidRPr="00074BA4">
              <w:rPr>
                <w:rFonts w:ascii="Arial" w:hAnsi="Arial" w:cs="Arial"/>
                <w:sz w:val="18"/>
                <w:szCs w:val="18"/>
                <w:lang w:val="es-ES_tradnl"/>
              </w:rPr>
              <w:t>0%</w:t>
            </w:r>
          </w:p>
        </w:tc>
        <w:tc>
          <w:tcPr>
            <w:tcW w:w="758" w:type="dxa"/>
            <w:gridSpan w:val="3"/>
            <w:vAlign w:val="center"/>
          </w:tcPr>
          <w:p w14:paraId="7570DAA7" w14:textId="77777777" w:rsidR="00021AF9" w:rsidRPr="00074BA4" w:rsidRDefault="001275B3"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6,</w:t>
            </w:r>
            <w:r w:rsidR="006C32DD" w:rsidRPr="00074BA4">
              <w:rPr>
                <w:rFonts w:ascii="Arial" w:hAnsi="Arial" w:cs="Arial"/>
                <w:sz w:val="18"/>
                <w:szCs w:val="18"/>
                <w:lang w:val="es-ES_tradnl"/>
              </w:rPr>
              <w:t>5</w:t>
            </w:r>
            <w:r w:rsidR="00C073A1" w:rsidRPr="00074BA4">
              <w:rPr>
                <w:rFonts w:ascii="Arial" w:hAnsi="Arial" w:cs="Arial"/>
                <w:sz w:val="18"/>
                <w:szCs w:val="18"/>
                <w:lang w:val="es-ES_tradnl"/>
              </w:rPr>
              <w:t>%</w:t>
            </w:r>
          </w:p>
        </w:tc>
        <w:tc>
          <w:tcPr>
            <w:tcW w:w="757" w:type="dxa"/>
            <w:vAlign w:val="center"/>
          </w:tcPr>
          <w:p w14:paraId="05813A73" w14:textId="77777777" w:rsidR="00021AF9" w:rsidRPr="00074BA4" w:rsidRDefault="00C073A1"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7</w:t>
            </w:r>
            <w:r w:rsidR="001275B3" w:rsidRPr="00074BA4">
              <w:rPr>
                <w:rFonts w:ascii="Arial" w:hAnsi="Arial" w:cs="Arial"/>
                <w:sz w:val="18"/>
                <w:szCs w:val="18"/>
                <w:lang w:val="es-ES_tradnl"/>
              </w:rPr>
              <w:t>,</w:t>
            </w:r>
            <w:r w:rsidRPr="00074BA4">
              <w:rPr>
                <w:rFonts w:ascii="Arial" w:hAnsi="Arial" w:cs="Arial"/>
                <w:sz w:val="18"/>
                <w:szCs w:val="18"/>
                <w:lang w:val="es-ES_tradnl"/>
              </w:rPr>
              <w:t>0%</w:t>
            </w:r>
          </w:p>
        </w:tc>
        <w:tc>
          <w:tcPr>
            <w:tcW w:w="758" w:type="dxa"/>
            <w:gridSpan w:val="2"/>
            <w:vAlign w:val="center"/>
          </w:tcPr>
          <w:p w14:paraId="49ABF1F8" w14:textId="77777777" w:rsidR="00021AF9" w:rsidRPr="00074BA4" w:rsidRDefault="001275B3"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7,</w:t>
            </w:r>
            <w:r w:rsidR="006C32DD" w:rsidRPr="00074BA4">
              <w:rPr>
                <w:rFonts w:ascii="Arial" w:hAnsi="Arial" w:cs="Arial"/>
                <w:sz w:val="18"/>
                <w:szCs w:val="18"/>
                <w:lang w:val="es-ES_tradnl"/>
              </w:rPr>
              <w:t>55</w:t>
            </w:r>
          </w:p>
        </w:tc>
        <w:tc>
          <w:tcPr>
            <w:tcW w:w="1620" w:type="dxa"/>
            <w:vAlign w:val="center"/>
          </w:tcPr>
          <w:p w14:paraId="646E86AA" w14:textId="760968BB" w:rsidR="00021AF9" w:rsidRPr="00074BA4" w:rsidRDefault="00021AF9" w:rsidP="00C17BD3">
            <w:pPr>
              <w:spacing w:after="0" w:line="240" w:lineRule="auto"/>
              <w:ind w:hanging="18"/>
              <w:rPr>
                <w:rFonts w:ascii="Arial" w:hAnsi="Arial" w:cs="Arial"/>
                <w:sz w:val="18"/>
                <w:szCs w:val="18"/>
                <w:lang w:val="es-ES_tradnl"/>
              </w:rPr>
            </w:pPr>
            <w:r w:rsidRPr="00074BA4">
              <w:rPr>
                <w:rFonts w:ascii="Arial" w:hAnsi="Arial" w:cs="Arial"/>
                <w:sz w:val="18"/>
                <w:szCs w:val="18"/>
                <w:lang w:val="es-ES_tradnl"/>
              </w:rPr>
              <w:t xml:space="preserve">Informes </w:t>
            </w:r>
            <w:r w:rsidR="00C17BD3" w:rsidRPr="00074BA4">
              <w:rPr>
                <w:rFonts w:ascii="Arial" w:hAnsi="Arial" w:cs="Arial"/>
                <w:sz w:val="18"/>
                <w:szCs w:val="18"/>
                <w:lang w:val="es-ES_tradnl"/>
              </w:rPr>
              <w:t xml:space="preserve">Anuales </w:t>
            </w:r>
            <w:r w:rsidRPr="00074BA4">
              <w:rPr>
                <w:rFonts w:ascii="Arial" w:hAnsi="Arial" w:cs="Arial"/>
                <w:sz w:val="18"/>
                <w:szCs w:val="18"/>
                <w:lang w:val="es-ES_tradnl"/>
              </w:rPr>
              <w:t>de</w:t>
            </w:r>
            <w:r w:rsidR="00AF70DB" w:rsidRPr="00074BA4">
              <w:rPr>
                <w:rFonts w:ascii="Arial" w:hAnsi="Arial" w:cs="Arial"/>
                <w:sz w:val="18"/>
                <w:szCs w:val="18"/>
                <w:lang w:val="es-ES_tradnl"/>
              </w:rPr>
              <w:t xml:space="preserve">l Ministerio de Economía y Finanzas </w:t>
            </w:r>
          </w:p>
        </w:tc>
        <w:tc>
          <w:tcPr>
            <w:tcW w:w="3825" w:type="dxa"/>
            <w:vAlign w:val="center"/>
          </w:tcPr>
          <w:p w14:paraId="7F312436" w14:textId="77777777" w:rsidR="001B3D7E" w:rsidRPr="00074BA4" w:rsidRDefault="001B3D7E" w:rsidP="00955D9E">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 xml:space="preserve">La meta de proyecto se establecerá a partir de los reportes oficiales del Ministerio de Economía y finanzas. </w:t>
            </w:r>
          </w:p>
          <w:p w14:paraId="1B472082" w14:textId="77777777" w:rsidR="001B3D7E" w:rsidRPr="00074BA4" w:rsidRDefault="001B3D7E" w:rsidP="00955D9E">
            <w:pPr>
              <w:spacing w:after="0" w:line="240" w:lineRule="auto"/>
              <w:ind w:hanging="18"/>
              <w:jc w:val="both"/>
              <w:rPr>
                <w:rFonts w:ascii="Arial" w:hAnsi="Arial" w:cs="Arial"/>
                <w:sz w:val="18"/>
                <w:szCs w:val="18"/>
                <w:lang w:val="es-ES_tradnl"/>
              </w:rPr>
            </w:pPr>
          </w:p>
          <w:p w14:paraId="12B6DC7E" w14:textId="3E6C49DA" w:rsidR="00A90E56" w:rsidRPr="00074BA4" w:rsidRDefault="001B3D7E" w:rsidP="00955D9E">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w:t>
            </w:r>
            <w:r w:rsidRPr="00074BA4">
              <w:rPr>
                <w:rFonts w:ascii="Arial" w:hAnsi="Arial" w:cs="Arial"/>
                <w:i/>
                <w:sz w:val="18"/>
                <w:szCs w:val="18"/>
                <w:lang w:val="es-ES_tradnl"/>
              </w:rPr>
              <w:t>Meta de resultado</w:t>
            </w:r>
            <w:r w:rsidRPr="00074BA4">
              <w:rPr>
                <w:rFonts w:ascii="Arial" w:hAnsi="Arial" w:cs="Arial"/>
                <w:sz w:val="18"/>
                <w:szCs w:val="18"/>
                <w:lang w:val="es-ES_tradnl"/>
              </w:rPr>
              <w:t xml:space="preserve"> = </w:t>
            </w:r>
            <w:r w:rsidRPr="00074BA4">
              <w:rPr>
                <w:rFonts w:ascii="Arial" w:hAnsi="Arial" w:cs="Arial"/>
                <w:i/>
                <w:sz w:val="18"/>
                <w:szCs w:val="18"/>
                <w:lang w:val="es-ES_tradnl"/>
              </w:rPr>
              <w:t xml:space="preserve">Inversión pública ejecutada en el sector de transporte y logística / </w:t>
            </w:r>
            <w:proofErr w:type="spellStart"/>
            <w:r w:rsidR="00296E29" w:rsidRPr="00074BA4">
              <w:rPr>
                <w:rFonts w:ascii="Arial" w:hAnsi="Arial" w:cs="Arial"/>
                <w:i/>
                <w:sz w:val="18"/>
                <w:szCs w:val="18"/>
                <w:lang w:val="es-ES_tradnl"/>
              </w:rPr>
              <w:t>Prespupuesto</w:t>
            </w:r>
            <w:proofErr w:type="spellEnd"/>
            <w:r w:rsidR="00296E29" w:rsidRPr="00074BA4">
              <w:rPr>
                <w:rFonts w:ascii="Arial" w:hAnsi="Arial" w:cs="Arial"/>
                <w:i/>
                <w:sz w:val="18"/>
                <w:szCs w:val="18"/>
                <w:lang w:val="es-ES_tradnl"/>
              </w:rPr>
              <w:t xml:space="preserve"> público total ejecutado</w:t>
            </w:r>
            <w:r w:rsidRPr="00074BA4">
              <w:rPr>
                <w:rFonts w:ascii="Arial" w:hAnsi="Arial" w:cs="Arial"/>
                <w:sz w:val="18"/>
                <w:szCs w:val="18"/>
                <w:lang w:val="es-ES_tradnl"/>
              </w:rPr>
              <w:t xml:space="preserve">) </w:t>
            </w:r>
          </w:p>
        </w:tc>
      </w:tr>
      <w:tr w:rsidR="00C9425B" w:rsidRPr="00DF1F8D" w14:paraId="32718A6D" w14:textId="77777777" w:rsidTr="00C40230">
        <w:trPr>
          <w:trHeight w:val="197"/>
        </w:trPr>
        <w:tc>
          <w:tcPr>
            <w:tcW w:w="14130" w:type="dxa"/>
            <w:gridSpan w:val="18"/>
            <w:shd w:val="clear" w:color="auto" w:fill="D9D9D9"/>
          </w:tcPr>
          <w:p w14:paraId="7CDFD815" w14:textId="77777777" w:rsidR="00C9425B" w:rsidRPr="00074BA4" w:rsidRDefault="00C9425B" w:rsidP="00521F6F">
            <w:pPr>
              <w:spacing w:after="0" w:line="240" w:lineRule="auto"/>
              <w:jc w:val="both"/>
              <w:rPr>
                <w:rFonts w:ascii="Arial" w:hAnsi="Arial" w:cs="Arial"/>
                <w:b/>
                <w:sz w:val="18"/>
                <w:szCs w:val="18"/>
                <w:lang w:val="es-ES"/>
              </w:rPr>
            </w:pPr>
            <w:r w:rsidRPr="00074BA4">
              <w:rPr>
                <w:rFonts w:ascii="Arial" w:hAnsi="Arial" w:cs="Arial"/>
                <w:b/>
                <w:sz w:val="18"/>
                <w:szCs w:val="18"/>
                <w:lang w:val="es-ES"/>
              </w:rPr>
              <w:t>Resultado 2: Reducción del tiempo promedio de despach</w:t>
            </w:r>
            <w:r w:rsidR="00521F6F" w:rsidRPr="00074BA4">
              <w:rPr>
                <w:rFonts w:ascii="Arial" w:hAnsi="Arial" w:cs="Arial"/>
                <w:b/>
                <w:sz w:val="18"/>
                <w:szCs w:val="18"/>
                <w:lang w:val="es-ES"/>
              </w:rPr>
              <w:t>o de carga en Aduanas para Paso Canoas.</w:t>
            </w:r>
          </w:p>
        </w:tc>
      </w:tr>
      <w:tr w:rsidR="00021AF9" w:rsidRPr="00DF1F8D" w14:paraId="6868BAD0" w14:textId="77777777" w:rsidTr="00C40230">
        <w:trPr>
          <w:trHeight w:val="1286"/>
        </w:trPr>
        <w:tc>
          <w:tcPr>
            <w:tcW w:w="2272" w:type="dxa"/>
            <w:vAlign w:val="center"/>
          </w:tcPr>
          <w:p w14:paraId="48D8478C" w14:textId="77777777" w:rsidR="00021AF9" w:rsidRPr="00074BA4" w:rsidRDefault="00021AF9" w:rsidP="00F450BC">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Tiempo de despacho de aduanas promedio para carga en Paso Canoas</w:t>
            </w:r>
          </w:p>
        </w:tc>
        <w:tc>
          <w:tcPr>
            <w:tcW w:w="990" w:type="dxa"/>
            <w:gridSpan w:val="2"/>
            <w:vAlign w:val="center"/>
          </w:tcPr>
          <w:p w14:paraId="2C3D986F" w14:textId="77777777" w:rsidR="00021AF9" w:rsidRPr="00074BA4" w:rsidRDefault="0052242E" w:rsidP="00955D9E">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H</w:t>
            </w:r>
            <w:r w:rsidR="00021AF9" w:rsidRPr="00074BA4">
              <w:rPr>
                <w:rFonts w:ascii="Arial" w:hAnsi="Arial" w:cs="Arial"/>
                <w:sz w:val="18"/>
                <w:szCs w:val="18"/>
                <w:lang w:val="es-ES_tradnl"/>
              </w:rPr>
              <w:t>oras</w:t>
            </w:r>
          </w:p>
        </w:tc>
        <w:tc>
          <w:tcPr>
            <w:tcW w:w="878" w:type="dxa"/>
            <w:shd w:val="clear" w:color="auto" w:fill="auto"/>
            <w:vAlign w:val="center"/>
          </w:tcPr>
          <w:p w14:paraId="520D943E" w14:textId="77777777" w:rsidR="00021AF9" w:rsidRPr="00074BA4" w:rsidRDefault="00955D9E"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15</w:t>
            </w:r>
          </w:p>
        </w:tc>
        <w:tc>
          <w:tcPr>
            <w:tcW w:w="757" w:type="dxa"/>
            <w:vAlign w:val="center"/>
          </w:tcPr>
          <w:p w14:paraId="6DFCF805" w14:textId="77777777" w:rsidR="00021AF9" w:rsidRPr="00074BA4" w:rsidRDefault="00955D9E"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15</w:t>
            </w:r>
          </w:p>
        </w:tc>
        <w:tc>
          <w:tcPr>
            <w:tcW w:w="758" w:type="dxa"/>
            <w:gridSpan w:val="3"/>
            <w:vAlign w:val="center"/>
          </w:tcPr>
          <w:p w14:paraId="1CC3CE6E" w14:textId="77777777" w:rsidR="00021AF9" w:rsidRPr="00074BA4" w:rsidRDefault="00955D9E"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15</w:t>
            </w:r>
          </w:p>
        </w:tc>
        <w:tc>
          <w:tcPr>
            <w:tcW w:w="757" w:type="dxa"/>
            <w:gridSpan w:val="2"/>
            <w:vAlign w:val="center"/>
          </w:tcPr>
          <w:p w14:paraId="1ED31A1F" w14:textId="77777777" w:rsidR="00021AF9" w:rsidRPr="00074BA4" w:rsidRDefault="00955D9E"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15</w:t>
            </w:r>
          </w:p>
        </w:tc>
        <w:tc>
          <w:tcPr>
            <w:tcW w:w="758" w:type="dxa"/>
            <w:gridSpan w:val="3"/>
            <w:vAlign w:val="center"/>
          </w:tcPr>
          <w:p w14:paraId="239DC7AB" w14:textId="77777777" w:rsidR="00021AF9" w:rsidRPr="00074BA4" w:rsidRDefault="00955D9E"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15</w:t>
            </w:r>
          </w:p>
        </w:tc>
        <w:tc>
          <w:tcPr>
            <w:tcW w:w="757" w:type="dxa"/>
            <w:vAlign w:val="center"/>
          </w:tcPr>
          <w:p w14:paraId="7701ABA2" w14:textId="77777777" w:rsidR="00021AF9" w:rsidRPr="00074BA4" w:rsidRDefault="00955D9E"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15</w:t>
            </w:r>
          </w:p>
        </w:tc>
        <w:tc>
          <w:tcPr>
            <w:tcW w:w="758" w:type="dxa"/>
            <w:gridSpan w:val="2"/>
            <w:vAlign w:val="center"/>
          </w:tcPr>
          <w:p w14:paraId="16224EC1" w14:textId="77777777" w:rsidR="00021AF9" w:rsidRPr="00074BA4" w:rsidRDefault="00F450BC"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8.5</w:t>
            </w:r>
            <w:r w:rsidRPr="00074BA4">
              <w:rPr>
                <w:rStyle w:val="FootnoteReference"/>
                <w:rFonts w:ascii="Arial" w:hAnsi="Arial" w:cs="Arial"/>
                <w:sz w:val="18"/>
                <w:szCs w:val="18"/>
                <w:lang w:val="es-ES_tradnl"/>
              </w:rPr>
              <w:footnoteReference w:id="2"/>
            </w:r>
          </w:p>
        </w:tc>
        <w:tc>
          <w:tcPr>
            <w:tcW w:w="1620" w:type="dxa"/>
            <w:vAlign w:val="center"/>
          </w:tcPr>
          <w:p w14:paraId="3D3400FB" w14:textId="77777777" w:rsidR="00021AF9" w:rsidRPr="00074BA4" w:rsidRDefault="00021AF9" w:rsidP="00F450BC">
            <w:pPr>
              <w:spacing w:after="0" w:line="240" w:lineRule="auto"/>
              <w:ind w:hanging="18"/>
              <w:rPr>
                <w:rFonts w:ascii="Arial" w:hAnsi="Arial" w:cs="Arial"/>
                <w:sz w:val="18"/>
                <w:szCs w:val="18"/>
                <w:lang w:val="es-ES_tradnl"/>
              </w:rPr>
            </w:pPr>
            <w:r w:rsidRPr="00074BA4">
              <w:rPr>
                <w:rFonts w:ascii="Arial" w:hAnsi="Arial" w:cs="Arial"/>
                <w:sz w:val="18"/>
                <w:szCs w:val="18"/>
                <w:lang w:val="es-ES_tradnl"/>
              </w:rPr>
              <w:t xml:space="preserve">Informe de </w:t>
            </w:r>
            <w:r w:rsidR="00F450BC" w:rsidRPr="00074BA4">
              <w:rPr>
                <w:rFonts w:ascii="Arial" w:hAnsi="Arial" w:cs="Arial"/>
                <w:sz w:val="18"/>
                <w:szCs w:val="18"/>
                <w:lang w:val="es-ES_tradnl"/>
              </w:rPr>
              <w:t xml:space="preserve">Gestión </w:t>
            </w:r>
            <w:r w:rsidRPr="00074BA4">
              <w:rPr>
                <w:rFonts w:ascii="Arial" w:hAnsi="Arial" w:cs="Arial"/>
                <w:sz w:val="18"/>
                <w:szCs w:val="18"/>
                <w:lang w:val="es-ES_tradnl"/>
              </w:rPr>
              <w:t xml:space="preserve">de </w:t>
            </w:r>
            <w:r w:rsidR="00C17BD3" w:rsidRPr="00074BA4">
              <w:rPr>
                <w:rFonts w:ascii="Arial" w:hAnsi="Arial" w:cs="Arial"/>
                <w:sz w:val="18"/>
                <w:szCs w:val="18"/>
                <w:lang w:val="es-ES_tradnl"/>
              </w:rPr>
              <w:t xml:space="preserve">la </w:t>
            </w:r>
            <w:r w:rsidR="00750B79" w:rsidRPr="00074BA4">
              <w:rPr>
                <w:rFonts w:ascii="Arial" w:hAnsi="Arial" w:cs="Arial"/>
                <w:sz w:val="18"/>
                <w:szCs w:val="18"/>
                <w:lang w:val="es-ES_tradnl"/>
              </w:rPr>
              <w:t xml:space="preserve">Autoridad </w:t>
            </w:r>
            <w:r w:rsidRPr="00074BA4">
              <w:rPr>
                <w:rFonts w:ascii="Arial" w:hAnsi="Arial" w:cs="Arial"/>
                <w:sz w:val="18"/>
                <w:szCs w:val="18"/>
                <w:lang w:val="es-ES_tradnl"/>
              </w:rPr>
              <w:t>N</w:t>
            </w:r>
            <w:r w:rsidR="00750B79" w:rsidRPr="00074BA4">
              <w:rPr>
                <w:rFonts w:ascii="Arial" w:hAnsi="Arial" w:cs="Arial"/>
                <w:sz w:val="18"/>
                <w:szCs w:val="18"/>
                <w:lang w:val="es-ES_tradnl"/>
              </w:rPr>
              <w:t xml:space="preserve">acional </w:t>
            </w:r>
            <w:proofErr w:type="gramStart"/>
            <w:r w:rsidR="00750B79" w:rsidRPr="00074BA4">
              <w:rPr>
                <w:rFonts w:ascii="Arial" w:hAnsi="Arial" w:cs="Arial"/>
                <w:sz w:val="18"/>
                <w:szCs w:val="18"/>
                <w:lang w:val="es-ES_tradnl"/>
              </w:rPr>
              <w:t xml:space="preserve">de  </w:t>
            </w:r>
            <w:r w:rsidRPr="00074BA4">
              <w:rPr>
                <w:rFonts w:ascii="Arial" w:hAnsi="Arial" w:cs="Arial"/>
                <w:sz w:val="18"/>
                <w:szCs w:val="18"/>
                <w:lang w:val="es-ES_tradnl"/>
              </w:rPr>
              <w:t>A</w:t>
            </w:r>
            <w:r w:rsidR="00750B79" w:rsidRPr="00074BA4">
              <w:rPr>
                <w:rFonts w:ascii="Arial" w:hAnsi="Arial" w:cs="Arial"/>
                <w:sz w:val="18"/>
                <w:szCs w:val="18"/>
                <w:lang w:val="es-ES_tradnl"/>
              </w:rPr>
              <w:t>duanas</w:t>
            </w:r>
            <w:proofErr w:type="gramEnd"/>
            <w:r w:rsidR="00750B79" w:rsidRPr="00074BA4">
              <w:rPr>
                <w:rFonts w:ascii="Arial" w:hAnsi="Arial" w:cs="Arial"/>
                <w:sz w:val="18"/>
                <w:szCs w:val="18"/>
                <w:lang w:val="es-ES_tradnl"/>
              </w:rPr>
              <w:t xml:space="preserve"> (ANA)</w:t>
            </w:r>
          </w:p>
        </w:tc>
        <w:tc>
          <w:tcPr>
            <w:tcW w:w="3825" w:type="dxa"/>
            <w:vAlign w:val="center"/>
          </w:tcPr>
          <w:p w14:paraId="0F165FE0" w14:textId="77777777" w:rsidR="00521F6F" w:rsidRPr="00074BA4" w:rsidRDefault="00955D9E" w:rsidP="00955D9E">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Tiempo que toma liberar la mercancía desde el registro de la declaración.</w:t>
            </w:r>
          </w:p>
        </w:tc>
      </w:tr>
      <w:tr w:rsidR="00C9425B" w:rsidRPr="00DF1F8D" w14:paraId="156F7011" w14:textId="77777777" w:rsidTr="00C40230">
        <w:trPr>
          <w:trHeight w:val="56"/>
        </w:trPr>
        <w:tc>
          <w:tcPr>
            <w:tcW w:w="14130" w:type="dxa"/>
            <w:gridSpan w:val="18"/>
            <w:shd w:val="clear" w:color="auto" w:fill="D9D9D9"/>
          </w:tcPr>
          <w:p w14:paraId="14D39E5F" w14:textId="77777777" w:rsidR="00C9425B" w:rsidRPr="00074BA4" w:rsidRDefault="00543011" w:rsidP="00521F6F">
            <w:pPr>
              <w:spacing w:after="0" w:line="240" w:lineRule="auto"/>
              <w:rPr>
                <w:rFonts w:ascii="Arial" w:hAnsi="Arial" w:cs="Arial"/>
                <w:b/>
                <w:sz w:val="18"/>
                <w:szCs w:val="18"/>
                <w:lang w:val="es-ES"/>
              </w:rPr>
            </w:pPr>
            <w:r w:rsidRPr="00074BA4">
              <w:rPr>
                <w:rFonts w:ascii="Arial" w:hAnsi="Arial" w:cs="Arial"/>
                <w:b/>
                <w:sz w:val="18"/>
                <w:szCs w:val="18"/>
                <w:lang w:val="es-ES"/>
              </w:rPr>
              <w:t>Resultado 3</w:t>
            </w:r>
            <w:r w:rsidR="00C9425B" w:rsidRPr="00074BA4">
              <w:rPr>
                <w:rFonts w:ascii="Arial" w:hAnsi="Arial" w:cs="Arial"/>
                <w:b/>
                <w:sz w:val="18"/>
                <w:szCs w:val="18"/>
                <w:lang w:val="es-ES"/>
              </w:rPr>
              <w:t xml:space="preserve">: Incremento </w:t>
            </w:r>
            <w:r w:rsidR="00521F6F" w:rsidRPr="00074BA4">
              <w:rPr>
                <w:rFonts w:ascii="Arial" w:hAnsi="Arial" w:cs="Arial"/>
                <w:b/>
                <w:sz w:val="18"/>
                <w:szCs w:val="18"/>
                <w:lang w:val="es-ES"/>
              </w:rPr>
              <w:t xml:space="preserve">en </w:t>
            </w:r>
            <w:r w:rsidR="00C9425B" w:rsidRPr="00074BA4">
              <w:rPr>
                <w:rFonts w:ascii="Arial" w:hAnsi="Arial" w:cs="Arial"/>
                <w:b/>
                <w:sz w:val="18"/>
                <w:szCs w:val="18"/>
                <w:lang w:val="es-ES"/>
              </w:rPr>
              <w:t>la relación del número de puertos habilitados para la exportación de productos agrícolas nacionales</w:t>
            </w:r>
            <w:r w:rsidR="00C9425B" w:rsidRPr="00074BA4">
              <w:rPr>
                <w:rStyle w:val="FootnoteReference"/>
                <w:rFonts w:ascii="Arial" w:hAnsi="Arial" w:cs="Arial"/>
                <w:b/>
                <w:sz w:val="18"/>
                <w:szCs w:val="18"/>
                <w:lang w:val="es-ES"/>
              </w:rPr>
              <w:footnoteReference w:id="3"/>
            </w:r>
            <w:r w:rsidR="00C9425B" w:rsidRPr="00074BA4">
              <w:rPr>
                <w:rFonts w:ascii="Arial" w:hAnsi="Arial" w:cs="Arial"/>
                <w:b/>
                <w:sz w:val="18"/>
                <w:szCs w:val="18"/>
                <w:lang w:val="es-ES"/>
              </w:rPr>
              <w:t xml:space="preserve"> y el total de puertos panameños</w:t>
            </w:r>
            <w:r w:rsidR="0099458D" w:rsidRPr="00074BA4">
              <w:rPr>
                <w:rFonts w:ascii="Arial" w:hAnsi="Arial" w:cs="Arial"/>
                <w:b/>
                <w:sz w:val="18"/>
                <w:szCs w:val="18"/>
                <w:lang w:val="es-ES"/>
              </w:rPr>
              <w:t xml:space="preserve"> existentes</w:t>
            </w:r>
            <w:r w:rsidR="00521F6F" w:rsidRPr="00074BA4">
              <w:rPr>
                <w:rFonts w:ascii="Arial" w:hAnsi="Arial" w:cs="Arial"/>
                <w:b/>
                <w:sz w:val="18"/>
                <w:szCs w:val="18"/>
                <w:lang w:val="es-ES"/>
              </w:rPr>
              <w:t>.</w:t>
            </w:r>
          </w:p>
        </w:tc>
      </w:tr>
      <w:tr w:rsidR="00021AF9" w:rsidRPr="003A17C7" w14:paraId="6BDF080E" w14:textId="77777777" w:rsidTr="001B3D7E">
        <w:trPr>
          <w:trHeight w:val="1943"/>
        </w:trPr>
        <w:tc>
          <w:tcPr>
            <w:tcW w:w="2272" w:type="dxa"/>
            <w:vAlign w:val="center"/>
          </w:tcPr>
          <w:p w14:paraId="6F2AEF93" w14:textId="77777777" w:rsidR="00021AF9" w:rsidRPr="00074BA4" w:rsidRDefault="00C40230" w:rsidP="00521F6F">
            <w:pPr>
              <w:spacing w:after="0" w:line="240" w:lineRule="auto"/>
              <w:ind w:hanging="18"/>
              <w:rPr>
                <w:rFonts w:ascii="Arial" w:hAnsi="Arial" w:cs="Arial"/>
                <w:sz w:val="18"/>
                <w:szCs w:val="18"/>
                <w:lang w:val="es-ES_tradnl"/>
              </w:rPr>
            </w:pPr>
            <w:r w:rsidRPr="00074BA4">
              <w:rPr>
                <w:rFonts w:ascii="Arial" w:hAnsi="Arial" w:cs="Arial"/>
                <w:sz w:val="18"/>
                <w:szCs w:val="18"/>
                <w:lang w:val="es-ES_tradnl"/>
              </w:rPr>
              <w:t xml:space="preserve">Porcentaje del total de </w:t>
            </w:r>
            <w:r w:rsidR="00021AF9" w:rsidRPr="00074BA4">
              <w:rPr>
                <w:rFonts w:ascii="Arial" w:hAnsi="Arial" w:cs="Arial"/>
                <w:sz w:val="18"/>
                <w:szCs w:val="18"/>
                <w:lang w:val="es-ES_tradnl"/>
              </w:rPr>
              <w:t xml:space="preserve">puertos habilitados para la exportación de productos </w:t>
            </w:r>
            <w:r w:rsidRPr="00074BA4">
              <w:rPr>
                <w:rFonts w:ascii="Arial" w:hAnsi="Arial" w:cs="Arial"/>
                <w:sz w:val="18"/>
                <w:szCs w:val="18"/>
                <w:lang w:val="es-ES_tradnl"/>
              </w:rPr>
              <w:t>agr</w:t>
            </w:r>
            <w:r w:rsidR="00521F6F" w:rsidRPr="00074BA4">
              <w:rPr>
                <w:rFonts w:ascii="Arial" w:hAnsi="Arial" w:cs="Arial"/>
                <w:sz w:val="18"/>
                <w:szCs w:val="18"/>
                <w:lang w:val="es-ES_tradnl"/>
              </w:rPr>
              <w:t>í</w:t>
            </w:r>
            <w:r w:rsidRPr="00074BA4">
              <w:rPr>
                <w:rFonts w:ascii="Arial" w:hAnsi="Arial" w:cs="Arial"/>
                <w:sz w:val="18"/>
                <w:szCs w:val="18"/>
                <w:lang w:val="es-ES_tradnl"/>
              </w:rPr>
              <w:t xml:space="preserve">colas </w:t>
            </w:r>
            <w:r w:rsidR="00021AF9" w:rsidRPr="00074BA4">
              <w:rPr>
                <w:rFonts w:ascii="Arial" w:hAnsi="Arial" w:cs="Arial"/>
                <w:sz w:val="18"/>
                <w:szCs w:val="18"/>
                <w:lang w:val="es-ES_tradnl"/>
              </w:rPr>
              <w:t xml:space="preserve">nacionales </w:t>
            </w:r>
            <w:r w:rsidRPr="00074BA4">
              <w:rPr>
                <w:rFonts w:ascii="Arial" w:hAnsi="Arial" w:cs="Arial"/>
                <w:sz w:val="18"/>
                <w:szCs w:val="18"/>
                <w:lang w:val="es-ES_tradnl"/>
              </w:rPr>
              <w:t xml:space="preserve">sobre el total de puertos a nivel nacional. </w:t>
            </w:r>
          </w:p>
        </w:tc>
        <w:tc>
          <w:tcPr>
            <w:tcW w:w="968" w:type="dxa"/>
            <w:vAlign w:val="center"/>
          </w:tcPr>
          <w:p w14:paraId="5D35CB78" w14:textId="77777777" w:rsidR="00021AF9" w:rsidRPr="00074BA4" w:rsidRDefault="00021AF9"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w:t>
            </w:r>
          </w:p>
          <w:p w14:paraId="73CB982D" w14:textId="77777777" w:rsidR="00C40230" w:rsidRPr="00074BA4" w:rsidRDefault="00C4023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(ratio)</w:t>
            </w:r>
          </w:p>
        </w:tc>
        <w:tc>
          <w:tcPr>
            <w:tcW w:w="900" w:type="dxa"/>
            <w:gridSpan w:val="2"/>
            <w:vAlign w:val="center"/>
          </w:tcPr>
          <w:p w14:paraId="6499F187" w14:textId="77777777" w:rsidR="007422E0"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r w:rsidR="00E9490D" w:rsidRPr="00074BA4">
              <w:rPr>
                <w:rFonts w:ascii="Arial" w:hAnsi="Arial" w:cs="Arial"/>
                <w:sz w:val="18"/>
                <w:szCs w:val="18"/>
                <w:lang w:val="es-ES_tradnl"/>
              </w:rPr>
              <w:t>8</w:t>
            </w:r>
            <w:r w:rsidR="001B3D7E" w:rsidRPr="00074BA4">
              <w:rPr>
                <w:rStyle w:val="FootnoteReference"/>
                <w:rFonts w:ascii="Arial" w:hAnsi="Arial" w:cs="Arial"/>
                <w:sz w:val="18"/>
                <w:szCs w:val="18"/>
                <w:lang w:val="es-ES_tradnl"/>
              </w:rPr>
              <w:footnoteReference w:id="4"/>
            </w:r>
          </w:p>
          <w:p w14:paraId="00D3B990" w14:textId="77777777" w:rsidR="007422E0"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(6/32)</w:t>
            </w:r>
          </w:p>
        </w:tc>
        <w:tc>
          <w:tcPr>
            <w:tcW w:w="757" w:type="dxa"/>
            <w:vAlign w:val="center"/>
          </w:tcPr>
          <w:p w14:paraId="558283E8" w14:textId="77777777" w:rsidR="00021AF9"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18</w:t>
            </w:r>
          </w:p>
          <w:p w14:paraId="0B0B36C6" w14:textId="77777777" w:rsidR="007422E0"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(6/32)</w:t>
            </w:r>
          </w:p>
        </w:tc>
        <w:tc>
          <w:tcPr>
            <w:tcW w:w="758" w:type="dxa"/>
            <w:gridSpan w:val="3"/>
            <w:vAlign w:val="center"/>
          </w:tcPr>
          <w:p w14:paraId="4841008D" w14:textId="77777777" w:rsidR="00021AF9"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18</w:t>
            </w:r>
          </w:p>
          <w:p w14:paraId="00BF0B07" w14:textId="77777777" w:rsidR="007422E0"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(6/32)</w:t>
            </w:r>
          </w:p>
        </w:tc>
        <w:tc>
          <w:tcPr>
            <w:tcW w:w="757" w:type="dxa"/>
            <w:gridSpan w:val="2"/>
            <w:vAlign w:val="center"/>
          </w:tcPr>
          <w:p w14:paraId="3C16AAF0" w14:textId="77777777" w:rsidR="00021AF9"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18</w:t>
            </w:r>
          </w:p>
          <w:p w14:paraId="4CA89726" w14:textId="77777777" w:rsidR="007422E0"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(6/32)</w:t>
            </w:r>
          </w:p>
        </w:tc>
        <w:tc>
          <w:tcPr>
            <w:tcW w:w="758" w:type="dxa"/>
            <w:gridSpan w:val="3"/>
            <w:vAlign w:val="center"/>
          </w:tcPr>
          <w:p w14:paraId="7ABB6990" w14:textId="77777777" w:rsidR="007422E0" w:rsidRPr="00074BA4" w:rsidRDefault="007422E0" w:rsidP="005E3920">
            <w:pPr>
              <w:spacing w:after="0" w:line="240" w:lineRule="auto"/>
              <w:ind w:hanging="18"/>
              <w:jc w:val="center"/>
              <w:rPr>
                <w:rFonts w:ascii="Arial" w:hAnsi="Arial" w:cs="Arial"/>
                <w:sz w:val="18"/>
                <w:szCs w:val="18"/>
                <w:lang w:val="es-ES_tradnl"/>
              </w:rPr>
            </w:pPr>
          </w:p>
          <w:p w14:paraId="02CDB493" w14:textId="77777777" w:rsidR="00021AF9"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21</w:t>
            </w:r>
          </w:p>
          <w:p w14:paraId="2895173D" w14:textId="77777777" w:rsidR="007422E0"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(7/32)</w:t>
            </w:r>
          </w:p>
          <w:p w14:paraId="7AA93C9A" w14:textId="77777777" w:rsidR="007422E0" w:rsidRPr="00074BA4" w:rsidRDefault="007422E0" w:rsidP="005E3920">
            <w:pPr>
              <w:spacing w:after="0" w:line="240" w:lineRule="auto"/>
              <w:ind w:hanging="18"/>
              <w:jc w:val="center"/>
              <w:rPr>
                <w:rFonts w:ascii="Arial" w:hAnsi="Arial" w:cs="Arial"/>
                <w:sz w:val="18"/>
                <w:szCs w:val="18"/>
                <w:lang w:val="es-ES_tradnl"/>
              </w:rPr>
            </w:pPr>
          </w:p>
        </w:tc>
        <w:tc>
          <w:tcPr>
            <w:tcW w:w="757" w:type="dxa"/>
            <w:vAlign w:val="center"/>
          </w:tcPr>
          <w:p w14:paraId="4986CEB0" w14:textId="77777777" w:rsidR="007422E0" w:rsidRPr="00074BA4" w:rsidRDefault="007422E0" w:rsidP="005E3920">
            <w:pPr>
              <w:spacing w:after="0" w:line="240" w:lineRule="auto"/>
              <w:ind w:hanging="18"/>
              <w:jc w:val="center"/>
              <w:rPr>
                <w:rFonts w:ascii="Arial" w:hAnsi="Arial" w:cs="Arial"/>
                <w:sz w:val="18"/>
                <w:szCs w:val="18"/>
                <w:lang w:val="es-ES_tradnl"/>
              </w:rPr>
            </w:pPr>
          </w:p>
          <w:p w14:paraId="53B421C2" w14:textId="77777777" w:rsidR="00021AF9"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21</w:t>
            </w:r>
          </w:p>
          <w:p w14:paraId="407FF7ED" w14:textId="77777777" w:rsidR="007422E0"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(7/32)</w:t>
            </w:r>
          </w:p>
          <w:p w14:paraId="085720E2" w14:textId="77777777" w:rsidR="007422E0" w:rsidRPr="00074BA4" w:rsidRDefault="007422E0" w:rsidP="005E3920">
            <w:pPr>
              <w:spacing w:after="0" w:line="240" w:lineRule="auto"/>
              <w:ind w:hanging="18"/>
              <w:jc w:val="center"/>
              <w:rPr>
                <w:rFonts w:ascii="Arial" w:hAnsi="Arial" w:cs="Arial"/>
                <w:sz w:val="18"/>
                <w:szCs w:val="18"/>
                <w:lang w:val="es-ES_tradnl"/>
              </w:rPr>
            </w:pPr>
          </w:p>
        </w:tc>
        <w:tc>
          <w:tcPr>
            <w:tcW w:w="758" w:type="dxa"/>
            <w:gridSpan w:val="2"/>
            <w:vAlign w:val="center"/>
          </w:tcPr>
          <w:p w14:paraId="11953327" w14:textId="77777777" w:rsidR="00021AF9"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25</w:t>
            </w:r>
          </w:p>
          <w:p w14:paraId="23D829B9" w14:textId="77777777" w:rsidR="007422E0" w:rsidRPr="00074BA4" w:rsidRDefault="007422E0"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(8/32)</w:t>
            </w:r>
          </w:p>
        </w:tc>
        <w:tc>
          <w:tcPr>
            <w:tcW w:w="1620" w:type="dxa"/>
            <w:vAlign w:val="center"/>
          </w:tcPr>
          <w:p w14:paraId="36C56DC8" w14:textId="77777777" w:rsidR="00021AF9" w:rsidRPr="00074BA4" w:rsidRDefault="00021AF9" w:rsidP="00C40230">
            <w:pPr>
              <w:spacing w:after="0" w:line="240" w:lineRule="auto"/>
              <w:ind w:hanging="18"/>
              <w:rPr>
                <w:rFonts w:ascii="Arial" w:hAnsi="Arial" w:cs="Arial"/>
                <w:sz w:val="18"/>
                <w:szCs w:val="18"/>
                <w:lang w:val="es-ES_tradnl"/>
              </w:rPr>
            </w:pPr>
            <w:r w:rsidRPr="00074BA4">
              <w:rPr>
                <w:rFonts w:ascii="Arial" w:hAnsi="Arial" w:cs="Arial"/>
                <w:sz w:val="18"/>
                <w:szCs w:val="18"/>
                <w:lang w:val="es-ES_tradnl"/>
              </w:rPr>
              <w:t xml:space="preserve">Boletín </w:t>
            </w:r>
            <w:r w:rsidR="00C40230" w:rsidRPr="00074BA4">
              <w:rPr>
                <w:rFonts w:ascii="Arial" w:hAnsi="Arial" w:cs="Arial"/>
                <w:sz w:val="18"/>
                <w:szCs w:val="18"/>
                <w:lang w:val="es-ES_tradnl"/>
              </w:rPr>
              <w:t>E</w:t>
            </w:r>
            <w:r w:rsidRPr="00074BA4">
              <w:rPr>
                <w:rFonts w:ascii="Arial" w:hAnsi="Arial" w:cs="Arial"/>
                <w:sz w:val="18"/>
                <w:szCs w:val="18"/>
                <w:lang w:val="es-ES_tradnl"/>
              </w:rPr>
              <w:t>stadístico</w:t>
            </w:r>
            <w:r w:rsidR="00C40230" w:rsidRPr="00074BA4">
              <w:rPr>
                <w:rFonts w:ascii="Arial" w:hAnsi="Arial" w:cs="Arial"/>
                <w:sz w:val="18"/>
                <w:szCs w:val="18"/>
                <w:lang w:val="es-ES_tradnl"/>
              </w:rPr>
              <w:t xml:space="preserve"> de la </w:t>
            </w:r>
            <w:r w:rsidRPr="00074BA4">
              <w:rPr>
                <w:rFonts w:ascii="Arial" w:hAnsi="Arial" w:cs="Arial"/>
                <w:sz w:val="18"/>
                <w:szCs w:val="18"/>
                <w:lang w:val="es-ES_tradnl"/>
              </w:rPr>
              <w:t>A</w:t>
            </w:r>
            <w:r w:rsidR="00750B79" w:rsidRPr="00074BA4">
              <w:rPr>
                <w:rFonts w:ascii="Arial" w:hAnsi="Arial" w:cs="Arial"/>
                <w:sz w:val="18"/>
                <w:szCs w:val="18"/>
                <w:lang w:val="es-ES_tradnl"/>
              </w:rPr>
              <w:t xml:space="preserve">utoridad </w:t>
            </w:r>
            <w:r w:rsidRPr="00074BA4">
              <w:rPr>
                <w:rFonts w:ascii="Arial" w:hAnsi="Arial" w:cs="Arial"/>
                <w:sz w:val="18"/>
                <w:szCs w:val="18"/>
                <w:lang w:val="es-ES_tradnl"/>
              </w:rPr>
              <w:t>M</w:t>
            </w:r>
            <w:r w:rsidR="00750B79" w:rsidRPr="00074BA4">
              <w:rPr>
                <w:rFonts w:ascii="Arial" w:hAnsi="Arial" w:cs="Arial"/>
                <w:sz w:val="18"/>
                <w:szCs w:val="18"/>
                <w:lang w:val="es-ES_tradnl"/>
              </w:rPr>
              <w:t xml:space="preserve">arítima de </w:t>
            </w:r>
            <w:r w:rsidRPr="00074BA4">
              <w:rPr>
                <w:rFonts w:ascii="Arial" w:hAnsi="Arial" w:cs="Arial"/>
                <w:sz w:val="18"/>
                <w:szCs w:val="18"/>
                <w:lang w:val="es-ES_tradnl"/>
              </w:rPr>
              <w:t>P</w:t>
            </w:r>
            <w:r w:rsidR="00750B79" w:rsidRPr="00074BA4">
              <w:rPr>
                <w:rFonts w:ascii="Arial" w:hAnsi="Arial" w:cs="Arial"/>
                <w:sz w:val="18"/>
                <w:szCs w:val="18"/>
                <w:lang w:val="es-ES_tradnl"/>
              </w:rPr>
              <w:t>anamá (AMP)</w:t>
            </w:r>
          </w:p>
        </w:tc>
        <w:tc>
          <w:tcPr>
            <w:tcW w:w="3825" w:type="dxa"/>
            <w:vAlign w:val="center"/>
          </w:tcPr>
          <w:p w14:paraId="4F1167C0" w14:textId="77777777" w:rsidR="001B3D7E" w:rsidRPr="00074BA4" w:rsidRDefault="001B3D7E" w:rsidP="00955D9E">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 xml:space="preserve">La meta de proyecto se establecerá a partir de los reportes oficiales de la AMP. </w:t>
            </w:r>
          </w:p>
          <w:p w14:paraId="69C5FF46" w14:textId="77777777" w:rsidR="00E9490D" w:rsidRPr="00074BA4" w:rsidRDefault="001B3D7E" w:rsidP="00955D9E">
            <w:pPr>
              <w:spacing w:after="0" w:line="240" w:lineRule="auto"/>
              <w:ind w:hanging="18"/>
              <w:jc w:val="both"/>
              <w:rPr>
                <w:rFonts w:ascii="Arial" w:hAnsi="Arial" w:cs="Arial"/>
                <w:color w:val="548DD4"/>
                <w:sz w:val="18"/>
                <w:szCs w:val="18"/>
                <w:lang w:val="es-ES_tradnl"/>
              </w:rPr>
            </w:pPr>
            <w:r w:rsidRPr="00074BA4">
              <w:rPr>
                <w:rFonts w:ascii="Arial" w:hAnsi="Arial" w:cs="Arial"/>
                <w:sz w:val="18"/>
                <w:szCs w:val="18"/>
                <w:lang w:val="es-ES_tradnl"/>
              </w:rPr>
              <w:t>(</w:t>
            </w:r>
            <w:r w:rsidRPr="00074BA4">
              <w:rPr>
                <w:rFonts w:ascii="Arial" w:hAnsi="Arial" w:cs="Arial"/>
                <w:i/>
                <w:sz w:val="18"/>
                <w:szCs w:val="18"/>
                <w:lang w:val="es-ES_tradnl"/>
              </w:rPr>
              <w:t xml:space="preserve">Meta de resultado = #de puertos habilitados para la exportación de productos </w:t>
            </w:r>
            <w:proofErr w:type="gramStart"/>
            <w:r w:rsidRPr="00074BA4">
              <w:rPr>
                <w:rFonts w:ascii="Arial" w:hAnsi="Arial" w:cs="Arial"/>
                <w:i/>
                <w:sz w:val="18"/>
                <w:szCs w:val="18"/>
                <w:lang w:val="es-ES_tradnl"/>
              </w:rPr>
              <w:t>agrícolas  nacionales</w:t>
            </w:r>
            <w:proofErr w:type="gramEnd"/>
            <w:r w:rsidRPr="00074BA4">
              <w:rPr>
                <w:rFonts w:ascii="Arial" w:hAnsi="Arial" w:cs="Arial"/>
                <w:i/>
                <w:sz w:val="18"/>
                <w:szCs w:val="18"/>
                <w:lang w:val="es-ES_tradnl"/>
              </w:rPr>
              <w:t xml:space="preserve"> / # total de puertos a nivel nacional</w:t>
            </w:r>
            <w:r w:rsidRPr="00074BA4">
              <w:rPr>
                <w:rFonts w:ascii="Arial" w:hAnsi="Arial" w:cs="Arial"/>
                <w:sz w:val="18"/>
                <w:szCs w:val="18"/>
                <w:lang w:val="es-ES_tradnl"/>
              </w:rPr>
              <w:t>)</w:t>
            </w:r>
          </w:p>
        </w:tc>
      </w:tr>
      <w:tr w:rsidR="00F00C75" w:rsidRPr="003A17C7" w14:paraId="7BC31A14" w14:textId="77777777" w:rsidTr="00C40230">
        <w:trPr>
          <w:trHeight w:val="287"/>
        </w:trPr>
        <w:tc>
          <w:tcPr>
            <w:tcW w:w="14130" w:type="dxa"/>
            <w:gridSpan w:val="18"/>
            <w:shd w:val="clear" w:color="auto" w:fill="D9D9D9"/>
          </w:tcPr>
          <w:p w14:paraId="6644E2F1" w14:textId="77777777" w:rsidR="00F00C75" w:rsidRPr="00074BA4" w:rsidRDefault="00F307CD" w:rsidP="00521F6F">
            <w:pPr>
              <w:spacing w:after="0" w:line="240" w:lineRule="auto"/>
              <w:rPr>
                <w:rFonts w:ascii="Arial" w:hAnsi="Arial" w:cs="Arial"/>
                <w:b/>
                <w:sz w:val="18"/>
                <w:szCs w:val="18"/>
                <w:lang w:val="es-ES"/>
              </w:rPr>
            </w:pPr>
            <w:r w:rsidRPr="00074BA4">
              <w:rPr>
                <w:rFonts w:ascii="Arial" w:hAnsi="Arial" w:cs="Arial"/>
                <w:b/>
                <w:sz w:val="18"/>
                <w:szCs w:val="18"/>
                <w:lang w:val="es-ES"/>
              </w:rPr>
              <w:t>Resultado 4</w:t>
            </w:r>
            <w:r w:rsidR="00F00C75" w:rsidRPr="00074BA4">
              <w:rPr>
                <w:rFonts w:ascii="Arial" w:hAnsi="Arial" w:cs="Arial"/>
                <w:b/>
                <w:sz w:val="18"/>
                <w:szCs w:val="18"/>
                <w:lang w:val="es-ES"/>
              </w:rPr>
              <w:t xml:space="preserve">: Incremento </w:t>
            </w:r>
            <w:r w:rsidR="00521F6F" w:rsidRPr="00074BA4">
              <w:rPr>
                <w:rFonts w:ascii="Arial" w:hAnsi="Arial" w:cs="Arial"/>
                <w:b/>
                <w:sz w:val="18"/>
                <w:szCs w:val="18"/>
                <w:lang w:val="es-ES"/>
              </w:rPr>
              <w:t xml:space="preserve">en el </w:t>
            </w:r>
            <w:r w:rsidR="00955D9E" w:rsidRPr="00074BA4">
              <w:rPr>
                <w:rFonts w:ascii="Arial" w:hAnsi="Arial" w:cs="Arial"/>
                <w:b/>
                <w:sz w:val="18"/>
                <w:szCs w:val="18"/>
                <w:lang w:val="es-ES"/>
              </w:rPr>
              <w:t>porcentaje</w:t>
            </w:r>
            <w:r w:rsidR="00521F6F" w:rsidRPr="00074BA4">
              <w:rPr>
                <w:rFonts w:ascii="Arial" w:hAnsi="Arial" w:cs="Arial"/>
                <w:b/>
                <w:sz w:val="18"/>
                <w:szCs w:val="18"/>
                <w:lang w:val="es-ES"/>
              </w:rPr>
              <w:t xml:space="preserve"> de la </w:t>
            </w:r>
            <w:r w:rsidR="00F00C75" w:rsidRPr="00074BA4">
              <w:rPr>
                <w:rFonts w:ascii="Arial" w:hAnsi="Arial" w:cs="Arial"/>
                <w:b/>
                <w:sz w:val="18"/>
                <w:szCs w:val="18"/>
                <w:lang w:val="es-ES"/>
              </w:rPr>
              <w:t xml:space="preserve">superficie </w:t>
            </w:r>
            <w:r w:rsidR="00521F6F" w:rsidRPr="00074BA4">
              <w:rPr>
                <w:rFonts w:ascii="Arial" w:hAnsi="Arial" w:cs="Arial"/>
                <w:b/>
                <w:sz w:val="18"/>
                <w:szCs w:val="18"/>
                <w:lang w:val="es-ES"/>
              </w:rPr>
              <w:t xml:space="preserve">de </w:t>
            </w:r>
            <w:r w:rsidR="00F00C75" w:rsidRPr="00074BA4">
              <w:rPr>
                <w:rFonts w:ascii="Arial" w:hAnsi="Arial" w:cs="Arial"/>
                <w:b/>
                <w:sz w:val="18"/>
                <w:szCs w:val="18"/>
                <w:lang w:val="es-ES"/>
              </w:rPr>
              <w:t>logística con actividad real y la oferta de superficie logística total disponible</w:t>
            </w:r>
            <w:r w:rsidR="00521F6F" w:rsidRPr="00074BA4">
              <w:rPr>
                <w:rFonts w:ascii="Arial" w:hAnsi="Arial" w:cs="Arial"/>
                <w:b/>
                <w:sz w:val="18"/>
                <w:szCs w:val="18"/>
                <w:lang w:val="es-ES"/>
              </w:rPr>
              <w:t xml:space="preserve">. </w:t>
            </w:r>
          </w:p>
        </w:tc>
      </w:tr>
      <w:tr w:rsidR="00F00C75" w:rsidRPr="003A17C7" w14:paraId="309A66B9" w14:textId="77777777" w:rsidTr="00F450BC">
        <w:trPr>
          <w:trHeight w:val="971"/>
        </w:trPr>
        <w:tc>
          <w:tcPr>
            <w:tcW w:w="2272" w:type="dxa"/>
            <w:vAlign w:val="center"/>
          </w:tcPr>
          <w:p w14:paraId="6B5803DB" w14:textId="5B5A0C22" w:rsidR="00521F6F" w:rsidRPr="00074BA4" w:rsidRDefault="00C40230">
            <w:pPr>
              <w:spacing w:after="0" w:line="240" w:lineRule="auto"/>
              <w:ind w:hanging="18"/>
              <w:rPr>
                <w:rFonts w:ascii="Arial" w:hAnsi="Arial" w:cs="Arial"/>
                <w:sz w:val="18"/>
                <w:szCs w:val="18"/>
                <w:lang w:val="es-ES_tradnl"/>
              </w:rPr>
            </w:pPr>
            <w:r w:rsidRPr="00074BA4">
              <w:rPr>
                <w:rFonts w:ascii="Arial" w:hAnsi="Arial" w:cs="Arial"/>
                <w:sz w:val="18"/>
                <w:szCs w:val="18"/>
                <w:lang w:val="es-ES_tradnl"/>
              </w:rPr>
              <w:lastRenderedPageBreak/>
              <w:t>Porcentaje de la superfici</w:t>
            </w:r>
            <w:r w:rsidR="00521F6F" w:rsidRPr="00074BA4">
              <w:rPr>
                <w:rFonts w:ascii="Arial" w:hAnsi="Arial" w:cs="Arial"/>
                <w:sz w:val="18"/>
                <w:szCs w:val="18"/>
                <w:lang w:val="es-ES_tradnl"/>
              </w:rPr>
              <w:t>e</w:t>
            </w:r>
            <w:r w:rsidRPr="00074BA4">
              <w:rPr>
                <w:rFonts w:ascii="Arial" w:hAnsi="Arial" w:cs="Arial"/>
                <w:sz w:val="18"/>
                <w:szCs w:val="18"/>
                <w:lang w:val="es-ES_tradnl"/>
              </w:rPr>
              <w:t xml:space="preserve"> de </w:t>
            </w:r>
            <w:r w:rsidR="00C54A7D" w:rsidRPr="00074BA4">
              <w:rPr>
                <w:rFonts w:ascii="Arial" w:hAnsi="Arial" w:cs="Arial"/>
                <w:sz w:val="18"/>
                <w:szCs w:val="18"/>
                <w:lang w:val="es-ES_tradnl"/>
              </w:rPr>
              <w:t>logística con actividad real</w:t>
            </w:r>
            <w:r w:rsidR="00521F6F" w:rsidRPr="00074BA4">
              <w:rPr>
                <w:rStyle w:val="FootnoteReference"/>
                <w:rFonts w:ascii="Arial" w:hAnsi="Arial" w:cs="Arial"/>
                <w:sz w:val="18"/>
                <w:szCs w:val="18"/>
                <w:lang w:val="es-ES_tradnl"/>
              </w:rPr>
              <w:footnoteReference w:id="5"/>
            </w:r>
            <w:r w:rsidR="00C54A7D" w:rsidRPr="00074BA4">
              <w:rPr>
                <w:rFonts w:ascii="Arial" w:hAnsi="Arial" w:cs="Arial"/>
                <w:sz w:val="18"/>
                <w:szCs w:val="18"/>
                <w:lang w:val="es-ES_tradnl"/>
              </w:rPr>
              <w:t xml:space="preserve"> </w:t>
            </w:r>
            <w:r w:rsidRPr="00074BA4">
              <w:rPr>
                <w:rFonts w:ascii="Arial" w:hAnsi="Arial" w:cs="Arial"/>
                <w:sz w:val="18"/>
                <w:szCs w:val="18"/>
                <w:lang w:val="es-ES_tradnl"/>
              </w:rPr>
              <w:t xml:space="preserve">sobre la </w:t>
            </w:r>
            <w:r w:rsidR="00C54A7D" w:rsidRPr="00074BA4">
              <w:rPr>
                <w:rFonts w:ascii="Arial" w:hAnsi="Arial" w:cs="Arial"/>
                <w:sz w:val="18"/>
                <w:szCs w:val="18"/>
                <w:lang w:val="es-ES_tradnl"/>
              </w:rPr>
              <w:t xml:space="preserve">superficie </w:t>
            </w:r>
            <w:r w:rsidRPr="00074BA4">
              <w:rPr>
                <w:rFonts w:ascii="Arial" w:hAnsi="Arial" w:cs="Arial"/>
                <w:sz w:val="18"/>
                <w:szCs w:val="18"/>
                <w:lang w:val="es-ES_tradnl"/>
              </w:rPr>
              <w:t xml:space="preserve">de </w:t>
            </w:r>
            <w:r w:rsidR="00C54A7D" w:rsidRPr="00074BA4">
              <w:rPr>
                <w:rFonts w:ascii="Arial" w:hAnsi="Arial" w:cs="Arial"/>
                <w:sz w:val="18"/>
                <w:szCs w:val="18"/>
                <w:lang w:val="es-ES_tradnl"/>
              </w:rPr>
              <w:t>logística total disponible</w:t>
            </w:r>
            <w:r w:rsidRPr="00074BA4">
              <w:rPr>
                <w:rFonts w:ascii="Arial" w:hAnsi="Arial" w:cs="Arial"/>
                <w:sz w:val="18"/>
                <w:szCs w:val="18"/>
                <w:lang w:val="es-ES_tradnl"/>
              </w:rPr>
              <w:t xml:space="preserve"> en el país.</w:t>
            </w:r>
          </w:p>
        </w:tc>
        <w:tc>
          <w:tcPr>
            <w:tcW w:w="968" w:type="dxa"/>
            <w:vAlign w:val="center"/>
          </w:tcPr>
          <w:p w14:paraId="2A98C9D1" w14:textId="77777777" w:rsidR="00F00C75" w:rsidRPr="00074BA4" w:rsidRDefault="00F00C75" w:rsidP="00D47C08">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w:t>
            </w:r>
          </w:p>
          <w:p w14:paraId="42832813" w14:textId="77777777" w:rsidR="00C40230" w:rsidRPr="00074BA4" w:rsidRDefault="00C40230" w:rsidP="00D47C08">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(ratio)</w:t>
            </w:r>
          </w:p>
        </w:tc>
        <w:tc>
          <w:tcPr>
            <w:tcW w:w="900" w:type="dxa"/>
            <w:gridSpan w:val="2"/>
            <w:vAlign w:val="center"/>
          </w:tcPr>
          <w:p w14:paraId="3CA52FE1" w14:textId="77777777" w:rsidR="00F00C75" w:rsidRPr="00074BA4" w:rsidRDefault="00C54A7D" w:rsidP="00D47C08">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39</w:t>
            </w:r>
            <w:r w:rsidR="00D96264" w:rsidRPr="00074BA4">
              <w:rPr>
                <w:rStyle w:val="FootnoteReference"/>
                <w:rFonts w:ascii="Arial" w:hAnsi="Arial" w:cs="Arial"/>
                <w:sz w:val="18"/>
                <w:szCs w:val="18"/>
                <w:lang w:val="es-ES_tradnl"/>
              </w:rPr>
              <w:footnoteReference w:id="6"/>
            </w:r>
          </w:p>
          <w:p w14:paraId="282A8F73" w14:textId="77777777" w:rsidR="00F450BC" w:rsidRPr="00074BA4" w:rsidRDefault="00C40230" w:rsidP="00F450BC">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w:t>
            </w:r>
            <w:r w:rsidR="00F450BC" w:rsidRPr="00074BA4">
              <w:rPr>
                <w:rFonts w:ascii="Arial" w:hAnsi="Arial" w:cs="Arial"/>
                <w:sz w:val="18"/>
                <w:szCs w:val="18"/>
                <w:lang w:val="es-ES_tradnl"/>
              </w:rPr>
              <w:t>836/</w:t>
            </w:r>
          </w:p>
          <w:p w14:paraId="03CDF7E9" w14:textId="77777777" w:rsidR="00C40230" w:rsidRPr="00074BA4" w:rsidRDefault="00F450BC" w:rsidP="00F450BC">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2100</w:t>
            </w:r>
            <w:r w:rsidR="00C40230" w:rsidRPr="00074BA4">
              <w:rPr>
                <w:rFonts w:ascii="Arial" w:hAnsi="Arial" w:cs="Arial"/>
                <w:sz w:val="18"/>
                <w:szCs w:val="18"/>
                <w:lang w:val="es-ES_tradnl"/>
              </w:rPr>
              <w:t>)</w:t>
            </w:r>
          </w:p>
        </w:tc>
        <w:tc>
          <w:tcPr>
            <w:tcW w:w="787" w:type="dxa"/>
            <w:gridSpan w:val="2"/>
            <w:vAlign w:val="center"/>
          </w:tcPr>
          <w:p w14:paraId="0FAC63EA" w14:textId="77777777" w:rsidR="00F450BC" w:rsidRPr="00074BA4" w:rsidRDefault="00F450BC" w:rsidP="00D47C08">
            <w:pPr>
              <w:spacing w:after="0" w:line="240" w:lineRule="auto"/>
              <w:ind w:hanging="18"/>
              <w:jc w:val="center"/>
              <w:rPr>
                <w:rFonts w:ascii="Arial" w:hAnsi="Arial" w:cs="Arial"/>
                <w:sz w:val="18"/>
                <w:szCs w:val="18"/>
                <w:lang w:val="es-ES_tradnl"/>
              </w:rPr>
            </w:pPr>
          </w:p>
          <w:p w14:paraId="6381B94F" w14:textId="77777777" w:rsidR="00F00C75" w:rsidRPr="00074BA4" w:rsidRDefault="00C54A7D" w:rsidP="00D47C08">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39</w:t>
            </w:r>
          </w:p>
          <w:p w14:paraId="02AEF979" w14:textId="77777777" w:rsidR="00F450BC" w:rsidRPr="00074BA4" w:rsidRDefault="00F450BC" w:rsidP="00F450BC">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(836/</w:t>
            </w:r>
          </w:p>
          <w:p w14:paraId="0DA54E68" w14:textId="77777777" w:rsidR="00F450BC" w:rsidRPr="00074BA4" w:rsidRDefault="00F450BC" w:rsidP="00F450BC">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2100)</w:t>
            </w:r>
          </w:p>
          <w:p w14:paraId="19BDAF26" w14:textId="77777777" w:rsidR="00F450BC" w:rsidRPr="00074BA4" w:rsidRDefault="00F450BC" w:rsidP="00F450BC">
            <w:pPr>
              <w:spacing w:after="0" w:line="240" w:lineRule="auto"/>
              <w:ind w:hanging="18"/>
              <w:jc w:val="center"/>
              <w:rPr>
                <w:rFonts w:ascii="Arial" w:hAnsi="Arial" w:cs="Arial"/>
                <w:sz w:val="18"/>
                <w:szCs w:val="18"/>
                <w:lang w:val="es-ES_tradnl"/>
              </w:rPr>
            </w:pPr>
          </w:p>
        </w:tc>
        <w:tc>
          <w:tcPr>
            <w:tcW w:w="743" w:type="dxa"/>
            <w:gridSpan w:val="3"/>
            <w:vAlign w:val="center"/>
          </w:tcPr>
          <w:p w14:paraId="1CF4F43D" w14:textId="77777777" w:rsidR="00F00C75" w:rsidRPr="00074BA4" w:rsidRDefault="00F450BC" w:rsidP="00F450BC">
            <w:pPr>
              <w:spacing w:after="0" w:line="240" w:lineRule="auto"/>
              <w:rPr>
                <w:rFonts w:ascii="Arial" w:hAnsi="Arial" w:cs="Arial"/>
                <w:sz w:val="18"/>
                <w:szCs w:val="18"/>
                <w:lang w:val="es-ES_tradnl"/>
              </w:rPr>
            </w:pPr>
            <w:r w:rsidRPr="00074BA4">
              <w:rPr>
                <w:rFonts w:ascii="Arial" w:hAnsi="Arial" w:cs="Arial"/>
                <w:sz w:val="18"/>
                <w:szCs w:val="18"/>
                <w:lang w:val="es-ES_tradnl"/>
              </w:rPr>
              <w:t xml:space="preserve">   </w:t>
            </w:r>
            <w:r w:rsidR="00C54A7D" w:rsidRPr="00074BA4">
              <w:rPr>
                <w:rFonts w:ascii="Arial" w:hAnsi="Arial" w:cs="Arial"/>
                <w:sz w:val="18"/>
                <w:szCs w:val="18"/>
                <w:lang w:val="es-ES_tradnl"/>
              </w:rPr>
              <w:t>39</w:t>
            </w:r>
          </w:p>
          <w:p w14:paraId="7C4A7ACF" w14:textId="77777777" w:rsidR="00F450BC" w:rsidRPr="00074BA4" w:rsidRDefault="00F450BC" w:rsidP="00F450BC">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(836/</w:t>
            </w:r>
          </w:p>
          <w:p w14:paraId="50564F4F" w14:textId="77777777" w:rsidR="00F450BC" w:rsidRPr="00074BA4" w:rsidRDefault="00F450BC" w:rsidP="00F450BC">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2100)</w:t>
            </w:r>
          </w:p>
        </w:tc>
        <w:tc>
          <w:tcPr>
            <w:tcW w:w="765" w:type="dxa"/>
            <w:gridSpan w:val="2"/>
            <w:vAlign w:val="center"/>
          </w:tcPr>
          <w:p w14:paraId="1A2D6A22" w14:textId="77777777" w:rsidR="00F00C75" w:rsidRPr="00074BA4" w:rsidRDefault="00C54A7D" w:rsidP="00D47C08">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50</w:t>
            </w:r>
          </w:p>
          <w:p w14:paraId="5B4D6B6C" w14:textId="77777777" w:rsidR="00F450BC" w:rsidRPr="00074BA4" w:rsidRDefault="00F450BC" w:rsidP="00D47C08">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(1050/2100)</w:t>
            </w:r>
          </w:p>
        </w:tc>
        <w:tc>
          <w:tcPr>
            <w:tcW w:w="720" w:type="dxa"/>
            <w:vAlign w:val="center"/>
          </w:tcPr>
          <w:p w14:paraId="441EFC9B" w14:textId="77777777" w:rsidR="00F00C75" w:rsidRPr="00074BA4" w:rsidRDefault="00C54A7D" w:rsidP="00D47C08">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60</w:t>
            </w:r>
          </w:p>
          <w:p w14:paraId="73CD8F23" w14:textId="77777777" w:rsidR="00F450BC" w:rsidRPr="00074BA4" w:rsidRDefault="00F450BC" w:rsidP="00D47C08">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(1260/2100)</w:t>
            </w:r>
          </w:p>
        </w:tc>
        <w:tc>
          <w:tcPr>
            <w:tcW w:w="810" w:type="dxa"/>
            <w:gridSpan w:val="3"/>
            <w:vAlign w:val="center"/>
          </w:tcPr>
          <w:p w14:paraId="2FF920D6" w14:textId="77777777" w:rsidR="00F00C75" w:rsidRPr="00074BA4" w:rsidRDefault="00C54A7D" w:rsidP="00D47C08">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70</w:t>
            </w:r>
          </w:p>
          <w:p w14:paraId="036D739C" w14:textId="77777777" w:rsidR="00F450BC" w:rsidRPr="00074BA4" w:rsidRDefault="00F450BC" w:rsidP="00D47C08">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(1470/</w:t>
            </w:r>
          </w:p>
          <w:p w14:paraId="18F8CE30" w14:textId="77777777" w:rsidR="00F450BC" w:rsidRPr="00074BA4" w:rsidRDefault="00F450BC" w:rsidP="00D47C08">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2100)</w:t>
            </w:r>
          </w:p>
        </w:tc>
        <w:tc>
          <w:tcPr>
            <w:tcW w:w="720" w:type="dxa"/>
            <w:vAlign w:val="center"/>
          </w:tcPr>
          <w:p w14:paraId="1C0AC8DA" w14:textId="77777777" w:rsidR="00F00C75" w:rsidRPr="00074BA4" w:rsidRDefault="00C54A7D" w:rsidP="00D47C08">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80</w:t>
            </w:r>
          </w:p>
          <w:p w14:paraId="64C81CA0" w14:textId="77777777" w:rsidR="00F450BC" w:rsidRPr="00074BA4" w:rsidRDefault="00F450BC" w:rsidP="00F450BC">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(1680/</w:t>
            </w:r>
          </w:p>
          <w:p w14:paraId="6BFF0043" w14:textId="77777777" w:rsidR="00F450BC" w:rsidRPr="00074BA4" w:rsidRDefault="00F450BC" w:rsidP="00F450BC">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2100)</w:t>
            </w:r>
          </w:p>
        </w:tc>
        <w:tc>
          <w:tcPr>
            <w:tcW w:w="1620" w:type="dxa"/>
            <w:vAlign w:val="center"/>
          </w:tcPr>
          <w:p w14:paraId="30B9F7E3" w14:textId="77777777" w:rsidR="00F00C75" w:rsidRPr="00074BA4" w:rsidRDefault="00C54A7D" w:rsidP="00F450BC">
            <w:pPr>
              <w:spacing w:after="0" w:line="240" w:lineRule="auto"/>
              <w:ind w:hanging="18"/>
              <w:rPr>
                <w:rFonts w:ascii="Arial" w:hAnsi="Arial" w:cs="Arial"/>
                <w:sz w:val="18"/>
                <w:szCs w:val="18"/>
                <w:lang w:val="es-ES_tradnl"/>
              </w:rPr>
            </w:pPr>
            <w:r w:rsidRPr="00074BA4">
              <w:rPr>
                <w:rFonts w:ascii="Arial" w:hAnsi="Arial" w:cs="Arial"/>
                <w:sz w:val="18"/>
                <w:szCs w:val="18"/>
                <w:lang w:val="es-ES_tradnl"/>
              </w:rPr>
              <w:t>Informe</w:t>
            </w:r>
            <w:r w:rsidR="00C40230" w:rsidRPr="00074BA4">
              <w:rPr>
                <w:rFonts w:ascii="Arial" w:hAnsi="Arial" w:cs="Arial"/>
                <w:sz w:val="18"/>
                <w:szCs w:val="18"/>
                <w:lang w:val="es-ES_tradnl"/>
              </w:rPr>
              <w:t>s</w:t>
            </w:r>
            <w:r w:rsidRPr="00074BA4">
              <w:rPr>
                <w:rFonts w:ascii="Arial" w:hAnsi="Arial" w:cs="Arial"/>
                <w:sz w:val="18"/>
                <w:szCs w:val="18"/>
                <w:lang w:val="es-ES_tradnl"/>
              </w:rPr>
              <w:t xml:space="preserve"> </w:t>
            </w:r>
            <w:r w:rsidR="00F450BC" w:rsidRPr="00074BA4">
              <w:rPr>
                <w:rFonts w:ascii="Arial" w:hAnsi="Arial" w:cs="Arial"/>
                <w:sz w:val="18"/>
                <w:szCs w:val="18"/>
                <w:lang w:val="es-ES_tradnl"/>
              </w:rPr>
              <w:t>Anuales</w:t>
            </w:r>
            <w:r w:rsidR="00C40230" w:rsidRPr="00074BA4">
              <w:rPr>
                <w:rFonts w:ascii="Arial" w:hAnsi="Arial" w:cs="Arial"/>
                <w:color w:val="FF0000"/>
                <w:sz w:val="18"/>
                <w:szCs w:val="18"/>
                <w:lang w:val="es-ES_tradnl"/>
              </w:rPr>
              <w:t xml:space="preserve"> </w:t>
            </w:r>
            <w:r w:rsidRPr="00074BA4">
              <w:rPr>
                <w:rFonts w:ascii="Arial" w:hAnsi="Arial" w:cs="Arial"/>
                <w:sz w:val="18"/>
                <w:szCs w:val="18"/>
                <w:lang w:val="es-ES_tradnl"/>
              </w:rPr>
              <w:t>del Ministerio de Comercio e Industria</w:t>
            </w:r>
            <w:r w:rsidR="00D96264" w:rsidRPr="00074BA4">
              <w:rPr>
                <w:rFonts w:ascii="Arial" w:hAnsi="Arial" w:cs="Arial"/>
                <w:sz w:val="18"/>
                <w:szCs w:val="18"/>
                <w:lang w:val="es-ES_tradnl"/>
              </w:rPr>
              <w:t xml:space="preserve"> (M</w:t>
            </w:r>
            <w:r w:rsidR="00602677" w:rsidRPr="00074BA4">
              <w:rPr>
                <w:rFonts w:ascii="Arial" w:hAnsi="Arial" w:cs="Arial"/>
                <w:sz w:val="18"/>
                <w:szCs w:val="18"/>
                <w:lang w:val="es-ES_tradnl"/>
              </w:rPr>
              <w:t>I</w:t>
            </w:r>
            <w:r w:rsidR="00D96264" w:rsidRPr="00074BA4">
              <w:rPr>
                <w:rFonts w:ascii="Arial" w:hAnsi="Arial" w:cs="Arial"/>
                <w:sz w:val="18"/>
                <w:szCs w:val="18"/>
                <w:lang w:val="es-ES_tradnl"/>
              </w:rPr>
              <w:t>CI)</w:t>
            </w:r>
            <w:r w:rsidR="00C40230" w:rsidRPr="00074BA4">
              <w:rPr>
                <w:rFonts w:ascii="Arial" w:hAnsi="Arial" w:cs="Arial"/>
                <w:sz w:val="18"/>
                <w:szCs w:val="18"/>
                <w:lang w:val="es-ES_tradnl"/>
              </w:rPr>
              <w:t>.</w:t>
            </w:r>
          </w:p>
        </w:tc>
        <w:tc>
          <w:tcPr>
            <w:tcW w:w="3825" w:type="dxa"/>
            <w:shd w:val="clear" w:color="auto" w:fill="auto"/>
            <w:vAlign w:val="center"/>
          </w:tcPr>
          <w:p w14:paraId="69678885" w14:textId="77777777" w:rsidR="00D96264" w:rsidRPr="00074BA4" w:rsidRDefault="00D96264" w:rsidP="00955D9E">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La meta de proyecto se establecerá a partir de los reportes oficiales del MCI.</w:t>
            </w:r>
          </w:p>
          <w:p w14:paraId="43ED33FA" w14:textId="77777777" w:rsidR="00D96264" w:rsidRPr="00074BA4" w:rsidRDefault="00D96264" w:rsidP="00955D9E">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 xml:space="preserve"> </w:t>
            </w:r>
          </w:p>
          <w:p w14:paraId="7DEFD99B" w14:textId="77777777" w:rsidR="00D96264" w:rsidRPr="00074BA4" w:rsidRDefault="00D96264" w:rsidP="00955D9E">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w:t>
            </w:r>
            <w:r w:rsidRPr="00074BA4">
              <w:rPr>
                <w:rFonts w:ascii="Arial" w:hAnsi="Arial" w:cs="Arial"/>
                <w:i/>
                <w:sz w:val="18"/>
                <w:szCs w:val="18"/>
                <w:lang w:val="es-ES_tradnl"/>
              </w:rPr>
              <w:t xml:space="preserve">Meta de resultado = </w:t>
            </w:r>
            <w:proofErr w:type="spellStart"/>
            <w:r w:rsidRPr="00074BA4">
              <w:rPr>
                <w:rFonts w:ascii="Arial" w:hAnsi="Arial" w:cs="Arial"/>
                <w:i/>
                <w:sz w:val="18"/>
                <w:szCs w:val="18"/>
                <w:lang w:val="es-ES_tradnl"/>
              </w:rPr>
              <w:t>sup</w:t>
            </w:r>
            <w:proofErr w:type="spellEnd"/>
            <w:r w:rsidRPr="00074BA4">
              <w:rPr>
                <w:rFonts w:ascii="Arial" w:hAnsi="Arial" w:cs="Arial"/>
                <w:i/>
                <w:sz w:val="18"/>
                <w:szCs w:val="18"/>
                <w:lang w:val="es-ES_tradnl"/>
              </w:rPr>
              <w:t xml:space="preserve">. de logística con </w:t>
            </w:r>
            <w:proofErr w:type="gramStart"/>
            <w:r w:rsidRPr="00074BA4">
              <w:rPr>
                <w:rFonts w:ascii="Arial" w:hAnsi="Arial" w:cs="Arial"/>
                <w:i/>
                <w:sz w:val="18"/>
                <w:szCs w:val="18"/>
                <w:lang w:val="es-ES_tradnl"/>
              </w:rPr>
              <w:t>actividad  real</w:t>
            </w:r>
            <w:proofErr w:type="gramEnd"/>
            <w:r w:rsidRPr="00074BA4">
              <w:rPr>
                <w:rFonts w:ascii="Arial" w:hAnsi="Arial" w:cs="Arial"/>
                <w:i/>
                <w:sz w:val="18"/>
                <w:szCs w:val="18"/>
                <w:lang w:val="es-ES_tradnl"/>
              </w:rPr>
              <w:t xml:space="preserve"> / </w:t>
            </w:r>
            <w:proofErr w:type="spellStart"/>
            <w:r w:rsidRPr="00074BA4">
              <w:rPr>
                <w:rFonts w:ascii="Arial" w:hAnsi="Arial" w:cs="Arial"/>
                <w:i/>
                <w:sz w:val="18"/>
                <w:szCs w:val="18"/>
                <w:lang w:val="es-ES_tradnl"/>
              </w:rPr>
              <w:t>sup</w:t>
            </w:r>
            <w:proofErr w:type="spellEnd"/>
            <w:r w:rsidRPr="00074BA4">
              <w:rPr>
                <w:rFonts w:ascii="Arial" w:hAnsi="Arial" w:cs="Arial"/>
                <w:i/>
                <w:sz w:val="18"/>
                <w:szCs w:val="18"/>
                <w:lang w:val="es-ES_tradnl"/>
              </w:rPr>
              <w:t xml:space="preserve">. total de </w:t>
            </w:r>
            <w:proofErr w:type="gramStart"/>
            <w:r w:rsidRPr="00074BA4">
              <w:rPr>
                <w:rFonts w:ascii="Arial" w:hAnsi="Arial" w:cs="Arial"/>
                <w:i/>
                <w:sz w:val="18"/>
                <w:szCs w:val="18"/>
                <w:lang w:val="es-ES_tradnl"/>
              </w:rPr>
              <w:t xml:space="preserve">logística </w:t>
            </w:r>
            <w:r w:rsidRPr="00074BA4">
              <w:rPr>
                <w:rFonts w:ascii="Arial" w:hAnsi="Arial" w:cs="Arial"/>
                <w:sz w:val="18"/>
                <w:szCs w:val="18"/>
                <w:lang w:val="es-ES_tradnl"/>
              </w:rPr>
              <w:t>)</w:t>
            </w:r>
            <w:proofErr w:type="gramEnd"/>
          </w:p>
          <w:p w14:paraId="757BFCB3" w14:textId="77777777" w:rsidR="00C40230" w:rsidRPr="00074BA4" w:rsidRDefault="00C40230" w:rsidP="00C40230">
            <w:pPr>
              <w:spacing w:after="0" w:line="240" w:lineRule="auto"/>
              <w:ind w:hanging="18"/>
              <w:jc w:val="both"/>
              <w:rPr>
                <w:rFonts w:ascii="Arial" w:hAnsi="Arial" w:cs="Arial"/>
                <w:b/>
                <w:sz w:val="18"/>
                <w:szCs w:val="18"/>
                <w:lang w:val="es-ES_tradnl"/>
              </w:rPr>
            </w:pPr>
          </w:p>
        </w:tc>
      </w:tr>
      <w:tr w:rsidR="008A3F30" w:rsidRPr="003A17C7" w14:paraId="3EE11E23" w14:textId="77777777" w:rsidTr="00C40230">
        <w:trPr>
          <w:trHeight w:val="287"/>
        </w:trPr>
        <w:tc>
          <w:tcPr>
            <w:tcW w:w="14130" w:type="dxa"/>
            <w:gridSpan w:val="18"/>
            <w:shd w:val="clear" w:color="auto" w:fill="D9D9D9"/>
          </w:tcPr>
          <w:p w14:paraId="2E639F40" w14:textId="77777777" w:rsidR="008A3F30" w:rsidRPr="00074BA4" w:rsidRDefault="008A3F30" w:rsidP="00701FE5">
            <w:pPr>
              <w:spacing w:after="0" w:line="240" w:lineRule="auto"/>
              <w:rPr>
                <w:rFonts w:ascii="Arial" w:hAnsi="Arial" w:cs="Arial"/>
                <w:b/>
                <w:sz w:val="18"/>
                <w:szCs w:val="18"/>
                <w:lang w:val="es-ES"/>
              </w:rPr>
            </w:pPr>
            <w:r w:rsidRPr="00074BA4">
              <w:rPr>
                <w:rFonts w:ascii="Arial" w:hAnsi="Arial" w:cs="Arial"/>
                <w:b/>
                <w:sz w:val="18"/>
                <w:szCs w:val="18"/>
                <w:lang w:val="es-ES"/>
              </w:rPr>
              <w:t xml:space="preserve">Resultado </w:t>
            </w:r>
            <w:r w:rsidR="00C073A1" w:rsidRPr="00074BA4">
              <w:rPr>
                <w:rFonts w:ascii="Arial" w:hAnsi="Arial" w:cs="Arial"/>
                <w:b/>
                <w:sz w:val="18"/>
                <w:szCs w:val="18"/>
                <w:lang w:val="es-ES"/>
              </w:rPr>
              <w:t>5</w:t>
            </w:r>
            <w:r w:rsidRPr="00074BA4">
              <w:rPr>
                <w:rFonts w:ascii="Arial" w:hAnsi="Arial" w:cs="Arial"/>
                <w:b/>
                <w:sz w:val="18"/>
                <w:szCs w:val="18"/>
                <w:lang w:val="es-ES"/>
              </w:rPr>
              <w:t xml:space="preserve">: Incremento </w:t>
            </w:r>
            <w:r w:rsidR="00A12230" w:rsidRPr="00074BA4">
              <w:rPr>
                <w:rFonts w:ascii="Arial" w:hAnsi="Arial" w:cs="Arial"/>
                <w:b/>
                <w:sz w:val="18"/>
                <w:szCs w:val="18"/>
                <w:lang w:val="es-ES"/>
              </w:rPr>
              <w:t xml:space="preserve">en los cursos o certificaciones para </w:t>
            </w:r>
            <w:r w:rsidR="00701FE5" w:rsidRPr="00074BA4">
              <w:rPr>
                <w:rFonts w:ascii="Arial" w:hAnsi="Arial" w:cs="Arial"/>
                <w:b/>
                <w:sz w:val="18"/>
                <w:szCs w:val="18"/>
                <w:lang w:val="es-ES"/>
              </w:rPr>
              <w:t xml:space="preserve">perfiles ocupacionales en </w:t>
            </w:r>
            <w:r w:rsidRPr="00074BA4">
              <w:rPr>
                <w:rFonts w:ascii="Arial" w:hAnsi="Arial" w:cs="Arial"/>
                <w:b/>
                <w:sz w:val="18"/>
                <w:szCs w:val="18"/>
                <w:lang w:val="es-ES"/>
              </w:rPr>
              <w:t>disciplinas logísticas demandadas en el país</w:t>
            </w:r>
            <w:r w:rsidR="00701FE5" w:rsidRPr="00074BA4">
              <w:rPr>
                <w:rFonts w:ascii="Arial" w:hAnsi="Arial" w:cs="Arial"/>
                <w:b/>
                <w:sz w:val="18"/>
                <w:szCs w:val="18"/>
                <w:lang w:val="es-ES"/>
              </w:rPr>
              <w:t>.</w:t>
            </w:r>
          </w:p>
        </w:tc>
      </w:tr>
      <w:tr w:rsidR="008A3F30" w:rsidRPr="00DF1F8D" w14:paraId="727C2AAF" w14:textId="77777777" w:rsidTr="001B3D7E">
        <w:tc>
          <w:tcPr>
            <w:tcW w:w="2272" w:type="dxa"/>
            <w:vAlign w:val="center"/>
          </w:tcPr>
          <w:p w14:paraId="5D4DEDEB" w14:textId="77777777" w:rsidR="008A3F30" w:rsidRPr="00074BA4" w:rsidRDefault="0024341F" w:rsidP="0024341F">
            <w:pPr>
              <w:spacing w:after="0" w:line="240" w:lineRule="auto"/>
              <w:ind w:hanging="18"/>
              <w:rPr>
                <w:rFonts w:ascii="Arial" w:hAnsi="Arial" w:cs="Arial"/>
                <w:sz w:val="18"/>
                <w:szCs w:val="18"/>
                <w:highlight w:val="yellow"/>
                <w:lang w:val="es-ES_tradnl"/>
              </w:rPr>
            </w:pPr>
            <w:r w:rsidRPr="00074BA4">
              <w:rPr>
                <w:rFonts w:ascii="Arial" w:hAnsi="Arial" w:cs="Arial"/>
                <w:sz w:val="18"/>
                <w:szCs w:val="18"/>
                <w:lang w:val="es-ES_tradnl"/>
              </w:rPr>
              <w:t>Perfiles ocupacionales en disciplinas de logística</w:t>
            </w:r>
            <w:r w:rsidRPr="00074BA4">
              <w:rPr>
                <w:rStyle w:val="FootnoteReference"/>
                <w:rFonts w:ascii="Arial" w:hAnsi="Arial" w:cs="Arial"/>
                <w:sz w:val="18"/>
                <w:szCs w:val="18"/>
                <w:lang w:val="es-ES_tradnl"/>
              </w:rPr>
              <w:footnoteReference w:id="7"/>
            </w:r>
            <w:r w:rsidRPr="00074BA4">
              <w:rPr>
                <w:rFonts w:ascii="Arial" w:hAnsi="Arial" w:cs="Arial"/>
                <w:sz w:val="18"/>
                <w:szCs w:val="18"/>
                <w:lang w:val="es-ES_tradnl"/>
              </w:rPr>
              <w:t xml:space="preserve"> que cuentan con oferta de cursos o certificaciones (universitarias, vocacionales o cursos cortos) </w:t>
            </w:r>
          </w:p>
        </w:tc>
        <w:tc>
          <w:tcPr>
            <w:tcW w:w="968" w:type="dxa"/>
            <w:vAlign w:val="center"/>
          </w:tcPr>
          <w:p w14:paraId="11AD3BF9" w14:textId="77777777" w:rsidR="008A3F30" w:rsidRPr="00074BA4" w:rsidRDefault="0024341F"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Número</w:t>
            </w:r>
          </w:p>
        </w:tc>
        <w:tc>
          <w:tcPr>
            <w:tcW w:w="900" w:type="dxa"/>
            <w:gridSpan w:val="2"/>
            <w:vAlign w:val="center"/>
          </w:tcPr>
          <w:p w14:paraId="3DE26CA4" w14:textId="77777777" w:rsidR="008A3F30" w:rsidRPr="00074BA4" w:rsidRDefault="0024341F"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29</w:t>
            </w:r>
            <w:r w:rsidRPr="00074BA4">
              <w:rPr>
                <w:rStyle w:val="FootnoteReference"/>
                <w:rFonts w:ascii="Arial" w:hAnsi="Arial" w:cs="Arial"/>
                <w:sz w:val="18"/>
                <w:szCs w:val="18"/>
                <w:lang w:val="es-ES_tradnl"/>
              </w:rPr>
              <w:footnoteReference w:id="8"/>
            </w:r>
          </w:p>
        </w:tc>
        <w:tc>
          <w:tcPr>
            <w:tcW w:w="787" w:type="dxa"/>
            <w:gridSpan w:val="2"/>
            <w:vAlign w:val="center"/>
          </w:tcPr>
          <w:p w14:paraId="326E975C" w14:textId="77777777" w:rsidR="008A3F30" w:rsidRPr="00074BA4" w:rsidRDefault="0024341F"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30</w:t>
            </w:r>
          </w:p>
        </w:tc>
        <w:tc>
          <w:tcPr>
            <w:tcW w:w="698" w:type="dxa"/>
            <w:vAlign w:val="center"/>
          </w:tcPr>
          <w:p w14:paraId="57B17EB6" w14:textId="77777777" w:rsidR="008A3F30" w:rsidRPr="00074BA4" w:rsidRDefault="0024341F"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30</w:t>
            </w:r>
          </w:p>
        </w:tc>
        <w:tc>
          <w:tcPr>
            <w:tcW w:w="810" w:type="dxa"/>
            <w:gridSpan w:val="4"/>
            <w:vAlign w:val="center"/>
          </w:tcPr>
          <w:p w14:paraId="4F56E13C" w14:textId="77777777" w:rsidR="008A3F30" w:rsidRPr="00074BA4" w:rsidRDefault="0024341F"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30</w:t>
            </w:r>
          </w:p>
        </w:tc>
        <w:tc>
          <w:tcPr>
            <w:tcW w:w="720" w:type="dxa"/>
            <w:vAlign w:val="center"/>
          </w:tcPr>
          <w:p w14:paraId="530BA1D3" w14:textId="77777777" w:rsidR="008A3F30" w:rsidRPr="00074BA4" w:rsidRDefault="0024341F"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36</w:t>
            </w:r>
          </w:p>
        </w:tc>
        <w:tc>
          <w:tcPr>
            <w:tcW w:w="810" w:type="dxa"/>
            <w:gridSpan w:val="3"/>
            <w:vAlign w:val="center"/>
          </w:tcPr>
          <w:p w14:paraId="004BEC21" w14:textId="77777777" w:rsidR="008A3F30" w:rsidRPr="00074BA4" w:rsidRDefault="0024341F"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39</w:t>
            </w:r>
          </w:p>
        </w:tc>
        <w:tc>
          <w:tcPr>
            <w:tcW w:w="720" w:type="dxa"/>
            <w:vAlign w:val="center"/>
          </w:tcPr>
          <w:p w14:paraId="7BAE649C" w14:textId="77777777" w:rsidR="008A3F30" w:rsidRPr="00074BA4" w:rsidRDefault="0024341F" w:rsidP="005E3920">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42</w:t>
            </w:r>
          </w:p>
        </w:tc>
        <w:tc>
          <w:tcPr>
            <w:tcW w:w="1620" w:type="dxa"/>
            <w:vAlign w:val="center"/>
          </w:tcPr>
          <w:p w14:paraId="6C569E78" w14:textId="77777777" w:rsidR="008A3F30" w:rsidRPr="00074BA4" w:rsidRDefault="00272EF5" w:rsidP="0024341F">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Informe la Coordinación Logística, con insumos del INADEH.</w:t>
            </w:r>
          </w:p>
        </w:tc>
        <w:tc>
          <w:tcPr>
            <w:tcW w:w="3825" w:type="dxa"/>
            <w:shd w:val="clear" w:color="auto" w:fill="auto"/>
            <w:vAlign w:val="center"/>
          </w:tcPr>
          <w:p w14:paraId="520A5C1A" w14:textId="77777777" w:rsidR="008A3F30" w:rsidRPr="00074BA4" w:rsidRDefault="008A3F30" w:rsidP="0024341F">
            <w:pPr>
              <w:spacing w:after="0" w:line="240" w:lineRule="auto"/>
              <w:ind w:hanging="18"/>
              <w:jc w:val="both"/>
              <w:rPr>
                <w:rFonts w:ascii="Arial" w:hAnsi="Arial" w:cs="Arial"/>
                <w:sz w:val="18"/>
                <w:szCs w:val="18"/>
                <w:lang w:val="es-ES_tradnl"/>
              </w:rPr>
            </w:pPr>
          </w:p>
        </w:tc>
      </w:tr>
    </w:tbl>
    <w:p w14:paraId="207E623A" w14:textId="77777777" w:rsidR="007902A9" w:rsidRPr="00074BA4" w:rsidRDefault="007902A9" w:rsidP="00534C95">
      <w:pPr>
        <w:spacing w:after="0"/>
        <w:rPr>
          <w:rFonts w:ascii="Arial" w:hAnsi="Arial" w:cs="Arial"/>
          <w:sz w:val="18"/>
          <w:szCs w:val="18"/>
          <w:lang w:val="es-ES"/>
        </w:rPr>
      </w:pPr>
    </w:p>
    <w:p w14:paraId="2B8B1F37" w14:textId="77777777" w:rsidR="00C40230" w:rsidRPr="00074BA4" w:rsidRDefault="00C40230" w:rsidP="00534C95">
      <w:pPr>
        <w:spacing w:after="0"/>
        <w:rPr>
          <w:rFonts w:ascii="Arial" w:hAnsi="Arial" w:cs="Arial"/>
          <w:sz w:val="18"/>
          <w:szCs w:val="18"/>
          <w:lang w:val="es-ES"/>
        </w:rPr>
      </w:pPr>
    </w:p>
    <w:p w14:paraId="13395A26" w14:textId="77777777" w:rsidR="00521F6F" w:rsidRPr="00074BA4" w:rsidRDefault="00521F6F" w:rsidP="00534C95">
      <w:pPr>
        <w:spacing w:after="0"/>
        <w:rPr>
          <w:rFonts w:ascii="Arial" w:hAnsi="Arial" w:cs="Arial"/>
          <w:sz w:val="18"/>
          <w:szCs w:val="18"/>
          <w:lang w:val="es-ES"/>
        </w:rPr>
      </w:pPr>
    </w:p>
    <w:p w14:paraId="1A441D21" w14:textId="77777777" w:rsidR="00521F6F" w:rsidRPr="00074BA4" w:rsidRDefault="00521F6F" w:rsidP="00534C95">
      <w:pPr>
        <w:spacing w:after="0"/>
        <w:rPr>
          <w:rFonts w:ascii="Arial" w:hAnsi="Arial" w:cs="Arial"/>
          <w:sz w:val="18"/>
          <w:szCs w:val="18"/>
          <w:lang w:val="es-ES"/>
        </w:rPr>
      </w:pPr>
    </w:p>
    <w:tbl>
      <w:tblPr>
        <w:tblW w:w="14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5"/>
        <w:gridCol w:w="1016"/>
        <w:gridCol w:w="801"/>
        <w:gridCol w:w="748"/>
        <w:gridCol w:w="4458"/>
        <w:gridCol w:w="4227"/>
      </w:tblGrid>
      <w:tr w:rsidR="005A4977" w:rsidRPr="00074BA4" w14:paraId="1AA73FE1" w14:textId="77777777" w:rsidTr="00C418D8">
        <w:trPr>
          <w:trHeight w:val="710"/>
          <w:tblHeader/>
          <w:jc w:val="center"/>
        </w:trPr>
        <w:tc>
          <w:tcPr>
            <w:tcW w:w="14125" w:type="dxa"/>
            <w:gridSpan w:val="6"/>
            <w:shd w:val="clear" w:color="auto" w:fill="BDD6EE" w:themeFill="accent1" w:themeFillTint="66"/>
            <w:vAlign w:val="center"/>
          </w:tcPr>
          <w:p w14:paraId="421E2CBE" w14:textId="77777777" w:rsidR="005A4977" w:rsidRPr="00074BA4" w:rsidRDefault="005A4977" w:rsidP="005A4977">
            <w:pPr>
              <w:pStyle w:val="ListParagraph"/>
              <w:suppressAutoHyphens/>
              <w:spacing w:after="0" w:line="240" w:lineRule="auto"/>
              <w:ind w:left="0"/>
              <w:contextualSpacing w:val="0"/>
              <w:jc w:val="center"/>
              <w:rPr>
                <w:rFonts w:ascii="Arial" w:hAnsi="Arial" w:cs="Arial"/>
                <w:b/>
                <w:sz w:val="18"/>
                <w:szCs w:val="18"/>
                <w:lang w:val="es-ES_tradnl"/>
              </w:rPr>
            </w:pPr>
            <w:bookmarkStart w:id="1" w:name="_Hlk511822363"/>
            <w:r w:rsidRPr="00074BA4">
              <w:rPr>
                <w:rFonts w:ascii="Arial" w:hAnsi="Arial" w:cs="Arial"/>
                <w:b/>
                <w:sz w:val="18"/>
                <w:szCs w:val="18"/>
                <w:lang w:val="es-ES_tradnl"/>
              </w:rPr>
              <w:t>Productos Esperados</w:t>
            </w:r>
          </w:p>
        </w:tc>
      </w:tr>
      <w:tr w:rsidR="005A4977" w:rsidRPr="00074BA4" w14:paraId="2626544E" w14:textId="77777777" w:rsidTr="00C418D8">
        <w:trPr>
          <w:trHeight w:val="710"/>
          <w:tblHeader/>
          <w:jc w:val="center"/>
        </w:trPr>
        <w:tc>
          <w:tcPr>
            <w:tcW w:w="2875" w:type="dxa"/>
            <w:shd w:val="clear" w:color="auto" w:fill="BDD6EE" w:themeFill="accent1" w:themeFillTint="66"/>
            <w:vAlign w:val="center"/>
          </w:tcPr>
          <w:p w14:paraId="1D4A5FD3" w14:textId="77777777" w:rsidR="005A4977" w:rsidRPr="00074BA4" w:rsidRDefault="005A4977" w:rsidP="005A4977">
            <w:pPr>
              <w:pStyle w:val="ListParagraph"/>
              <w:suppressAutoHyphens/>
              <w:spacing w:after="0" w:line="240" w:lineRule="auto"/>
              <w:ind w:left="0"/>
              <w:contextualSpacing w:val="0"/>
              <w:jc w:val="center"/>
              <w:rPr>
                <w:rFonts w:ascii="Arial" w:hAnsi="Arial" w:cs="Arial"/>
                <w:b/>
                <w:sz w:val="18"/>
                <w:szCs w:val="18"/>
                <w:lang w:val="es-ES_tradnl"/>
              </w:rPr>
            </w:pPr>
            <w:r w:rsidRPr="00074BA4">
              <w:rPr>
                <w:rFonts w:ascii="Arial" w:hAnsi="Arial" w:cs="Arial"/>
                <w:b/>
                <w:sz w:val="18"/>
                <w:szCs w:val="18"/>
                <w:lang w:val="es-ES_tradnl"/>
              </w:rPr>
              <w:t>Indicador de Producto</w:t>
            </w:r>
          </w:p>
          <w:p w14:paraId="494AE743" w14:textId="73F1A79F" w:rsidR="005A4977" w:rsidRPr="00074BA4" w:rsidRDefault="005A4977" w:rsidP="005A4977">
            <w:pPr>
              <w:spacing w:after="0" w:line="240" w:lineRule="auto"/>
              <w:ind w:hanging="18"/>
              <w:jc w:val="both"/>
              <w:rPr>
                <w:rFonts w:ascii="Arial" w:hAnsi="Arial" w:cs="Arial"/>
                <w:spacing w:val="-2"/>
                <w:sz w:val="18"/>
                <w:szCs w:val="18"/>
                <w:lang w:val="es-ES_tradnl"/>
              </w:rPr>
            </w:pPr>
            <w:r w:rsidRPr="00074BA4">
              <w:rPr>
                <w:rFonts w:ascii="Arial" w:hAnsi="Arial" w:cs="Arial"/>
                <w:b/>
                <w:sz w:val="18"/>
                <w:szCs w:val="18"/>
                <w:lang w:val="es-ES_tradnl"/>
              </w:rPr>
              <w:t>Operación I</w:t>
            </w:r>
            <w:r w:rsidR="00DF1F8D">
              <w:rPr>
                <w:rFonts w:ascii="Arial" w:hAnsi="Arial" w:cs="Arial"/>
                <w:b/>
                <w:sz w:val="18"/>
                <w:szCs w:val="18"/>
                <w:lang w:val="es-ES_tradnl"/>
              </w:rPr>
              <w:t>I</w:t>
            </w:r>
            <w:r w:rsidRPr="00074BA4">
              <w:rPr>
                <w:rFonts w:ascii="Arial" w:hAnsi="Arial" w:cs="Arial"/>
                <w:b/>
                <w:sz w:val="18"/>
                <w:szCs w:val="18"/>
                <w:lang w:val="es-ES_tradnl"/>
              </w:rPr>
              <w:t>I</w:t>
            </w:r>
          </w:p>
        </w:tc>
        <w:tc>
          <w:tcPr>
            <w:tcW w:w="1016" w:type="dxa"/>
            <w:shd w:val="clear" w:color="auto" w:fill="BDD6EE" w:themeFill="accent1" w:themeFillTint="66"/>
            <w:vAlign w:val="center"/>
          </w:tcPr>
          <w:p w14:paraId="5996C55D"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b/>
                <w:sz w:val="18"/>
                <w:szCs w:val="18"/>
                <w:lang w:val="es-ES_tradnl"/>
              </w:rPr>
              <w:t>Unidad</w:t>
            </w:r>
          </w:p>
        </w:tc>
        <w:tc>
          <w:tcPr>
            <w:tcW w:w="801" w:type="dxa"/>
            <w:shd w:val="clear" w:color="auto" w:fill="BDD6EE" w:themeFill="accent1" w:themeFillTint="66"/>
            <w:vAlign w:val="center"/>
          </w:tcPr>
          <w:p w14:paraId="081E5A54" w14:textId="77777777" w:rsidR="005A4977" w:rsidRPr="00074BA4" w:rsidRDefault="005A4977" w:rsidP="005A4977">
            <w:pPr>
              <w:pStyle w:val="ListParagraph"/>
              <w:suppressAutoHyphens/>
              <w:spacing w:after="0" w:line="240" w:lineRule="auto"/>
              <w:ind w:left="0"/>
              <w:contextualSpacing w:val="0"/>
              <w:jc w:val="center"/>
              <w:rPr>
                <w:rFonts w:ascii="Arial" w:hAnsi="Arial" w:cs="Arial"/>
                <w:b/>
                <w:sz w:val="18"/>
                <w:szCs w:val="18"/>
                <w:lang w:val="es-ES_tradnl"/>
              </w:rPr>
            </w:pPr>
            <w:r w:rsidRPr="00074BA4">
              <w:rPr>
                <w:rFonts w:ascii="Arial" w:hAnsi="Arial" w:cs="Arial"/>
                <w:b/>
                <w:sz w:val="18"/>
                <w:szCs w:val="18"/>
                <w:lang w:val="es-ES_tradnl"/>
              </w:rPr>
              <w:t>Línea de Base</w:t>
            </w:r>
          </w:p>
          <w:p w14:paraId="0F7BFE51"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b/>
                <w:sz w:val="18"/>
                <w:szCs w:val="18"/>
                <w:lang w:val="es-ES_tradnl"/>
              </w:rPr>
              <w:t>(2016)</w:t>
            </w:r>
          </w:p>
        </w:tc>
        <w:tc>
          <w:tcPr>
            <w:tcW w:w="748" w:type="dxa"/>
            <w:shd w:val="clear" w:color="auto" w:fill="BDD6EE" w:themeFill="accent1" w:themeFillTint="66"/>
            <w:vAlign w:val="center"/>
          </w:tcPr>
          <w:p w14:paraId="22D82CF0" w14:textId="77777777" w:rsidR="005A4977" w:rsidRPr="00074BA4" w:rsidRDefault="005A4977" w:rsidP="005A4977">
            <w:pPr>
              <w:pStyle w:val="ListParagraph"/>
              <w:suppressAutoHyphens/>
              <w:spacing w:after="0" w:line="240" w:lineRule="auto"/>
              <w:ind w:left="0"/>
              <w:contextualSpacing w:val="0"/>
              <w:jc w:val="center"/>
              <w:rPr>
                <w:rFonts w:ascii="Arial" w:hAnsi="Arial" w:cs="Arial"/>
                <w:b/>
                <w:sz w:val="18"/>
                <w:szCs w:val="18"/>
                <w:lang w:val="es-ES_tradnl"/>
              </w:rPr>
            </w:pPr>
            <w:r w:rsidRPr="00074BA4">
              <w:rPr>
                <w:rFonts w:ascii="Arial" w:hAnsi="Arial" w:cs="Arial"/>
                <w:b/>
                <w:sz w:val="18"/>
                <w:szCs w:val="18"/>
                <w:lang w:val="es-ES_tradnl"/>
              </w:rPr>
              <w:t>Meta</w:t>
            </w:r>
          </w:p>
          <w:p w14:paraId="5A40BFEA"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b/>
                <w:sz w:val="18"/>
                <w:szCs w:val="18"/>
                <w:lang w:val="es-ES_tradnl"/>
              </w:rPr>
              <w:t>(2018)</w:t>
            </w:r>
          </w:p>
        </w:tc>
        <w:tc>
          <w:tcPr>
            <w:tcW w:w="4458" w:type="dxa"/>
            <w:shd w:val="clear" w:color="auto" w:fill="BDD6EE" w:themeFill="accent1" w:themeFillTint="66"/>
            <w:vAlign w:val="center"/>
          </w:tcPr>
          <w:p w14:paraId="010F4DDA" w14:textId="77777777" w:rsidR="005A4977" w:rsidRPr="00074BA4" w:rsidRDefault="005A4977" w:rsidP="005A4977">
            <w:pPr>
              <w:pStyle w:val="ListParagraph"/>
              <w:suppressAutoHyphens/>
              <w:spacing w:after="0" w:line="240" w:lineRule="auto"/>
              <w:ind w:left="0"/>
              <w:contextualSpacing w:val="0"/>
              <w:jc w:val="center"/>
              <w:rPr>
                <w:rFonts w:ascii="Arial" w:hAnsi="Arial" w:cs="Arial"/>
                <w:b/>
                <w:sz w:val="18"/>
                <w:szCs w:val="18"/>
                <w:lang w:val="es-ES_tradnl"/>
              </w:rPr>
            </w:pPr>
            <w:r w:rsidRPr="00074BA4">
              <w:rPr>
                <w:rFonts w:ascii="Arial" w:hAnsi="Arial" w:cs="Arial"/>
                <w:b/>
                <w:sz w:val="18"/>
                <w:szCs w:val="18"/>
                <w:lang w:val="es-ES_tradnl"/>
              </w:rPr>
              <w:t>Medios de Verificación</w:t>
            </w:r>
          </w:p>
          <w:p w14:paraId="432A4F81" w14:textId="77777777" w:rsidR="005A4977" w:rsidRPr="00074BA4" w:rsidRDefault="005A4977" w:rsidP="005A4977">
            <w:pPr>
              <w:spacing w:after="0" w:line="240" w:lineRule="auto"/>
              <w:ind w:hanging="18"/>
              <w:jc w:val="both"/>
              <w:rPr>
                <w:rFonts w:ascii="Arial" w:hAnsi="Arial" w:cs="Arial"/>
                <w:sz w:val="18"/>
                <w:szCs w:val="18"/>
                <w:lang w:val="es-ES_tradnl"/>
              </w:rPr>
            </w:pPr>
          </w:p>
        </w:tc>
        <w:tc>
          <w:tcPr>
            <w:tcW w:w="4227" w:type="dxa"/>
            <w:shd w:val="clear" w:color="auto" w:fill="BDD6EE" w:themeFill="accent1" w:themeFillTint="66"/>
            <w:vAlign w:val="center"/>
          </w:tcPr>
          <w:p w14:paraId="4938E141" w14:textId="77777777" w:rsidR="005A4977" w:rsidRPr="00074BA4" w:rsidRDefault="005A4977" w:rsidP="005A4977">
            <w:pPr>
              <w:pStyle w:val="ListParagraph"/>
              <w:suppressAutoHyphens/>
              <w:spacing w:after="0" w:line="240" w:lineRule="auto"/>
              <w:ind w:left="0"/>
              <w:contextualSpacing w:val="0"/>
              <w:jc w:val="center"/>
              <w:rPr>
                <w:rFonts w:ascii="Arial" w:hAnsi="Arial" w:cs="Arial"/>
                <w:sz w:val="18"/>
                <w:szCs w:val="18"/>
                <w:lang w:val="es-ES_tradnl"/>
              </w:rPr>
            </w:pPr>
            <w:r w:rsidRPr="00074BA4">
              <w:rPr>
                <w:rFonts w:ascii="Arial" w:hAnsi="Arial" w:cs="Arial"/>
                <w:b/>
                <w:sz w:val="18"/>
                <w:szCs w:val="18"/>
                <w:lang w:val="es-ES_tradnl"/>
              </w:rPr>
              <w:t>Comentarios</w:t>
            </w:r>
          </w:p>
        </w:tc>
      </w:tr>
      <w:tr w:rsidR="005A4977" w:rsidRPr="00DF1F8D" w14:paraId="0045AC2D" w14:textId="77777777" w:rsidTr="00C418D8">
        <w:trPr>
          <w:trHeight w:val="710"/>
          <w:jc w:val="center"/>
        </w:trPr>
        <w:tc>
          <w:tcPr>
            <w:tcW w:w="14125" w:type="dxa"/>
            <w:gridSpan w:val="6"/>
            <w:shd w:val="clear" w:color="auto" w:fill="D9D9D9" w:themeFill="background1" w:themeFillShade="D9"/>
            <w:vAlign w:val="center"/>
          </w:tcPr>
          <w:p w14:paraId="277CF813" w14:textId="77777777" w:rsidR="005A4977" w:rsidRPr="00074BA4"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b/>
                <w:sz w:val="18"/>
                <w:szCs w:val="18"/>
                <w:lang w:val="es-ES_tradnl"/>
              </w:rPr>
              <w:t>Componente II. Reforma y consolidación del marco normativo e institucional de logística</w:t>
            </w:r>
          </w:p>
        </w:tc>
      </w:tr>
      <w:tr w:rsidR="005A4977" w:rsidRPr="00DF1F8D" w14:paraId="3BCFA637" w14:textId="77777777" w:rsidTr="00C418D8">
        <w:trPr>
          <w:trHeight w:val="710"/>
          <w:jc w:val="center"/>
        </w:trPr>
        <w:tc>
          <w:tcPr>
            <w:tcW w:w="2875" w:type="dxa"/>
            <w:vAlign w:val="center"/>
          </w:tcPr>
          <w:p w14:paraId="0BEAE177" w14:textId="0EEB3F33" w:rsidR="005A4977" w:rsidRPr="00074BA4"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 xml:space="preserve">2.1 </w:t>
            </w:r>
            <w:r w:rsidR="00DF1F8D">
              <w:rPr>
                <w:rFonts w:ascii="Arial" w:hAnsi="Arial" w:cs="Arial"/>
                <w:spacing w:val="-2"/>
                <w:sz w:val="18"/>
                <w:szCs w:val="18"/>
                <w:lang w:val="es-ES_tradnl"/>
              </w:rPr>
              <w:t xml:space="preserve">Marco estratégico de logística </w:t>
            </w:r>
            <w:proofErr w:type="gramStart"/>
            <w:r w:rsidR="00DF1F8D">
              <w:rPr>
                <w:rFonts w:ascii="Arial" w:hAnsi="Arial" w:cs="Arial"/>
                <w:spacing w:val="-2"/>
                <w:sz w:val="18"/>
                <w:szCs w:val="18"/>
                <w:lang w:val="es-ES"/>
              </w:rPr>
              <w:t xml:space="preserve">que </w:t>
            </w:r>
            <w:r w:rsidR="00DF1F8D" w:rsidRPr="7FBDDA1D">
              <w:rPr>
                <w:rFonts w:ascii="Arial" w:hAnsi="Arial" w:cs="Arial"/>
                <w:spacing w:val="-2"/>
                <w:sz w:val="18"/>
                <w:szCs w:val="18"/>
                <w:lang w:val="es-ES"/>
              </w:rPr>
              <w:t xml:space="preserve"> incluy</w:t>
            </w:r>
            <w:r w:rsidR="00DF1F8D">
              <w:rPr>
                <w:rFonts w:ascii="Arial" w:hAnsi="Arial" w:cs="Arial"/>
                <w:spacing w:val="-2"/>
                <w:sz w:val="18"/>
                <w:szCs w:val="18"/>
                <w:lang w:val="es-ES"/>
              </w:rPr>
              <w:t>a</w:t>
            </w:r>
            <w:proofErr w:type="gramEnd"/>
            <w:r w:rsidR="00DF1F8D">
              <w:rPr>
                <w:rFonts w:ascii="Arial" w:hAnsi="Arial" w:cs="Arial"/>
                <w:spacing w:val="-2"/>
                <w:sz w:val="18"/>
                <w:szCs w:val="18"/>
                <w:lang w:val="es-ES"/>
              </w:rPr>
              <w:t xml:space="preserve"> – en su texto ordenado- </w:t>
            </w:r>
            <w:r w:rsidR="00DF1F8D" w:rsidRPr="7FBDDA1D">
              <w:rPr>
                <w:rFonts w:ascii="Arial" w:hAnsi="Arial" w:cs="Arial"/>
                <w:spacing w:val="-2"/>
                <w:sz w:val="18"/>
                <w:szCs w:val="18"/>
                <w:lang w:val="es-ES"/>
              </w:rPr>
              <w:t xml:space="preserve"> los lineamientos de políticas, elementos </w:t>
            </w:r>
            <w:r w:rsidR="00DF1F8D" w:rsidRPr="7FBDDA1D">
              <w:rPr>
                <w:rFonts w:ascii="Arial" w:hAnsi="Arial" w:cs="Arial"/>
                <w:spacing w:val="-2"/>
                <w:sz w:val="18"/>
                <w:szCs w:val="18"/>
                <w:lang w:val="es-ES"/>
              </w:rPr>
              <w:lastRenderedPageBreak/>
              <w:t>fundamentales del sector y competencias institucionales</w:t>
            </w:r>
            <w:r w:rsidR="00DF1F8D">
              <w:rPr>
                <w:rFonts w:ascii="Arial" w:hAnsi="Arial" w:cs="Arial"/>
                <w:spacing w:val="-2"/>
                <w:sz w:val="18"/>
                <w:szCs w:val="18"/>
                <w:lang w:val="es-ES"/>
              </w:rPr>
              <w:t>,</w:t>
            </w:r>
            <w:r w:rsidR="00DF1F8D">
              <w:rPr>
                <w:rFonts w:ascii="Arial" w:hAnsi="Arial" w:cs="Arial"/>
                <w:spacing w:val="-2"/>
                <w:sz w:val="18"/>
                <w:szCs w:val="18"/>
                <w:lang w:val="es-ES_tradnl"/>
              </w:rPr>
              <w:t xml:space="preserve"> aprobado por Decreto del Poder Ejecutivo. </w:t>
            </w:r>
          </w:p>
        </w:tc>
        <w:tc>
          <w:tcPr>
            <w:tcW w:w="1016" w:type="dxa"/>
            <w:vAlign w:val="center"/>
          </w:tcPr>
          <w:p w14:paraId="4CD83EAA"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lastRenderedPageBreak/>
              <w:t>Proyecto de Ley</w:t>
            </w:r>
          </w:p>
        </w:tc>
        <w:tc>
          <w:tcPr>
            <w:tcW w:w="801" w:type="dxa"/>
            <w:vAlign w:val="center"/>
          </w:tcPr>
          <w:p w14:paraId="1EE8DCF6"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vAlign w:val="center"/>
          </w:tcPr>
          <w:p w14:paraId="6671926C"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vAlign w:val="center"/>
          </w:tcPr>
          <w:p w14:paraId="2E0B16E5" w14:textId="71E43395" w:rsidR="005A4977" w:rsidRPr="00074BA4" w:rsidRDefault="00DF1F8D" w:rsidP="005A4977">
            <w:pPr>
              <w:spacing w:after="0" w:line="240" w:lineRule="auto"/>
              <w:ind w:hanging="18"/>
              <w:jc w:val="both"/>
              <w:rPr>
                <w:rFonts w:ascii="Arial" w:hAnsi="Arial" w:cs="Arial"/>
                <w:sz w:val="18"/>
                <w:szCs w:val="18"/>
                <w:lang w:val="es-ES_tradnl"/>
              </w:rPr>
            </w:pPr>
            <w:r w:rsidRPr="7FBDDA1D">
              <w:rPr>
                <w:rFonts w:ascii="Arial" w:hAnsi="Arial" w:cs="Arial"/>
                <w:color w:val="000000" w:themeColor="text1"/>
                <w:sz w:val="18"/>
                <w:szCs w:val="18"/>
                <w:lang w:val="es-ES"/>
              </w:rPr>
              <w:t>Decreto del Poder Ejecutivo Nacional aprobando</w:t>
            </w:r>
            <w:r>
              <w:rPr>
                <w:rFonts w:ascii="Arial" w:hAnsi="Arial" w:cs="Arial"/>
                <w:color w:val="000000" w:themeColor="text1"/>
                <w:sz w:val="18"/>
                <w:szCs w:val="18"/>
                <w:lang w:val="es-ES"/>
              </w:rPr>
              <w:t xml:space="preserve"> </w:t>
            </w:r>
            <w:r>
              <w:rPr>
                <w:rFonts w:ascii="Arial" w:hAnsi="Arial" w:cs="Arial"/>
                <w:spacing w:val="-2"/>
                <w:sz w:val="18"/>
                <w:szCs w:val="18"/>
                <w:lang w:val="es-ES"/>
              </w:rPr>
              <w:t xml:space="preserve">marco estratégico de logística </w:t>
            </w:r>
            <w:proofErr w:type="gramStart"/>
            <w:r>
              <w:rPr>
                <w:rFonts w:ascii="Arial" w:hAnsi="Arial" w:cs="Arial"/>
                <w:spacing w:val="-2"/>
                <w:sz w:val="18"/>
                <w:szCs w:val="18"/>
                <w:lang w:val="es-ES"/>
              </w:rPr>
              <w:t xml:space="preserve">que </w:t>
            </w:r>
            <w:r w:rsidRPr="7FBDDA1D">
              <w:rPr>
                <w:rFonts w:ascii="Arial" w:hAnsi="Arial" w:cs="Arial"/>
                <w:spacing w:val="-2"/>
                <w:sz w:val="18"/>
                <w:szCs w:val="18"/>
                <w:lang w:val="es-ES"/>
              </w:rPr>
              <w:t xml:space="preserve"> incluy</w:t>
            </w:r>
            <w:r>
              <w:rPr>
                <w:rFonts w:ascii="Arial" w:hAnsi="Arial" w:cs="Arial"/>
                <w:spacing w:val="-2"/>
                <w:sz w:val="18"/>
                <w:szCs w:val="18"/>
                <w:lang w:val="es-ES"/>
              </w:rPr>
              <w:t>a</w:t>
            </w:r>
            <w:proofErr w:type="gramEnd"/>
            <w:r>
              <w:rPr>
                <w:rFonts w:ascii="Arial" w:hAnsi="Arial" w:cs="Arial"/>
                <w:spacing w:val="-2"/>
                <w:sz w:val="18"/>
                <w:szCs w:val="18"/>
                <w:lang w:val="es-ES"/>
              </w:rPr>
              <w:t xml:space="preserve"> – en su texto ordenado- </w:t>
            </w:r>
            <w:r w:rsidRPr="7FBDDA1D">
              <w:rPr>
                <w:rFonts w:ascii="Arial" w:hAnsi="Arial" w:cs="Arial"/>
                <w:spacing w:val="-2"/>
                <w:sz w:val="18"/>
                <w:szCs w:val="18"/>
                <w:lang w:val="es-ES"/>
              </w:rPr>
              <w:t xml:space="preserve"> los lineamientos de políticas, </w:t>
            </w:r>
            <w:r w:rsidRPr="7FBDDA1D">
              <w:rPr>
                <w:rFonts w:ascii="Arial" w:hAnsi="Arial" w:cs="Arial"/>
                <w:spacing w:val="-2"/>
                <w:sz w:val="18"/>
                <w:szCs w:val="18"/>
                <w:lang w:val="es-ES"/>
              </w:rPr>
              <w:lastRenderedPageBreak/>
              <w:t>elementos fundamentales del sector y competencias institucionales.</w:t>
            </w:r>
          </w:p>
        </w:tc>
        <w:tc>
          <w:tcPr>
            <w:tcW w:w="4227" w:type="dxa"/>
            <w:vAlign w:val="center"/>
          </w:tcPr>
          <w:p w14:paraId="7A7A2AFA" w14:textId="271AAA8F" w:rsidR="005A4977" w:rsidRPr="00074BA4" w:rsidRDefault="00DF1F8D" w:rsidP="006F20D9">
            <w:pPr>
              <w:spacing w:after="0" w:line="240" w:lineRule="auto"/>
              <w:jc w:val="both"/>
              <w:rPr>
                <w:rFonts w:ascii="Arial" w:hAnsi="Arial" w:cs="Arial"/>
                <w:sz w:val="18"/>
                <w:szCs w:val="18"/>
                <w:lang w:val="es-ES_tradnl"/>
              </w:rPr>
            </w:pPr>
            <w:r>
              <w:rPr>
                <w:rFonts w:ascii="Arial" w:hAnsi="Arial" w:cs="Arial"/>
                <w:sz w:val="18"/>
                <w:szCs w:val="18"/>
                <w:lang w:val="es-ES_tradnl"/>
              </w:rPr>
              <w:lastRenderedPageBreak/>
              <w:t xml:space="preserve">La redacción del </w:t>
            </w:r>
            <w:proofErr w:type="gramStart"/>
            <w:r>
              <w:rPr>
                <w:rFonts w:ascii="Arial" w:hAnsi="Arial" w:cs="Arial"/>
                <w:sz w:val="18"/>
                <w:szCs w:val="18"/>
                <w:lang w:val="es-ES_tradnl"/>
              </w:rPr>
              <w:t xml:space="preserve">decreto </w:t>
            </w:r>
            <w:r w:rsidR="004A21AA" w:rsidRPr="00074BA4">
              <w:rPr>
                <w:rFonts w:ascii="Arial" w:hAnsi="Arial" w:cs="Arial"/>
                <w:sz w:val="18"/>
                <w:szCs w:val="18"/>
                <w:lang w:val="es-ES_tradnl"/>
              </w:rPr>
              <w:t xml:space="preserve"> está</w:t>
            </w:r>
            <w:proofErr w:type="gramEnd"/>
            <w:r w:rsidR="004A21AA" w:rsidRPr="00074BA4">
              <w:rPr>
                <w:rFonts w:ascii="Arial" w:hAnsi="Arial" w:cs="Arial"/>
                <w:sz w:val="18"/>
                <w:szCs w:val="18"/>
                <w:lang w:val="es-ES_tradnl"/>
              </w:rPr>
              <w:t xml:space="preserve"> siendo financiado con recursos de CT de apoyo a la operación.</w:t>
            </w:r>
          </w:p>
        </w:tc>
      </w:tr>
      <w:tr w:rsidR="005A4977" w:rsidRPr="00DF1F8D" w14:paraId="3CB4A933" w14:textId="77777777" w:rsidTr="00C418D8">
        <w:trPr>
          <w:trHeight w:val="1313"/>
          <w:jc w:val="center"/>
        </w:trPr>
        <w:tc>
          <w:tcPr>
            <w:tcW w:w="2875" w:type="dxa"/>
            <w:vAlign w:val="center"/>
          </w:tcPr>
          <w:p w14:paraId="28286D50" w14:textId="77777777" w:rsidR="005A4977" w:rsidRPr="00074BA4" w:rsidRDefault="005A4977" w:rsidP="005A4977">
            <w:pPr>
              <w:spacing w:after="0" w:line="240" w:lineRule="auto"/>
              <w:jc w:val="both"/>
              <w:rPr>
                <w:rFonts w:ascii="Arial" w:hAnsi="Arial" w:cs="Arial"/>
                <w:sz w:val="18"/>
                <w:szCs w:val="18"/>
                <w:lang w:val="es-ES_tradnl"/>
              </w:rPr>
            </w:pPr>
            <w:r w:rsidRPr="00074BA4">
              <w:rPr>
                <w:rFonts w:ascii="Arial" w:hAnsi="Arial" w:cs="Arial"/>
                <w:spacing w:val="-2"/>
                <w:sz w:val="18"/>
                <w:szCs w:val="18"/>
                <w:lang w:val="es-ES_tradnl"/>
              </w:rPr>
              <w:t xml:space="preserve">2.2 Reglamentación del nuevo marco legal aduanero </w:t>
            </w:r>
            <w:r w:rsidRPr="00074BA4">
              <w:rPr>
                <w:rFonts w:ascii="Arial" w:hAnsi="Arial" w:cs="Arial"/>
                <w:color w:val="000000"/>
                <w:sz w:val="18"/>
                <w:szCs w:val="18"/>
                <w:lang w:val="es-ES_tradnl"/>
              </w:rPr>
              <w:t>para la armonización con el código aduanero regional de Centroamérica</w:t>
            </w:r>
            <w:r w:rsidRPr="00074BA4">
              <w:rPr>
                <w:rFonts w:ascii="Arial" w:hAnsi="Arial" w:cs="Arial"/>
                <w:spacing w:val="-2"/>
                <w:sz w:val="18"/>
                <w:szCs w:val="18"/>
                <w:lang w:val="es-ES_tradnl"/>
              </w:rPr>
              <w:t xml:space="preserve"> implementada </w:t>
            </w:r>
          </w:p>
        </w:tc>
        <w:tc>
          <w:tcPr>
            <w:tcW w:w="1016" w:type="dxa"/>
            <w:vAlign w:val="center"/>
          </w:tcPr>
          <w:p w14:paraId="31F66E08"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Resolución de ANA</w:t>
            </w:r>
          </w:p>
        </w:tc>
        <w:tc>
          <w:tcPr>
            <w:tcW w:w="801" w:type="dxa"/>
            <w:vAlign w:val="center"/>
          </w:tcPr>
          <w:p w14:paraId="55E7E5D2"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vAlign w:val="center"/>
          </w:tcPr>
          <w:p w14:paraId="3C689CFB"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vAlign w:val="center"/>
          </w:tcPr>
          <w:p w14:paraId="145B0E0C" w14:textId="28904952" w:rsidR="005A4977" w:rsidRPr="00074BA4" w:rsidRDefault="005A4977" w:rsidP="005A4977">
            <w:pPr>
              <w:jc w:val="both"/>
              <w:rPr>
                <w:rFonts w:ascii="Arial" w:hAnsi="Arial" w:cs="Arial"/>
                <w:sz w:val="18"/>
                <w:szCs w:val="18"/>
                <w:lang w:val="es-ES_tradnl"/>
              </w:rPr>
            </w:pPr>
            <w:r w:rsidRPr="00DF1F8D">
              <w:rPr>
                <w:rFonts w:ascii="Arial" w:hAnsi="Arial" w:cs="Arial"/>
                <w:color w:val="000000"/>
                <w:sz w:val="18"/>
                <w:szCs w:val="18"/>
                <w:lang w:val="es-ES_tradnl"/>
              </w:rPr>
              <w:t xml:space="preserve">Resolución de Aduana certificando que la reglamentación del nuevo marco legal aduanero para la armonización con el código aduanero regional de Centroamérica ha sido debidamente implementada, enumerando las principales medidas de reforma.  </w:t>
            </w:r>
          </w:p>
        </w:tc>
        <w:tc>
          <w:tcPr>
            <w:tcW w:w="4227" w:type="dxa"/>
            <w:vAlign w:val="center"/>
          </w:tcPr>
          <w:p w14:paraId="04369311" w14:textId="2F790BF8" w:rsidR="005A4977" w:rsidRPr="00074BA4" w:rsidRDefault="004A21AA" w:rsidP="005A4977">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 xml:space="preserve">La reglamentación incluye, </w:t>
            </w:r>
            <w:r w:rsidRPr="00074BA4">
              <w:rPr>
                <w:rFonts w:ascii="Arial" w:hAnsi="Arial" w:cs="Arial"/>
                <w:spacing w:val="-2"/>
                <w:sz w:val="18"/>
                <w:szCs w:val="18"/>
                <w:lang w:val="es-ES_tradnl"/>
              </w:rPr>
              <w:t>entre otros, la simplificación de trámites aduaneros, la facilitación de procesos, y la creación del Tribunal Penal Aduanero y la Defensoría de Oficio.</w:t>
            </w:r>
          </w:p>
        </w:tc>
      </w:tr>
      <w:tr w:rsidR="005A4977" w:rsidRPr="00DF1F8D" w14:paraId="256530DD" w14:textId="77777777" w:rsidTr="00C418D8">
        <w:trPr>
          <w:trHeight w:val="800"/>
          <w:jc w:val="center"/>
        </w:trPr>
        <w:tc>
          <w:tcPr>
            <w:tcW w:w="2875" w:type="dxa"/>
            <w:vAlign w:val="center"/>
          </w:tcPr>
          <w:p w14:paraId="79CBE1F1" w14:textId="77777777" w:rsidR="005A4977" w:rsidRPr="00074BA4" w:rsidRDefault="005A4977" w:rsidP="005A4977">
            <w:pPr>
              <w:spacing w:after="0" w:line="240" w:lineRule="auto"/>
              <w:ind w:hanging="18"/>
              <w:jc w:val="both"/>
              <w:rPr>
                <w:rFonts w:ascii="Arial" w:hAnsi="Arial" w:cs="Arial"/>
                <w:spacing w:val="-2"/>
                <w:sz w:val="18"/>
                <w:szCs w:val="18"/>
                <w:lang w:val="es-ES_tradnl"/>
              </w:rPr>
            </w:pPr>
            <w:r w:rsidRPr="00074BA4">
              <w:rPr>
                <w:rFonts w:ascii="Arial" w:hAnsi="Arial" w:cs="Arial"/>
                <w:spacing w:val="-2"/>
                <w:sz w:val="18"/>
                <w:szCs w:val="18"/>
                <w:lang w:val="es-ES_tradnl"/>
              </w:rPr>
              <w:t xml:space="preserve">2.3 Anteproyecto de Ley aduanera remitido al Consejo de Gabinete de Ministros </w:t>
            </w:r>
          </w:p>
        </w:tc>
        <w:tc>
          <w:tcPr>
            <w:tcW w:w="1016" w:type="dxa"/>
            <w:vAlign w:val="center"/>
          </w:tcPr>
          <w:p w14:paraId="1DA7C148"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Anteproyecto de Ley</w:t>
            </w:r>
          </w:p>
        </w:tc>
        <w:tc>
          <w:tcPr>
            <w:tcW w:w="801" w:type="dxa"/>
            <w:vAlign w:val="center"/>
          </w:tcPr>
          <w:p w14:paraId="47AE9BD5"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vAlign w:val="center"/>
          </w:tcPr>
          <w:p w14:paraId="109D0875"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vAlign w:val="center"/>
          </w:tcPr>
          <w:p w14:paraId="735A2E51" w14:textId="77777777" w:rsidR="005A4977" w:rsidRPr="00074BA4" w:rsidRDefault="005A4977" w:rsidP="005A4977">
            <w:pPr>
              <w:spacing w:after="0" w:line="240" w:lineRule="auto"/>
              <w:ind w:hanging="18"/>
              <w:jc w:val="both"/>
              <w:rPr>
                <w:rFonts w:ascii="Arial" w:hAnsi="Arial" w:cs="Arial"/>
                <w:color w:val="000000"/>
                <w:spacing w:val="-2"/>
                <w:sz w:val="18"/>
                <w:szCs w:val="18"/>
                <w:lang w:val="es-ES_tradnl"/>
              </w:rPr>
            </w:pPr>
            <w:r w:rsidRPr="00074BA4">
              <w:rPr>
                <w:rFonts w:ascii="Arial" w:hAnsi="Arial" w:cs="Arial"/>
                <w:color w:val="000000"/>
                <w:spacing w:val="-2"/>
                <w:sz w:val="18"/>
                <w:szCs w:val="18"/>
                <w:lang w:val="es-ES_tradnl"/>
              </w:rPr>
              <w:t>Remisión del MEF al Consejo de Gabinete de Ministros del Anteproyecto de Ley de Aduanas</w:t>
            </w:r>
            <w:r w:rsidRPr="00074BA4">
              <w:rPr>
                <w:rFonts w:ascii="Arial" w:hAnsi="Arial" w:cs="Arial"/>
                <w:sz w:val="18"/>
                <w:szCs w:val="18"/>
                <w:lang w:val="es-ES_tradnl"/>
              </w:rPr>
              <w:t xml:space="preserve">.  </w:t>
            </w:r>
          </w:p>
        </w:tc>
        <w:tc>
          <w:tcPr>
            <w:tcW w:w="4227" w:type="dxa"/>
            <w:vAlign w:val="center"/>
          </w:tcPr>
          <w:p w14:paraId="65AFD402"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460427D7" w14:textId="77777777" w:rsidTr="00C418D8">
        <w:trPr>
          <w:trHeight w:val="800"/>
          <w:jc w:val="center"/>
        </w:trPr>
        <w:tc>
          <w:tcPr>
            <w:tcW w:w="2875" w:type="dxa"/>
            <w:vAlign w:val="center"/>
          </w:tcPr>
          <w:p w14:paraId="3610437C" w14:textId="77777777" w:rsidR="005A4977" w:rsidRPr="00074BA4" w:rsidDel="00843E77"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2.4 Nota Técnica sobre las acciones y resultados del Plan de Desarrollo de IED en servicios marítimos auxiliares finalizada</w:t>
            </w:r>
          </w:p>
        </w:tc>
        <w:tc>
          <w:tcPr>
            <w:tcW w:w="1016" w:type="dxa"/>
            <w:vAlign w:val="center"/>
          </w:tcPr>
          <w:p w14:paraId="28F9C48A" w14:textId="77777777" w:rsidR="005A4977" w:rsidRPr="00074BA4" w:rsidDel="00F82513"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Nota técnica</w:t>
            </w:r>
          </w:p>
        </w:tc>
        <w:tc>
          <w:tcPr>
            <w:tcW w:w="801" w:type="dxa"/>
            <w:vAlign w:val="center"/>
          </w:tcPr>
          <w:p w14:paraId="10F5A978"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vAlign w:val="center"/>
          </w:tcPr>
          <w:p w14:paraId="3B731113"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vAlign w:val="center"/>
          </w:tcPr>
          <w:p w14:paraId="4862CD62" w14:textId="77777777" w:rsidR="005A4977" w:rsidRPr="00074BA4"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color w:val="000000"/>
                <w:spacing w:val="-2"/>
                <w:sz w:val="18"/>
                <w:szCs w:val="18"/>
                <w:lang w:val="es-ES_tradnl"/>
              </w:rPr>
              <w:t>Nota Técnica de la AMP reportando las acciones del Plan de Desarrollo de IED en servicios marítimos auxiliares, con foco en la ley de Financiamiento Naval</w:t>
            </w:r>
          </w:p>
        </w:tc>
        <w:tc>
          <w:tcPr>
            <w:tcW w:w="4227" w:type="dxa"/>
            <w:vAlign w:val="center"/>
          </w:tcPr>
          <w:p w14:paraId="116E0D62" w14:textId="77777777" w:rsidR="005A4977" w:rsidRPr="00074BA4" w:rsidRDefault="005A4977" w:rsidP="006F20D9">
            <w:pPr>
              <w:spacing w:after="0" w:line="240" w:lineRule="auto"/>
              <w:jc w:val="both"/>
              <w:rPr>
                <w:rFonts w:ascii="Arial" w:hAnsi="Arial" w:cs="Arial"/>
                <w:sz w:val="18"/>
                <w:szCs w:val="18"/>
                <w:lang w:val="es-ES_tradnl"/>
              </w:rPr>
            </w:pPr>
          </w:p>
        </w:tc>
      </w:tr>
      <w:tr w:rsidR="005A4977" w:rsidRPr="00DF1F8D" w14:paraId="239093D9" w14:textId="77777777" w:rsidTr="00C418D8">
        <w:trPr>
          <w:trHeight w:val="1421"/>
          <w:jc w:val="center"/>
        </w:trPr>
        <w:tc>
          <w:tcPr>
            <w:tcW w:w="2875" w:type="dxa"/>
            <w:tcBorders>
              <w:bottom w:val="single" w:sz="4" w:space="0" w:color="000000"/>
            </w:tcBorders>
            <w:vAlign w:val="center"/>
          </w:tcPr>
          <w:p w14:paraId="287948A3" w14:textId="450E066B" w:rsidR="005A4977" w:rsidRPr="00074BA4"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 xml:space="preserve">2.5 </w:t>
            </w:r>
            <w:r w:rsidR="007147FC" w:rsidRPr="00074BA4">
              <w:rPr>
                <w:rFonts w:ascii="Arial" w:hAnsi="Arial" w:cs="Arial"/>
                <w:spacing w:val="-2"/>
                <w:sz w:val="18"/>
                <w:szCs w:val="18"/>
                <w:lang w:val="es-ES_tradnl"/>
              </w:rPr>
              <w:t xml:space="preserve">Sistema de </w:t>
            </w:r>
            <w:r w:rsidRPr="00074BA4">
              <w:rPr>
                <w:rFonts w:ascii="Arial" w:hAnsi="Arial" w:cs="Arial"/>
                <w:spacing w:val="-2"/>
                <w:sz w:val="18"/>
                <w:szCs w:val="18"/>
                <w:lang w:val="es-ES_tradnl"/>
              </w:rPr>
              <w:t>indicadores de seguimiento</w:t>
            </w:r>
            <w:r w:rsidR="003D6919" w:rsidRPr="00074BA4">
              <w:rPr>
                <w:rFonts w:ascii="Arial" w:hAnsi="Arial" w:cs="Arial"/>
                <w:spacing w:val="-2"/>
                <w:sz w:val="18"/>
                <w:szCs w:val="18"/>
                <w:lang w:val="es-ES_tradnl"/>
              </w:rPr>
              <w:t>,</w:t>
            </w:r>
            <w:r w:rsidRPr="00074BA4">
              <w:rPr>
                <w:rFonts w:ascii="Arial" w:hAnsi="Arial" w:cs="Arial"/>
                <w:spacing w:val="-2"/>
                <w:sz w:val="18"/>
                <w:szCs w:val="18"/>
                <w:lang w:val="es-ES_tradnl"/>
              </w:rPr>
              <w:t xml:space="preserve"> y esquema de monitoreo y evaluación </w:t>
            </w:r>
            <w:r w:rsidR="007147FC" w:rsidRPr="00074BA4">
              <w:rPr>
                <w:rFonts w:ascii="Arial" w:hAnsi="Arial" w:cs="Arial"/>
                <w:spacing w:val="-2"/>
                <w:sz w:val="18"/>
                <w:szCs w:val="18"/>
                <w:lang w:val="es-ES_tradnl"/>
              </w:rPr>
              <w:t>de las acciones y resultados de la gestión de la CL</w:t>
            </w:r>
            <w:r w:rsidR="003D6919" w:rsidRPr="00074BA4">
              <w:rPr>
                <w:rFonts w:ascii="Arial" w:hAnsi="Arial" w:cs="Arial"/>
                <w:spacing w:val="-2"/>
                <w:sz w:val="18"/>
                <w:szCs w:val="18"/>
                <w:lang w:val="es-ES_tradnl"/>
              </w:rPr>
              <w:t>,</w:t>
            </w:r>
            <w:r w:rsidR="007147FC" w:rsidRPr="00074BA4">
              <w:rPr>
                <w:rFonts w:ascii="Arial" w:hAnsi="Arial" w:cs="Arial"/>
                <w:spacing w:val="-2"/>
                <w:sz w:val="18"/>
                <w:szCs w:val="18"/>
                <w:lang w:val="es-ES_tradnl"/>
              </w:rPr>
              <w:t xml:space="preserve"> implementado </w:t>
            </w:r>
          </w:p>
        </w:tc>
        <w:tc>
          <w:tcPr>
            <w:tcW w:w="1016" w:type="dxa"/>
            <w:tcBorders>
              <w:bottom w:val="single" w:sz="4" w:space="0" w:color="000000"/>
            </w:tcBorders>
            <w:vAlign w:val="center"/>
          </w:tcPr>
          <w:p w14:paraId="4FE44D69"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Nota técnica</w:t>
            </w:r>
          </w:p>
        </w:tc>
        <w:tc>
          <w:tcPr>
            <w:tcW w:w="801" w:type="dxa"/>
            <w:tcBorders>
              <w:bottom w:val="single" w:sz="4" w:space="0" w:color="000000"/>
            </w:tcBorders>
            <w:vAlign w:val="center"/>
          </w:tcPr>
          <w:p w14:paraId="047A97D4"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tcBorders>
              <w:bottom w:val="single" w:sz="4" w:space="0" w:color="000000"/>
            </w:tcBorders>
            <w:vAlign w:val="center"/>
          </w:tcPr>
          <w:p w14:paraId="6E1F5BF5"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tcBorders>
              <w:bottom w:val="single" w:sz="4" w:space="0" w:color="000000"/>
            </w:tcBorders>
            <w:vAlign w:val="center"/>
          </w:tcPr>
          <w:p w14:paraId="4417ABD5" w14:textId="4CA2B0FE" w:rsidR="005A4977" w:rsidRPr="00074BA4"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 xml:space="preserve">Nota de la CL al </w:t>
            </w:r>
            <w:r w:rsidR="004C2AFF" w:rsidRPr="00074BA4">
              <w:rPr>
                <w:rFonts w:ascii="Arial" w:hAnsi="Arial" w:cs="Arial"/>
                <w:spacing w:val="-2"/>
                <w:sz w:val="18"/>
                <w:szCs w:val="18"/>
                <w:lang w:val="es-ES_tradnl"/>
              </w:rPr>
              <w:t>ministro</w:t>
            </w:r>
            <w:r w:rsidRPr="00074BA4">
              <w:rPr>
                <w:rFonts w:ascii="Arial" w:hAnsi="Arial" w:cs="Arial"/>
                <w:spacing w:val="-2"/>
                <w:sz w:val="18"/>
                <w:szCs w:val="18"/>
                <w:lang w:val="es-ES_tradnl"/>
              </w:rPr>
              <w:t xml:space="preserve"> de la Presidencia validando el informe de Georgia </w:t>
            </w:r>
            <w:proofErr w:type="spellStart"/>
            <w:r w:rsidRPr="00074BA4">
              <w:rPr>
                <w:rFonts w:ascii="Arial" w:hAnsi="Arial" w:cs="Arial"/>
                <w:spacing w:val="-2"/>
                <w:sz w:val="18"/>
                <w:szCs w:val="18"/>
                <w:lang w:val="es-ES_tradnl"/>
              </w:rPr>
              <w:t>Tech</w:t>
            </w:r>
            <w:proofErr w:type="spellEnd"/>
            <w:r w:rsidRPr="00074BA4">
              <w:rPr>
                <w:rFonts w:ascii="Arial" w:hAnsi="Arial" w:cs="Arial"/>
                <w:spacing w:val="-2"/>
                <w:sz w:val="18"/>
                <w:szCs w:val="18"/>
                <w:lang w:val="es-ES_tradnl"/>
              </w:rPr>
              <w:t xml:space="preserve"> que certifica la implementación del sistema de monitoreo y evaluación </w:t>
            </w:r>
          </w:p>
        </w:tc>
        <w:tc>
          <w:tcPr>
            <w:tcW w:w="4227" w:type="dxa"/>
            <w:tcBorders>
              <w:bottom w:val="single" w:sz="4" w:space="0" w:color="000000"/>
            </w:tcBorders>
            <w:vAlign w:val="center"/>
          </w:tcPr>
          <w:p w14:paraId="5B27DE86"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4E945302" w14:textId="77777777" w:rsidTr="00C418D8">
        <w:trPr>
          <w:trHeight w:val="791"/>
          <w:jc w:val="center"/>
        </w:trPr>
        <w:tc>
          <w:tcPr>
            <w:tcW w:w="2875" w:type="dxa"/>
            <w:tcBorders>
              <w:bottom w:val="single" w:sz="4" w:space="0" w:color="000000"/>
            </w:tcBorders>
            <w:vAlign w:val="center"/>
          </w:tcPr>
          <w:p w14:paraId="7C84A526" w14:textId="68B46885" w:rsidR="005A4977" w:rsidRPr="00074BA4" w:rsidRDefault="005A4977" w:rsidP="005A4977">
            <w:pPr>
              <w:spacing w:after="0" w:line="240" w:lineRule="auto"/>
              <w:ind w:hanging="18"/>
              <w:jc w:val="both"/>
              <w:rPr>
                <w:rFonts w:ascii="Arial" w:hAnsi="Arial" w:cs="Arial"/>
                <w:spacing w:val="-2"/>
                <w:sz w:val="18"/>
                <w:szCs w:val="18"/>
                <w:lang w:val="es-ES_tradnl"/>
              </w:rPr>
            </w:pPr>
            <w:proofErr w:type="gramStart"/>
            <w:r w:rsidRPr="00074BA4">
              <w:rPr>
                <w:rFonts w:ascii="Arial" w:hAnsi="Arial" w:cs="Arial"/>
                <w:spacing w:val="-2"/>
                <w:sz w:val="18"/>
                <w:szCs w:val="18"/>
                <w:lang w:val="es-ES_tradnl"/>
              </w:rPr>
              <w:t xml:space="preserve">2.6  </w:t>
            </w:r>
            <w:r w:rsidR="00A41B02" w:rsidRPr="00074BA4">
              <w:rPr>
                <w:rFonts w:ascii="Arial" w:hAnsi="Arial" w:cs="Arial"/>
                <w:spacing w:val="-2"/>
                <w:sz w:val="18"/>
                <w:szCs w:val="18"/>
                <w:lang w:val="es-ES_tradnl"/>
              </w:rPr>
              <w:t>S</w:t>
            </w:r>
            <w:r w:rsidRPr="00074BA4">
              <w:rPr>
                <w:rFonts w:ascii="Arial" w:hAnsi="Arial" w:cs="Arial"/>
                <w:spacing w:val="-2"/>
                <w:sz w:val="18"/>
                <w:szCs w:val="18"/>
                <w:lang w:val="es-ES_tradnl"/>
              </w:rPr>
              <w:t>istema</w:t>
            </w:r>
            <w:proofErr w:type="gramEnd"/>
            <w:r w:rsidRPr="00074BA4">
              <w:rPr>
                <w:rFonts w:ascii="Arial" w:hAnsi="Arial" w:cs="Arial"/>
                <w:spacing w:val="-2"/>
                <w:sz w:val="18"/>
                <w:szCs w:val="18"/>
                <w:lang w:val="es-ES_tradnl"/>
              </w:rPr>
              <w:t xml:space="preserve"> de monitoreo y evaluación </w:t>
            </w:r>
            <w:r w:rsidR="00A41B02" w:rsidRPr="00074BA4">
              <w:rPr>
                <w:rFonts w:ascii="Arial" w:hAnsi="Arial" w:cs="Arial"/>
                <w:spacing w:val="-2"/>
                <w:sz w:val="18"/>
                <w:szCs w:val="18"/>
                <w:lang w:val="es-ES_tradnl"/>
              </w:rPr>
              <w:t>presentado al GL</w:t>
            </w:r>
          </w:p>
        </w:tc>
        <w:tc>
          <w:tcPr>
            <w:tcW w:w="1016" w:type="dxa"/>
            <w:tcBorders>
              <w:bottom w:val="single" w:sz="4" w:space="0" w:color="000000"/>
            </w:tcBorders>
            <w:vAlign w:val="center"/>
          </w:tcPr>
          <w:p w14:paraId="07C0A14A"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Minuta</w:t>
            </w:r>
          </w:p>
        </w:tc>
        <w:tc>
          <w:tcPr>
            <w:tcW w:w="801" w:type="dxa"/>
            <w:tcBorders>
              <w:bottom w:val="single" w:sz="4" w:space="0" w:color="000000"/>
            </w:tcBorders>
            <w:vAlign w:val="center"/>
          </w:tcPr>
          <w:p w14:paraId="03F83860"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tcBorders>
              <w:bottom w:val="single" w:sz="4" w:space="0" w:color="000000"/>
            </w:tcBorders>
            <w:vAlign w:val="center"/>
          </w:tcPr>
          <w:p w14:paraId="64977FF5"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tcBorders>
              <w:bottom w:val="single" w:sz="4" w:space="0" w:color="000000"/>
            </w:tcBorders>
            <w:vAlign w:val="center"/>
          </w:tcPr>
          <w:p w14:paraId="2314C5FA" w14:textId="77777777" w:rsidR="005A4977" w:rsidRPr="00074BA4" w:rsidRDefault="00295657" w:rsidP="005A4977">
            <w:pPr>
              <w:pStyle w:val="ListParagraph"/>
              <w:suppressAutoHyphens/>
              <w:spacing w:before="60" w:after="60"/>
              <w:ind w:left="162"/>
              <w:jc w:val="both"/>
              <w:rPr>
                <w:rFonts w:ascii="Arial" w:hAnsi="Arial" w:cs="Arial"/>
                <w:spacing w:val="-2"/>
                <w:sz w:val="18"/>
                <w:szCs w:val="18"/>
              </w:rPr>
            </w:pPr>
            <w:r w:rsidRPr="00074BA4">
              <w:rPr>
                <w:rFonts w:ascii="Arial" w:hAnsi="Arial" w:cs="Arial"/>
                <w:spacing w:val="-2"/>
                <w:sz w:val="18"/>
                <w:szCs w:val="18"/>
              </w:rPr>
              <w:t>Minuta oficial de la CL presentando el sistema de monitoreo y evaluación al Gabinete Logístico</w:t>
            </w:r>
          </w:p>
        </w:tc>
        <w:tc>
          <w:tcPr>
            <w:tcW w:w="4227" w:type="dxa"/>
            <w:tcBorders>
              <w:bottom w:val="single" w:sz="4" w:space="0" w:color="000000"/>
            </w:tcBorders>
            <w:vAlign w:val="center"/>
          </w:tcPr>
          <w:p w14:paraId="6EFBD7D7"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2F26705A" w14:textId="77777777" w:rsidTr="00C418D8">
        <w:trPr>
          <w:trHeight w:val="1223"/>
          <w:jc w:val="center"/>
        </w:trPr>
        <w:tc>
          <w:tcPr>
            <w:tcW w:w="2875" w:type="dxa"/>
            <w:tcBorders>
              <w:bottom w:val="single" w:sz="4" w:space="0" w:color="000000"/>
            </w:tcBorders>
            <w:vAlign w:val="center"/>
          </w:tcPr>
          <w:p w14:paraId="2B414FF7" w14:textId="77777777" w:rsidR="005A4977" w:rsidRPr="00074BA4"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2.7 Proyecto de cuenta satélite de logística ingresado en el Sistema Nacional de Inversiones Públicas (SINIP)</w:t>
            </w:r>
            <w:r w:rsidR="00295657" w:rsidRPr="00074BA4">
              <w:rPr>
                <w:rFonts w:ascii="Arial" w:hAnsi="Arial" w:cs="Arial"/>
                <w:spacing w:val="-2"/>
                <w:sz w:val="18"/>
                <w:szCs w:val="18"/>
                <w:lang w:val="es-ES_tradnl"/>
              </w:rPr>
              <w:t xml:space="preserve"> y certificado por el MEF.</w:t>
            </w:r>
          </w:p>
        </w:tc>
        <w:tc>
          <w:tcPr>
            <w:tcW w:w="1016" w:type="dxa"/>
            <w:tcBorders>
              <w:bottom w:val="single" w:sz="4" w:space="0" w:color="000000"/>
            </w:tcBorders>
            <w:vAlign w:val="center"/>
          </w:tcPr>
          <w:p w14:paraId="03A58137" w14:textId="77777777" w:rsidR="005A4977" w:rsidRPr="00074BA4" w:rsidRDefault="005A4977" w:rsidP="005A4977">
            <w:pPr>
              <w:spacing w:after="0" w:line="240" w:lineRule="auto"/>
              <w:ind w:hanging="18"/>
              <w:jc w:val="center"/>
              <w:rPr>
                <w:rFonts w:ascii="Arial" w:hAnsi="Arial" w:cs="Arial"/>
                <w:sz w:val="18"/>
                <w:szCs w:val="18"/>
                <w:lang w:val="es-ES_tradnl"/>
              </w:rPr>
            </w:pPr>
          </w:p>
        </w:tc>
        <w:tc>
          <w:tcPr>
            <w:tcW w:w="801" w:type="dxa"/>
            <w:tcBorders>
              <w:bottom w:val="single" w:sz="4" w:space="0" w:color="000000"/>
            </w:tcBorders>
            <w:vAlign w:val="center"/>
          </w:tcPr>
          <w:p w14:paraId="7F5ABD38"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tcBorders>
              <w:bottom w:val="single" w:sz="4" w:space="0" w:color="000000"/>
            </w:tcBorders>
            <w:vAlign w:val="center"/>
          </w:tcPr>
          <w:p w14:paraId="571A0DEB"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tcBorders>
              <w:bottom w:val="single" w:sz="4" w:space="0" w:color="auto"/>
            </w:tcBorders>
            <w:vAlign w:val="center"/>
          </w:tcPr>
          <w:p w14:paraId="1D94E4E3" w14:textId="6C1AACDA" w:rsidR="005A4977" w:rsidRPr="00074BA4" w:rsidRDefault="0029565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Certificación del MEF, a través de la Dirección de Programación de Inversiones dirigida al Instituto Nacional de Estadísticas y Censos a efectos evidenciar la elegibilidad del proyecto de la cuenta satélite de logística en el Sistema Nacional de Inversiones Públicas</w:t>
            </w:r>
          </w:p>
        </w:tc>
        <w:tc>
          <w:tcPr>
            <w:tcW w:w="4227" w:type="dxa"/>
            <w:tcBorders>
              <w:bottom w:val="single" w:sz="4" w:space="0" w:color="auto"/>
            </w:tcBorders>
            <w:vAlign w:val="center"/>
          </w:tcPr>
          <w:p w14:paraId="741D9D3F"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2F643A72" w14:textId="77777777" w:rsidTr="00C418D8">
        <w:trPr>
          <w:trHeight w:val="1688"/>
          <w:jc w:val="center"/>
        </w:trPr>
        <w:tc>
          <w:tcPr>
            <w:tcW w:w="2875" w:type="dxa"/>
            <w:tcBorders>
              <w:bottom w:val="single" w:sz="4" w:space="0" w:color="000000"/>
            </w:tcBorders>
            <w:vAlign w:val="center"/>
          </w:tcPr>
          <w:p w14:paraId="70B0E6E9" w14:textId="56660EAC" w:rsidR="005A4977" w:rsidRPr="00074BA4"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color w:val="000000"/>
                <w:sz w:val="18"/>
                <w:szCs w:val="18"/>
                <w:lang w:val="es-ES_tradnl"/>
              </w:rPr>
              <w:lastRenderedPageBreak/>
              <w:t>2.8 Estructura</w:t>
            </w:r>
            <w:r w:rsidR="00A41B02" w:rsidRPr="00074BA4">
              <w:rPr>
                <w:rFonts w:ascii="Arial" w:hAnsi="Arial" w:cs="Arial"/>
                <w:color w:val="000000"/>
                <w:sz w:val="18"/>
                <w:szCs w:val="18"/>
                <w:lang w:val="es-ES_tradnl"/>
              </w:rPr>
              <w:t xml:space="preserve"> institucional</w:t>
            </w:r>
            <w:r w:rsidRPr="00074BA4">
              <w:rPr>
                <w:rFonts w:ascii="Arial" w:hAnsi="Arial" w:cs="Arial"/>
                <w:color w:val="000000"/>
                <w:sz w:val="18"/>
                <w:szCs w:val="18"/>
                <w:lang w:val="es-ES_tradnl"/>
              </w:rPr>
              <w:t xml:space="preserve"> de la CL </w:t>
            </w:r>
            <w:r w:rsidR="00A41B02" w:rsidRPr="00074BA4">
              <w:rPr>
                <w:rFonts w:ascii="Arial" w:hAnsi="Arial" w:cs="Arial"/>
                <w:color w:val="000000"/>
                <w:sz w:val="18"/>
                <w:szCs w:val="18"/>
                <w:lang w:val="es-ES_tradnl"/>
              </w:rPr>
              <w:t xml:space="preserve">consolidada </w:t>
            </w:r>
            <w:r w:rsidRPr="00074BA4">
              <w:rPr>
                <w:rFonts w:ascii="Arial" w:hAnsi="Arial" w:cs="Arial"/>
                <w:color w:val="000000"/>
                <w:sz w:val="18"/>
                <w:szCs w:val="18"/>
                <w:lang w:val="es-ES_tradnl"/>
              </w:rPr>
              <w:t xml:space="preserve">bajo la Secretaria </w:t>
            </w:r>
            <w:r w:rsidR="00A41B02" w:rsidRPr="00074BA4">
              <w:rPr>
                <w:rFonts w:ascii="Arial" w:hAnsi="Arial" w:cs="Arial"/>
                <w:color w:val="000000"/>
                <w:sz w:val="18"/>
                <w:szCs w:val="18"/>
                <w:lang w:val="es-ES_tradnl"/>
              </w:rPr>
              <w:t xml:space="preserve">     </w:t>
            </w:r>
            <w:r w:rsidRPr="00074BA4">
              <w:rPr>
                <w:rFonts w:ascii="Arial" w:hAnsi="Arial" w:cs="Arial"/>
                <w:color w:val="000000"/>
                <w:sz w:val="18"/>
                <w:szCs w:val="18"/>
                <w:lang w:val="es-ES_tradnl"/>
              </w:rPr>
              <w:t>de Competitividad y Logística</w:t>
            </w:r>
          </w:p>
        </w:tc>
        <w:tc>
          <w:tcPr>
            <w:tcW w:w="1016" w:type="dxa"/>
            <w:tcBorders>
              <w:bottom w:val="single" w:sz="4" w:space="0" w:color="000000"/>
            </w:tcBorders>
            <w:vAlign w:val="center"/>
          </w:tcPr>
          <w:p w14:paraId="4D977E04"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Nota técnica</w:t>
            </w:r>
          </w:p>
        </w:tc>
        <w:tc>
          <w:tcPr>
            <w:tcW w:w="801" w:type="dxa"/>
            <w:tcBorders>
              <w:bottom w:val="single" w:sz="4" w:space="0" w:color="000000"/>
            </w:tcBorders>
            <w:vAlign w:val="center"/>
          </w:tcPr>
          <w:p w14:paraId="47CA4595"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tcBorders>
              <w:bottom w:val="single" w:sz="4" w:space="0" w:color="000000"/>
              <w:right w:val="single" w:sz="4" w:space="0" w:color="auto"/>
            </w:tcBorders>
            <w:vAlign w:val="center"/>
          </w:tcPr>
          <w:p w14:paraId="35DC2EB6"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tcBorders>
              <w:top w:val="single" w:sz="4" w:space="0" w:color="auto"/>
              <w:left w:val="single" w:sz="4" w:space="0" w:color="auto"/>
              <w:bottom w:val="single" w:sz="4" w:space="0" w:color="auto"/>
              <w:right w:val="single" w:sz="4" w:space="0" w:color="auto"/>
            </w:tcBorders>
            <w:vAlign w:val="center"/>
          </w:tcPr>
          <w:p w14:paraId="5AF8BDD4" w14:textId="77777777" w:rsidR="005A4977" w:rsidRPr="00074BA4" w:rsidRDefault="0029565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 xml:space="preserve">Nota </w:t>
            </w:r>
            <w:r w:rsidRPr="00074BA4">
              <w:rPr>
                <w:rFonts w:ascii="Arial" w:hAnsi="Arial" w:cs="Arial"/>
                <w:spacing w:val="-2"/>
                <w:sz w:val="18"/>
                <w:szCs w:val="18"/>
                <w:lang w:val="es-AR"/>
              </w:rPr>
              <w:t>del Ministerio de la Presidencia reportando las acciones de consolidación de la estructura de la CL bajo la Secretaría de Competitividad y Logística de conformidad con lo dispuesto en la Estrategia Logística Nacional 2030</w:t>
            </w:r>
          </w:p>
        </w:tc>
        <w:tc>
          <w:tcPr>
            <w:tcW w:w="4227" w:type="dxa"/>
            <w:tcBorders>
              <w:top w:val="single" w:sz="4" w:space="0" w:color="auto"/>
              <w:left w:val="single" w:sz="4" w:space="0" w:color="auto"/>
              <w:bottom w:val="single" w:sz="4" w:space="0" w:color="auto"/>
              <w:right w:val="single" w:sz="4" w:space="0" w:color="auto"/>
            </w:tcBorders>
            <w:vAlign w:val="center"/>
          </w:tcPr>
          <w:p w14:paraId="13975352"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74781438" w14:textId="77777777" w:rsidTr="00C418D8">
        <w:trPr>
          <w:trHeight w:val="1331"/>
          <w:jc w:val="center"/>
        </w:trPr>
        <w:tc>
          <w:tcPr>
            <w:tcW w:w="2875" w:type="dxa"/>
            <w:tcBorders>
              <w:bottom w:val="single" w:sz="4" w:space="0" w:color="000000"/>
            </w:tcBorders>
            <w:vAlign w:val="center"/>
          </w:tcPr>
          <w:p w14:paraId="3322F018" w14:textId="244DB07B" w:rsidR="005A4977" w:rsidRPr="00074BA4" w:rsidRDefault="005A4977" w:rsidP="005A4977">
            <w:pPr>
              <w:spacing w:after="0" w:line="240" w:lineRule="auto"/>
              <w:ind w:hanging="18"/>
              <w:jc w:val="both"/>
              <w:rPr>
                <w:rFonts w:ascii="Arial" w:hAnsi="Arial" w:cs="Arial"/>
                <w:color w:val="000000"/>
                <w:sz w:val="18"/>
                <w:szCs w:val="18"/>
                <w:lang w:val="es-ES_tradnl"/>
              </w:rPr>
            </w:pPr>
            <w:r w:rsidRPr="00074BA4">
              <w:rPr>
                <w:rFonts w:ascii="Arial" w:hAnsi="Arial" w:cs="Arial"/>
                <w:spacing w:val="-2"/>
                <w:sz w:val="18"/>
                <w:szCs w:val="18"/>
                <w:lang w:val="es-ES_tradnl"/>
              </w:rPr>
              <w:t xml:space="preserve">2.9 Informe de Gestión de la CL con los productos y resultados vinculados al plan de trabajo del año </w:t>
            </w:r>
            <w:r w:rsidR="00A41B02" w:rsidRPr="00074BA4">
              <w:rPr>
                <w:rFonts w:ascii="Arial" w:hAnsi="Arial" w:cs="Arial"/>
                <w:spacing w:val="-2"/>
                <w:sz w:val="18"/>
                <w:szCs w:val="18"/>
                <w:lang w:val="es-ES_tradnl"/>
              </w:rPr>
              <w:t>precedente,</w:t>
            </w:r>
            <w:r w:rsidRPr="00074BA4">
              <w:rPr>
                <w:rFonts w:ascii="Arial" w:hAnsi="Arial" w:cs="Arial"/>
                <w:spacing w:val="-2"/>
                <w:sz w:val="18"/>
                <w:szCs w:val="18"/>
                <w:lang w:val="es-ES_tradnl"/>
              </w:rPr>
              <w:t xml:space="preserve"> así como directrices estratégicas para el próximo año</w:t>
            </w:r>
            <w:r w:rsidR="003D6919" w:rsidRPr="00074BA4">
              <w:rPr>
                <w:rFonts w:ascii="Arial" w:hAnsi="Arial" w:cs="Arial"/>
                <w:spacing w:val="-2"/>
                <w:sz w:val="18"/>
                <w:szCs w:val="18"/>
                <w:lang w:val="es-ES_tradnl"/>
              </w:rPr>
              <w:t>,</w:t>
            </w:r>
            <w:r w:rsidRPr="00074BA4">
              <w:rPr>
                <w:rFonts w:ascii="Arial" w:hAnsi="Arial" w:cs="Arial"/>
                <w:spacing w:val="-2"/>
                <w:sz w:val="18"/>
                <w:szCs w:val="18"/>
                <w:lang w:val="es-ES_tradnl"/>
              </w:rPr>
              <w:t xml:space="preserve"> aprobado por el GL</w:t>
            </w:r>
          </w:p>
        </w:tc>
        <w:tc>
          <w:tcPr>
            <w:tcW w:w="1016" w:type="dxa"/>
            <w:tcBorders>
              <w:bottom w:val="single" w:sz="4" w:space="0" w:color="000000"/>
            </w:tcBorders>
            <w:vAlign w:val="center"/>
          </w:tcPr>
          <w:p w14:paraId="5E61A9E6"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Minuta</w:t>
            </w:r>
          </w:p>
        </w:tc>
        <w:tc>
          <w:tcPr>
            <w:tcW w:w="801" w:type="dxa"/>
            <w:tcBorders>
              <w:bottom w:val="single" w:sz="4" w:space="0" w:color="000000"/>
            </w:tcBorders>
            <w:vAlign w:val="center"/>
          </w:tcPr>
          <w:p w14:paraId="63BFCCF2"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tcBorders>
              <w:bottom w:val="single" w:sz="4" w:space="0" w:color="000000"/>
            </w:tcBorders>
            <w:vAlign w:val="center"/>
          </w:tcPr>
          <w:p w14:paraId="50264B6F"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tcBorders>
              <w:bottom w:val="single" w:sz="4" w:space="0" w:color="auto"/>
              <w:right w:val="single" w:sz="4" w:space="0" w:color="auto"/>
            </w:tcBorders>
            <w:vAlign w:val="center"/>
          </w:tcPr>
          <w:p w14:paraId="6828D443" w14:textId="77777777" w:rsidR="005A4977" w:rsidRPr="00074BA4" w:rsidRDefault="00295657" w:rsidP="00AB6D09">
            <w:pPr>
              <w:suppressAutoHyphens/>
              <w:spacing w:before="60" w:after="60"/>
              <w:jc w:val="both"/>
              <w:rPr>
                <w:rFonts w:ascii="Arial" w:hAnsi="Arial" w:cs="Arial"/>
                <w:spacing w:val="-2"/>
                <w:sz w:val="18"/>
                <w:szCs w:val="18"/>
                <w:lang w:val="es-ES_tradnl"/>
              </w:rPr>
            </w:pPr>
            <w:r w:rsidRPr="00074BA4">
              <w:rPr>
                <w:rFonts w:ascii="Arial" w:hAnsi="Arial" w:cs="Arial"/>
                <w:spacing w:val="-2"/>
                <w:sz w:val="18"/>
                <w:szCs w:val="18"/>
                <w:lang w:val="es-ES_tradnl"/>
              </w:rPr>
              <w:t>Nota del Ministro de Presidencia aprobando el Informe de Gestión de la CL, el cual debe incluir productos y resultados vinculados al Plan de Trabajo correspondiente y directrices estratégicas.</w:t>
            </w:r>
          </w:p>
        </w:tc>
        <w:tc>
          <w:tcPr>
            <w:tcW w:w="4227" w:type="dxa"/>
            <w:tcBorders>
              <w:top w:val="single" w:sz="4" w:space="0" w:color="auto"/>
              <w:left w:val="single" w:sz="4" w:space="0" w:color="auto"/>
              <w:bottom w:val="single" w:sz="4" w:space="0" w:color="auto"/>
              <w:right w:val="single" w:sz="4" w:space="0" w:color="auto"/>
            </w:tcBorders>
            <w:vAlign w:val="center"/>
          </w:tcPr>
          <w:p w14:paraId="0164009C"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239CE237" w14:textId="77777777" w:rsidTr="00C418D8">
        <w:trPr>
          <w:trHeight w:val="431"/>
          <w:jc w:val="center"/>
        </w:trPr>
        <w:tc>
          <w:tcPr>
            <w:tcW w:w="14125" w:type="dxa"/>
            <w:gridSpan w:val="6"/>
            <w:tcBorders>
              <w:top w:val="single" w:sz="4" w:space="0" w:color="auto"/>
            </w:tcBorders>
            <w:shd w:val="clear" w:color="auto" w:fill="D9D9D9" w:themeFill="background1" w:themeFillShade="D9"/>
            <w:vAlign w:val="center"/>
          </w:tcPr>
          <w:p w14:paraId="3DACA759" w14:textId="77777777" w:rsidR="005A4977" w:rsidRPr="00074BA4"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b/>
                <w:sz w:val="18"/>
                <w:szCs w:val="18"/>
                <w:lang w:val="es-ES_tradnl"/>
              </w:rPr>
              <w:t>Componente III. Establecimiento y modernización de procesos de planificación integral y facilitación comercial</w:t>
            </w:r>
          </w:p>
        </w:tc>
      </w:tr>
      <w:tr w:rsidR="005A4977" w:rsidRPr="00074BA4" w14:paraId="35941B09" w14:textId="77777777" w:rsidTr="00C418D8">
        <w:trPr>
          <w:trHeight w:val="431"/>
          <w:jc w:val="center"/>
        </w:trPr>
        <w:tc>
          <w:tcPr>
            <w:tcW w:w="2875" w:type="dxa"/>
            <w:tcBorders>
              <w:top w:val="single" w:sz="4" w:space="0" w:color="000000"/>
            </w:tcBorders>
            <w:vAlign w:val="center"/>
          </w:tcPr>
          <w:p w14:paraId="549F2C80" w14:textId="77777777" w:rsidR="005A4977" w:rsidRPr="00074BA4"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 xml:space="preserve">3.1 PTLZI aprobado por el GL </w:t>
            </w:r>
          </w:p>
        </w:tc>
        <w:tc>
          <w:tcPr>
            <w:tcW w:w="1016" w:type="dxa"/>
            <w:tcBorders>
              <w:top w:val="single" w:sz="4" w:space="0" w:color="000000"/>
            </w:tcBorders>
            <w:vAlign w:val="center"/>
          </w:tcPr>
          <w:p w14:paraId="797B0024"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Minuta</w:t>
            </w:r>
          </w:p>
        </w:tc>
        <w:tc>
          <w:tcPr>
            <w:tcW w:w="801" w:type="dxa"/>
            <w:tcBorders>
              <w:top w:val="single" w:sz="4" w:space="0" w:color="000000"/>
            </w:tcBorders>
            <w:vAlign w:val="center"/>
          </w:tcPr>
          <w:p w14:paraId="7EC15684"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tcBorders>
              <w:top w:val="single" w:sz="4" w:space="0" w:color="000000"/>
            </w:tcBorders>
            <w:vAlign w:val="center"/>
          </w:tcPr>
          <w:p w14:paraId="5A210674"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tcBorders>
              <w:top w:val="single" w:sz="4" w:space="0" w:color="auto"/>
            </w:tcBorders>
            <w:vAlign w:val="center"/>
          </w:tcPr>
          <w:p w14:paraId="40017DC3" w14:textId="77777777" w:rsidR="00295657" w:rsidRPr="00074BA4" w:rsidRDefault="00295657" w:rsidP="00295657">
            <w:pPr>
              <w:pStyle w:val="ListParagraph"/>
              <w:suppressAutoHyphens/>
              <w:spacing w:before="60" w:after="60"/>
              <w:ind w:left="79"/>
              <w:jc w:val="both"/>
              <w:rPr>
                <w:rFonts w:ascii="Arial" w:hAnsi="Arial" w:cs="Arial"/>
                <w:spacing w:val="-2"/>
                <w:sz w:val="18"/>
                <w:szCs w:val="18"/>
              </w:rPr>
            </w:pPr>
            <w:r w:rsidRPr="00074BA4">
              <w:rPr>
                <w:rFonts w:ascii="Arial" w:hAnsi="Arial" w:cs="Arial"/>
                <w:spacing w:val="-2"/>
                <w:sz w:val="18"/>
                <w:szCs w:val="18"/>
              </w:rPr>
              <w:t>Minuta del GL aprobando el Plan de Transporte y Logística de la Zona Interoceánica (PTLZI).</w:t>
            </w:r>
          </w:p>
          <w:p w14:paraId="144271B7" w14:textId="77777777" w:rsidR="005A4977" w:rsidRPr="00074BA4" w:rsidRDefault="005A4977" w:rsidP="005A4977">
            <w:pPr>
              <w:spacing w:after="0" w:line="240" w:lineRule="auto"/>
              <w:ind w:hanging="18"/>
              <w:jc w:val="both"/>
              <w:rPr>
                <w:rFonts w:ascii="Arial" w:hAnsi="Arial" w:cs="Arial"/>
                <w:sz w:val="18"/>
                <w:szCs w:val="18"/>
                <w:lang w:val="es-CO"/>
              </w:rPr>
            </w:pPr>
          </w:p>
        </w:tc>
        <w:tc>
          <w:tcPr>
            <w:tcW w:w="4227" w:type="dxa"/>
            <w:tcBorders>
              <w:top w:val="single" w:sz="4" w:space="0" w:color="auto"/>
            </w:tcBorders>
            <w:vAlign w:val="center"/>
          </w:tcPr>
          <w:p w14:paraId="4DD59666" w14:textId="32C99249" w:rsidR="00D83034" w:rsidRPr="00074BA4" w:rsidRDefault="00D83034" w:rsidP="00D83034">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El PTLZI incluye los siguientes aspectos:</w:t>
            </w:r>
          </w:p>
          <w:p w14:paraId="15F7A505" w14:textId="77777777" w:rsidR="00D83034" w:rsidRPr="00074BA4" w:rsidRDefault="00D83034" w:rsidP="00D83034">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w:t>
            </w:r>
            <w:r w:rsidRPr="00074BA4">
              <w:rPr>
                <w:rFonts w:ascii="Arial" w:hAnsi="Arial" w:cs="Arial"/>
                <w:sz w:val="18"/>
                <w:szCs w:val="18"/>
                <w:lang w:val="es-ES_tradnl"/>
              </w:rPr>
              <w:tab/>
              <w:t xml:space="preserve">Tamaño de la futura demanda de valor agregado en la zona interoceánica; </w:t>
            </w:r>
          </w:p>
          <w:p w14:paraId="588272C1" w14:textId="77777777" w:rsidR="00D83034" w:rsidRPr="00074BA4" w:rsidRDefault="00D83034" w:rsidP="00D83034">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w:t>
            </w:r>
            <w:r w:rsidRPr="00074BA4">
              <w:rPr>
                <w:rFonts w:ascii="Arial" w:hAnsi="Arial" w:cs="Arial"/>
                <w:sz w:val="18"/>
                <w:szCs w:val="18"/>
                <w:lang w:val="es-ES_tradnl"/>
              </w:rPr>
              <w:tab/>
              <w:t>Suelos disponibles;</w:t>
            </w:r>
          </w:p>
          <w:p w14:paraId="1F7929F6" w14:textId="77777777" w:rsidR="00D83034" w:rsidRPr="00074BA4" w:rsidRDefault="00D83034" w:rsidP="00D83034">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w:t>
            </w:r>
            <w:r w:rsidRPr="00074BA4">
              <w:rPr>
                <w:rFonts w:ascii="Arial" w:hAnsi="Arial" w:cs="Arial"/>
                <w:sz w:val="18"/>
                <w:szCs w:val="18"/>
                <w:lang w:val="es-ES_tradnl"/>
              </w:rPr>
              <w:tab/>
              <w:t>Planes y proyectos de transporte e infraestructura logística relevantes;</w:t>
            </w:r>
          </w:p>
          <w:p w14:paraId="54114515" w14:textId="064B7FAA" w:rsidR="005A4977" w:rsidRPr="00074BA4" w:rsidRDefault="00D83034" w:rsidP="00D83034">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w:t>
            </w:r>
            <w:r w:rsidRPr="00074BA4">
              <w:rPr>
                <w:rFonts w:ascii="Arial" w:hAnsi="Arial" w:cs="Arial"/>
                <w:sz w:val="18"/>
                <w:szCs w:val="18"/>
                <w:lang w:val="es-ES_tradnl"/>
              </w:rPr>
              <w:tab/>
              <w:t>Requerimientos de inversión;</w:t>
            </w:r>
          </w:p>
        </w:tc>
      </w:tr>
      <w:tr w:rsidR="005A4977" w:rsidRPr="00DF1F8D" w14:paraId="3BCCCD68" w14:textId="77777777" w:rsidTr="00C418D8">
        <w:trPr>
          <w:trHeight w:val="64"/>
          <w:jc w:val="center"/>
        </w:trPr>
        <w:tc>
          <w:tcPr>
            <w:tcW w:w="2875" w:type="dxa"/>
            <w:tcBorders>
              <w:top w:val="single" w:sz="4" w:space="0" w:color="000000"/>
            </w:tcBorders>
            <w:vAlign w:val="center"/>
          </w:tcPr>
          <w:p w14:paraId="0DDDEB09" w14:textId="6B4B3367" w:rsidR="005A4977" w:rsidRPr="00074BA4" w:rsidDel="00EB0367"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3.2 Reglamento de evaluación estratégica Ambiental para los planes de Infraestructura (PTLZI, PMTL, entre otros) aprobado</w:t>
            </w:r>
          </w:p>
        </w:tc>
        <w:tc>
          <w:tcPr>
            <w:tcW w:w="1016" w:type="dxa"/>
            <w:tcBorders>
              <w:top w:val="single" w:sz="4" w:space="0" w:color="000000"/>
            </w:tcBorders>
            <w:vAlign w:val="center"/>
          </w:tcPr>
          <w:p w14:paraId="158E65AE"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Resolución ministerial</w:t>
            </w:r>
          </w:p>
        </w:tc>
        <w:tc>
          <w:tcPr>
            <w:tcW w:w="801" w:type="dxa"/>
            <w:tcBorders>
              <w:top w:val="single" w:sz="4" w:space="0" w:color="000000"/>
            </w:tcBorders>
            <w:vAlign w:val="center"/>
          </w:tcPr>
          <w:p w14:paraId="12DF7A89"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tcBorders>
              <w:top w:val="single" w:sz="4" w:space="0" w:color="000000"/>
            </w:tcBorders>
            <w:vAlign w:val="center"/>
          </w:tcPr>
          <w:p w14:paraId="226CA7B2"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tcBorders>
              <w:top w:val="single" w:sz="4" w:space="0" w:color="auto"/>
            </w:tcBorders>
            <w:vAlign w:val="center"/>
          </w:tcPr>
          <w:p w14:paraId="3D6A2DE8" w14:textId="77777777" w:rsidR="005A4977" w:rsidRPr="00074BA4" w:rsidRDefault="0029565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Resolución del Ministerio de Ambiente aprobando el Reglamento que define los Lineamientos Estratégicos para la evaluación ambiental de los Planes de Infraestructura</w:t>
            </w:r>
            <w:r w:rsidR="005A4977" w:rsidRPr="00074BA4">
              <w:rPr>
                <w:rFonts w:ascii="Arial" w:hAnsi="Arial" w:cs="Arial"/>
                <w:spacing w:val="-2"/>
                <w:sz w:val="18"/>
                <w:szCs w:val="18"/>
                <w:lang w:val="es-ES_tradnl"/>
              </w:rPr>
              <w:t xml:space="preserve">. </w:t>
            </w:r>
          </w:p>
        </w:tc>
        <w:tc>
          <w:tcPr>
            <w:tcW w:w="4227" w:type="dxa"/>
            <w:tcBorders>
              <w:top w:val="single" w:sz="4" w:space="0" w:color="auto"/>
            </w:tcBorders>
            <w:vAlign w:val="center"/>
          </w:tcPr>
          <w:p w14:paraId="2D6FF9BF"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31FD5FE7" w14:textId="77777777" w:rsidTr="00C418D8">
        <w:trPr>
          <w:trHeight w:val="998"/>
          <w:jc w:val="center"/>
        </w:trPr>
        <w:tc>
          <w:tcPr>
            <w:tcW w:w="2875" w:type="dxa"/>
            <w:tcBorders>
              <w:top w:val="single" w:sz="4" w:space="0" w:color="000000"/>
            </w:tcBorders>
            <w:vAlign w:val="center"/>
          </w:tcPr>
          <w:p w14:paraId="3AF0F163" w14:textId="461901E0" w:rsidR="005A4977" w:rsidRPr="00DF1F8D" w:rsidRDefault="005A4977" w:rsidP="005A4977">
            <w:pPr>
              <w:keepNext/>
              <w:keepLines/>
              <w:spacing w:before="60" w:after="60"/>
              <w:jc w:val="both"/>
              <w:rPr>
                <w:rFonts w:ascii="Arial" w:hAnsi="Arial" w:cs="Arial"/>
                <w:smallCaps/>
                <w:spacing w:val="-2"/>
                <w:sz w:val="18"/>
                <w:szCs w:val="18"/>
                <w:lang w:val="es-ES_tradnl"/>
              </w:rPr>
            </w:pPr>
            <w:r w:rsidRPr="00DF1F8D">
              <w:rPr>
                <w:rFonts w:ascii="Arial" w:hAnsi="Arial" w:cs="Arial"/>
                <w:spacing w:val="-2"/>
                <w:sz w:val="18"/>
                <w:szCs w:val="18"/>
                <w:lang w:val="es-ES_tradnl"/>
              </w:rPr>
              <w:lastRenderedPageBreak/>
              <w:t>3.3 PMTL</w:t>
            </w:r>
            <w:r w:rsidR="00295657" w:rsidRPr="00DF1F8D">
              <w:rPr>
                <w:rFonts w:ascii="Arial" w:hAnsi="Arial" w:cs="Arial"/>
                <w:spacing w:val="-2"/>
                <w:sz w:val="18"/>
                <w:szCs w:val="18"/>
                <w:lang w:val="es-ES_tradnl"/>
              </w:rPr>
              <w:t xml:space="preserve"> aprobado</w:t>
            </w:r>
            <w:r w:rsidRPr="00DF1F8D">
              <w:rPr>
                <w:rFonts w:ascii="Arial" w:hAnsi="Arial" w:cs="Arial"/>
                <w:spacing w:val="-2"/>
                <w:sz w:val="18"/>
                <w:szCs w:val="18"/>
                <w:lang w:val="es-ES_tradnl"/>
              </w:rPr>
              <w:t xml:space="preserve"> por</w:t>
            </w:r>
            <w:r w:rsidR="00295657" w:rsidRPr="00DF1F8D">
              <w:rPr>
                <w:rFonts w:ascii="Arial" w:hAnsi="Arial" w:cs="Arial"/>
                <w:spacing w:val="-2"/>
                <w:sz w:val="18"/>
                <w:szCs w:val="18"/>
                <w:lang w:val="es-ES_tradnl"/>
              </w:rPr>
              <w:t xml:space="preserve"> </w:t>
            </w:r>
            <w:r w:rsidRPr="00DF1F8D">
              <w:rPr>
                <w:rFonts w:ascii="Arial" w:hAnsi="Arial" w:cs="Arial"/>
                <w:spacing w:val="-2"/>
                <w:sz w:val="18"/>
                <w:szCs w:val="18"/>
                <w:lang w:val="es-ES_tradnl"/>
              </w:rPr>
              <w:t xml:space="preserve">el GL </w:t>
            </w:r>
          </w:p>
          <w:p w14:paraId="48693E4D" w14:textId="77777777" w:rsidR="005A4977" w:rsidRPr="00DF1F8D" w:rsidRDefault="005A4977" w:rsidP="005A4977">
            <w:pPr>
              <w:spacing w:after="0" w:line="240" w:lineRule="auto"/>
              <w:ind w:hanging="18"/>
              <w:jc w:val="both"/>
              <w:rPr>
                <w:rFonts w:ascii="Arial" w:hAnsi="Arial" w:cs="Arial"/>
                <w:sz w:val="18"/>
                <w:szCs w:val="18"/>
                <w:lang w:val="es-ES_tradnl"/>
              </w:rPr>
            </w:pPr>
          </w:p>
        </w:tc>
        <w:tc>
          <w:tcPr>
            <w:tcW w:w="1016" w:type="dxa"/>
            <w:tcBorders>
              <w:top w:val="single" w:sz="4" w:space="0" w:color="000000"/>
            </w:tcBorders>
            <w:vAlign w:val="center"/>
          </w:tcPr>
          <w:p w14:paraId="0887F9ED" w14:textId="77777777" w:rsidR="005A4977" w:rsidRPr="00DF1F8D" w:rsidRDefault="005A4977" w:rsidP="005A4977">
            <w:pPr>
              <w:spacing w:after="0" w:line="240" w:lineRule="auto"/>
              <w:ind w:hanging="18"/>
              <w:jc w:val="center"/>
              <w:rPr>
                <w:rFonts w:ascii="Arial" w:hAnsi="Arial" w:cs="Arial"/>
                <w:sz w:val="18"/>
                <w:szCs w:val="18"/>
                <w:lang w:val="es-ES_tradnl"/>
              </w:rPr>
            </w:pPr>
            <w:r w:rsidRPr="00DF1F8D">
              <w:rPr>
                <w:rFonts w:ascii="Arial" w:hAnsi="Arial" w:cs="Arial"/>
                <w:sz w:val="18"/>
                <w:szCs w:val="18"/>
                <w:lang w:val="es-ES_tradnl"/>
              </w:rPr>
              <w:t>Plan</w:t>
            </w:r>
          </w:p>
        </w:tc>
        <w:tc>
          <w:tcPr>
            <w:tcW w:w="801" w:type="dxa"/>
            <w:tcBorders>
              <w:top w:val="single" w:sz="4" w:space="0" w:color="000000"/>
            </w:tcBorders>
            <w:vAlign w:val="center"/>
          </w:tcPr>
          <w:p w14:paraId="638BA66D" w14:textId="77777777" w:rsidR="005A4977" w:rsidRPr="00DF1F8D" w:rsidRDefault="005A4977" w:rsidP="005A4977">
            <w:pPr>
              <w:spacing w:after="0" w:line="240" w:lineRule="auto"/>
              <w:ind w:hanging="18"/>
              <w:jc w:val="center"/>
              <w:rPr>
                <w:rFonts w:ascii="Arial" w:hAnsi="Arial" w:cs="Arial"/>
                <w:sz w:val="18"/>
                <w:szCs w:val="18"/>
                <w:lang w:val="es-ES_tradnl"/>
              </w:rPr>
            </w:pPr>
            <w:r w:rsidRPr="00DF1F8D">
              <w:rPr>
                <w:rFonts w:ascii="Arial" w:hAnsi="Arial" w:cs="Arial"/>
                <w:sz w:val="18"/>
                <w:szCs w:val="18"/>
                <w:lang w:val="es-ES_tradnl"/>
              </w:rPr>
              <w:t>0</w:t>
            </w:r>
          </w:p>
        </w:tc>
        <w:tc>
          <w:tcPr>
            <w:tcW w:w="748" w:type="dxa"/>
            <w:tcBorders>
              <w:top w:val="single" w:sz="4" w:space="0" w:color="000000"/>
            </w:tcBorders>
            <w:vAlign w:val="center"/>
          </w:tcPr>
          <w:p w14:paraId="7F7C9FAD" w14:textId="77777777" w:rsidR="005A4977" w:rsidRPr="00DF1F8D" w:rsidRDefault="005A4977" w:rsidP="005A4977">
            <w:pPr>
              <w:spacing w:after="0" w:line="240" w:lineRule="auto"/>
              <w:ind w:hanging="18"/>
              <w:jc w:val="center"/>
              <w:rPr>
                <w:rFonts w:ascii="Arial" w:hAnsi="Arial" w:cs="Arial"/>
                <w:sz w:val="18"/>
                <w:szCs w:val="18"/>
                <w:lang w:val="es-ES_tradnl"/>
              </w:rPr>
            </w:pPr>
            <w:r w:rsidRPr="00DF1F8D">
              <w:rPr>
                <w:rFonts w:ascii="Arial" w:hAnsi="Arial" w:cs="Arial"/>
                <w:sz w:val="18"/>
                <w:szCs w:val="18"/>
                <w:lang w:val="es-ES_tradnl"/>
              </w:rPr>
              <w:t>1</w:t>
            </w:r>
          </w:p>
        </w:tc>
        <w:tc>
          <w:tcPr>
            <w:tcW w:w="4458" w:type="dxa"/>
            <w:tcBorders>
              <w:top w:val="single" w:sz="4" w:space="0" w:color="auto"/>
            </w:tcBorders>
            <w:vAlign w:val="center"/>
          </w:tcPr>
          <w:p w14:paraId="6B06A841" w14:textId="77777777" w:rsidR="00295657" w:rsidRPr="00074BA4" w:rsidRDefault="00295657" w:rsidP="00295657">
            <w:pPr>
              <w:keepNext/>
              <w:keepLines/>
              <w:spacing w:before="60" w:after="60"/>
              <w:ind w:left="1" w:hanging="1"/>
              <w:rPr>
                <w:rFonts w:ascii="Arial" w:hAnsi="Arial" w:cs="Arial"/>
                <w:color w:val="000000"/>
                <w:sz w:val="18"/>
                <w:szCs w:val="18"/>
                <w:lang w:val="es-ES_tradnl"/>
              </w:rPr>
            </w:pPr>
            <w:r w:rsidRPr="00074BA4">
              <w:rPr>
                <w:rFonts w:ascii="Arial" w:hAnsi="Arial" w:cs="Arial"/>
                <w:color w:val="000000"/>
                <w:sz w:val="18"/>
                <w:szCs w:val="18"/>
                <w:lang w:val="es-ES_tradnl"/>
              </w:rPr>
              <w:t xml:space="preserve">Nota de la CL al </w:t>
            </w:r>
            <w:proofErr w:type="gramStart"/>
            <w:r w:rsidRPr="00074BA4">
              <w:rPr>
                <w:rFonts w:ascii="Arial" w:hAnsi="Arial" w:cs="Arial"/>
                <w:color w:val="000000"/>
                <w:sz w:val="18"/>
                <w:szCs w:val="18"/>
                <w:lang w:val="es-ES_tradnl"/>
              </w:rPr>
              <w:t>Ministro</w:t>
            </w:r>
            <w:proofErr w:type="gramEnd"/>
            <w:r w:rsidRPr="00074BA4">
              <w:rPr>
                <w:rFonts w:ascii="Arial" w:hAnsi="Arial" w:cs="Arial"/>
                <w:color w:val="000000"/>
                <w:sz w:val="18"/>
                <w:szCs w:val="18"/>
                <w:lang w:val="es-ES_tradnl"/>
              </w:rPr>
              <w:t xml:space="preserve"> de la Presidencia ratificando que los planes individuales del sector logístico y de transporte forman parte de una estrategia integral del sistema multimodal de planificación.  </w:t>
            </w:r>
          </w:p>
          <w:p w14:paraId="1C293B66" w14:textId="77777777" w:rsidR="005A4977" w:rsidRPr="00074BA4" w:rsidRDefault="005A4977" w:rsidP="006F20D9">
            <w:pPr>
              <w:keepNext/>
              <w:keepLines/>
              <w:spacing w:before="60" w:after="60"/>
              <w:ind w:left="1" w:hanging="1"/>
              <w:rPr>
                <w:rFonts w:ascii="Arial" w:hAnsi="Arial" w:cs="Arial"/>
                <w:sz w:val="18"/>
                <w:szCs w:val="18"/>
                <w:lang w:val="es-ES_tradnl"/>
              </w:rPr>
            </w:pPr>
          </w:p>
        </w:tc>
        <w:tc>
          <w:tcPr>
            <w:tcW w:w="4227" w:type="dxa"/>
            <w:tcBorders>
              <w:top w:val="single" w:sz="4" w:space="0" w:color="auto"/>
            </w:tcBorders>
            <w:vAlign w:val="center"/>
          </w:tcPr>
          <w:p w14:paraId="4C0D1C5D" w14:textId="77777777" w:rsidR="00EF46DE" w:rsidRPr="00074BA4" w:rsidRDefault="00EF46DE" w:rsidP="00EF46DE">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El PMTL debe incluir:</w:t>
            </w:r>
          </w:p>
          <w:p w14:paraId="2E060BE1" w14:textId="2B947618" w:rsidR="00EF46DE" w:rsidRPr="00074BA4" w:rsidRDefault="00EF46DE" w:rsidP="00EF46DE">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•Identificación de necesidades de infraestructura y servicios de los principales segmentos logísticos, y los flujos nacionales e internacionales derivados;</w:t>
            </w:r>
          </w:p>
          <w:p w14:paraId="39028663" w14:textId="45A76B48" w:rsidR="00EF46DE" w:rsidRPr="00074BA4" w:rsidRDefault="00EF46DE" w:rsidP="00EF46DE">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•Integración de las iniciativas existentes en materia de infraestructura y servicios;</w:t>
            </w:r>
          </w:p>
          <w:p w14:paraId="30EA6107" w14:textId="42CB7369" w:rsidR="00EF46DE" w:rsidRPr="00074BA4" w:rsidRDefault="00EF46DE" w:rsidP="00EF46DE">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 xml:space="preserve">•Propuesta de los proyectos de transporte e infraestructura logística relevantes; y </w:t>
            </w:r>
          </w:p>
          <w:p w14:paraId="74D8889A" w14:textId="12175D36" w:rsidR="005A4977" w:rsidRPr="00074BA4" w:rsidRDefault="00EF46DE" w:rsidP="00EF46DE">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•Priorización de las inversiones, y propuesta de modelos de gestión para la inversión privada en dicha infraestructura</w:t>
            </w:r>
          </w:p>
        </w:tc>
      </w:tr>
      <w:tr w:rsidR="003D6919" w:rsidRPr="00DF1F8D" w14:paraId="40223E51" w14:textId="77777777" w:rsidTr="00C418D8">
        <w:trPr>
          <w:trHeight w:val="998"/>
          <w:jc w:val="center"/>
        </w:trPr>
        <w:tc>
          <w:tcPr>
            <w:tcW w:w="2875" w:type="dxa"/>
            <w:tcBorders>
              <w:top w:val="single" w:sz="4" w:space="0" w:color="000000"/>
            </w:tcBorders>
            <w:vAlign w:val="center"/>
          </w:tcPr>
          <w:p w14:paraId="2707F500" w14:textId="4869C165" w:rsidR="003D6919" w:rsidRPr="00DF1F8D" w:rsidRDefault="005016CB" w:rsidP="005A4977">
            <w:pPr>
              <w:keepNext/>
              <w:keepLines/>
              <w:spacing w:before="60" w:after="60"/>
              <w:jc w:val="both"/>
              <w:rPr>
                <w:rFonts w:ascii="Arial" w:hAnsi="Arial" w:cs="Arial"/>
                <w:spacing w:val="-2"/>
                <w:sz w:val="18"/>
                <w:szCs w:val="18"/>
                <w:lang w:val="es-ES_tradnl"/>
              </w:rPr>
            </w:pPr>
            <w:r w:rsidRPr="00DF1F8D">
              <w:rPr>
                <w:rFonts w:ascii="Arial" w:hAnsi="Arial" w:cs="Arial"/>
                <w:spacing w:val="-2"/>
                <w:sz w:val="18"/>
                <w:szCs w:val="18"/>
                <w:lang w:val="es-ES_tradnl"/>
              </w:rPr>
              <w:t xml:space="preserve">3.4 </w:t>
            </w:r>
            <w:r w:rsidR="003D6919" w:rsidRPr="00DF1F8D">
              <w:rPr>
                <w:rFonts w:ascii="Arial" w:hAnsi="Arial" w:cs="Arial"/>
                <w:spacing w:val="-2"/>
                <w:sz w:val="18"/>
                <w:szCs w:val="18"/>
                <w:lang w:val="es-ES_tradnl"/>
              </w:rPr>
              <w:t>Estrategia Logísti</w:t>
            </w:r>
            <w:r w:rsidR="00DF1F8D" w:rsidRPr="00DF1F8D">
              <w:rPr>
                <w:rFonts w:ascii="Arial" w:hAnsi="Arial" w:cs="Arial"/>
                <w:spacing w:val="-2"/>
                <w:sz w:val="18"/>
                <w:szCs w:val="18"/>
                <w:lang w:val="es-ES_tradnl"/>
              </w:rPr>
              <w:t>c</w:t>
            </w:r>
            <w:r w:rsidR="003D6919" w:rsidRPr="00DF1F8D">
              <w:rPr>
                <w:rFonts w:ascii="Arial" w:hAnsi="Arial" w:cs="Arial"/>
                <w:spacing w:val="-2"/>
                <w:sz w:val="18"/>
                <w:szCs w:val="18"/>
                <w:lang w:val="es-ES_tradnl"/>
              </w:rPr>
              <w:t>a Nacional 2030</w:t>
            </w:r>
            <w:r w:rsidR="00F92E65">
              <w:rPr>
                <w:rFonts w:ascii="Arial" w:hAnsi="Arial" w:cs="Arial"/>
                <w:spacing w:val="-2"/>
                <w:sz w:val="18"/>
                <w:szCs w:val="18"/>
                <w:lang w:val="es-ES_tradnl"/>
              </w:rPr>
              <w:t xml:space="preserve">, </w:t>
            </w:r>
            <w:r w:rsidR="00F92E65">
              <w:rPr>
                <w:rFonts w:ascii="Arial" w:hAnsi="Arial" w:cs="Arial"/>
                <w:color w:val="000000" w:themeColor="text1"/>
                <w:sz w:val="18"/>
                <w:szCs w:val="18"/>
                <w:lang w:val="es-ES"/>
              </w:rPr>
              <w:t>que integre los principios del PMTL propuestos en el Sistema de Planificación de Transporte y Logística,</w:t>
            </w:r>
            <w:r w:rsidR="003D6919" w:rsidRPr="00DF1F8D">
              <w:rPr>
                <w:rFonts w:ascii="Arial" w:hAnsi="Arial" w:cs="Arial"/>
                <w:spacing w:val="-2"/>
                <w:sz w:val="18"/>
                <w:szCs w:val="18"/>
                <w:lang w:val="es-ES_tradnl"/>
              </w:rPr>
              <w:t xml:space="preserve"> aprobada mediante Decreto del Poder Ejecutivo Nacional</w:t>
            </w:r>
          </w:p>
        </w:tc>
        <w:tc>
          <w:tcPr>
            <w:tcW w:w="1016" w:type="dxa"/>
            <w:tcBorders>
              <w:top w:val="single" w:sz="4" w:space="0" w:color="000000"/>
            </w:tcBorders>
            <w:vAlign w:val="center"/>
          </w:tcPr>
          <w:p w14:paraId="774EC901" w14:textId="640556A3" w:rsidR="003D6919" w:rsidRPr="00DF1F8D" w:rsidRDefault="003D6919" w:rsidP="005A4977">
            <w:pPr>
              <w:spacing w:after="0" w:line="240" w:lineRule="auto"/>
              <w:ind w:hanging="18"/>
              <w:jc w:val="center"/>
              <w:rPr>
                <w:rFonts w:ascii="Arial" w:hAnsi="Arial" w:cs="Arial"/>
                <w:sz w:val="18"/>
                <w:szCs w:val="18"/>
                <w:lang w:val="es-ES_tradnl"/>
              </w:rPr>
            </w:pPr>
            <w:r w:rsidRPr="00DF1F8D">
              <w:rPr>
                <w:rFonts w:ascii="Arial" w:hAnsi="Arial" w:cs="Arial"/>
                <w:sz w:val="18"/>
                <w:szCs w:val="18"/>
                <w:lang w:val="es-ES_tradnl"/>
              </w:rPr>
              <w:t>Decreto</w:t>
            </w:r>
          </w:p>
        </w:tc>
        <w:tc>
          <w:tcPr>
            <w:tcW w:w="801" w:type="dxa"/>
            <w:tcBorders>
              <w:top w:val="single" w:sz="4" w:space="0" w:color="000000"/>
            </w:tcBorders>
            <w:vAlign w:val="center"/>
          </w:tcPr>
          <w:p w14:paraId="24821A8F" w14:textId="3E143C8E" w:rsidR="003D6919" w:rsidRPr="00DF1F8D" w:rsidRDefault="003D6919" w:rsidP="005A4977">
            <w:pPr>
              <w:spacing w:after="0" w:line="240" w:lineRule="auto"/>
              <w:ind w:hanging="18"/>
              <w:jc w:val="center"/>
              <w:rPr>
                <w:rFonts w:ascii="Arial" w:hAnsi="Arial" w:cs="Arial"/>
                <w:sz w:val="18"/>
                <w:szCs w:val="18"/>
                <w:lang w:val="es-ES_tradnl"/>
              </w:rPr>
            </w:pPr>
            <w:r w:rsidRPr="00DF1F8D">
              <w:rPr>
                <w:rFonts w:ascii="Arial" w:hAnsi="Arial" w:cs="Arial"/>
                <w:sz w:val="18"/>
                <w:szCs w:val="18"/>
                <w:lang w:val="es-ES_tradnl"/>
              </w:rPr>
              <w:t>0</w:t>
            </w:r>
          </w:p>
        </w:tc>
        <w:tc>
          <w:tcPr>
            <w:tcW w:w="748" w:type="dxa"/>
            <w:tcBorders>
              <w:top w:val="single" w:sz="4" w:space="0" w:color="000000"/>
            </w:tcBorders>
            <w:vAlign w:val="center"/>
          </w:tcPr>
          <w:p w14:paraId="2E41A8B5" w14:textId="2963E6AF" w:rsidR="003D6919" w:rsidRPr="00DF1F8D" w:rsidRDefault="003D6919" w:rsidP="005A4977">
            <w:pPr>
              <w:spacing w:after="0" w:line="240" w:lineRule="auto"/>
              <w:ind w:hanging="18"/>
              <w:jc w:val="center"/>
              <w:rPr>
                <w:rFonts w:ascii="Arial" w:hAnsi="Arial" w:cs="Arial"/>
                <w:sz w:val="18"/>
                <w:szCs w:val="18"/>
                <w:lang w:val="es-ES_tradnl"/>
              </w:rPr>
            </w:pPr>
            <w:r w:rsidRPr="00DF1F8D">
              <w:rPr>
                <w:rFonts w:ascii="Arial" w:hAnsi="Arial" w:cs="Arial"/>
                <w:sz w:val="18"/>
                <w:szCs w:val="18"/>
                <w:lang w:val="es-ES_tradnl"/>
              </w:rPr>
              <w:t>1</w:t>
            </w:r>
          </w:p>
        </w:tc>
        <w:tc>
          <w:tcPr>
            <w:tcW w:w="4458" w:type="dxa"/>
            <w:tcBorders>
              <w:top w:val="single" w:sz="4" w:space="0" w:color="auto"/>
            </w:tcBorders>
            <w:vAlign w:val="center"/>
          </w:tcPr>
          <w:p w14:paraId="27F1E98B" w14:textId="1C2D236C" w:rsidR="003D6919" w:rsidRPr="00074BA4" w:rsidRDefault="00DF1F8D" w:rsidP="00295657">
            <w:pPr>
              <w:keepNext/>
              <w:keepLines/>
              <w:spacing w:before="60" w:after="60"/>
              <w:ind w:left="1" w:hanging="1"/>
              <w:rPr>
                <w:rFonts w:ascii="Arial" w:hAnsi="Arial" w:cs="Arial"/>
                <w:color w:val="000000"/>
                <w:sz w:val="18"/>
                <w:szCs w:val="18"/>
                <w:lang w:val="es-ES_tradnl"/>
              </w:rPr>
            </w:pPr>
            <w:r w:rsidRPr="7FBDDA1D">
              <w:rPr>
                <w:rFonts w:ascii="Arial" w:hAnsi="Arial" w:cs="Arial"/>
                <w:color w:val="000000" w:themeColor="text1"/>
                <w:sz w:val="18"/>
                <w:szCs w:val="18"/>
                <w:lang w:val="es-ES"/>
              </w:rPr>
              <w:t>Decreto del Poder Ejecutivo Nacional aprobando la EN</w:t>
            </w:r>
            <w:r>
              <w:rPr>
                <w:rFonts w:ascii="Arial" w:hAnsi="Arial" w:cs="Arial"/>
                <w:color w:val="000000" w:themeColor="text1"/>
                <w:sz w:val="18"/>
                <w:szCs w:val="18"/>
                <w:lang w:val="es-ES"/>
              </w:rPr>
              <w:t>L que integre los principios del PMTL propuestos en el Sistema de Planificación de Transporte y Logística, conforme fueran definidos en el segundo programa de reformas.</w:t>
            </w:r>
          </w:p>
        </w:tc>
        <w:tc>
          <w:tcPr>
            <w:tcW w:w="4227" w:type="dxa"/>
            <w:tcBorders>
              <w:top w:val="single" w:sz="4" w:space="0" w:color="auto"/>
            </w:tcBorders>
            <w:vAlign w:val="center"/>
          </w:tcPr>
          <w:p w14:paraId="06993F68" w14:textId="77777777" w:rsidR="003D6919" w:rsidRPr="00074BA4" w:rsidRDefault="003D6919" w:rsidP="005A4977">
            <w:pPr>
              <w:spacing w:after="0" w:line="240" w:lineRule="auto"/>
              <w:ind w:hanging="18"/>
              <w:jc w:val="both"/>
              <w:rPr>
                <w:rFonts w:ascii="Arial" w:hAnsi="Arial" w:cs="Arial"/>
                <w:sz w:val="18"/>
                <w:szCs w:val="18"/>
                <w:lang w:val="es-ES_tradnl"/>
              </w:rPr>
            </w:pPr>
          </w:p>
        </w:tc>
      </w:tr>
      <w:tr w:rsidR="005A4977" w:rsidRPr="00DF1F8D" w14:paraId="421EEED2" w14:textId="77777777" w:rsidTr="00C418D8">
        <w:trPr>
          <w:trHeight w:val="998"/>
          <w:jc w:val="center"/>
        </w:trPr>
        <w:tc>
          <w:tcPr>
            <w:tcW w:w="2875" w:type="dxa"/>
            <w:tcBorders>
              <w:top w:val="single" w:sz="4" w:space="0" w:color="000000"/>
            </w:tcBorders>
            <w:vAlign w:val="center"/>
          </w:tcPr>
          <w:p w14:paraId="6054E061" w14:textId="5B99C298" w:rsidR="005A4977" w:rsidRPr="00DF1F8D" w:rsidRDefault="005A4977" w:rsidP="005A4977">
            <w:pPr>
              <w:spacing w:after="0" w:line="240" w:lineRule="auto"/>
              <w:ind w:left="-18"/>
              <w:jc w:val="both"/>
              <w:rPr>
                <w:rFonts w:ascii="Arial" w:hAnsi="Arial" w:cs="Arial"/>
                <w:sz w:val="18"/>
                <w:szCs w:val="18"/>
                <w:lang w:val="es-ES_tradnl"/>
              </w:rPr>
            </w:pPr>
            <w:r w:rsidRPr="00DF1F8D">
              <w:rPr>
                <w:rFonts w:ascii="Arial" w:hAnsi="Arial" w:cs="Arial"/>
                <w:spacing w:val="-2"/>
                <w:sz w:val="18"/>
                <w:szCs w:val="18"/>
                <w:lang w:val="es-ES_tradnl"/>
              </w:rPr>
              <w:t>3.</w:t>
            </w:r>
            <w:r w:rsidR="005016CB" w:rsidRPr="00DF1F8D">
              <w:rPr>
                <w:rFonts w:ascii="Arial" w:hAnsi="Arial" w:cs="Arial"/>
                <w:spacing w:val="-2"/>
                <w:sz w:val="18"/>
                <w:szCs w:val="18"/>
                <w:lang w:val="es-ES_tradnl"/>
              </w:rPr>
              <w:t>5</w:t>
            </w:r>
            <w:r w:rsidRPr="00DF1F8D">
              <w:rPr>
                <w:rFonts w:ascii="Arial" w:hAnsi="Arial" w:cs="Arial"/>
                <w:spacing w:val="-2"/>
                <w:sz w:val="18"/>
                <w:szCs w:val="18"/>
                <w:lang w:val="es-ES_tradnl"/>
              </w:rPr>
              <w:t xml:space="preserve"> Nota técnica del MIVIOT </w:t>
            </w:r>
            <w:r w:rsidR="003D6919" w:rsidRPr="00DF1F8D">
              <w:rPr>
                <w:rFonts w:ascii="Arial" w:hAnsi="Arial" w:cs="Arial"/>
                <w:spacing w:val="-2"/>
                <w:sz w:val="18"/>
                <w:szCs w:val="18"/>
                <w:lang w:val="es-ES_tradnl"/>
              </w:rPr>
              <w:t>con la descripción de</w:t>
            </w:r>
            <w:r w:rsidRPr="00DF1F8D">
              <w:rPr>
                <w:rFonts w:ascii="Arial" w:hAnsi="Arial" w:cs="Arial"/>
                <w:spacing w:val="-2"/>
                <w:sz w:val="18"/>
                <w:szCs w:val="18"/>
                <w:lang w:val="es-ES_tradnl"/>
              </w:rPr>
              <w:t xml:space="preserve">l proceso para </w:t>
            </w:r>
            <w:r w:rsidRPr="00DF1F8D">
              <w:rPr>
                <w:rFonts w:ascii="Arial" w:hAnsi="Arial" w:cs="Arial"/>
                <w:color w:val="000000"/>
                <w:spacing w:val="-4"/>
                <w:sz w:val="18"/>
                <w:szCs w:val="18"/>
                <w:lang w:val="es-ES_tradnl"/>
              </w:rPr>
              <w:t>alcanzar consensos en materia de Integración, Ordenamiento y Desarrollo Territorial elaborad</w:t>
            </w:r>
            <w:r w:rsidR="00295657" w:rsidRPr="00DF1F8D">
              <w:rPr>
                <w:rFonts w:ascii="Arial" w:hAnsi="Arial" w:cs="Arial"/>
                <w:color w:val="000000"/>
                <w:spacing w:val="-4"/>
                <w:sz w:val="18"/>
                <w:szCs w:val="18"/>
                <w:lang w:val="es-ES_tradnl"/>
              </w:rPr>
              <w:t>a</w:t>
            </w:r>
          </w:p>
        </w:tc>
        <w:tc>
          <w:tcPr>
            <w:tcW w:w="1016" w:type="dxa"/>
            <w:tcBorders>
              <w:top w:val="single" w:sz="4" w:space="0" w:color="000000"/>
            </w:tcBorders>
            <w:vAlign w:val="center"/>
          </w:tcPr>
          <w:p w14:paraId="3330E3AC" w14:textId="77777777" w:rsidR="005A4977" w:rsidRPr="00AE6794" w:rsidRDefault="005A4977" w:rsidP="005A4977">
            <w:pPr>
              <w:spacing w:after="0" w:line="240" w:lineRule="auto"/>
              <w:ind w:hanging="18"/>
              <w:rPr>
                <w:rFonts w:ascii="Arial" w:hAnsi="Arial" w:cs="Arial"/>
                <w:sz w:val="18"/>
                <w:szCs w:val="18"/>
                <w:lang w:val="es-ES_tradnl"/>
              </w:rPr>
            </w:pPr>
            <w:r w:rsidRPr="00AE6794">
              <w:rPr>
                <w:rFonts w:ascii="Arial" w:hAnsi="Arial" w:cs="Arial"/>
                <w:sz w:val="18"/>
                <w:szCs w:val="18"/>
                <w:lang w:val="es-ES_tradnl"/>
              </w:rPr>
              <w:t>Nota técnica</w:t>
            </w:r>
          </w:p>
        </w:tc>
        <w:tc>
          <w:tcPr>
            <w:tcW w:w="801" w:type="dxa"/>
            <w:tcBorders>
              <w:top w:val="single" w:sz="4" w:space="0" w:color="000000"/>
            </w:tcBorders>
            <w:vAlign w:val="center"/>
          </w:tcPr>
          <w:p w14:paraId="759B0FAE" w14:textId="77777777" w:rsidR="005A4977" w:rsidRPr="00DF1F8D" w:rsidRDefault="005A4977" w:rsidP="005A4977">
            <w:pPr>
              <w:spacing w:after="0" w:line="240" w:lineRule="auto"/>
              <w:ind w:hanging="18"/>
              <w:jc w:val="center"/>
              <w:rPr>
                <w:rFonts w:ascii="Arial" w:hAnsi="Arial" w:cs="Arial"/>
                <w:sz w:val="18"/>
                <w:szCs w:val="18"/>
                <w:lang w:val="es-ES_tradnl"/>
              </w:rPr>
            </w:pPr>
            <w:r w:rsidRPr="00DF1F8D">
              <w:rPr>
                <w:rFonts w:ascii="Arial" w:hAnsi="Arial" w:cs="Arial"/>
                <w:sz w:val="18"/>
                <w:szCs w:val="18"/>
                <w:lang w:val="es-ES_tradnl"/>
              </w:rPr>
              <w:t>0</w:t>
            </w:r>
          </w:p>
        </w:tc>
        <w:tc>
          <w:tcPr>
            <w:tcW w:w="748" w:type="dxa"/>
            <w:tcBorders>
              <w:top w:val="single" w:sz="4" w:space="0" w:color="000000"/>
            </w:tcBorders>
            <w:vAlign w:val="center"/>
          </w:tcPr>
          <w:p w14:paraId="58B56A04" w14:textId="77777777" w:rsidR="005A4977" w:rsidRPr="00DF1F8D" w:rsidRDefault="005A4977" w:rsidP="005A4977">
            <w:pPr>
              <w:spacing w:after="0" w:line="240" w:lineRule="auto"/>
              <w:ind w:hanging="18"/>
              <w:jc w:val="center"/>
              <w:rPr>
                <w:rFonts w:ascii="Arial" w:hAnsi="Arial" w:cs="Arial"/>
                <w:sz w:val="18"/>
                <w:szCs w:val="18"/>
                <w:lang w:val="es-ES_tradnl"/>
              </w:rPr>
            </w:pPr>
            <w:r w:rsidRPr="00DF1F8D">
              <w:rPr>
                <w:rFonts w:ascii="Arial" w:hAnsi="Arial" w:cs="Arial"/>
                <w:sz w:val="18"/>
                <w:szCs w:val="18"/>
                <w:lang w:val="es-ES_tradnl"/>
              </w:rPr>
              <w:t>1</w:t>
            </w:r>
          </w:p>
        </w:tc>
        <w:tc>
          <w:tcPr>
            <w:tcW w:w="4458" w:type="dxa"/>
            <w:tcBorders>
              <w:top w:val="single" w:sz="4" w:space="0" w:color="auto"/>
            </w:tcBorders>
            <w:vAlign w:val="center"/>
          </w:tcPr>
          <w:p w14:paraId="42B0F332" w14:textId="77777777" w:rsidR="005A4977" w:rsidRPr="00074BA4" w:rsidRDefault="00295657" w:rsidP="00AB6D09">
            <w:pPr>
              <w:suppressAutoHyphens/>
              <w:spacing w:before="60" w:after="60"/>
              <w:jc w:val="both"/>
              <w:rPr>
                <w:rFonts w:ascii="Arial" w:hAnsi="Arial" w:cs="Arial"/>
                <w:sz w:val="18"/>
                <w:szCs w:val="18"/>
                <w:lang w:val="es-ES_tradnl"/>
              </w:rPr>
            </w:pPr>
            <w:r w:rsidRPr="00074BA4">
              <w:rPr>
                <w:rFonts w:ascii="Arial" w:hAnsi="Arial" w:cs="Arial"/>
                <w:color w:val="000000"/>
                <w:spacing w:val="-4"/>
                <w:sz w:val="18"/>
                <w:szCs w:val="18"/>
                <w:lang w:val="es-ES_tradnl"/>
              </w:rPr>
              <w:t>Nota Técnica del MIVIOT describiendo el proceso implementado a nivel nacional para alcanzar consensos en materia de Integración, Ordenamiento y Desarrollo Territorial</w:t>
            </w:r>
          </w:p>
        </w:tc>
        <w:tc>
          <w:tcPr>
            <w:tcW w:w="4227" w:type="dxa"/>
            <w:tcBorders>
              <w:top w:val="single" w:sz="4" w:space="0" w:color="auto"/>
            </w:tcBorders>
            <w:vAlign w:val="center"/>
          </w:tcPr>
          <w:p w14:paraId="196E938B"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27F85B6E" w14:textId="77777777" w:rsidTr="00C418D8">
        <w:trPr>
          <w:trHeight w:val="998"/>
          <w:jc w:val="center"/>
        </w:trPr>
        <w:tc>
          <w:tcPr>
            <w:tcW w:w="2875" w:type="dxa"/>
            <w:tcBorders>
              <w:top w:val="single" w:sz="4" w:space="0" w:color="000000"/>
            </w:tcBorders>
            <w:vAlign w:val="center"/>
          </w:tcPr>
          <w:p w14:paraId="62C62F98" w14:textId="3BDCD714" w:rsidR="005A4977" w:rsidRPr="00074BA4" w:rsidRDefault="005A4977" w:rsidP="006F20D9">
            <w:pPr>
              <w:keepNext/>
              <w:keepLines/>
              <w:spacing w:before="60" w:after="60"/>
              <w:ind w:left="342" w:hanging="352"/>
              <w:jc w:val="both"/>
              <w:rPr>
                <w:rFonts w:ascii="Arial" w:hAnsi="Arial" w:cs="Arial"/>
                <w:sz w:val="18"/>
                <w:szCs w:val="18"/>
                <w:lang w:val="es-ES_tradnl"/>
              </w:rPr>
            </w:pPr>
            <w:r w:rsidRPr="00074BA4">
              <w:rPr>
                <w:rFonts w:ascii="Arial" w:hAnsi="Arial" w:cs="Arial"/>
                <w:spacing w:val="-4"/>
                <w:sz w:val="18"/>
                <w:szCs w:val="18"/>
                <w:lang w:val="es-ES_tradnl"/>
              </w:rPr>
              <w:t>3.</w:t>
            </w:r>
            <w:r w:rsidR="005016CB" w:rsidRPr="00074BA4">
              <w:rPr>
                <w:rFonts w:ascii="Arial" w:hAnsi="Arial" w:cs="Arial"/>
                <w:spacing w:val="-4"/>
                <w:sz w:val="18"/>
                <w:szCs w:val="18"/>
                <w:lang w:val="es-ES_tradnl"/>
              </w:rPr>
              <w:t>6</w:t>
            </w:r>
            <w:r w:rsidRPr="00074BA4">
              <w:rPr>
                <w:rFonts w:ascii="Arial" w:hAnsi="Arial" w:cs="Arial"/>
                <w:spacing w:val="-4"/>
                <w:sz w:val="18"/>
                <w:szCs w:val="18"/>
                <w:lang w:val="es-ES_tradnl"/>
              </w:rPr>
              <w:t xml:space="preserve"> Plan de Desarrollo Urbano de las áreas metropolitanas del Pacífico y el Atlántico aprobado</w:t>
            </w:r>
          </w:p>
        </w:tc>
        <w:tc>
          <w:tcPr>
            <w:tcW w:w="1016" w:type="dxa"/>
            <w:tcBorders>
              <w:top w:val="single" w:sz="4" w:space="0" w:color="000000"/>
            </w:tcBorders>
            <w:vAlign w:val="center"/>
          </w:tcPr>
          <w:p w14:paraId="681CCE0E"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Decreto ejecutivo</w:t>
            </w:r>
          </w:p>
        </w:tc>
        <w:tc>
          <w:tcPr>
            <w:tcW w:w="801" w:type="dxa"/>
            <w:tcBorders>
              <w:top w:val="single" w:sz="4" w:space="0" w:color="000000"/>
            </w:tcBorders>
            <w:vAlign w:val="center"/>
          </w:tcPr>
          <w:p w14:paraId="3419E83F"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tcBorders>
              <w:top w:val="single" w:sz="4" w:space="0" w:color="000000"/>
            </w:tcBorders>
            <w:vAlign w:val="center"/>
          </w:tcPr>
          <w:p w14:paraId="60EF87B6"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tcBorders>
              <w:top w:val="single" w:sz="4" w:space="0" w:color="auto"/>
            </w:tcBorders>
            <w:vAlign w:val="center"/>
          </w:tcPr>
          <w:p w14:paraId="60362E40" w14:textId="77777777" w:rsidR="005A4977" w:rsidRPr="00074BA4" w:rsidRDefault="00295657" w:rsidP="005A4977">
            <w:pPr>
              <w:spacing w:after="0" w:line="240" w:lineRule="auto"/>
              <w:ind w:hanging="18"/>
              <w:jc w:val="both"/>
              <w:rPr>
                <w:rFonts w:ascii="Arial" w:hAnsi="Arial" w:cs="Arial"/>
                <w:sz w:val="18"/>
                <w:szCs w:val="18"/>
                <w:lang w:val="es-ES_tradnl"/>
              </w:rPr>
            </w:pPr>
            <w:r w:rsidRPr="00074BA4">
              <w:rPr>
                <w:rFonts w:ascii="Arial" w:hAnsi="Arial" w:cs="Arial"/>
                <w:color w:val="000000"/>
                <w:spacing w:val="-4"/>
                <w:sz w:val="18"/>
                <w:szCs w:val="18"/>
                <w:lang w:val="es-ES_tradnl"/>
              </w:rPr>
              <w:t>Decreto del Poder Ejecutivo ratificando el Plan de Desarrollo Urbano de las Áreas Metropolitanas del Pacífico y del Atlántico.</w:t>
            </w:r>
          </w:p>
        </w:tc>
        <w:tc>
          <w:tcPr>
            <w:tcW w:w="4227" w:type="dxa"/>
            <w:tcBorders>
              <w:top w:val="single" w:sz="4" w:space="0" w:color="auto"/>
            </w:tcBorders>
            <w:vAlign w:val="center"/>
          </w:tcPr>
          <w:p w14:paraId="199944FD"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230E12CD" w14:textId="77777777" w:rsidTr="00C418D8">
        <w:trPr>
          <w:jc w:val="center"/>
        </w:trPr>
        <w:tc>
          <w:tcPr>
            <w:tcW w:w="2875" w:type="dxa"/>
            <w:vAlign w:val="center"/>
          </w:tcPr>
          <w:p w14:paraId="7DD8434E" w14:textId="719D004E" w:rsidR="005A4977" w:rsidRPr="00074BA4" w:rsidRDefault="005A4977" w:rsidP="005A4977">
            <w:pPr>
              <w:keepNext/>
              <w:keepLines/>
              <w:spacing w:before="60" w:after="60"/>
              <w:ind w:left="432" w:hanging="450"/>
              <w:jc w:val="both"/>
              <w:rPr>
                <w:rFonts w:ascii="Arial" w:hAnsi="Arial" w:cs="Arial"/>
                <w:sz w:val="18"/>
                <w:szCs w:val="18"/>
                <w:lang w:val="es-ES_tradnl"/>
              </w:rPr>
            </w:pPr>
            <w:r w:rsidRPr="00074BA4">
              <w:rPr>
                <w:rFonts w:ascii="Arial" w:hAnsi="Arial" w:cs="Arial"/>
                <w:spacing w:val="-2"/>
                <w:sz w:val="18"/>
                <w:szCs w:val="18"/>
                <w:lang w:val="es-ES_tradnl"/>
              </w:rPr>
              <w:t>3.</w:t>
            </w:r>
            <w:r w:rsidR="005016CB" w:rsidRPr="00074BA4">
              <w:rPr>
                <w:rFonts w:ascii="Arial" w:hAnsi="Arial" w:cs="Arial"/>
                <w:spacing w:val="-2"/>
                <w:sz w:val="18"/>
                <w:szCs w:val="18"/>
                <w:lang w:val="es-ES_tradnl"/>
              </w:rPr>
              <w:t>7</w:t>
            </w:r>
            <w:r w:rsidRPr="00074BA4">
              <w:rPr>
                <w:rFonts w:ascii="Arial" w:hAnsi="Arial" w:cs="Arial"/>
                <w:spacing w:val="-2"/>
                <w:sz w:val="18"/>
                <w:szCs w:val="18"/>
                <w:lang w:val="es-ES_tradnl"/>
              </w:rPr>
              <w:t xml:space="preserve"> Convenio de colaboración entre ACP y AMP, para la integración de </w:t>
            </w:r>
            <w:r w:rsidR="00550753" w:rsidRPr="00074BA4">
              <w:rPr>
                <w:rFonts w:ascii="Arial" w:hAnsi="Arial" w:cs="Arial"/>
                <w:spacing w:val="-2"/>
                <w:sz w:val="18"/>
                <w:szCs w:val="18"/>
                <w:lang w:val="es-ES_tradnl"/>
              </w:rPr>
              <w:t xml:space="preserve">sus </w:t>
            </w:r>
            <w:r w:rsidRPr="00074BA4">
              <w:rPr>
                <w:rFonts w:ascii="Arial" w:hAnsi="Arial" w:cs="Arial"/>
                <w:spacing w:val="-2"/>
                <w:sz w:val="18"/>
                <w:szCs w:val="18"/>
                <w:lang w:val="es-ES_tradnl"/>
              </w:rPr>
              <w:t>sistemas, suscripto</w:t>
            </w:r>
          </w:p>
        </w:tc>
        <w:tc>
          <w:tcPr>
            <w:tcW w:w="1016" w:type="dxa"/>
            <w:vAlign w:val="center"/>
          </w:tcPr>
          <w:p w14:paraId="6C9AF7F3"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Convenio</w:t>
            </w:r>
          </w:p>
        </w:tc>
        <w:tc>
          <w:tcPr>
            <w:tcW w:w="801" w:type="dxa"/>
            <w:vAlign w:val="center"/>
          </w:tcPr>
          <w:p w14:paraId="102725C8"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vAlign w:val="center"/>
          </w:tcPr>
          <w:p w14:paraId="48E130EA"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vAlign w:val="center"/>
          </w:tcPr>
          <w:p w14:paraId="021E50E3" w14:textId="77777777" w:rsidR="005A4977" w:rsidRPr="00074BA4" w:rsidRDefault="0029565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Suscripción de Convenio de Colaboración entre ACP y AMP evidenciando la integración de los sistemas y formalizando el lanzamiento de la VUMPA</w:t>
            </w:r>
            <w:r w:rsidRPr="00074BA4">
              <w:rPr>
                <w:rFonts w:ascii="Arial" w:hAnsi="Arial" w:cs="Arial"/>
                <w:sz w:val="18"/>
                <w:szCs w:val="18"/>
                <w:lang w:val="es-ES_tradnl"/>
              </w:rPr>
              <w:t xml:space="preserve"> </w:t>
            </w:r>
          </w:p>
        </w:tc>
        <w:tc>
          <w:tcPr>
            <w:tcW w:w="4227" w:type="dxa"/>
            <w:vAlign w:val="center"/>
          </w:tcPr>
          <w:p w14:paraId="6011B9B4"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17469458" w14:textId="77777777" w:rsidTr="00C418D8">
        <w:trPr>
          <w:trHeight w:val="1223"/>
          <w:jc w:val="center"/>
        </w:trPr>
        <w:tc>
          <w:tcPr>
            <w:tcW w:w="2875" w:type="dxa"/>
            <w:vAlign w:val="center"/>
          </w:tcPr>
          <w:p w14:paraId="6DF3F5DF" w14:textId="37FA8CD9" w:rsidR="005A4977" w:rsidRPr="00074BA4"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3.</w:t>
            </w:r>
            <w:r w:rsidR="005016CB" w:rsidRPr="00074BA4">
              <w:rPr>
                <w:rFonts w:ascii="Arial" w:hAnsi="Arial" w:cs="Arial"/>
                <w:spacing w:val="-2"/>
                <w:sz w:val="18"/>
                <w:szCs w:val="18"/>
                <w:lang w:val="es-ES_tradnl"/>
              </w:rPr>
              <w:t>8</w:t>
            </w:r>
            <w:r w:rsidRPr="00074BA4">
              <w:rPr>
                <w:rFonts w:ascii="Arial" w:hAnsi="Arial" w:cs="Arial"/>
                <w:spacing w:val="-2"/>
                <w:sz w:val="18"/>
                <w:szCs w:val="18"/>
                <w:lang w:val="es-ES_tradnl"/>
              </w:rPr>
              <w:t xml:space="preserve"> </w:t>
            </w:r>
            <w:r w:rsidR="00550753" w:rsidRPr="00074BA4">
              <w:rPr>
                <w:rFonts w:ascii="Arial" w:hAnsi="Arial" w:cs="Arial"/>
                <w:spacing w:val="-2"/>
                <w:sz w:val="18"/>
                <w:szCs w:val="18"/>
                <w:lang w:val="es-ES_tradnl"/>
              </w:rPr>
              <w:t xml:space="preserve">Normativa </w:t>
            </w:r>
            <w:r w:rsidR="003D6919" w:rsidRPr="00074BA4">
              <w:rPr>
                <w:rFonts w:ascii="Arial" w:hAnsi="Arial" w:cs="Arial"/>
                <w:spacing w:val="-2"/>
                <w:sz w:val="18"/>
                <w:szCs w:val="18"/>
                <w:lang w:val="es-ES_tradnl"/>
              </w:rPr>
              <w:t xml:space="preserve">que ratifica los compromisos del convenio </w:t>
            </w:r>
            <w:r w:rsidRPr="00074BA4">
              <w:rPr>
                <w:rFonts w:ascii="Arial" w:hAnsi="Arial" w:cs="Arial"/>
                <w:color w:val="000000"/>
                <w:sz w:val="18"/>
                <w:szCs w:val="18"/>
                <w:lang w:val="es-PA"/>
              </w:rPr>
              <w:t xml:space="preserve">FAL 65 </w:t>
            </w:r>
            <w:r w:rsidR="003D6919" w:rsidRPr="00074BA4">
              <w:rPr>
                <w:rFonts w:ascii="Arial" w:hAnsi="Arial" w:cs="Arial"/>
                <w:color w:val="000000"/>
                <w:sz w:val="18"/>
                <w:szCs w:val="18"/>
                <w:lang w:val="es-PA"/>
              </w:rPr>
              <w:t xml:space="preserve">de facilitación del tráfico marítimo de mercancías </w:t>
            </w:r>
            <w:r w:rsidRPr="00074BA4">
              <w:rPr>
                <w:rFonts w:ascii="Arial" w:hAnsi="Arial" w:cs="Arial"/>
                <w:color w:val="000000"/>
                <w:sz w:val="18"/>
                <w:szCs w:val="18"/>
                <w:lang w:val="es-PA"/>
              </w:rPr>
              <w:t>aprobad</w:t>
            </w:r>
            <w:r w:rsidR="00550753" w:rsidRPr="00074BA4">
              <w:rPr>
                <w:rFonts w:ascii="Arial" w:hAnsi="Arial" w:cs="Arial"/>
                <w:color w:val="000000"/>
                <w:sz w:val="18"/>
                <w:szCs w:val="18"/>
                <w:lang w:val="es-PA"/>
              </w:rPr>
              <w:t>a</w:t>
            </w:r>
          </w:p>
        </w:tc>
        <w:tc>
          <w:tcPr>
            <w:tcW w:w="1016" w:type="dxa"/>
            <w:vAlign w:val="center"/>
          </w:tcPr>
          <w:p w14:paraId="432C5D14"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Decreto Ejecutivo</w:t>
            </w:r>
          </w:p>
        </w:tc>
        <w:tc>
          <w:tcPr>
            <w:tcW w:w="801" w:type="dxa"/>
            <w:vAlign w:val="center"/>
          </w:tcPr>
          <w:p w14:paraId="17FBA5DB"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vAlign w:val="center"/>
          </w:tcPr>
          <w:p w14:paraId="2C167104"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vAlign w:val="center"/>
          </w:tcPr>
          <w:p w14:paraId="73FA719A" w14:textId="77777777" w:rsidR="005A4977" w:rsidRPr="00074BA4" w:rsidRDefault="00550753" w:rsidP="00550753">
            <w:pPr>
              <w:suppressAutoHyphens/>
              <w:spacing w:before="60" w:after="60"/>
              <w:jc w:val="both"/>
              <w:rPr>
                <w:rFonts w:ascii="Arial" w:hAnsi="Arial" w:cs="Arial"/>
                <w:sz w:val="18"/>
                <w:szCs w:val="18"/>
                <w:lang w:val="es-ES_tradnl"/>
              </w:rPr>
            </w:pPr>
            <w:r w:rsidRPr="00074BA4">
              <w:rPr>
                <w:rFonts w:ascii="Arial" w:hAnsi="Arial" w:cs="Arial"/>
                <w:color w:val="000000"/>
                <w:sz w:val="18"/>
                <w:szCs w:val="18"/>
                <w:lang w:val="es-PA"/>
              </w:rPr>
              <w:t>Decreto del Poder Ejecutivo estableciendo disposiciones para dar cumplimiento al convenio FAL 65.</w:t>
            </w:r>
          </w:p>
        </w:tc>
        <w:tc>
          <w:tcPr>
            <w:tcW w:w="4227" w:type="dxa"/>
            <w:vAlign w:val="center"/>
          </w:tcPr>
          <w:p w14:paraId="69E52843"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1BEB4E0A" w14:textId="77777777" w:rsidTr="00C418D8">
        <w:trPr>
          <w:jc w:val="center"/>
        </w:trPr>
        <w:tc>
          <w:tcPr>
            <w:tcW w:w="2875" w:type="dxa"/>
            <w:vAlign w:val="center"/>
          </w:tcPr>
          <w:p w14:paraId="09B5AD11" w14:textId="06EC74FC" w:rsidR="005A4977" w:rsidRPr="00074BA4" w:rsidRDefault="005A4977" w:rsidP="005A4977">
            <w:pPr>
              <w:spacing w:after="0" w:line="240" w:lineRule="auto"/>
              <w:ind w:left="-18"/>
              <w:jc w:val="both"/>
              <w:rPr>
                <w:rFonts w:ascii="Arial" w:hAnsi="Arial" w:cs="Arial"/>
                <w:sz w:val="18"/>
                <w:szCs w:val="18"/>
                <w:lang w:val="es-ES_tradnl"/>
              </w:rPr>
            </w:pPr>
            <w:bookmarkStart w:id="2" w:name="_Hlk504468200"/>
            <w:r w:rsidRPr="00074BA4">
              <w:rPr>
                <w:rFonts w:ascii="Arial" w:hAnsi="Arial" w:cs="Arial"/>
                <w:spacing w:val="-2"/>
                <w:sz w:val="18"/>
                <w:szCs w:val="18"/>
                <w:lang w:val="es-ES_tradnl"/>
              </w:rPr>
              <w:lastRenderedPageBreak/>
              <w:t>3.</w:t>
            </w:r>
            <w:r w:rsidR="005016CB" w:rsidRPr="00074BA4">
              <w:rPr>
                <w:rFonts w:ascii="Arial" w:hAnsi="Arial" w:cs="Arial"/>
                <w:spacing w:val="-2"/>
                <w:sz w:val="18"/>
                <w:szCs w:val="18"/>
                <w:lang w:val="es-ES_tradnl"/>
              </w:rPr>
              <w:t>9</w:t>
            </w:r>
            <w:r w:rsidRPr="00074BA4">
              <w:rPr>
                <w:rFonts w:ascii="Arial" w:hAnsi="Arial" w:cs="Arial"/>
                <w:spacing w:val="-2"/>
                <w:sz w:val="18"/>
                <w:szCs w:val="18"/>
                <w:lang w:val="es-ES_tradnl"/>
              </w:rPr>
              <w:t xml:space="preserve"> Tres medidas de corto plazo acordadas </w:t>
            </w:r>
            <w:r w:rsidRPr="00074BA4">
              <w:rPr>
                <w:rFonts w:ascii="Arial" w:hAnsi="Arial" w:cs="Arial"/>
                <w:spacing w:val="-2"/>
                <w:sz w:val="18"/>
                <w:szCs w:val="18"/>
                <w:lang w:val="es-AR"/>
              </w:rPr>
              <w:t>por el COMIECO</w:t>
            </w:r>
            <w:bookmarkEnd w:id="2"/>
            <w:r w:rsidRPr="00074BA4">
              <w:rPr>
                <w:rFonts w:ascii="Arial" w:hAnsi="Arial" w:cs="Arial"/>
                <w:spacing w:val="-2"/>
                <w:sz w:val="18"/>
                <w:szCs w:val="18"/>
                <w:lang w:val="es-AR"/>
              </w:rPr>
              <w:t xml:space="preserve"> implementadas.</w:t>
            </w:r>
          </w:p>
        </w:tc>
        <w:tc>
          <w:tcPr>
            <w:tcW w:w="1016" w:type="dxa"/>
            <w:vAlign w:val="center"/>
          </w:tcPr>
          <w:p w14:paraId="19BD2864"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Resolución</w:t>
            </w:r>
          </w:p>
        </w:tc>
        <w:tc>
          <w:tcPr>
            <w:tcW w:w="801" w:type="dxa"/>
            <w:vAlign w:val="center"/>
          </w:tcPr>
          <w:p w14:paraId="08C3352F"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vAlign w:val="center"/>
          </w:tcPr>
          <w:p w14:paraId="43DC1009"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vAlign w:val="center"/>
          </w:tcPr>
          <w:p w14:paraId="6C5FF971" w14:textId="45903BE3" w:rsidR="005A4977" w:rsidRPr="00074BA4" w:rsidRDefault="00550753" w:rsidP="005A4977">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Resolución</w:t>
            </w:r>
            <w:r w:rsidRPr="00074BA4">
              <w:rPr>
                <w:rFonts w:ascii="Arial" w:hAnsi="Arial" w:cs="Arial"/>
                <w:sz w:val="18"/>
                <w:szCs w:val="18"/>
                <w:lang w:val="es-AR"/>
              </w:rPr>
              <w:t xml:space="preserve"> de la</w:t>
            </w:r>
            <w:r w:rsidRPr="00074BA4">
              <w:rPr>
                <w:rFonts w:ascii="Arial" w:hAnsi="Arial" w:cs="Arial"/>
                <w:sz w:val="18"/>
                <w:szCs w:val="18"/>
                <w:lang w:val="es-ES_tradnl"/>
              </w:rPr>
              <w:t xml:space="preserve"> ANA certificando la implementación de al menos 3 medidas acordadas por el COMIECO</w:t>
            </w:r>
            <w:r w:rsidR="00DF1F8D">
              <w:rPr>
                <w:rFonts w:ascii="Arial" w:hAnsi="Arial" w:cs="Arial"/>
                <w:sz w:val="18"/>
                <w:szCs w:val="18"/>
                <w:lang w:val="es-ES_tradnl"/>
              </w:rPr>
              <w:t xml:space="preserve">: </w:t>
            </w:r>
            <w:r w:rsidR="00DF1F8D" w:rsidRPr="006327CD">
              <w:rPr>
                <w:rFonts w:ascii="Arial" w:hAnsi="Arial" w:cs="Arial"/>
                <w:sz w:val="18"/>
                <w:szCs w:val="18"/>
                <w:lang w:val="es-AR"/>
              </w:rPr>
              <w:t>la instalación de la tecnología de radio frecuencia; el uso de la Declaración Única Centroamericana (DUCA) y recepción e implementación de cámaras de video en los puntos fronterizos</w:t>
            </w:r>
            <w:r w:rsidRPr="00074BA4">
              <w:rPr>
                <w:rFonts w:ascii="Arial" w:hAnsi="Arial" w:cs="Arial"/>
                <w:sz w:val="18"/>
                <w:szCs w:val="18"/>
                <w:lang w:val="es-ES_tradnl"/>
              </w:rPr>
              <w:t>.</w:t>
            </w:r>
          </w:p>
        </w:tc>
        <w:tc>
          <w:tcPr>
            <w:tcW w:w="4227" w:type="dxa"/>
            <w:vAlign w:val="center"/>
          </w:tcPr>
          <w:p w14:paraId="38F14B87" w14:textId="51DD9A39"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75A086D5" w14:textId="77777777" w:rsidTr="00C418D8">
        <w:trPr>
          <w:trHeight w:val="1583"/>
          <w:jc w:val="center"/>
        </w:trPr>
        <w:tc>
          <w:tcPr>
            <w:tcW w:w="2875" w:type="dxa"/>
            <w:tcBorders>
              <w:bottom w:val="single" w:sz="4" w:space="0" w:color="000000"/>
            </w:tcBorders>
            <w:vAlign w:val="center"/>
          </w:tcPr>
          <w:p w14:paraId="2D1DA0DD" w14:textId="72240916" w:rsidR="005A4977" w:rsidRPr="00074BA4"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3.</w:t>
            </w:r>
            <w:r w:rsidR="005016CB" w:rsidRPr="00074BA4">
              <w:rPr>
                <w:rFonts w:ascii="Arial" w:hAnsi="Arial" w:cs="Arial"/>
                <w:spacing w:val="-2"/>
                <w:sz w:val="18"/>
                <w:szCs w:val="18"/>
                <w:lang w:val="es-ES_tradnl"/>
              </w:rPr>
              <w:t>10</w:t>
            </w:r>
            <w:r w:rsidRPr="00074BA4">
              <w:rPr>
                <w:rFonts w:ascii="Arial" w:hAnsi="Arial" w:cs="Arial"/>
                <w:spacing w:val="-2"/>
                <w:sz w:val="18"/>
                <w:szCs w:val="18"/>
                <w:lang w:val="es-ES_tradnl"/>
              </w:rPr>
              <w:t xml:space="preserve"> Auditoría funcional </w:t>
            </w:r>
            <w:r w:rsidR="003D6919" w:rsidRPr="00074BA4">
              <w:rPr>
                <w:rFonts w:ascii="Arial" w:hAnsi="Arial" w:cs="Arial"/>
                <w:spacing w:val="-2"/>
                <w:sz w:val="18"/>
                <w:szCs w:val="18"/>
                <w:lang w:val="es-ES_tradnl"/>
              </w:rPr>
              <w:t>de</w:t>
            </w:r>
            <w:r w:rsidRPr="00074BA4">
              <w:rPr>
                <w:rFonts w:ascii="Arial" w:hAnsi="Arial" w:cs="Arial"/>
                <w:spacing w:val="-2"/>
                <w:sz w:val="18"/>
                <w:szCs w:val="18"/>
                <w:lang w:val="es-ES_tradnl"/>
              </w:rPr>
              <w:t xml:space="preserve"> la plataforma SIGA y VUCE que evalúa la alineación con los procesos estipulados en el marco de integración regional centroamericano (CAUCA, RECAUCA) realizada</w:t>
            </w:r>
          </w:p>
        </w:tc>
        <w:tc>
          <w:tcPr>
            <w:tcW w:w="1016" w:type="dxa"/>
            <w:tcBorders>
              <w:bottom w:val="single" w:sz="4" w:space="0" w:color="000000"/>
            </w:tcBorders>
            <w:vAlign w:val="center"/>
          </w:tcPr>
          <w:p w14:paraId="64B0FFD8" w14:textId="77777777" w:rsidR="005A4977" w:rsidRPr="00074BA4" w:rsidRDefault="005A4977" w:rsidP="005A4977">
            <w:pPr>
              <w:spacing w:after="0" w:line="240" w:lineRule="auto"/>
              <w:ind w:hanging="18"/>
              <w:jc w:val="center"/>
              <w:rPr>
                <w:rFonts w:ascii="Arial" w:hAnsi="Arial" w:cs="Arial"/>
                <w:sz w:val="18"/>
                <w:szCs w:val="18"/>
                <w:lang w:val="es-ES_tradnl"/>
              </w:rPr>
            </w:pPr>
            <w:r w:rsidRPr="00DF1F8D">
              <w:rPr>
                <w:rFonts w:ascii="Arial" w:hAnsi="Arial" w:cs="Arial"/>
                <w:sz w:val="18"/>
                <w:szCs w:val="18"/>
                <w:lang w:val="es-ES_tradnl"/>
              </w:rPr>
              <w:t>Auditoria</w:t>
            </w:r>
          </w:p>
        </w:tc>
        <w:tc>
          <w:tcPr>
            <w:tcW w:w="801" w:type="dxa"/>
            <w:tcBorders>
              <w:bottom w:val="single" w:sz="4" w:space="0" w:color="000000"/>
            </w:tcBorders>
            <w:vAlign w:val="center"/>
          </w:tcPr>
          <w:p w14:paraId="7553FF32"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tcBorders>
              <w:bottom w:val="single" w:sz="4" w:space="0" w:color="000000"/>
            </w:tcBorders>
            <w:vAlign w:val="center"/>
          </w:tcPr>
          <w:p w14:paraId="3272196D"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tcBorders>
              <w:bottom w:val="single" w:sz="4" w:space="0" w:color="auto"/>
            </w:tcBorders>
            <w:vAlign w:val="center"/>
          </w:tcPr>
          <w:p w14:paraId="5E46329A" w14:textId="77777777" w:rsidR="005A4977" w:rsidRPr="00074BA4" w:rsidRDefault="00550753" w:rsidP="005A4977">
            <w:pPr>
              <w:rPr>
                <w:rFonts w:ascii="Arial" w:hAnsi="Arial" w:cs="Arial"/>
                <w:sz w:val="18"/>
                <w:szCs w:val="18"/>
                <w:lang w:val="es-ES_tradnl"/>
              </w:rPr>
            </w:pPr>
            <w:r w:rsidRPr="00074BA4">
              <w:rPr>
                <w:rFonts w:ascii="Arial" w:hAnsi="Arial" w:cs="Arial"/>
                <w:spacing w:val="-2"/>
                <w:sz w:val="18"/>
                <w:szCs w:val="18"/>
                <w:lang w:val="es-ES_tradnl"/>
              </w:rPr>
              <w:t>Auditoría AIG a la plataforma SIGA y VUCE evaluando la alineación con los procesos CAUCA Y RECAUCA</w:t>
            </w:r>
          </w:p>
        </w:tc>
        <w:tc>
          <w:tcPr>
            <w:tcW w:w="4227" w:type="dxa"/>
            <w:tcBorders>
              <w:bottom w:val="single" w:sz="4" w:space="0" w:color="auto"/>
            </w:tcBorders>
            <w:vAlign w:val="center"/>
          </w:tcPr>
          <w:p w14:paraId="46102D24"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64ED4C6F" w14:textId="77777777" w:rsidTr="00C418D8">
        <w:trPr>
          <w:trHeight w:val="1007"/>
          <w:jc w:val="center"/>
        </w:trPr>
        <w:tc>
          <w:tcPr>
            <w:tcW w:w="2875" w:type="dxa"/>
            <w:tcBorders>
              <w:bottom w:val="single" w:sz="4" w:space="0" w:color="000000"/>
            </w:tcBorders>
            <w:vAlign w:val="center"/>
          </w:tcPr>
          <w:p w14:paraId="2A618188" w14:textId="6FC4A6D5" w:rsidR="005A4977" w:rsidRPr="00074BA4" w:rsidRDefault="005A4977" w:rsidP="005A4977">
            <w:pPr>
              <w:spacing w:after="0" w:line="240" w:lineRule="auto"/>
              <w:ind w:hanging="18"/>
              <w:jc w:val="both"/>
              <w:rPr>
                <w:rFonts w:ascii="Arial" w:hAnsi="Arial" w:cs="Arial"/>
                <w:spacing w:val="-2"/>
                <w:sz w:val="18"/>
                <w:szCs w:val="18"/>
                <w:lang w:val="es-ES_tradnl"/>
              </w:rPr>
            </w:pPr>
            <w:r w:rsidRPr="00074BA4">
              <w:rPr>
                <w:rFonts w:ascii="Arial" w:hAnsi="Arial" w:cs="Arial"/>
                <w:sz w:val="18"/>
                <w:szCs w:val="18"/>
                <w:lang w:val="es-ES_tradnl"/>
              </w:rPr>
              <w:t>3.</w:t>
            </w:r>
            <w:r w:rsidR="005016CB" w:rsidRPr="00074BA4">
              <w:rPr>
                <w:rFonts w:ascii="Arial" w:hAnsi="Arial" w:cs="Arial"/>
                <w:sz w:val="18"/>
                <w:szCs w:val="18"/>
                <w:lang w:val="es-ES_tradnl"/>
              </w:rPr>
              <w:t>11</w:t>
            </w:r>
            <w:r w:rsidRPr="00074BA4">
              <w:rPr>
                <w:rFonts w:ascii="Arial" w:hAnsi="Arial" w:cs="Arial"/>
                <w:sz w:val="18"/>
                <w:szCs w:val="18"/>
                <w:lang w:val="es-ES_tradnl"/>
              </w:rPr>
              <w:t xml:space="preserve"> </w:t>
            </w:r>
            <w:r w:rsidR="00A170EA" w:rsidRPr="00074BA4">
              <w:rPr>
                <w:rFonts w:ascii="Arial" w:hAnsi="Arial" w:cs="Arial"/>
                <w:sz w:val="18"/>
                <w:szCs w:val="18"/>
                <w:lang w:val="es-ES_tradnl"/>
              </w:rPr>
              <w:t>Módulo de transbordo incorporado a la p</w:t>
            </w:r>
            <w:r w:rsidRPr="00074BA4">
              <w:rPr>
                <w:rFonts w:ascii="Arial" w:hAnsi="Arial" w:cs="Arial"/>
                <w:sz w:val="18"/>
                <w:szCs w:val="18"/>
                <w:lang w:val="es-ES_tradnl"/>
              </w:rPr>
              <w:t xml:space="preserve">lataforma SIGA </w:t>
            </w:r>
          </w:p>
        </w:tc>
        <w:tc>
          <w:tcPr>
            <w:tcW w:w="1016" w:type="dxa"/>
            <w:tcBorders>
              <w:bottom w:val="single" w:sz="4" w:space="0" w:color="000000"/>
            </w:tcBorders>
            <w:vAlign w:val="center"/>
          </w:tcPr>
          <w:p w14:paraId="79B30476"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Nota técnica</w:t>
            </w:r>
          </w:p>
        </w:tc>
        <w:tc>
          <w:tcPr>
            <w:tcW w:w="801" w:type="dxa"/>
            <w:tcBorders>
              <w:bottom w:val="single" w:sz="4" w:space="0" w:color="000000"/>
            </w:tcBorders>
            <w:vAlign w:val="center"/>
          </w:tcPr>
          <w:p w14:paraId="63BF1CB3"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tcBorders>
              <w:bottom w:val="single" w:sz="4" w:space="0" w:color="000000"/>
            </w:tcBorders>
            <w:vAlign w:val="center"/>
          </w:tcPr>
          <w:p w14:paraId="35BCE65B"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tcBorders>
              <w:bottom w:val="single" w:sz="4" w:space="0" w:color="auto"/>
            </w:tcBorders>
            <w:vAlign w:val="center"/>
          </w:tcPr>
          <w:p w14:paraId="2ADDF70B" w14:textId="77777777" w:rsidR="005A4977" w:rsidRPr="00074BA4" w:rsidRDefault="00550753" w:rsidP="005A4977">
            <w:pPr>
              <w:rPr>
                <w:rFonts w:ascii="Arial" w:hAnsi="Arial" w:cs="Arial"/>
                <w:sz w:val="18"/>
                <w:szCs w:val="18"/>
                <w:lang w:val="es-ES_tradnl"/>
              </w:rPr>
            </w:pPr>
            <w:r w:rsidRPr="00074BA4">
              <w:rPr>
                <w:rFonts w:ascii="Arial" w:hAnsi="Arial" w:cs="Arial"/>
                <w:sz w:val="18"/>
                <w:szCs w:val="18"/>
                <w:lang w:val="es-ES_tradnl"/>
              </w:rPr>
              <w:t>Nota Técnica de Aduana que describe los cambios incorporados al sistema a fin de incorporarse a la plataforma SIGA en los temas relacionados con transbordo.</w:t>
            </w:r>
          </w:p>
        </w:tc>
        <w:tc>
          <w:tcPr>
            <w:tcW w:w="4227" w:type="dxa"/>
            <w:tcBorders>
              <w:bottom w:val="single" w:sz="4" w:space="0" w:color="auto"/>
            </w:tcBorders>
            <w:vAlign w:val="center"/>
          </w:tcPr>
          <w:p w14:paraId="205B2D80"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3A17C7" w14:paraId="1F309FEF" w14:textId="77777777" w:rsidTr="00C418D8">
        <w:trPr>
          <w:trHeight w:val="305"/>
          <w:jc w:val="center"/>
        </w:trPr>
        <w:tc>
          <w:tcPr>
            <w:tcW w:w="2875" w:type="dxa"/>
            <w:tcBorders>
              <w:bottom w:val="single" w:sz="4" w:space="0" w:color="000000"/>
            </w:tcBorders>
            <w:vAlign w:val="center"/>
          </w:tcPr>
          <w:p w14:paraId="7E9A1C5B" w14:textId="6C653C3D" w:rsidR="005A4977" w:rsidRPr="00074BA4" w:rsidRDefault="005A4977" w:rsidP="005A4977">
            <w:pPr>
              <w:keepNext/>
              <w:keepLines/>
              <w:spacing w:before="60" w:after="60"/>
              <w:ind w:left="-10"/>
              <w:jc w:val="both"/>
              <w:rPr>
                <w:rFonts w:ascii="Arial" w:hAnsi="Arial" w:cs="Arial"/>
                <w:sz w:val="18"/>
                <w:szCs w:val="18"/>
                <w:lang w:val="es-ES_tradnl"/>
              </w:rPr>
            </w:pPr>
            <w:r w:rsidRPr="00074BA4">
              <w:rPr>
                <w:rFonts w:ascii="Arial" w:hAnsi="Arial" w:cs="Arial"/>
                <w:spacing w:val="-2"/>
                <w:sz w:val="18"/>
                <w:szCs w:val="18"/>
                <w:lang w:val="es-ES_tradnl"/>
              </w:rPr>
              <w:t xml:space="preserve">3.12 </w:t>
            </w:r>
            <w:r w:rsidR="00550753" w:rsidRPr="00074BA4">
              <w:rPr>
                <w:rFonts w:ascii="Arial" w:hAnsi="Arial" w:cs="Arial"/>
                <w:spacing w:val="-2"/>
                <w:sz w:val="18"/>
                <w:szCs w:val="18"/>
                <w:lang w:val="es-ES_tradnl"/>
              </w:rPr>
              <w:t xml:space="preserve">Contrato para la </w:t>
            </w:r>
            <w:r w:rsidRPr="00074BA4">
              <w:rPr>
                <w:rFonts w:ascii="Arial" w:hAnsi="Arial" w:cs="Arial"/>
                <w:spacing w:val="-2"/>
                <w:sz w:val="18"/>
                <w:szCs w:val="18"/>
                <w:lang w:val="es-ES_tradnl"/>
              </w:rPr>
              <w:t xml:space="preserve">implementación de la Plataforma </w:t>
            </w:r>
            <w:r w:rsidR="00A170EA" w:rsidRPr="00074BA4">
              <w:rPr>
                <w:rFonts w:ascii="Arial" w:hAnsi="Arial" w:cs="Arial"/>
                <w:spacing w:val="-2"/>
                <w:sz w:val="18"/>
                <w:szCs w:val="18"/>
                <w:lang w:val="es-ES_tradnl"/>
              </w:rPr>
              <w:t xml:space="preserve">Tecnológica para la integración de los Sistemas de Logística y </w:t>
            </w:r>
            <w:r w:rsidRPr="00074BA4">
              <w:rPr>
                <w:rFonts w:ascii="Arial" w:hAnsi="Arial" w:cs="Arial"/>
                <w:spacing w:val="-2"/>
                <w:sz w:val="18"/>
                <w:szCs w:val="18"/>
                <w:lang w:val="es-ES_tradnl"/>
              </w:rPr>
              <w:t xml:space="preserve">Comercio Exterior </w:t>
            </w:r>
            <w:r w:rsidR="00A170EA" w:rsidRPr="00074BA4">
              <w:rPr>
                <w:rFonts w:ascii="Arial" w:hAnsi="Arial" w:cs="Arial"/>
                <w:spacing w:val="-2"/>
                <w:sz w:val="18"/>
                <w:szCs w:val="18"/>
                <w:lang w:val="es-ES_tradnl"/>
              </w:rPr>
              <w:t>refrendado por la Contraloría</w:t>
            </w:r>
          </w:p>
        </w:tc>
        <w:tc>
          <w:tcPr>
            <w:tcW w:w="1016" w:type="dxa"/>
            <w:tcBorders>
              <w:bottom w:val="single" w:sz="4" w:space="0" w:color="000000"/>
            </w:tcBorders>
            <w:vAlign w:val="center"/>
          </w:tcPr>
          <w:p w14:paraId="793ECDAF" w14:textId="77777777" w:rsidR="005A4977" w:rsidRPr="00074BA4" w:rsidRDefault="00550753"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Refrendo</w:t>
            </w:r>
          </w:p>
        </w:tc>
        <w:tc>
          <w:tcPr>
            <w:tcW w:w="801" w:type="dxa"/>
            <w:tcBorders>
              <w:bottom w:val="single" w:sz="4" w:space="0" w:color="000000"/>
            </w:tcBorders>
            <w:vAlign w:val="center"/>
          </w:tcPr>
          <w:p w14:paraId="7965B1E0"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tcBorders>
              <w:bottom w:val="single" w:sz="4" w:space="0" w:color="000000"/>
            </w:tcBorders>
            <w:vAlign w:val="center"/>
          </w:tcPr>
          <w:p w14:paraId="4D65CF97"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tcBorders>
              <w:bottom w:val="single" w:sz="4" w:space="0" w:color="auto"/>
            </w:tcBorders>
            <w:vAlign w:val="center"/>
          </w:tcPr>
          <w:p w14:paraId="55D9BF60" w14:textId="77777777" w:rsidR="005A4977" w:rsidRPr="00074BA4" w:rsidRDefault="00550753" w:rsidP="00AB6D09">
            <w:pPr>
              <w:pStyle w:val="ListParagraph"/>
              <w:suppressAutoHyphens/>
              <w:spacing w:before="60" w:after="60"/>
              <w:ind w:left="162"/>
              <w:rPr>
                <w:rFonts w:ascii="Arial" w:hAnsi="Arial" w:cs="Arial"/>
                <w:sz w:val="18"/>
                <w:szCs w:val="18"/>
              </w:rPr>
            </w:pPr>
            <w:r w:rsidRPr="00074BA4">
              <w:rPr>
                <w:rFonts w:ascii="Arial" w:hAnsi="Arial" w:cs="Arial"/>
                <w:sz w:val="18"/>
                <w:szCs w:val="18"/>
              </w:rPr>
              <w:t xml:space="preserve">Refrendo de Contraloría al Contrato de Servicios de Plataforma </w:t>
            </w:r>
            <w:proofErr w:type="spellStart"/>
            <w:r w:rsidRPr="00074BA4">
              <w:rPr>
                <w:rFonts w:ascii="Arial" w:hAnsi="Arial" w:cs="Arial"/>
                <w:sz w:val="18"/>
                <w:szCs w:val="18"/>
              </w:rPr>
              <w:t>Teconológica</w:t>
            </w:r>
            <w:proofErr w:type="spellEnd"/>
            <w:r w:rsidRPr="00074BA4">
              <w:rPr>
                <w:rFonts w:ascii="Arial" w:hAnsi="Arial" w:cs="Arial"/>
                <w:sz w:val="18"/>
                <w:szCs w:val="18"/>
              </w:rPr>
              <w:t xml:space="preserve"> para la Integración de los Sistemas de Logística y de Comercio </w:t>
            </w:r>
            <w:proofErr w:type="gramStart"/>
            <w:r w:rsidRPr="00074BA4">
              <w:rPr>
                <w:rFonts w:ascii="Arial" w:hAnsi="Arial" w:cs="Arial"/>
                <w:sz w:val="18"/>
                <w:szCs w:val="18"/>
              </w:rPr>
              <w:t>Exterior .</w:t>
            </w:r>
            <w:proofErr w:type="gramEnd"/>
          </w:p>
          <w:p w14:paraId="1D8FB8D1" w14:textId="77777777" w:rsidR="005A4977" w:rsidRPr="00074BA4" w:rsidRDefault="005A4977" w:rsidP="005A4977">
            <w:pPr>
              <w:spacing w:after="0" w:line="240" w:lineRule="auto"/>
              <w:ind w:hanging="18"/>
              <w:jc w:val="both"/>
              <w:rPr>
                <w:rFonts w:ascii="Arial" w:hAnsi="Arial" w:cs="Arial"/>
                <w:sz w:val="18"/>
                <w:szCs w:val="18"/>
                <w:lang w:val="es-CO"/>
              </w:rPr>
            </w:pPr>
          </w:p>
        </w:tc>
        <w:tc>
          <w:tcPr>
            <w:tcW w:w="4227" w:type="dxa"/>
            <w:tcBorders>
              <w:bottom w:val="single" w:sz="4" w:space="0" w:color="auto"/>
            </w:tcBorders>
            <w:vAlign w:val="center"/>
          </w:tcPr>
          <w:p w14:paraId="2DB1F5D4"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35D18C72" w14:textId="77777777" w:rsidTr="00C418D8">
        <w:trPr>
          <w:trHeight w:val="305"/>
          <w:jc w:val="center"/>
        </w:trPr>
        <w:tc>
          <w:tcPr>
            <w:tcW w:w="2875" w:type="dxa"/>
            <w:tcBorders>
              <w:bottom w:val="single" w:sz="4" w:space="0" w:color="000000"/>
            </w:tcBorders>
            <w:vAlign w:val="center"/>
          </w:tcPr>
          <w:p w14:paraId="2774461A" w14:textId="579C5916" w:rsidR="005A4977" w:rsidRPr="00074BA4" w:rsidRDefault="005A4977" w:rsidP="005A4977">
            <w:pPr>
              <w:spacing w:after="0" w:line="240" w:lineRule="auto"/>
              <w:ind w:left="-18"/>
              <w:jc w:val="both"/>
              <w:rPr>
                <w:rFonts w:ascii="Arial" w:hAnsi="Arial" w:cs="Arial"/>
                <w:sz w:val="18"/>
                <w:szCs w:val="18"/>
                <w:lang w:val="es-ES_tradnl"/>
              </w:rPr>
            </w:pPr>
            <w:r w:rsidRPr="00074BA4">
              <w:rPr>
                <w:rFonts w:ascii="Arial" w:hAnsi="Arial" w:cs="Arial"/>
                <w:spacing w:val="-2"/>
                <w:sz w:val="18"/>
                <w:szCs w:val="18"/>
                <w:lang w:val="es-ES_tradnl"/>
              </w:rPr>
              <w:t>3.13 Informe de evaluación de acciones y resultados del esquema de intercambio de información estadística entre la AMP y la ANA aprobado</w:t>
            </w:r>
          </w:p>
        </w:tc>
        <w:tc>
          <w:tcPr>
            <w:tcW w:w="1016" w:type="dxa"/>
            <w:tcBorders>
              <w:bottom w:val="single" w:sz="4" w:space="0" w:color="000000"/>
            </w:tcBorders>
            <w:vAlign w:val="center"/>
          </w:tcPr>
          <w:p w14:paraId="32B228B7" w14:textId="77777777" w:rsidR="005A4977" w:rsidRPr="00074BA4" w:rsidRDefault="00550753"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Nota</w:t>
            </w:r>
          </w:p>
        </w:tc>
        <w:tc>
          <w:tcPr>
            <w:tcW w:w="801" w:type="dxa"/>
            <w:tcBorders>
              <w:bottom w:val="single" w:sz="4" w:space="0" w:color="000000"/>
            </w:tcBorders>
            <w:vAlign w:val="center"/>
          </w:tcPr>
          <w:p w14:paraId="77D0C314"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tcBorders>
              <w:bottom w:val="single" w:sz="4" w:space="0" w:color="000000"/>
            </w:tcBorders>
            <w:vAlign w:val="center"/>
          </w:tcPr>
          <w:p w14:paraId="1ED8C4DD"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tcBorders>
              <w:bottom w:val="single" w:sz="4" w:space="0" w:color="auto"/>
            </w:tcBorders>
            <w:vAlign w:val="center"/>
          </w:tcPr>
          <w:p w14:paraId="7D0509A7" w14:textId="77777777" w:rsidR="005A4977" w:rsidRPr="00074BA4" w:rsidRDefault="00550753" w:rsidP="005A4977">
            <w:pPr>
              <w:spacing w:after="0" w:line="240" w:lineRule="auto"/>
              <w:ind w:hanging="18"/>
              <w:jc w:val="both"/>
              <w:rPr>
                <w:rFonts w:ascii="Arial" w:hAnsi="Arial" w:cs="Arial"/>
                <w:sz w:val="18"/>
                <w:szCs w:val="18"/>
                <w:lang w:val="es-ES_tradnl"/>
              </w:rPr>
            </w:pPr>
            <w:r w:rsidRPr="00074BA4">
              <w:rPr>
                <w:rFonts w:ascii="Arial" w:hAnsi="Arial" w:cs="Arial"/>
                <w:sz w:val="18"/>
                <w:szCs w:val="18"/>
                <w:lang w:val="es-ES_tradnl"/>
              </w:rPr>
              <w:t>Nota de AMP aprobando el Informe de Evaluación de acciones que releve el intercambio de información estadística con la ANA.</w:t>
            </w:r>
          </w:p>
        </w:tc>
        <w:tc>
          <w:tcPr>
            <w:tcW w:w="4227" w:type="dxa"/>
            <w:tcBorders>
              <w:bottom w:val="single" w:sz="4" w:space="0" w:color="auto"/>
            </w:tcBorders>
            <w:vAlign w:val="center"/>
          </w:tcPr>
          <w:p w14:paraId="455054C9" w14:textId="77777777" w:rsidR="005A4977" w:rsidRPr="00074BA4" w:rsidRDefault="005A4977" w:rsidP="005A4977">
            <w:pPr>
              <w:spacing w:after="0" w:line="240" w:lineRule="auto"/>
              <w:ind w:hanging="18"/>
              <w:jc w:val="both"/>
              <w:rPr>
                <w:rFonts w:ascii="Arial" w:hAnsi="Arial" w:cs="Arial"/>
                <w:sz w:val="18"/>
                <w:szCs w:val="18"/>
                <w:lang w:val="es-ES_tradnl"/>
              </w:rPr>
            </w:pPr>
          </w:p>
        </w:tc>
      </w:tr>
      <w:tr w:rsidR="005A4977" w:rsidRPr="00DF1F8D" w14:paraId="7F35E659" w14:textId="77777777" w:rsidTr="00C418D8">
        <w:trPr>
          <w:jc w:val="center"/>
        </w:trPr>
        <w:tc>
          <w:tcPr>
            <w:tcW w:w="2875" w:type="dxa"/>
            <w:vAlign w:val="center"/>
          </w:tcPr>
          <w:p w14:paraId="4305BAB2" w14:textId="738ECAB4" w:rsidR="005A4977" w:rsidRPr="00074BA4" w:rsidRDefault="005A4977" w:rsidP="005A4977">
            <w:pPr>
              <w:spacing w:after="0" w:line="240" w:lineRule="auto"/>
              <w:ind w:hanging="18"/>
              <w:jc w:val="both"/>
              <w:rPr>
                <w:rFonts w:ascii="Arial" w:hAnsi="Arial" w:cs="Arial"/>
                <w:sz w:val="18"/>
                <w:szCs w:val="18"/>
                <w:lang w:val="es-ES_tradnl"/>
              </w:rPr>
            </w:pPr>
            <w:r w:rsidRPr="00074BA4">
              <w:rPr>
                <w:rFonts w:ascii="Arial" w:hAnsi="Arial" w:cs="Arial"/>
                <w:spacing w:val="-2"/>
                <w:sz w:val="18"/>
                <w:szCs w:val="18"/>
                <w:lang w:val="es-ES_tradnl"/>
              </w:rPr>
              <w:t xml:space="preserve">3.14 </w:t>
            </w:r>
            <w:r w:rsidR="00550753" w:rsidRPr="00074BA4">
              <w:rPr>
                <w:rFonts w:ascii="Arial" w:hAnsi="Arial" w:cs="Arial"/>
                <w:spacing w:val="-2"/>
                <w:sz w:val="18"/>
                <w:szCs w:val="18"/>
                <w:lang w:val="es-ES_tradnl"/>
              </w:rPr>
              <w:t xml:space="preserve">Plan piloto de capacitación en logística </w:t>
            </w:r>
            <w:r w:rsidR="00A170EA" w:rsidRPr="00074BA4">
              <w:rPr>
                <w:rFonts w:ascii="Arial" w:hAnsi="Arial" w:cs="Arial"/>
                <w:spacing w:val="-2"/>
                <w:sz w:val="18"/>
                <w:szCs w:val="18"/>
                <w:lang w:val="es-ES_tradnl"/>
              </w:rPr>
              <w:t xml:space="preserve">incorporado a las mesas de trabajo e </w:t>
            </w:r>
            <w:r w:rsidR="00550753" w:rsidRPr="00074BA4">
              <w:rPr>
                <w:rFonts w:ascii="Arial" w:hAnsi="Arial" w:cs="Arial"/>
                <w:spacing w:val="-2"/>
                <w:sz w:val="18"/>
                <w:szCs w:val="18"/>
                <w:lang w:val="es-ES_tradnl"/>
              </w:rPr>
              <w:t>implementado.</w:t>
            </w:r>
          </w:p>
        </w:tc>
        <w:tc>
          <w:tcPr>
            <w:tcW w:w="1016" w:type="dxa"/>
            <w:vAlign w:val="center"/>
          </w:tcPr>
          <w:p w14:paraId="4DD80ADE" w14:textId="77777777" w:rsidR="005A4977" w:rsidRPr="00074BA4" w:rsidRDefault="002A5F4E"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Plan capacitación</w:t>
            </w:r>
          </w:p>
        </w:tc>
        <w:tc>
          <w:tcPr>
            <w:tcW w:w="801" w:type="dxa"/>
            <w:vAlign w:val="center"/>
          </w:tcPr>
          <w:p w14:paraId="7425B612"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0</w:t>
            </w:r>
          </w:p>
        </w:tc>
        <w:tc>
          <w:tcPr>
            <w:tcW w:w="748" w:type="dxa"/>
            <w:vAlign w:val="center"/>
          </w:tcPr>
          <w:p w14:paraId="65C6BF0E" w14:textId="77777777" w:rsidR="005A4977" w:rsidRPr="00074BA4" w:rsidRDefault="005A4977" w:rsidP="005A4977">
            <w:pPr>
              <w:spacing w:after="0" w:line="240" w:lineRule="auto"/>
              <w:ind w:hanging="18"/>
              <w:jc w:val="center"/>
              <w:rPr>
                <w:rFonts w:ascii="Arial" w:hAnsi="Arial" w:cs="Arial"/>
                <w:sz w:val="18"/>
                <w:szCs w:val="18"/>
                <w:lang w:val="es-ES_tradnl"/>
              </w:rPr>
            </w:pPr>
            <w:r w:rsidRPr="00074BA4">
              <w:rPr>
                <w:rFonts w:ascii="Arial" w:hAnsi="Arial" w:cs="Arial"/>
                <w:sz w:val="18"/>
                <w:szCs w:val="18"/>
                <w:lang w:val="es-ES_tradnl"/>
              </w:rPr>
              <w:t>1</w:t>
            </w:r>
          </w:p>
        </w:tc>
        <w:tc>
          <w:tcPr>
            <w:tcW w:w="4458" w:type="dxa"/>
            <w:vAlign w:val="center"/>
          </w:tcPr>
          <w:p w14:paraId="149C794B" w14:textId="77777777" w:rsidR="00550753" w:rsidRPr="00074BA4" w:rsidRDefault="00550753" w:rsidP="00550753">
            <w:pPr>
              <w:pStyle w:val="ListParagraph"/>
              <w:suppressAutoHyphens/>
              <w:spacing w:before="60" w:after="60"/>
              <w:ind w:left="0"/>
              <w:jc w:val="both"/>
              <w:rPr>
                <w:rFonts w:ascii="Arial" w:hAnsi="Arial" w:cs="Arial"/>
                <w:sz w:val="18"/>
                <w:szCs w:val="18"/>
              </w:rPr>
            </w:pPr>
            <w:r w:rsidRPr="00074BA4">
              <w:rPr>
                <w:rFonts w:ascii="Arial" w:hAnsi="Arial" w:cs="Arial"/>
                <w:sz w:val="18"/>
                <w:szCs w:val="18"/>
              </w:rPr>
              <w:t xml:space="preserve">Aprobación de la Ley de creación del Instituto Técnico Superior Especializado a fin de impartir educación superior técnica orientada a la innovación y mejoramiento continuo.  </w:t>
            </w:r>
          </w:p>
          <w:p w14:paraId="7EAA3958" w14:textId="75DF3074" w:rsidR="005A4977" w:rsidRPr="00074BA4" w:rsidRDefault="00550753" w:rsidP="006F20D9">
            <w:pPr>
              <w:pStyle w:val="ListParagraph"/>
              <w:suppressAutoHyphens/>
              <w:spacing w:before="60" w:after="60"/>
              <w:ind w:left="0"/>
              <w:jc w:val="both"/>
              <w:rPr>
                <w:rFonts w:ascii="Arial" w:hAnsi="Arial" w:cs="Arial"/>
                <w:sz w:val="18"/>
                <w:szCs w:val="18"/>
                <w:lang w:val="es-ES_tradnl"/>
              </w:rPr>
            </w:pPr>
            <w:r w:rsidRPr="00074BA4">
              <w:rPr>
                <w:rFonts w:ascii="Arial" w:hAnsi="Arial" w:cs="Arial"/>
                <w:sz w:val="18"/>
                <w:szCs w:val="18"/>
              </w:rPr>
              <w:t xml:space="preserve">Acta de la Mesa Sectorial Logística del ITSE implementando un plan de capacitación especializado en el sector. </w:t>
            </w:r>
            <w:r w:rsidR="005A4977" w:rsidRPr="00074BA4">
              <w:rPr>
                <w:rFonts w:ascii="Arial" w:hAnsi="Arial" w:cs="Arial"/>
                <w:sz w:val="18"/>
                <w:szCs w:val="18"/>
                <w:lang w:val="es-ES_tradnl"/>
              </w:rPr>
              <w:t>.</w:t>
            </w:r>
          </w:p>
        </w:tc>
        <w:tc>
          <w:tcPr>
            <w:tcW w:w="4227" w:type="dxa"/>
            <w:vAlign w:val="center"/>
          </w:tcPr>
          <w:p w14:paraId="6366F0EF" w14:textId="77777777" w:rsidR="005A4977" w:rsidRPr="00074BA4" w:rsidRDefault="005A4977" w:rsidP="005A4977">
            <w:pPr>
              <w:spacing w:after="0" w:line="240" w:lineRule="auto"/>
              <w:ind w:hanging="18"/>
              <w:jc w:val="both"/>
              <w:rPr>
                <w:rFonts w:ascii="Arial" w:hAnsi="Arial" w:cs="Arial"/>
                <w:sz w:val="18"/>
                <w:szCs w:val="18"/>
                <w:lang w:val="es-ES_tradnl"/>
              </w:rPr>
            </w:pPr>
          </w:p>
        </w:tc>
      </w:tr>
      <w:bookmarkEnd w:id="1"/>
    </w:tbl>
    <w:p w14:paraId="19B3F04C" w14:textId="77777777" w:rsidR="00126920" w:rsidRPr="00074BA4" w:rsidRDefault="00126920">
      <w:pPr>
        <w:rPr>
          <w:rFonts w:ascii="Arial" w:hAnsi="Arial" w:cs="Arial"/>
          <w:sz w:val="18"/>
          <w:szCs w:val="18"/>
          <w:lang w:val="es-ES_tradnl"/>
        </w:rPr>
      </w:pPr>
    </w:p>
    <w:sectPr w:rsidR="00126920" w:rsidRPr="00074BA4" w:rsidSect="00516F98">
      <w:headerReference w:type="default" r:id="rId14"/>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51533" w14:textId="77777777" w:rsidR="00427488" w:rsidRDefault="00427488" w:rsidP="007B6ECD">
      <w:pPr>
        <w:spacing w:after="0" w:line="240" w:lineRule="auto"/>
      </w:pPr>
      <w:r>
        <w:separator/>
      </w:r>
    </w:p>
  </w:endnote>
  <w:endnote w:type="continuationSeparator" w:id="0">
    <w:p w14:paraId="7F4B26AE" w14:textId="77777777" w:rsidR="00427488" w:rsidRDefault="00427488" w:rsidP="007B6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26669" w14:textId="77777777" w:rsidR="00427488" w:rsidRDefault="00427488" w:rsidP="007B6ECD">
      <w:pPr>
        <w:spacing w:after="0" w:line="240" w:lineRule="auto"/>
      </w:pPr>
      <w:r>
        <w:separator/>
      </w:r>
    </w:p>
  </w:footnote>
  <w:footnote w:type="continuationSeparator" w:id="0">
    <w:p w14:paraId="38F34899" w14:textId="77777777" w:rsidR="00427488" w:rsidRDefault="00427488" w:rsidP="007B6ECD">
      <w:pPr>
        <w:spacing w:after="0" w:line="240" w:lineRule="auto"/>
      </w:pPr>
      <w:r>
        <w:continuationSeparator/>
      </w:r>
    </w:p>
  </w:footnote>
  <w:footnote w:id="1">
    <w:p w14:paraId="5B5BB748" w14:textId="0D3DC80A" w:rsidR="00DB4774" w:rsidRPr="001B3D7E" w:rsidRDefault="00DB4774" w:rsidP="001B3D7E">
      <w:pPr>
        <w:spacing w:after="0" w:line="240" w:lineRule="auto"/>
        <w:ind w:hanging="18"/>
        <w:jc w:val="both"/>
        <w:rPr>
          <w:lang w:val="es-ES"/>
        </w:rPr>
      </w:pPr>
      <w:r>
        <w:rPr>
          <w:rStyle w:val="FootnoteReference"/>
        </w:rPr>
        <w:footnoteRef/>
      </w:r>
      <w:r w:rsidRPr="001B3D7E">
        <w:rPr>
          <w:lang w:val="es-BO"/>
        </w:rPr>
        <w:t xml:space="preserve"> </w:t>
      </w:r>
      <w:r w:rsidRPr="00C40230">
        <w:rPr>
          <w:rFonts w:ascii="Arial" w:hAnsi="Arial" w:cs="Arial"/>
          <w:b/>
          <w:sz w:val="18"/>
          <w:szCs w:val="20"/>
          <w:lang w:val="es-ES_tradnl"/>
        </w:rPr>
        <w:t xml:space="preserve">Línea de base </w:t>
      </w:r>
      <w:r>
        <w:rPr>
          <w:rFonts w:ascii="Arial" w:hAnsi="Arial" w:cs="Arial"/>
          <w:sz w:val="18"/>
          <w:szCs w:val="20"/>
          <w:lang w:val="es-ES_tradnl"/>
        </w:rPr>
        <w:t xml:space="preserve">2014 y metas 2015 y 2016, es el cociente entre: i) </w:t>
      </w:r>
      <w:r w:rsidRPr="001B3D7E">
        <w:rPr>
          <w:rFonts w:ascii="Arial" w:hAnsi="Arial" w:cs="Arial"/>
          <w:sz w:val="18"/>
          <w:szCs w:val="20"/>
          <w:lang w:val="es-ES_tradnl"/>
        </w:rPr>
        <w:t>Ejecución de</w:t>
      </w:r>
      <w:r>
        <w:rPr>
          <w:rFonts w:ascii="Arial" w:hAnsi="Arial" w:cs="Arial"/>
          <w:sz w:val="18"/>
          <w:szCs w:val="20"/>
          <w:lang w:val="es-ES_tradnl"/>
        </w:rPr>
        <w:t xml:space="preserve">l Presupuesto de Inversiones Públicas No Financieras del sector transporte; y ii) Ejecución del Presupuesto General de </w:t>
      </w:r>
      <w:proofErr w:type="gramStart"/>
      <w:r>
        <w:rPr>
          <w:rFonts w:ascii="Arial" w:hAnsi="Arial" w:cs="Arial"/>
          <w:sz w:val="18"/>
          <w:szCs w:val="20"/>
          <w:lang w:val="es-ES_tradnl"/>
        </w:rPr>
        <w:t>Gastos .</w:t>
      </w:r>
      <w:proofErr w:type="gramEnd"/>
      <w:r>
        <w:rPr>
          <w:rFonts w:ascii="Arial" w:hAnsi="Arial" w:cs="Arial"/>
          <w:sz w:val="18"/>
          <w:szCs w:val="20"/>
          <w:lang w:val="es-ES_tradnl"/>
        </w:rPr>
        <w:t xml:space="preserve"> </w:t>
      </w:r>
      <w:r w:rsidRPr="00C17BD3">
        <w:rPr>
          <w:rFonts w:ascii="Arial" w:hAnsi="Arial" w:cs="Arial"/>
          <w:b/>
          <w:sz w:val="18"/>
          <w:szCs w:val="20"/>
          <w:lang w:val="es-ES_tradnl"/>
        </w:rPr>
        <w:t>Fuente</w:t>
      </w:r>
      <w:r w:rsidRPr="00D72054">
        <w:rPr>
          <w:rFonts w:ascii="Arial" w:hAnsi="Arial" w:cs="Arial"/>
          <w:sz w:val="18"/>
          <w:szCs w:val="20"/>
          <w:lang w:val="es-ES_tradnl"/>
        </w:rPr>
        <w:t xml:space="preserve">: </w:t>
      </w:r>
      <w:r>
        <w:rPr>
          <w:rFonts w:ascii="Arial" w:hAnsi="Arial" w:cs="Arial"/>
          <w:sz w:val="18"/>
          <w:szCs w:val="20"/>
          <w:lang w:val="es-ES_tradnl"/>
        </w:rPr>
        <w:t xml:space="preserve">para i) </w:t>
      </w:r>
      <w:hyperlink r:id="rId1" w:history="1">
        <w:r w:rsidRPr="00296E29">
          <w:rPr>
            <w:rStyle w:val="Hyperlink"/>
            <w:rFonts w:ascii="Arial" w:hAnsi="Arial" w:cs="Arial"/>
            <w:sz w:val="18"/>
            <w:szCs w:val="20"/>
            <w:lang w:val="es-ES_tradnl"/>
          </w:rPr>
          <w:t>Informe de Ejecución del Programa de Inversiones Públicas no Financieras</w:t>
        </w:r>
      </w:hyperlink>
      <w:r>
        <w:rPr>
          <w:rFonts w:ascii="Arial" w:hAnsi="Arial" w:cs="Arial"/>
          <w:sz w:val="18"/>
          <w:szCs w:val="20"/>
          <w:lang w:val="es-ES_tradnl"/>
        </w:rPr>
        <w:t xml:space="preserve">; y ii) </w:t>
      </w:r>
      <w:hyperlink r:id="rId2" w:history="1">
        <w:r w:rsidRPr="00296E29">
          <w:rPr>
            <w:rStyle w:val="Hyperlink"/>
            <w:rFonts w:ascii="Arial" w:hAnsi="Arial" w:cs="Arial"/>
            <w:sz w:val="18"/>
            <w:szCs w:val="20"/>
            <w:lang w:val="es-ES_tradnl"/>
          </w:rPr>
          <w:t>Cuenta General del Tesoro</w:t>
        </w:r>
      </w:hyperlink>
      <w:r>
        <w:rPr>
          <w:rFonts w:ascii="Arial" w:hAnsi="Arial" w:cs="Arial"/>
          <w:sz w:val="18"/>
          <w:szCs w:val="20"/>
          <w:lang w:val="es-ES_tradnl"/>
        </w:rPr>
        <w:t xml:space="preserve">, ambos reportes del Ministerio de Economía y Finanzas MEF. Para el año 2014, </w:t>
      </w:r>
      <w:r w:rsidR="00963468">
        <w:rPr>
          <w:rFonts w:ascii="Arial" w:hAnsi="Arial" w:cs="Arial"/>
          <w:sz w:val="18"/>
          <w:szCs w:val="20"/>
          <w:lang w:val="es-ES_tradnl"/>
        </w:rPr>
        <w:t>Inversión</w:t>
      </w:r>
      <w:bookmarkStart w:id="0" w:name="_GoBack"/>
      <w:bookmarkEnd w:id="0"/>
      <w:r>
        <w:rPr>
          <w:rFonts w:ascii="Arial" w:hAnsi="Arial" w:cs="Arial"/>
          <w:sz w:val="18"/>
          <w:szCs w:val="20"/>
          <w:lang w:val="es-ES_tradnl"/>
        </w:rPr>
        <w:t xml:space="preserve"> pública en el sector de logística y transporte B$1.045.024.258,89; y Ejecución de la Inversión Pública total B$:17.762.905.404,00.</w:t>
      </w:r>
    </w:p>
  </w:footnote>
  <w:footnote w:id="2">
    <w:p w14:paraId="45EA4192" w14:textId="77777777" w:rsidR="00DB4774" w:rsidRPr="00F450BC" w:rsidRDefault="00DB4774" w:rsidP="00F450BC">
      <w:pPr>
        <w:pStyle w:val="FootnoteText"/>
        <w:jc w:val="both"/>
      </w:pPr>
      <w:r>
        <w:rPr>
          <w:rStyle w:val="FootnoteReference"/>
        </w:rPr>
        <w:footnoteRef/>
      </w:r>
      <w:r>
        <w:t xml:space="preserve"> </w:t>
      </w:r>
      <w:r w:rsidRPr="00F450BC">
        <w:rPr>
          <w:rFonts w:ascii="Arial" w:hAnsi="Arial" w:cs="Arial"/>
          <w:sz w:val="18"/>
        </w:rPr>
        <w:t>Según el estudio de Pasos de Frontera para Paso Canoas (EPYPSA 2013) la reducción promedia en el despacho de cargas tras la mejora en infraestructura y procesos del paso de frontera sería del 87%. Considerando que la mitad de esta reducción es consecuencia de la armonización con los códigos aduaneros regionales se obtendría una reducción del tiempo de despacho de aduanas del 43.5%.</w:t>
      </w:r>
    </w:p>
  </w:footnote>
  <w:footnote w:id="3">
    <w:p w14:paraId="46E25375" w14:textId="77777777" w:rsidR="00DB4774" w:rsidRPr="00AD2019" w:rsidRDefault="00DB4774" w:rsidP="001275B3">
      <w:pPr>
        <w:pStyle w:val="FootnoteText"/>
        <w:ind w:left="180" w:hanging="180"/>
        <w:jc w:val="both"/>
        <w:rPr>
          <w:rFonts w:ascii="Arial" w:hAnsi="Arial" w:cs="Arial"/>
          <w:sz w:val="18"/>
        </w:rPr>
      </w:pPr>
      <w:r w:rsidRPr="00AD2019">
        <w:rPr>
          <w:rStyle w:val="FootnoteReference"/>
          <w:rFonts w:ascii="Arial" w:hAnsi="Arial" w:cs="Arial"/>
          <w:sz w:val="18"/>
        </w:rPr>
        <w:footnoteRef/>
      </w:r>
      <w:r>
        <w:rPr>
          <w:rFonts w:ascii="Arial" w:hAnsi="Arial" w:cs="Arial"/>
          <w:sz w:val="18"/>
        </w:rPr>
        <w:t xml:space="preserve"> E</w:t>
      </w:r>
      <w:r w:rsidRPr="00AD2019">
        <w:rPr>
          <w:rFonts w:ascii="Arial" w:hAnsi="Arial" w:cs="Arial"/>
          <w:sz w:val="18"/>
        </w:rPr>
        <w:t>xcluyendo terminales petroleras y graneleras</w:t>
      </w:r>
      <w:r>
        <w:rPr>
          <w:rFonts w:ascii="Arial" w:hAnsi="Arial" w:cs="Arial"/>
          <w:sz w:val="18"/>
        </w:rPr>
        <w:t>.</w:t>
      </w:r>
    </w:p>
  </w:footnote>
  <w:footnote w:id="4">
    <w:p w14:paraId="73A88C0A" w14:textId="77777777" w:rsidR="00DB4774" w:rsidRPr="001B3D7E" w:rsidRDefault="00DB4774" w:rsidP="001B3D7E">
      <w:pPr>
        <w:spacing w:after="0" w:line="240" w:lineRule="auto"/>
        <w:ind w:hanging="18"/>
        <w:jc w:val="both"/>
        <w:rPr>
          <w:lang w:val="es-ES"/>
        </w:rPr>
      </w:pPr>
      <w:r>
        <w:rPr>
          <w:rStyle w:val="FootnoteReference"/>
        </w:rPr>
        <w:footnoteRef/>
      </w:r>
      <w:r w:rsidRPr="001B3D7E">
        <w:rPr>
          <w:lang w:val="es-BO"/>
        </w:rPr>
        <w:t xml:space="preserve"> </w:t>
      </w:r>
      <w:r w:rsidRPr="001B3D7E">
        <w:rPr>
          <w:rFonts w:ascii="Arial" w:hAnsi="Arial" w:cs="Arial"/>
          <w:sz w:val="18"/>
          <w:szCs w:val="20"/>
          <w:lang w:val="es-ES_tradnl"/>
        </w:rPr>
        <w:t>Línea de Base estimada a partir del</w:t>
      </w:r>
      <w:r>
        <w:rPr>
          <w:rFonts w:ascii="Arial" w:hAnsi="Arial" w:cs="Arial"/>
          <w:b/>
          <w:sz w:val="18"/>
          <w:szCs w:val="20"/>
          <w:lang w:val="es-ES_tradnl"/>
        </w:rPr>
        <w:t xml:space="preserve"> n</w:t>
      </w:r>
      <w:r w:rsidRPr="00C40230">
        <w:rPr>
          <w:rFonts w:ascii="Arial" w:hAnsi="Arial" w:cs="Arial"/>
          <w:sz w:val="18"/>
          <w:szCs w:val="20"/>
          <w:lang w:val="es-ES_tradnl"/>
        </w:rPr>
        <w:t xml:space="preserve">úmero de puertos habilitados para exportación de productos </w:t>
      </w:r>
      <w:r>
        <w:rPr>
          <w:rFonts w:ascii="Arial" w:hAnsi="Arial" w:cs="Arial"/>
          <w:sz w:val="18"/>
          <w:szCs w:val="20"/>
          <w:lang w:val="es-ES_tradnl"/>
        </w:rPr>
        <w:t xml:space="preserve">agrícolas </w:t>
      </w:r>
      <w:r w:rsidRPr="00C40230">
        <w:rPr>
          <w:rFonts w:ascii="Arial" w:hAnsi="Arial" w:cs="Arial"/>
          <w:sz w:val="18"/>
          <w:szCs w:val="20"/>
          <w:lang w:val="es-ES_tradnl"/>
        </w:rPr>
        <w:t xml:space="preserve">nacionales </w:t>
      </w:r>
      <w:r>
        <w:rPr>
          <w:rFonts w:ascii="Arial" w:hAnsi="Arial" w:cs="Arial"/>
          <w:sz w:val="18"/>
          <w:szCs w:val="20"/>
          <w:lang w:val="es-ES_tradnl"/>
        </w:rPr>
        <w:t>(</w:t>
      </w:r>
      <w:r w:rsidRPr="00C40230">
        <w:rPr>
          <w:rFonts w:ascii="Arial" w:hAnsi="Arial" w:cs="Arial"/>
          <w:sz w:val="18"/>
          <w:szCs w:val="20"/>
          <w:lang w:val="es-ES_tradnl"/>
        </w:rPr>
        <w:t>6</w:t>
      </w:r>
      <w:r>
        <w:rPr>
          <w:rFonts w:ascii="Arial" w:hAnsi="Arial" w:cs="Arial"/>
          <w:sz w:val="18"/>
          <w:szCs w:val="20"/>
          <w:lang w:val="es-ES_tradnl"/>
        </w:rPr>
        <w:t>) y el total de a nivel nacional (</w:t>
      </w:r>
      <w:r w:rsidRPr="00C40230">
        <w:rPr>
          <w:rFonts w:ascii="Arial" w:hAnsi="Arial" w:cs="Arial"/>
          <w:sz w:val="18"/>
          <w:szCs w:val="20"/>
          <w:lang w:val="es-ES_tradnl"/>
        </w:rPr>
        <w:t>32</w:t>
      </w:r>
      <w:r>
        <w:rPr>
          <w:rFonts w:ascii="Arial" w:hAnsi="Arial" w:cs="Arial"/>
          <w:sz w:val="18"/>
          <w:szCs w:val="20"/>
          <w:lang w:val="es-ES_tradnl"/>
        </w:rPr>
        <w:t xml:space="preserve">). </w:t>
      </w:r>
      <w:r w:rsidRPr="00C40230">
        <w:rPr>
          <w:rFonts w:ascii="Arial" w:hAnsi="Arial" w:cs="Arial"/>
          <w:b/>
          <w:sz w:val="18"/>
          <w:lang w:val="es-BO"/>
        </w:rPr>
        <w:t xml:space="preserve">Fuente: </w:t>
      </w:r>
      <w:hyperlink r:id="rId3" w:history="1">
        <w:r w:rsidRPr="00C40230">
          <w:rPr>
            <w:rStyle w:val="Hyperlink"/>
            <w:rFonts w:ascii="Arial" w:hAnsi="Arial" w:cs="Arial"/>
            <w:sz w:val="18"/>
            <w:szCs w:val="20"/>
            <w:lang w:val="es-PA"/>
          </w:rPr>
          <w:t>http://logistics.gatech.pa/es/assets/seaports/all</w:t>
        </w:r>
      </w:hyperlink>
    </w:p>
  </w:footnote>
  <w:footnote w:id="5">
    <w:p w14:paraId="241141FD" w14:textId="77777777" w:rsidR="00DB4774" w:rsidRPr="00521F6F" w:rsidRDefault="00DB4774">
      <w:pPr>
        <w:pStyle w:val="FootnoteText"/>
        <w:rPr>
          <w:b/>
          <w:color w:val="FF0000"/>
          <w:lang w:val="es-BO"/>
        </w:rPr>
      </w:pPr>
      <w:r w:rsidRPr="00602677">
        <w:rPr>
          <w:rStyle w:val="FootnoteReference"/>
          <w:b/>
        </w:rPr>
        <w:footnoteRef/>
      </w:r>
      <w:r w:rsidRPr="00521F6F">
        <w:rPr>
          <w:b/>
          <w:color w:val="FF0000"/>
        </w:rPr>
        <w:t xml:space="preserve"> </w:t>
      </w:r>
      <w:r>
        <w:rPr>
          <w:rFonts w:ascii="Arial" w:hAnsi="Arial" w:cs="Arial"/>
        </w:rPr>
        <w:t>S</w:t>
      </w:r>
      <w:r w:rsidRPr="00602677">
        <w:rPr>
          <w:rFonts w:ascii="Arial" w:hAnsi="Arial" w:cs="Arial"/>
        </w:rPr>
        <w:t>uma de las superficies utilizadas por empresas del área logística en zonas especiales, terminales portuarias, tierras de UBR y áreas de almacenamiento</w:t>
      </w:r>
    </w:p>
  </w:footnote>
  <w:footnote w:id="6">
    <w:p w14:paraId="451D3F2E" w14:textId="77777777" w:rsidR="00DB4774" w:rsidRDefault="00DB4774" w:rsidP="00D96264">
      <w:pPr>
        <w:spacing w:after="0" w:line="240" w:lineRule="auto"/>
        <w:ind w:hanging="18"/>
        <w:jc w:val="both"/>
        <w:rPr>
          <w:rFonts w:ascii="Arial" w:hAnsi="Arial" w:cs="Arial"/>
          <w:sz w:val="18"/>
          <w:szCs w:val="20"/>
          <w:lang w:val="es-ES_tradnl"/>
        </w:rPr>
      </w:pPr>
      <w:r>
        <w:rPr>
          <w:rStyle w:val="FootnoteReference"/>
        </w:rPr>
        <w:footnoteRef/>
      </w:r>
      <w:r w:rsidRPr="00D96264">
        <w:rPr>
          <w:lang w:val="es-BO"/>
        </w:rPr>
        <w:t xml:space="preserve"> </w:t>
      </w:r>
      <w:r w:rsidRPr="00C40230">
        <w:rPr>
          <w:rFonts w:ascii="Arial" w:hAnsi="Arial" w:cs="Arial"/>
          <w:b/>
          <w:sz w:val="18"/>
          <w:szCs w:val="20"/>
          <w:lang w:val="es-ES_tradnl"/>
        </w:rPr>
        <w:t>Línea de Base:</w:t>
      </w:r>
      <w:r>
        <w:rPr>
          <w:rFonts w:ascii="Arial" w:hAnsi="Arial" w:cs="Arial"/>
          <w:b/>
          <w:sz w:val="18"/>
          <w:szCs w:val="20"/>
          <w:lang w:val="es-ES_tradnl"/>
        </w:rPr>
        <w:t xml:space="preserve"> </w:t>
      </w:r>
      <w:r w:rsidRPr="00C40230">
        <w:rPr>
          <w:rFonts w:ascii="Arial" w:hAnsi="Arial" w:cs="Arial"/>
          <w:sz w:val="18"/>
          <w:szCs w:val="20"/>
          <w:lang w:val="es-ES_tradnl"/>
        </w:rPr>
        <w:t xml:space="preserve">Superficie </w:t>
      </w:r>
      <w:r>
        <w:rPr>
          <w:rFonts w:ascii="Arial" w:hAnsi="Arial" w:cs="Arial"/>
          <w:sz w:val="18"/>
          <w:szCs w:val="20"/>
          <w:lang w:val="es-ES_tradnl"/>
        </w:rPr>
        <w:t xml:space="preserve">logística con </w:t>
      </w:r>
      <w:r w:rsidRPr="00C40230">
        <w:rPr>
          <w:rFonts w:ascii="Arial" w:hAnsi="Arial" w:cs="Arial"/>
          <w:sz w:val="18"/>
          <w:szCs w:val="20"/>
          <w:lang w:val="es-ES_tradnl"/>
        </w:rPr>
        <w:t xml:space="preserve">actividad Real </w:t>
      </w:r>
      <w:proofErr w:type="gramStart"/>
      <w:r w:rsidRPr="00C40230">
        <w:rPr>
          <w:rFonts w:ascii="Arial" w:hAnsi="Arial" w:cs="Arial"/>
          <w:sz w:val="18"/>
          <w:szCs w:val="20"/>
          <w:lang w:val="es-ES_tradnl"/>
        </w:rPr>
        <w:t xml:space="preserve">= </w:t>
      </w:r>
      <w:r>
        <w:rPr>
          <w:rFonts w:ascii="Arial" w:hAnsi="Arial" w:cs="Arial"/>
          <w:sz w:val="18"/>
          <w:szCs w:val="20"/>
          <w:lang w:val="es-ES_tradnl"/>
        </w:rPr>
        <w:t xml:space="preserve"> </w:t>
      </w:r>
      <w:r w:rsidRPr="00C40230">
        <w:rPr>
          <w:rFonts w:ascii="Arial" w:hAnsi="Arial" w:cs="Arial"/>
          <w:sz w:val="18"/>
          <w:szCs w:val="20"/>
          <w:lang w:val="es-ES_tradnl"/>
        </w:rPr>
        <w:t>836</w:t>
      </w:r>
      <w:proofErr w:type="gramEnd"/>
      <w:r w:rsidRPr="00C40230">
        <w:rPr>
          <w:rFonts w:ascii="Arial" w:hAnsi="Arial" w:cs="Arial"/>
          <w:sz w:val="18"/>
          <w:szCs w:val="20"/>
          <w:lang w:val="es-ES_tradnl"/>
        </w:rPr>
        <w:t xml:space="preserve"> </w:t>
      </w:r>
      <w:r>
        <w:rPr>
          <w:rFonts w:ascii="Arial" w:hAnsi="Arial" w:cs="Arial"/>
          <w:sz w:val="18"/>
          <w:szCs w:val="20"/>
          <w:lang w:val="es-ES_tradnl"/>
        </w:rPr>
        <w:t xml:space="preserve">hectáreas.  </w:t>
      </w:r>
      <w:r w:rsidRPr="00C40230">
        <w:rPr>
          <w:rFonts w:ascii="Arial" w:hAnsi="Arial" w:cs="Arial"/>
          <w:sz w:val="18"/>
          <w:szCs w:val="20"/>
          <w:lang w:val="es-ES_tradnl"/>
        </w:rPr>
        <w:t xml:space="preserve">Superficie logística total disponible </w:t>
      </w:r>
      <w:r>
        <w:rPr>
          <w:rFonts w:ascii="Arial" w:hAnsi="Arial" w:cs="Arial"/>
          <w:sz w:val="18"/>
          <w:szCs w:val="20"/>
          <w:lang w:val="es-ES_tradnl"/>
        </w:rPr>
        <w:t xml:space="preserve">en el país </w:t>
      </w:r>
      <w:r w:rsidRPr="00C40230">
        <w:rPr>
          <w:rFonts w:ascii="Arial" w:hAnsi="Arial" w:cs="Arial"/>
          <w:sz w:val="18"/>
          <w:szCs w:val="20"/>
          <w:lang w:val="es-ES_tradnl"/>
        </w:rPr>
        <w:t>=</w:t>
      </w:r>
      <w:r>
        <w:rPr>
          <w:rFonts w:ascii="Arial" w:hAnsi="Arial" w:cs="Arial"/>
          <w:sz w:val="18"/>
          <w:szCs w:val="20"/>
          <w:lang w:val="es-ES_tradnl"/>
        </w:rPr>
        <w:t xml:space="preserve"> 2.100 hectáreas. </w:t>
      </w:r>
    </w:p>
    <w:p w14:paraId="0E0DB15D" w14:textId="77777777" w:rsidR="00DB4774" w:rsidRPr="00D96264" w:rsidRDefault="00DB4774" w:rsidP="00602677">
      <w:pPr>
        <w:pStyle w:val="FootnoteText"/>
        <w:jc w:val="both"/>
        <w:rPr>
          <w:lang w:val="es-BO"/>
        </w:rPr>
      </w:pPr>
      <w:r w:rsidRPr="00C40230">
        <w:rPr>
          <w:rFonts w:ascii="Arial" w:hAnsi="Arial" w:cs="Arial"/>
          <w:b/>
          <w:sz w:val="18"/>
          <w:lang w:val="es-ES_tradnl"/>
        </w:rPr>
        <w:t>Fuente</w:t>
      </w:r>
      <w:r>
        <w:rPr>
          <w:rFonts w:ascii="Arial" w:hAnsi="Arial" w:cs="Arial"/>
          <w:b/>
          <w:sz w:val="18"/>
          <w:lang w:val="es-ES_tradnl"/>
        </w:rPr>
        <w:t xml:space="preserve">: </w:t>
      </w:r>
      <w:r w:rsidRPr="00602677">
        <w:rPr>
          <w:rFonts w:ascii="Arial" w:hAnsi="Arial" w:cs="Arial"/>
          <w:sz w:val="18"/>
          <w:lang w:val="es-ES_tradnl"/>
        </w:rPr>
        <w:t>Diagnóstico del PNLOG, 2013, con insumo del MICI.</w:t>
      </w:r>
    </w:p>
  </w:footnote>
  <w:footnote w:id="7">
    <w:p w14:paraId="3E59F49B" w14:textId="77777777" w:rsidR="00DB4774" w:rsidRPr="0024341F" w:rsidRDefault="00DB4774">
      <w:pPr>
        <w:pStyle w:val="FootnoteText"/>
        <w:rPr>
          <w:color w:val="FF0000"/>
          <w:lang w:val="es-BO"/>
        </w:rPr>
      </w:pPr>
      <w:r>
        <w:rPr>
          <w:rStyle w:val="FootnoteReference"/>
        </w:rPr>
        <w:footnoteRef/>
      </w:r>
      <w:r>
        <w:t xml:space="preserve"> </w:t>
      </w:r>
      <w:r w:rsidRPr="00BD5AA8">
        <w:rPr>
          <w:rFonts w:ascii="Arial" w:hAnsi="Arial" w:cs="Arial"/>
          <w:sz w:val="18"/>
          <w:lang w:val="es-ES_tradnl"/>
        </w:rPr>
        <w:t>Las disciplinas están detalladas en el Plan de Monitoreo, en la sección de los indicadores.</w:t>
      </w:r>
      <w:r w:rsidRPr="00BD5AA8">
        <w:rPr>
          <w:lang w:val="es-BO"/>
        </w:rPr>
        <w:t xml:space="preserve"> </w:t>
      </w:r>
    </w:p>
  </w:footnote>
  <w:footnote w:id="8">
    <w:p w14:paraId="1C09C483" w14:textId="77777777" w:rsidR="00DB4774" w:rsidRPr="0024341F" w:rsidRDefault="00DB4774" w:rsidP="0024341F">
      <w:pPr>
        <w:spacing w:after="0" w:line="240" w:lineRule="auto"/>
        <w:ind w:hanging="18"/>
        <w:jc w:val="both"/>
        <w:rPr>
          <w:rFonts w:ascii="Arial" w:hAnsi="Arial" w:cs="Arial"/>
          <w:sz w:val="18"/>
          <w:szCs w:val="20"/>
          <w:lang w:val="es-ES_tradnl"/>
        </w:rPr>
      </w:pPr>
      <w:r>
        <w:rPr>
          <w:rStyle w:val="FootnoteReference"/>
        </w:rPr>
        <w:footnoteRef/>
      </w:r>
      <w:r w:rsidRPr="0024341F">
        <w:rPr>
          <w:lang w:val="es-BO"/>
        </w:rPr>
        <w:t xml:space="preserve"> </w:t>
      </w:r>
      <w:r w:rsidRPr="0024341F">
        <w:rPr>
          <w:rFonts w:ascii="Arial" w:hAnsi="Arial" w:cs="Arial"/>
          <w:b/>
          <w:sz w:val="18"/>
          <w:szCs w:val="20"/>
          <w:lang w:val="es-ES_tradnl"/>
        </w:rPr>
        <w:t>Línea de Base</w:t>
      </w:r>
      <w:r w:rsidRPr="0024341F">
        <w:rPr>
          <w:rFonts w:ascii="Arial" w:hAnsi="Arial" w:cs="Arial"/>
          <w:sz w:val="18"/>
          <w:szCs w:val="20"/>
          <w:lang w:val="es-ES_tradnl"/>
        </w:rPr>
        <w:t xml:space="preserve">: disciplinas logísticas demandadas que </w:t>
      </w:r>
      <w:proofErr w:type="gramStart"/>
      <w:r w:rsidRPr="0024341F">
        <w:rPr>
          <w:rFonts w:ascii="Arial" w:hAnsi="Arial" w:cs="Arial"/>
          <w:sz w:val="18"/>
          <w:szCs w:val="20"/>
          <w:lang w:val="es-ES_tradnl"/>
        </w:rPr>
        <w:t>son  impartidas</w:t>
      </w:r>
      <w:proofErr w:type="gramEnd"/>
      <w:r w:rsidRPr="0024341F">
        <w:rPr>
          <w:rFonts w:ascii="Arial" w:hAnsi="Arial" w:cs="Arial"/>
          <w:sz w:val="18"/>
          <w:szCs w:val="20"/>
          <w:lang w:val="es-ES_tradnl"/>
        </w:rPr>
        <w:t xml:space="preserve"> en el país = 29 (13 universitarias, 13 vocacionales y 3 cursos cortos)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9ED93" w14:textId="77777777" w:rsidR="00DB4774" w:rsidRPr="00AD2019" w:rsidRDefault="00DB4774" w:rsidP="000001F4">
    <w:pPr>
      <w:pStyle w:val="Header"/>
      <w:tabs>
        <w:tab w:val="clear" w:pos="4513"/>
        <w:tab w:val="clear" w:pos="9026"/>
        <w:tab w:val="center" w:pos="6480"/>
        <w:tab w:val="right" w:pos="12960"/>
      </w:tabs>
      <w:jc w:val="right"/>
      <w:rPr>
        <w:rFonts w:ascii="Arial" w:hAnsi="Arial" w:cs="Arial"/>
        <w:lang w:val="es-PA"/>
      </w:rPr>
    </w:pPr>
    <w:r w:rsidRPr="000001F4">
      <w:rPr>
        <w:rFonts w:ascii="Times New Roman" w:hAnsi="Times New Roman"/>
        <w:sz w:val="24"/>
      </w:rPr>
      <w:tab/>
    </w:r>
    <w:r w:rsidRPr="000001F4">
      <w:rPr>
        <w:rFonts w:ascii="Times New Roman" w:hAnsi="Times New Roman"/>
        <w:sz w:val="24"/>
      </w:rPr>
      <w:tab/>
    </w:r>
    <w:r w:rsidRPr="00AD2019">
      <w:rPr>
        <w:rFonts w:ascii="Arial" w:hAnsi="Arial" w:cs="Arial"/>
        <w:szCs w:val="24"/>
        <w:lang w:val="es-ES_tradnl"/>
      </w:rPr>
      <w:t xml:space="preserve">Página </w:t>
    </w:r>
    <w:r w:rsidRPr="00AD2019">
      <w:rPr>
        <w:rFonts w:ascii="Arial" w:hAnsi="Arial" w:cs="Arial"/>
        <w:bCs/>
        <w:szCs w:val="24"/>
        <w:lang w:val="es-ES_tradnl"/>
      </w:rPr>
      <w:fldChar w:fldCharType="begin"/>
    </w:r>
    <w:r w:rsidRPr="00AD2019">
      <w:rPr>
        <w:rFonts w:ascii="Arial" w:hAnsi="Arial" w:cs="Arial"/>
        <w:bCs/>
        <w:szCs w:val="24"/>
        <w:lang w:val="es-ES_tradnl"/>
      </w:rPr>
      <w:instrText xml:space="preserve"> PAGE </w:instrText>
    </w:r>
    <w:r w:rsidRPr="00AD2019">
      <w:rPr>
        <w:rFonts w:ascii="Arial" w:hAnsi="Arial" w:cs="Arial"/>
        <w:bCs/>
        <w:szCs w:val="24"/>
        <w:lang w:val="es-ES_tradnl"/>
      </w:rPr>
      <w:fldChar w:fldCharType="separate"/>
    </w:r>
    <w:r>
      <w:rPr>
        <w:rFonts w:ascii="Arial" w:hAnsi="Arial" w:cs="Arial"/>
        <w:bCs/>
        <w:noProof/>
        <w:szCs w:val="24"/>
        <w:lang w:val="es-ES_tradnl"/>
      </w:rPr>
      <w:t>1</w:t>
    </w:r>
    <w:r w:rsidRPr="00AD2019">
      <w:rPr>
        <w:rFonts w:ascii="Arial" w:hAnsi="Arial" w:cs="Arial"/>
        <w:bCs/>
        <w:szCs w:val="24"/>
        <w:lang w:val="es-ES_tradnl"/>
      </w:rPr>
      <w:fldChar w:fldCharType="end"/>
    </w:r>
    <w:r w:rsidRPr="00AD2019">
      <w:rPr>
        <w:rFonts w:ascii="Arial" w:hAnsi="Arial" w:cs="Arial"/>
        <w:szCs w:val="24"/>
        <w:lang w:val="es-ES_tradnl"/>
      </w:rPr>
      <w:t xml:space="preserve"> de </w:t>
    </w:r>
    <w:r w:rsidRPr="00AD2019">
      <w:rPr>
        <w:rFonts w:ascii="Arial" w:hAnsi="Arial" w:cs="Arial"/>
        <w:bCs/>
        <w:szCs w:val="24"/>
        <w:lang w:val="es-ES_tradnl"/>
      </w:rPr>
      <w:fldChar w:fldCharType="begin"/>
    </w:r>
    <w:r w:rsidRPr="00AD2019">
      <w:rPr>
        <w:rFonts w:ascii="Arial" w:hAnsi="Arial" w:cs="Arial"/>
        <w:bCs/>
        <w:szCs w:val="24"/>
        <w:lang w:val="es-ES_tradnl"/>
      </w:rPr>
      <w:instrText xml:space="preserve"> NUMPAGES  </w:instrText>
    </w:r>
    <w:r w:rsidRPr="00AD2019">
      <w:rPr>
        <w:rFonts w:ascii="Arial" w:hAnsi="Arial" w:cs="Arial"/>
        <w:bCs/>
        <w:szCs w:val="24"/>
        <w:lang w:val="es-ES_tradnl"/>
      </w:rPr>
      <w:fldChar w:fldCharType="separate"/>
    </w:r>
    <w:r>
      <w:rPr>
        <w:rFonts w:ascii="Arial" w:hAnsi="Arial" w:cs="Arial"/>
        <w:bCs/>
        <w:noProof/>
        <w:szCs w:val="24"/>
        <w:lang w:val="es-ES_tradnl"/>
      </w:rPr>
      <w:t>8</w:t>
    </w:r>
    <w:r w:rsidRPr="00AD2019">
      <w:rPr>
        <w:rFonts w:ascii="Arial" w:hAnsi="Arial" w:cs="Arial"/>
        <w:bCs/>
        <w:szCs w:val="24"/>
        <w:lang w:val="es-ES_tradnl"/>
      </w:rPr>
      <w:fldChar w:fldCharType="end"/>
    </w:r>
    <w:r w:rsidRPr="00AD2019">
      <w:rPr>
        <w:rFonts w:ascii="Arial" w:hAnsi="Arial" w:cs="Arial"/>
        <w:bCs/>
        <w:szCs w:val="24"/>
        <w:lang w:val="es-P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134C"/>
    <w:multiLevelType w:val="hybridMultilevel"/>
    <w:tmpl w:val="634E2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B6288"/>
    <w:multiLevelType w:val="hybridMultilevel"/>
    <w:tmpl w:val="D5825F8A"/>
    <w:lvl w:ilvl="0" w:tplc="4A1C92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C41F7"/>
    <w:multiLevelType w:val="hybridMultilevel"/>
    <w:tmpl w:val="8D0C9B22"/>
    <w:lvl w:ilvl="0" w:tplc="CC8A810E">
      <w:start w:val="1"/>
      <w:numFmt w:val="lowerRoman"/>
      <w:lvlText w:val="%1."/>
      <w:lvlJc w:val="left"/>
      <w:pPr>
        <w:ind w:left="702" w:hanging="72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 w15:restartNumberingAfterBreak="0">
    <w:nsid w:val="06231DF7"/>
    <w:multiLevelType w:val="hybridMultilevel"/>
    <w:tmpl w:val="BE266764"/>
    <w:lvl w:ilvl="0" w:tplc="996E848E">
      <w:start w:val="2012"/>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493E9F"/>
    <w:multiLevelType w:val="hybridMultilevel"/>
    <w:tmpl w:val="2D325AE2"/>
    <w:lvl w:ilvl="0" w:tplc="E3B4F8D2">
      <w:start w:val="2012"/>
      <w:numFmt w:val="bullet"/>
      <w:lvlText w:val=""/>
      <w:lvlJc w:val="left"/>
      <w:pPr>
        <w:ind w:left="1440" w:hanging="360"/>
      </w:pPr>
      <w:rPr>
        <w:rFonts w:ascii="Symbol" w:eastAsia="Calibri"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9192798"/>
    <w:multiLevelType w:val="hybridMultilevel"/>
    <w:tmpl w:val="3AECECC2"/>
    <w:lvl w:ilvl="0" w:tplc="C5BA1768">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 w15:restartNumberingAfterBreak="0">
    <w:nsid w:val="0DAB7FC9"/>
    <w:multiLevelType w:val="multilevel"/>
    <w:tmpl w:val="7C1A4EC0"/>
    <w:lvl w:ilvl="0">
      <w:start w:val="2"/>
      <w:numFmt w:val="none"/>
      <w:lvlText w:val="I."/>
      <w:lvlJc w:val="center"/>
      <w:pPr>
        <w:tabs>
          <w:tab w:val="num" w:pos="648"/>
        </w:tabs>
        <w:ind w:left="0" w:firstLine="288"/>
      </w:pPr>
      <w:rPr>
        <w:b/>
        <w:i w:val="0"/>
      </w:rPr>
    </w:lvl>
    <w:lvl w:ilvl="1">
      <w:start w:val="6"/>
      <w:numFmt w:val="decimal"/>
      <w:pStyle w:val="Paragraph"/>
      <w:isLgl/>
      <w:lvlText w:val="1.%2"/>
      <w:lvlJc w:val="left"/>
      <w:pPr>
        <w:tabs>
          <w:tab w:val="num" w:pos="720"/>
        </w:tabs>
        <w:ind w:left="720" w:hanging="720"/>
      </w:pPr>
      <w:rPr>
        <w:rFonts w:ascii="Times New Roman" w:hAnsi="Times New Roman" w:cs="Times New Roman" w:hint="default"/>
        <w:b w:val="0"/>
        <w:color w:val="auto"/>
        <w:sz w:val="24"/>
        <w:szCs w:val="24"/>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15:restartNumberingAfterBreak="0">
    <w:nsid w:val="0DE96772"/>
    <w:multiLevelType w:val="hybridMultilevel"/>
    <w:tmpl w:val="630C5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05072E8"/>
    <w:multiLevelType w:val="hybridMultilevel"/>
    <w:tmpl w:val="DCD44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4"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29AE2449"/>
    <w:multiLevelType w:val="hybridMultilevel"/>
    <w:tmpl w:val="683C5F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2BC673D3"/>
    <w:multiLevelType w:val="hybridMultilevel"/>
    <w:tmpl w:val="5FA4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B519C0"/>
    <w:multiLevelType w:val="hybridMultilevel"/>
    <w:tmpl w:val="18B071C4"/>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9" w15:restartNumberingAfterBreak="0">
    <w:nsid w:val="302C4A1C"/>
    <w:multiLevelType w:val="hybridMultilevel"/>
    <w:tmpl w:val="975E7F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89474E"/>
    <w:multiLevelType w:val="hybridMultilevel"/>
    <w:tmpl w:val="0E18087C"/>
    <w:lvl w:ilvl="0" w:tplc="51C68E6A">
      <w:start w:val="2012"/>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2E727A"/>
    <w:multiLevelType w:val="hybridMultilevel"/>
    <w:tmpl w:val="2682B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4" w15:restartNumberingAfterBreak="0">
    <w:nsid w:val="484D7F15"/>
    <w:multiLevelType w:val="hybridMultilevel"/>
    <w:tmpl w:val="CC80FCC2"/>
    <w:lvl w:ilvl="0" w:tplc="B8202062">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15:restartNumberingAfterBreak="0">
    <w:nsid w:val="4B38667B"/>
    <w:multiLevelType w:val="hybridMultilevel"/>
    <w:tmpl w:val="9B242F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4B6D4E83"/>
    <w:multiLevelType w:val="hybridMultilevel"/>
    <w:tmpl w:val="98D24082"/>
    <w:lvl w:ilvl="0" w:tplc="04090001">
      <w:start w:val="1"/>
      <w:numFmt w:val="bullet"/>
      <w:lvlText w:val=""/>
      <w:lvlJc w:val="left"/>
      <w:pPr>
        <w:ind w:left="911" w:hanging="360"/>
      </w:pPr>
      <w:rPr>
        <w:rFonts w:ascii="Symbol" w:hAnsi="Symbol" w:hint="default"/>
      </w:rPr>
    </w:lvl>
    <w:lvl w:ilvl="1" w:tplc="04090003" w:tentative="1">
      <w:start w:val="1"/>
      <w:numFmt w:val="bullet"/>
      <w:lvlText w:val="o"/>
      <w:lvlJc w:val="left"/>
      <w:pPr>
        <w:ind w:left="1631" w:hanging="360"/>
      </w:pPr>
      <w:rPr>
        <w:rFonts w:ascii="Courier New" w:hAnsi="Courier New" w:cs="Courier New" w:hint="default"/>
      </w:rPr>
    </w:lvl>
    <w:lvl w:ilvl="2" w:tplc="04090005" w:tentative="1">
      <w:start w:val="1"/>
      <w:numFmt w:val="bullet"/>
      <w:lvlText w:val=""/>
      <w:lvlJc w:val="left"/>
      <w:pPr>
        <w:ind w:left="2351" w:hanging="360"/>
      </w:pPr>
      <w:rPr>
        <w:rFonts w:ascii="Wingdings" w:hAnsi="Wingdings" w:hint="default"/>
      </w:rPr>
    </w:lvl>
    <w:lvl w:ilvl="3" w:tplc="04090001" w:tentative="1">
      <w:start w:val="1"/>
      <w:numFmt w:val="bullet"/>
      <w:lvlText w:val=""/>
      <w:lvlJc w:val="left"/>
      <w:pPr>
        <w:ind w:left="3071" w:hanging="360"/>
      </w:pPr>
      <w:rPr>
        <w:rFonts w:ascii="Symbol" w:hAnsi="Symbol" w:hint="default"/>
      </w:rPr>
    </w:lvl>
    <w:lvl w:ilvl="4" w:tplc="04090003" w:tentative="1">
      <w:start w:val="1"/>
      <w:numFmt w:val="bullet"/>
      <w:lvlText w:val="o"/>
      <w:lvlJc w:val="left"/>
      <w:pPr>
        <w:ind w:left="3791" w:hanging="360"/>
      </w:pPr>
      <w:rPr>
        <w:rFonts w:ascii="Courier New" w:hAnsi="Courier New" w:cs="Courier New" w:hint="default"/>
      </w:rPr>
    </w:lvl>
    <w:lvl w:ilvl="5" w:tplc="04090005" w:tentative="1">
      <w:start w:val="1"/>
      <w:numFmt w:val="bullet"/>
      <w:lvlText w:val=""/>
      <w:lvlJc w:val="left"/>
      <w:pPr>
        <w:ind w:left="4511" w:hanging="360"/>
      </w:pPr>
      <w:rPr>
        <w:rFonts w:ascii="Wingdings" w:hAnsi="Wingdings" w:hint="default"/>
      </w:rPr>
    </w:lvl>
    <w:lvl w:ilvl="6" w:tplc="04090001" w:tentative="1">
      <w:start w:val="1"/>
      <w:numFmt w:val="bullet"/>
      <w:lvlText w:val=""/>
      <w:lvlJc w:val="left"/>
      <w:pPr>
        <w:ind w:left="5231" w:hanging="360"/>
      </w:pPr>
      <w:rPr>
        <w:rFonts w:ascii="Symbol" w:hAnsi="Symbol" w:hint="default"/>
      </w:rPr>
    </w:lvl>
    <w:lvl w:ilvl="7" w:tplc="04090003" w:tentative="1">
      <w:start w:val="1"/>
      <w:numFmt w:val="bullet"/>
      <w:lvlText w:val="o"/>
      <w:lvlJc w:val="left"/>
      <w:pPr>
        <w:ind w:left="5951" w:hanging="360"/>
      </w:pPr>
      <w:rPr>
        <w:rFonts w:ascii="Courier New" w:hAnsi="Courier New" w:cs="Courier New" w:hint="default"/>
      </w:rPr>
    </w:lvl>
    <w:lvl w:ilvl="8" w:tplc="04090005" w:tentative="1">
      <w:start w:val="1"/>
      <w:numFmt w:val="bullet"/>
      <w:lvlText w:val=""/>
      <w:lvlJc w:val="left"/>
      <w:pPr>
        <w:ind w:left="6671" w:hanging="360"/>
      </w:pPr>
      <w:rPr>
        <w:rFonts w:ascii="Wingdings" w:hAnsi="Wingdings" w:hint="default"/>
      </w:rPr>
    </w:lvl>
  </w:abstractNum>
  <w:abstractNum w:abstractNumId="27"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6A820BC"/>
    <w:multiLevelType w:val="hybridMultilevel"/>
    <w:tmpl w:val="E51CF0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0D93429"/>
    <w:multiLevelType w:val="hybridMultilevel"/>
    <w:tmpl w:val="F7A068CE"/>
    <w:lvl w:ilvl="0" w:tplc="945E84C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0"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31" w15:restartNumberingAfterBreak="0">
    <w:nsid w:val="68D44EA9"/>
    <w:multiLevelType w:val="hybridMultilevel"/>
    <w:tmpl w:val="F61892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6AA16422"/>
    <w:multiLevelType w:val="hybridMultilevel"/>
    <w:tmpl w:val="5AF6F62A"/>
    <w:lvl w:ilvl="0" w:tplc="D9E817B8">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3" w15:restartNumberingAfterBreak="0">
    <w:nsid w:val="6BEE6AFB"/>
    <w:multiLevelType w:val="hybridMultilevel"/>
    <w:tmpl w:val="65C8251C"/>
    <w:lvl w:ilvl="0" w:tplc="2E6E7AA4">
      <w:start w:val="1"/>
      <w:numFmt w:val="lowerRoman"/>
      <w:lvlText w:val="(%1)"/>
      <w:lvlJc w:val="left"/>
      <w:pPr>
        <w:ind w:left="635" w:hanging="720"/>
      </w:pPr>
      <w:rPr>
        <w:rFonts w:hint="default"/>
      </w:rPr>
    </w:lvl>
    <w:lvl w:ilvl="1" w:tplc="04090019" w:tentative="1">
      <w:start w:val="1"/>
      <w:numFmt w:val="lowerLetter"/>
      <w:lvlText w:val="%2."/>
      <w:lvlJc w:val="left"/>
      <w:pPr>
        <w:ind w:left="995" w:hanging="360"/>
      </w:pPr>
    </w:lvl>
    <w:lvl w:ilvl="2" w:tplc="0409001B" w:tentative="1">
      <w:start w:val="1"/>
      <w:numFmt w:val="lowerRoman"/>
      <w:lvlText w:val="%3."/>
      <w:lvlJc w:val="right"/>
      <w:pPr>
        <w:ind w:left="1715" w:hanging="180"/>
      </w:pPr>
    </w:lvl>
    <w:lvl w:ilvl="3" w:tplc="0409000F" w:tentative="1">
      <w:start w:val="1"/>
      <w:numFmt w:val="decimal"/>
      <w:lvlText w:val="%4."/>
      <w:lvlJc w:val="left"/>
      <w:pPr>
        <w:ind w:left="2435" w:hanging="360"/>
      </w:pPr>
    </w:lvl>
    <w:lvl w:ilvl="4" w:tplc="04090019" w:tentative="1">
      <w:start w:val="1"/>
      <w:numFmt w:val="lowerLetter"/>
      <w:lvlText w:val="%5."/>
      <w:lvlJc w:val="left"/>
      <w:pPr>
        <w:ind w:left="3155" w:hanging="360"/>
      </w:pPr>
    </w:lvl>
    <w:lvl w:ilvl="5" w:tplc="0409001B" w:tentative="1">
      <w:start w:val="1"/>
      <w:numFmt w:val="lowerRoman"/>
      <w:lvlText w:val="%6."/>
      <w:lvlJc w:val="right"/>
      <w:pPr>
        <w:ind w:left="3875" w:hanging="180"/>
      </w:pPr>
    </w:lvl>
    <w:lvl w:ilvl="6" w:tplc="0409000F" w:tentative="1">
      <w:start w:val="1"/>
      <w:numFmt w:val="decimal"/>
      <w:lvlText w:val="%7."/>
      <w:lvlJc w:val="left"/>
      <w:pPr>
        <w:ind w:left="4595" w:hanging="360"/>
      </w:pPr>
    </w:lvl>
    <w:lvl w:ilvl="7" w:tplc="04090019" w:tentative="1">
      <w:start w:val="1"/>
      <w:numFmt w:val="lowerLetter"/>
      <w:lvlText w:val="%8."/>
      <w:lvlJc w:val="left"/>
      <w:pPr>
        <w:ind w:left="5315" w:hanging="360"/>
      </w:pPr>
    </w:lvl>
    <w:lvl w:ilvl="8" w:tplc="0409001B" w:tentative="1">
      <w:start w:val="1"/>
      <w:numFmt w:val="lowerRoman"/>
      <w:lvlText w:val="%9."/>
      <w:lvlJc w:val="right"/>
      <w:pPr>
        <w:ind w:left="6035" w:hanging="180"/>
      </w:pPr>
    </w:lvl>
  </w:abstractNum>
  <w:abstractNum w:abstractNumId="34"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F5A1F6E"/>
    <w:multiLevelType w:val="hybridMultilevel"/>
    <w:tmpl w:val="FB9C4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87143B"/>
    <w:multiLevelType w:val="hybridMultilevel"/>
    <w:tmpl w:val="ADE22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BA1A64"/>
    <w:multiLevelType w:val="hybridMultilevel"/>
    <w:tmpl w:val="47B2D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B45659"/>
    <w:multiLevelType w:val="hybridMultilevel"/>
    <w:tmpl w:val="345297E2"/>
    <w:lvl w:ilvl="0" w:tplc="903277E0">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3"/>
  </w:num>
  <w:num w:numId="2">
    <w:abstractNumId w:val="12"/>
  </w:num>
  <w:num w:numId="3">
    <w:abstractNumId w:val="21"/>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num>
  <w:num w:numId="11">
    <w:abstractNumId w:val="11"/>
  </w:num>
  <w:num w:numId="12">
    <w:abstractNumId w:val="9"/>
  </w:num>
  <w:num w:numId="13">
    <w:abstractNumId w:val="34"/>
  </w:num>
  <w:num w:numId="14">
    <w:abstractNumId w:val="27"/>
  </w:num>
  <w:num w:numId="15">
    <w:abstractNumId w:val="30"/>
    <w:lvlOverride w:ilvl="0">
      <w:startOverride w:val="1"/>
    </w:lvlOverride>
    <w:lvlOverride w:ilvl="1"/>
    <w:lvlOverride w:ilvl="2"/>
    <w:lvlOverride w:ilvl="3"/>
    <w:lvlOverride w:ilvl="4"/>
    <w:lvlOverride w:ilvl="5"/>
    <w:lvlOverride w:ilvl="6"/>
    <w:lvlOverride w:ilvl="7"/>
    <w:lvlOverride w:ilvl="8"/>
  </w:num>
  <w:num w:numId="16">
    <w:abstractNumId w:val="33"/>
  </w:num>
  <w:num w:numId="17">
    <w:abstractNumId w:val="24"/>
  </w:num>
  <w:num w:numId="18">
    <w:abstractNumId w:val="1"/>
  </w:num>
  <w:num w:numId="19">
    <w:abstractNumId w:val="10"/>
  </w:num>
  <w:num w:numId="20">
    <w:abstractNumId w:val="37"/>
  </w:num>
  <w:num w:numId="21">
    <w:abstractNumId w:val="7"/>
  </w:num>
  <w:num w:numId="22">
    <w:abstractNumId w:val="6"/>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25"/>
  </w:num>
  <w:num w:numId="25">
    <w:abstractNumId w:val="31"/>
  </w:num>
  <w:num w:numId="26">
    <w:abstractNumId w:val="15"/>
  </w:num>
  <w:num w:numId="27">
    <w:abstractNumId w:val="28"/>
  </w:num>
  <w:num w:numId="28">
    <w:abstractNumId w:val="19"/>
  </w:num>
  <w:num w:numId="29">
    <w:abstractNumId w:val="0"/>
  </w:num>
  <w:num w:numId="30">
    <w:abstractNumId w:val="35"/>
  </w:num>
  <w:num w:numId="31">
    <w:abstractNumId w:val="16"/>
  </w:num>
  <w:num w:numId="32">
    <w:abstractNumId w:val="26"/>
  </w:num>
  <w:num w:numId="33">
    <w:abstractNumId w:val="22"/>
  </w:num>
  <w:num w:numId="34">
    <w:abstractNumId w:val="29"/>
  </w:num>
  <w:num w:numId="35">
    <w:abstractNumId w:val="5"/>
  </w:num>
  <w:num w:numId="36">
    <w:abstractNumId w:val="2"/>
  </w:num>
  <w:num w:numId="37">
    <w:abstractNumId w:val="38"/>
  </w:num>
  <w:num w:numId="38">
    <w:abstractNumId w:val="17"/>
  </w:num>
  <w:num w:numId="39">
    <w:abstractNumId w:val="32"/>
  </w:num>
  <w:num w:numId="40">
    <w:abstractNumId w:val="3"/>
  </w:num>
  <w:num w:numId="41">
    <w:abstractNumId w:val="20"/>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C59"/>
    <w:rsid w:val="000001F4"/>
    <w:rsid w:val="00000A82"/>
    <w:rsid w:val="00000DE5"/>
    <w:rsid w:val="0000104A"/>
    <w:rsid w:val="00002914"/>
    <w:rsid w:val="00002FBE"/>
    <w:rsid w:val="00005605"/>
    <w:rsid w:val="00006E19"/>
    <w:rsid w:val="00007303"/>
    <w:rsid w:val="00007A13"/>
    <w:rsid w:val="00007C9C"/>
    <w:rsid w:val="00010E40"/>
    <w:rsid w:val="00010F81"/>
    <w:rsid w:val="00012021"/>
    <w:rsid w:val="00016F82"/>
    <w:rsid w:val="000218AE"/>
    <w:rsid w:val="00021AF9"/>
    <w:rsid w:val="00021EBB"/>
    <w:rsid w:val="000221F1"/>
    <w:rsid w:val="00022A27"/>
    <w:rsid w:val="000230EA"/>
    <w:rsid w:val="00023C48"/>
    <w:rsid w:val="00024CF5"/>
    <w:rsid w:val="0002526D"/>
    <w:rsid w:val="00025C6D"/>
    <w:rsid w:val="00026183"/>
    <w:rsid w:val="0004302D"/>
    <w:rsid w:val="000437E8"/>
    <w:rsid w:val="00045431"/>
    <w:rsid w:val="00051DF2"/>
    <w:rsid w:val="00053EE7"/>
    <w:rsid w:val="00056132"/>
    <w:rsid w:val="00056F4C"/>
    <w:rsid w:val="00063B91"/>
    <w:rsid w:val="00065D0B"/>
    <w:rsid w:val="000660DE"/>
    <w:rsid w:val="000701B1"/>
    <w:rsid w:val="00072628"/>
    <w:rsid w:val="00072867"/>
    <w:rsid w:val="00073E7D"/>
    <w:rsid w:val="00074BA4"/>
    <w:rsid w:val="000751B3"/>
    <w:rsid w:val="00075F82"/>
    <w:rsid w:val="00076B06"/>
    <w:rsid w:val="00077337"/>
    <w:rsid w:val="00080701"/>
    <w:rsid w:val="00082FE0"/>
    <w:rsid w:val="00084601"/>
    <w:rsid w:val="00090381"/>
    <w:rsid w:val="000942DC"/>
    <w:rsid w:val="000A2132"/>
    <w:rsid w:val="000A55DE"/>
    <w:rsid w:val="000B219E"/>
    <w:rsid w:val="000B254C"/>
    <w:rsid w:val="000B326A"/>
    <w:rsid w:val="000B4FB5"/>
    <w:rsid w:val="000B6B5A"/>
    <w:rsid w:val="000B7EC5"/>
    <w:rsid w:val="000C128D"/>
    <w:rsid w:val="000C63C6"/>
    <w:rsid w:val="000C6D9D"/>
    <w:rsid w:val="000D1D59"/>
    <w:rsid w:val="000D2567"/>
    <w:rsid w:val="000D3D47"/>
    <w:rsid w:val="000D6BAF"/>
    <w:rsid w:val="000D75BC"/>
    <w:rsid w:val="000D783E"/>
    <w:rsid w:val="000E3FEE"/>
    <w:rsid w:val="000E5317"/>
    <w:rsid w:val="000E5438"/>
    <w:rsid w:val="000E751E"/>
    <w:rsid w:val="000F44DF"/>
    <w:rsid w:val="000F5D84"/>
    <w:rsid w:val="00101B1A"/>
    <w:rsid w:val="001046A5"/>
    <w:rsid w:val="001072F8"/>
    <w:rsid w:val="00110E29"/>
    <w:rsid w:val="001139F5"/>
    <w:rsid w:val="00113B4A"/>
    <w:rsid w:val="0011501A"/>
    <w:rsid w:val="00115379"/>
    <w:rsid w:val="001153A2"/>
    <w:rsid w:val="001166FB"/>
    <w:rsid w:val="00117A23"/>
    <w:rsid w:val="00121C5B"/>
    <w:rsid w:val="00124D60"/>
    <w:rsid w:val="0012516F"/>
    <w:rsid w:val="00125F4C"/>
    <w:rsid w:val="00126920"/>
    <w:rsid w:val="001275B3"/>
    <w:rsid w:val="00127CA3"/>
    <w:rsid w:val="00132B7B"/>
    <w:rsid w:val="00134095"/>
    <w:rsid w:val="00135F64"/>
    <w:rsid w:val="00141865"/>
    <w:rsid w:val="00143BD3"/>
    <w:rsid w:val="00143CAC"/>
    <w:rsid w:val="001516C4"/>
    <w:rsid w:val="001539B9"/>
    <w:rsid w:val="0015401A"/>
    <w:rsid w:val="00154E58"/>
    <w:rsid w:val="00155635"/>
    <w:rsid w:val="00155747"/>
    <w:rsid w:val="0016375D"/>
    <w:rsid w:val="00163ADE"/>
    <w:rsid w:val="00163C04"/>
    <w:rsid w:val="00166475"/>
    <w:rsid w:val="0016706D"/>
    <w:rsid w:val="0016734F"/>
    <w:rsid w:val="00167DD5"/>
    <w:rsid w:val="00174F17"/>
    <w:rsid w:val="00175010"/>
    <w:rsid w:val="00175282"/>
    <w:rsid w:val="00175284"/>
    <w:rsid w:val="00175735"/>
    <w:rsid w:val="00177249"/>
    <w:rsid w:val="001772F9"/>
    <w:rsid w:val="00180620"/>
    <w:rsid w:val="00180BFF"/>
    <w:rsid w:val="0018147E"/>
    <w:rsid w:val="00181A3D"/>
    <w:rsid w:val="0018321C"/>
    <w:rsid w:val="00185F7B"/>
    <w:rsid w:val="00186711"/>
    <w:rsid w:val="00186DE9"/>
    <w:rsid w:val="00191A42"/>
    <w:rsid w:val="001952D5"/>
    <w:rsid w:val="00195981"/>
    <w:rsid w:val="001975ED"/>
    <w:rsid w:val="001A2EC7"/>
    <w:rsid w:val="001A4F42"/>
    <w:rsid w:val="001A625A"/>
    <w:rsid w:val="001B0051"/>
    <w:rsid w:val="001B0148"/>
    <w:rsid w:val="001B0859"/>
    <w:rsid w:val="001B1433"/>
    <w:rsid w:val="001B3D7E"/>
    <w:rsid w:val="001B4470"/>
    <w:rsid w:val="001B46BF"/>
    <w:rsid w:val="001B53CA"/>
    <w:rsid w:val="001C0665"/>
    <w:rsid w:val="001C0B66"/>
    <w:rsid w:val="001C148F"/>
    <w:rsid w:val="001C231B"/>
    <w:rsid w:val="001C6F64"/>
    <w:rsid w:val="001C7114"/>
    <w:rsid w:val="001D03D7"/>
    <w:rsid w:val="001D1B01"/>
    <w:rsid w:val="001D28BC"/>
    <w:rsid w:val="001D542B"/>
    <w:rsid w:val="001D5AD8"/>
    <w:rsid w:val="001E0C89"/>
    <w:rsid w:val="001E55F3"/>
    <w:rsid w:val="001E562E"/>
    <w:rsid w:val="001F1290"/>
    <w:rsid w:val="001F298F"/>
    <w:rsid w:val="001F5182"/>
    <w:rsid w:val="001F5546"/>
    <w:rsid w:val="002010E1"/>
    <w:rsid w:val="002047F5"/>
    <w:rsid w:val="00205C50"/>
    <w:rsid w:val="002064ED"/>
    <w:rsid w:val="0020730F"/>
    <w:rsid w:val="0021583D"/>
    <w:rsid w:val="00217FE4"/>
    <w:rsid w:val="0022128F"/>
    <w:rsid w:val="00221E06"/>
    <w:rsid w:val="0022498F"/>
    <w:rsid w:val="0022614F"/>
    <w:rsid w:val="002314A3"/>
    <w:rsid w:val="00233600"/>
    <w:rsid w:val="00233A74"/>
    <w:rsid w:val="00234E26"/>
    <w:rsid w:val="00237E31"/>
    <w:rsid w:val="0024341F"/>
    <w:rsid w:val="00243656"/>
    <w:rsid w:val="00244663"/>
    <w:rsid w:val="002508F7"/>
    <w:rsid w:val="00251662"/>
    <w:rsid w:val="00252232"/>
    <w:rsid w:val="002531E1"/>
    <w:rsid w:val="00255DB7"/>
    <w:rsid w:val="00270FED"/>
    <w:rsid w:val="00272AE2"/>
    <w:rsid w:val="00272EF5"/>
    <w:rsid w:val="0027411D"/>
    <w:rsid w:val="00274326"/>
    <w:rsid w:val="002805D5"/>
    <w:rsid w:val="0028086A"/>
    <w:rsid w:val="00282CA4"/>
    <w:rsid w:val="0028444A"/>
    <w:rsid w:val="00284E26"/>
    <w:rsid w:val="00285D55"/>
    <w:rsid w:val="00287836"/>
    <w:rsid w:val="00291086"/>
    <w:rsid w:val="00292862"/>
    <w:rsid w:val="002952DD"/>
    <w:rsid w:val="00295657"/>
    <w:rsid w:val="00296E29"/>
    <w:rsid w:val="002A2752"/>
    <w:rsid w:val="002A3768"/>
    <w:rsid w:val="002A413F"/>
    <w:rsid w:val="002A460D"/>
    <w:rsid w:val="002A4D3B"/>
    <w:rsid w:val="002A5A64"/>
    <w:rsid w:val="002A5F4E"/>
    <w:rsid w:val="002A7A35"/>
    <w:rsid w:val="002B287B"/>
    <w:rsid w:val="002B2F6E"/>
    <w:rsid w:val="002B5CA4"/>
    <w:rsid w:val="002B6A6F"/>
    <w:rsid w:val="002C1469"/>
    <w:rsid w:val="002C48F5"/>
    <w:rsid w:val="002C6ADB"/>
    <w:rsid w:val="002C7D1C"/>
    <w:rsid w:val="002D154A"/>
    <w:rsid w:val="002D2F6F"/>
    <w:rsid w:val="002D3CA1"/>
    <w:rsid w:val="002D4796"/>
    <w:rsid w:val="002D625C"/>
    <w:rsid w:val="002D66A3"/>
    <w:rsid w:val="002E3D8C"/>
    <w:rsid w:val="002F08D6"/>
    <w:rsid w:val="002F1C63"/>
    <w:rsid w:val="002F481B"/>
    <w:rsid w:val="002F499E"/>
    <w:rsid w:val="002F5B7A"/>
    <w:rsid w:val="002F5FD4"/>
    <w:rsid w:val="002F6774"/>
    <w:rsid w:val="002F6A68"/>
    <w:rsid w:val="002F7DB3"/>
    <w:rsid w:val="00300C59"/>
    <w:rsid w:val="00300F9F"/>
    <w:rsid w:val="0030111C"/>
    <w:rsid w:val="003022F1"/>
    <w:rsid w:val="00303622"/>
    <w:rsid w:val="003063EE"/>
    <w:rsid w:val="00306655"/>
    <w:rsid w:val="00306AC0"/>
    <w:rsid w:val="00306D38"/>
    <w:rsid w:val="00310FE4"/>
    <w:rsid w:val="00311A92"/>
    <w:rsid w:val="00313E41"/>
    <w:rsid w:val="003144FF"/>
    <w:rsid w:val="003158DF"/>
    <w:rsid w:val="003163A2"/>
    <w:rsid w:val="00322013"/>
    <w:rsid w:val="003225C8"/>
    <w:rsid w:val="00326973"/>
    <w:rsid w:val="00327AA2"/>
    <w:rsid w:val="00327AD0"/>
    <w:rsid w:val="00330F73"/>
    <w:rsid w:val="00335BFD"/>
    <w:rsid w:val="00341A7E"/>
    <w:rsid w:val="003429F0"/>
    <w:rsid w:val="00343B28"/>
    <w:rsid w:val="00344A2E"/>
    <w:rsid w:val="00347930"/>
    <w:rsid w:val="00347BBC"/>
    <w:rsid w:val="003524E1"/>
    <w:rsid w:val="00354689"/>
    <w:rsid w:val="00354D7A"/>
    <w:rsid w:val="00355CDE"/>
    <w:rsid w:val="00357C79"/>
    <w:rsid w:val="00361DF3"/>
    <w:rsid w:val="003630BC"/>
    <w:rsid w:val="00363851"/>
    <w:rsid w:val="00363F19"/>
    <w:rsid w:val="0037043C"/>
    <w:rsid w:val="00370E77"/>
    <w:rsid w:val="00372642"/>
    <w:rsid w:val="00373FC0"/>
    <w:rsid w:val="0038142E"/>
    <w:rsid w:val="00381C40"/>
    <w:rsid w:val="00387E46"/>
    <w:rsid w:val="00387E97"/>
    <w:rsid w:val="003901F3"/>
    <w:rsid w:val="003920ED"/>
    <w:rsid w:val="00395036"/>
    <w:rsid w:val="00395B83"/>
    <w:rsid w:val="003A17C7"/>
    <w:rsid w:val="003A1F08"/>
    <w:rsid w:val="003A2482"/>
    <w:rsid w:val="003A273B"/>
    <w:rsid w:val="003A51D9"/>
    <w:rsid w:val="003A6F39"/>
    <w:rsid w:val="003B175A"/>
    <w:rsid w:val="003B351C"/>
    <w:rsid w:val="003B4026"/>
    <w:rsid w:val="003B6A72"/>
    <w:rsid w:val="003B6D1D"/>
    <w:rsid w:val="003C1A3C"/>
    <w:rsid w:val="003C3092"/>
    <w:rsid w:val="003C326E"/>
    <w:rsid w:val="003D1E1D"/>
    <w:rsid w:val="003D3ACC"/>
    <w:rsid w:val="003D3C9B"/>
    <w:rsid w:val="003D4B6F"/>
    <w:rsid w:val="003D51CD"/>
    <w:rsid w:val="003D5B36"/>
    <w:rsid w:val="003D5C17"/>
    <w:rsid w:val="003D6919"/>
    <w:rsid w:val="003E044B"/>
    <w:rsid w:val="003E258D"/>
    <w:rsid w:val="003E4BDC"/>
    <w:rsid w:val="003F58AE"/>
    <w:rsid w:val="003F5CA6"/>
    <w:rsid w:val="004002FD"/>
    <w:rsid w:val="00401420"/>
    <w:rsid w:val="0040203C"/>
    <w:rsid w:val="0040263A"/>
    <w:rsid w:val="004040C7"/>
    <w:rsid w:val="00404238"/>
    <w:rsid w:val="004051F3"/>
    <w:rsid w:val="004058FE"/>
    <w:rsid w:val="0040752D"/>
    <w:rsid w:val="00407E88"/>
    <w:rsid w:val="004105E2"/>
    <w:rsid w:val="004113F9"/>
    <w:rsid w:val="004139B5"/>
    <w:rsid w:val="00413EBE"/>
    <w:rsid w:val="00421575"/>
    <w:rsid w:val="00421690"/>
    <w:rsid w:val="00424652"/>
    <w:rsid w:val="004252EA"/>
    <w:rsid w:val="00427488"/>
    <w:rsid w:val="00427852"/>
    <w:rsid w:val="00432037"/>
    <w:rsid w:val="004321D9"/>
    <w:rsid w:val="00434F7D"/>
    <w:rsid w:val="00436377"/>
    <w:rsid w:val="00436E41"/>
    <w:rsid w:val="00437CB8"/>
    <w:rsid w:val="00445BBD"/>
    <w:rsid w:val="00456690"/>
    <w:rsid w:val="00456C3D"/>
    <w:rsid w:val="00460803"/>
    <w:rsid w:val="00460ADB"/>
    <w:rsid w:val="0046310E"/>
    <w:rsid w:val="004632FE"/>
    <w:rsid w:val="00463EB0"/>
    <w:rsid w:val="0046791C"/>
    <w:rsid w:val="00470207"/>
    <w:rsid w:val="004711A1"/>
    <w:rsid w:val="004719B2"/>
    <w:rsid w:val="00472F8E"/>
    <w:rsid w:val="0047347A"/>
    <w:rsid w:val="00473DCF"/>
    <w:rsid w:val="0047735D"/>
    <w:rsid w:val="004806EF"/>
    <w:rsid w:val="004811BC"/>
    <w:rsid w:val="00485630"/>
    <w:rsid w:val="0048587F"/>
    <w:rsid w:val="00485F4E"/>
    <w:rsid w:val="00491F1E"/>
    <w:rsid w:val="00493D21"/>
    <w:rsid w:val="004958AD"/>
    <w:rsid w:val="004A10DB"/>
    <w:rsid w:val="004A17AE"/>
    <w:rsid w:val="004A21AA"/>
    <w:rsid w:val="004A2488"/>
    <w:rsid w:val="004A5F3D"/>
    <w:rsid w:val="004B01AD"/>
    <w:rsid w:val="004B032D"/>
    <w:rsid w:val="004B19F8"/>
    <w:rsid w:val="004B2CC6"/>
    <w:rsid w:val="004B6D3C"/>
    <w:rsid w:val="004B7EA8"/>
    <w:rsid w:val="004C0725"/>
    <w:rsid w:val="004C2AFF"/>
    <w:rsid w:val="004C2EFE"/>
    <w:rsid w:val="004C46EE"/>
    <w:rsid w:val="004C7055"/>
    <w:rsid w:val="004D2A96"/>
    <w:rsid w:val="004D319B"/>
    <w:rsid w:val="004D399D"/>
    <w:rsid w:val="004D5D3E"/>
    <w:rsid w:val="004D7BD1"/>
    <w:rsid w:val="004E604B"/>
    <w:rsid w:val="004E6A70"/>
    <w:rsid w:val="004F0084"/>
    <w:rsid w:val="004F55A0"/>
    <w:rsid w:val="004F5774"/>
    <w:rsid w:val="004F5EA1"/>
    <w:rsid w:val="004F6477"/>
    <w:rsid w:val="004F6B1C"/>
    <w:rsid w:val="004F6E52"/>
    <w:rsid w:val="004F7EEE"/>
    <w:rsid w:val="005006AE"/>
    <w:rsid w:val="0050148F"/>
    <w:rsid w:val="005016A2"/>
    <w:rsid w:val="005016CB"/>
    <w:rsid w:val="00504AA8"/>
    <w:rsid w:val="00504E92"/>
    <w:rsid w:val="00505074"/>
    <w:rsid w:val="00506622"/>
    <w:rsid w:val="00507157"/>
    <w:rsid w:val="00510EC1"/>
    <w:rsid w:val="005145CC"/>
    <w:rsid w:val="00514902"/>
    <w:rsid w:val="00515E78"/>
    <w:rsid w:val="00516F98"/>
    <w:rsid w:val="00520FE6"/>
    <w:rsid w:val="00521F6F"/>
    <w:rsid w:val="0052242E"/>
    <w:rsid w:val="00523B0F"/>
    <w:rsid w:val="00524650"/>
    <w:rsid w:val="00524CBB"/>
    <w:rsid w:val="00524F25"/>
    <w:rsid w:val="00530E5D"/>
    <w:rsid w:val="00532D11"/>
    <w:rsid w:val="0053473D"/>
    <w:rsid w:val="00534C95"/>
    <w:rsid w:val="00535810"/>
    <w:rsid w:val="00536BC4"/>
    <w:rsid w:val="005370B2"/>
    <w:rsid w:val="00543011"/>
    <w:rsid w:val="005463B5"/>
    <w:rsid w:val="00550170"/>
    <w:rsid w:val="00550753"/>
    <w:rsid w:val="00557AB4"/>
    <w:rsid w:val="005614B9"/>
    <w:rsid w:val="00562981"/>
    <w:rsid w:val="00562B92"/>
    <w:rsid w:val="00565E24"/>
    <w:rsid w:val="00567BA3"/>
    <w:rsid w:val="00570A24"/>
    <w:rsid w:val="00571301"/>
    <w:rsid w:val="00575968"/>
    <w:rsid w:val="00576594"/>
    <w:rsid w:val="00577C26"/>
    <w:rsid w:val="005805A4"/>
    <w:rsid w:val="005808DF"/>
    <w:rsid w:val="00581EB9"/>
    <w:rsid w:val="00586AB5"/>
    <w:rsid w:val="00591F0C"/>
    <w:rsid w:val="00596218"/>
    <w:rsid w:val="00596969"/>
    <w:rsid w:val="00597251"/>
    <w:rsid w:val="005A07F9"/>
    <w:rsid w:val="005A1166"/>
    <w:rsid w:val="005A11A0"/>
    <w:rsid w:val="005A2F94"/>
    <w:rsid w:val="005A4977"/>
    <w:rsid w:val="005A5CAF"/>
    <w:rsid w:val="005A6480"/>
    <w:rsid w:val="005A6C85"/>
    <w:rsid w:val="005A70FC"/>
    <w:rsid w:val="005A7AFD"/>
    <w:rsid w:val="005A7EE1"/>
    <w:rsid w:val="005B1138"/>
    <w:rsid w:val="005B11C3"/>
    <w:rsid w:val="005B238B"/>
    <w:rsid w:val="005B2468"/>
    <w:rsid w:val="005B474D"/>
    <w:rsid w:val="005B4808"/>
    <w:rsid w:val="005B6B73"/>
    <w:rsid w:val="005B6D98"/>
    <w:rsid w:val="005B7039"/>
    <w:rsid w:val="005B780E"/>
    <w:rsid w:val="005C0113"/>
    <w:rsid w:val="005C1F47"/>
    <w:rsid w:val="005C23C0"/>
    <w:rsid w:val="005C2870"/>
    <w:rsid w:val="005C29E5"/>
    <w:rsid w:val="005C34EC"/>
    <w:rsid w:val="005D087F"/>
    <w:rsid w:val="005D22B0"/>
    <w:rsid w:val="005D3C08"/>
    <w:rsid w:val="005D4D88"/>
    <w:rsid w:val="005D6ECE"/>
    <w:rsid w:val="005D78AF"/>
    <w:rsid w:val="005E224B"/>
    <w:rsid w:val="005E23F8"/>
    <w:rsid w:val="005E3920"/>
    <w:rsid w:val="005E3D74"/>
    <w:rsid w:val="005E464B"/>
    <w:rsid w:val="005E5075"/>
    <w:rsid w:val="005E7127"/>
    <w:rsid w:val="005E7E65"/>
    <w:rsid w:val="005F095E"/>
    <w:rsid w:val="005F0A3D"/>
    <w:rsid w:val="005F0DC9"/>
    <w:rsid w:val="005F0F86"/>
    <w:rsid w:val="005F7EAB"/>
    <w:rsid w:val="00602414"/>
    <w:rsid w:val="00602677"/>
    <w:rsid w:val="006026C6"/>
    <w:rsid w:val="006031A5"/>
    <w:rsid w:val="0060589D"/>
    <w:rsid w:val="00605B95"/>
    <w:rsid w:val="00605CE4"/>
    <w:rsid w:val="00611629"/>
    <w:rsid w:val="0061249A"/>
    <w:rsid w:val="006201AE"/>
    <w:rsid w:val="00620670"/>
    <w:rsid w:val="0062196D"/>
    <w:rsid w:val="006224BC"/>
    <w:rsid w:val="00623016"/>
    <w:rsid w:val="006239D7"/>
    <w:rsid w:val="00624474"/>
    <w:rsid w:val="00627F0D"/>
    <w:rsid w:val="00630780"/>
    <w:rsid w:val="00640658"/>
    <w:rsid w:val="00640FF9"/>
    <w:rsid w:val="006416F5"/>
    <w:rsid w:val="00651678"/>
    <w:rsid w:val="00653851"/>
    <w:rsid w:val="006541F4"/>
    <w:rsid w:val="00655B74"/>
    <w:rsid w:val="0065780D"/>
    <w:rsid w:val="00657DD4"/>
    <w:rsid w:val="00666567"/>
    <w:rsid w:val="00666C17"/>
    <w:rsid w:val="006707E4"/>
    <w:rsid w:val="00672BF2"/>
    <w:rsid w:val="00672F39"/>
    <w:rsid w:val="00673F1B"/>
    <w:rsid w:val="006745E9"/>
    <w:rsid w:val="0067482D"/>
    <w:rsid w:val="00674F2E"/>
    <w:rsid w:val="006763EA"/>
    <w:rsid w:val="00677814"/>
    <w:rsid w:val="00677A0C"/>
    <w:rsid w:val="00681A01"/>
    <w:rsid w:val="006825C0"/>
    <w:rsid w:val="00682967"/>
    <w:rsid w:val="00682DD0"/>
    <w:rsid w:val="00687723"/>
    <w:rsid w:val="00691CBC"/>
    <w:rsid w:val="00692DDF"/>
    <w:rsid w:val="00697BC0"/>
    <w:rsid w:val="006A2E20"/>
    <w:rsid w:val="006A3E41"/>
    <w:rsid w:val="006A43E0"/>
    <w:rsid w:val="006A480C"/>
    <w:rsid w:val="006A70A8"/>
    <w:rsid w:val="006B2583"/>
    <w:rsid w:val="006B6810"/>
    <w:rsid w:val="006B7266"/>
    <w:rsid w:val="006C283E"/>
    <w:rsid w:val="006C32DD"/>
    <w:rsid w:val="006C3571"/>
    <w:rsid w:val="006D02BD"/>
    <w:rsid w:val="006D3787"/>
    <w:rsid w:val="006D4643"/>
    <w:rsid w:val="006D5012"/>
    <w:rsid w:val="006D76D1"/>
    <w:rsid w:val="006E45D5"/>
    <w:rsid w:val="006E4629"/>
    <w:rsid w:val="006E63EF"/>
    <w:rsid w:val="006E6637"/>
    <w:rsid w:val="006E6F3C"/>
    <w:rsid w:val="006F1255"/>
    <w:rsid w:val="006F1CFC"/>
    <w:rsid w:val="006F20D9"/>
    <w:rsid w:val="006F4B96"/>
    <w:rsid w:val="006F5BF6"/>
    <w:rsid w:val="006F5C64"/>
    <w:rsid w:val="007002E7"/>
    <w:rsid w:val="00700322"/>
    <w:rsid w:val="00701FE5"/>
    <w:rsid w:val="0070208C"/>
    <w:rsid w:val="00704180"/>
    <w:rsid w:val="00706DFB"/>
    <w:rsid w:val="00707B99"/>
    <w:rsid w:val="00707F1C"/>
    <w:rsid w:val="00707F68"/>
    <w:rsid w:val="00713D10"/>
    <w:rsid w:val="007143FB"/>
    <w:rsid w:val="007147FC"/>
    <w:rsid w:val="00714873"/>
    <w:rsid w:val="00715EE9"/>
    <w:rsid w:val="00717693"/>
    <w:rsid w:val="00717911"/>
    <w:rsid w:val="00720EF4"/>
    <w:rsid w:val="00722B27"/>
    <w:rsid w:val="00723BE8"/>
    <w:rsid w:val="00724DE3"/>
    <w:rsid w:val="00726574"/>
    <w:rsid w:val="00730197"/>
    <w:rsid w:val="007305F6"/>
    <w:rsid w:val="007312A6"/>
    <w:rsid w:val="00732FFD"/>
    <w:rsid w:val="00733023"/>
    <w:rsid w:val="00736466"/>
    <w:rsid w:val="007364A3"/>
    <w:rsid w:val="00740747"/>
    <w:rsid w:val="007422E0"/>
    <w:rsid w:val="00743411"/>
    <w:rsid w:val="00743F44"/>
    <w:rsid w:val="0074719B"/>
    <w:rsid w:val="00747C01"/>
    <w:rsid w:val="00750B79"/>
    <w:rsid w:val="007510C0"/>
    <w:rsid w:val="00754CC9"/>
    <w:rsid w:val="00756C05"/>
    <w:rsid w:val="007610DB"/>
    <w:rsid w:val="0076121D"/>
    <w:rsid w:val="00762253"/>
    <w:rsid w:val="00762A60"/>
    <w:rsid w:val="0076329B"/>
    <w:rsid w:val="00764F8B"/>
    <w:rsid w:val="00765098"/>
    <w:rsid w:val="00766693"/>
    <w:rsid w:val="00767CDB"/>
    <w:rsid w:val="00770D03"/>
    <w:rsid w:val="00774118"/>
    <w:rsid w:val="00775DD9"/>
    <w:rsid w:val="00781455"/>
    <w:rsid w:val="00781B5E"/>
    <w:rsid w:val="0078452E"/>
    <w:rsid w:val="00784B5E"/>
    <w:rsid w:val="00784F1E"/>
    <w:rsid w:val="00785013"/>
    <w:rsid w:val="00785213"/>
    <w:rsid w:val="00785CAC"/>
    <w:rsid w:val="007902A9"/>
    <w:rsid w:val="00793437"/>
    <w:rsid w:val="00795976"/>
    <w:rsid w:val="007A1E69"/>
    <w:rsid w:val="007A2E03"/>
    <w:rsid w:val="007A37D0"/>
    <w:rsid w:val="007A4E9B"/>
    <w:rsid w:val="007A657D"/>
    <w:rsid w:val="007B0313"/>
    <w:rsid w:val="007B169B"/>
    <w:rsid w:val="007B680C"/>
    <w:rsid w:val="007B6ECD"/>
    <w:rsid w:val="007B7C28"/>
    <w:rsid w:val="007C461C"/>
    <w:rsid w:val="007D1607"/>
    <w:rsid w:val="007D1A17"/>
    <w:rsid w:val="007D3350"/>
    <w:rsid w:val="007D5D08"/>
    <w:rsid w:val="007D70C4"/>
    <w:rsid w:val="007E22A3"/>
    <w:rsid w:val="007E4F27"/>
    <w:rsid w:val="007E4FD9"/>
    <w:rsid w:val="007E5EEC"/>
    <w:rsid w:val="007E630F"/>
    <w:rsid w:val="007E772C"/>
    <w:rsid w:val="007F0BC9"/>
    <w:rsid w:val="007F4CC2"/>
    <w:rsid w:val="007F5898"/>
    <w:rsid w:val="007F7953"/>
    <w:rsid w:val="00803721"/>
    <w:rsid w:val="00806C7A"/>
    <w:rsid w:val="00807B91"/>
    <w:rsid w:val="008101BE"/>
    <w:rsid w:val="0081076D"/>
    <w:rsid w:val="008107B9"/>
    <w:rsid w:val="0081391B"/>
    <w:rsid w:val="008175CE"/>
    <w:rsid w:val="00821FAD"/>
    <w:rsid w:val="00822218"/>
    <w:rsid w:val="008228E6"/>
    <w:rsid w:val="008234FA"/>
    <w:rsid w:val="00825FAB"/>
    <w:rsid w:val="00831349"/>
    <w:rsid w:val="0083214A"/>
    <w:rsid w:val="00833383"/>
    <w:rsid w:val="00834D4C"/>
    <w:rsid w:val="00836AD8"/>
    <w:rsid w:val="00837B93"/>
    <w:rsid w:val="00842EB8"/>
    <w:rsid w:val="00843E77"/>
    <w:rsid w:val="008461D5"/>
    <w:rsid w:val="008504EC"/>
    <w:rsid w:val="00851ABF"/>
    <w:rsid w:val="00855305"/>
    <w:rsid w:val="00857D67"/>
    <w:rsid w:val="00860235"/>
    <w:rsid w:val="00863F5D"/>
    <w:rsid w:val="00870C92"/>
    <w:rsid w:val="00871E26"/>
    <w:rsid w:val="00873F19"/>
    <w:rsid w:val="00873FD0"/>
    <w:rsid w:val="00874FB2"/>
    <w:rsid w:val="008755DD"/>
    <w:rsid w:val="00876FCF"/>
    <w:rsid w:val="00877287"/>
    <w:rsid w:val="00877CFA"/>
    <w:rsid w:val="00882071"/>
    <w:rsid w:val="00883361"/>
    <w:rsid w:val="00885AB3"/>
    <w:rsid w:val="00886201"/>
    <w:rsid w:val="00891C03"/>
    <w:rsid w:val="008A3F30"/>
    <w:rsid w:val="008A72BA"/>
    <w:rsid w:val="008B05C6"/>
    <w:rsid w:val="008B3DAE"/>
    <w:rsid w:val="008B438B"/>
    <w:rsid w:val="008C1306"/>
    <w:rsid w:val="008C30B6"/>
    <w:rsid w:val="008C6E4D"/>
    <w:rsid w:val="008C765B"/>
    <w:rsid w:val="008D12A5"/>
    <w:rsid w:val="008D1829"/>
    <w:rsid w:val="008D29D0"/>
    <w:rsid w:val="008D3968"/>
    <w:rsid w:val="008D3C4E"/>
    <w:rsid w:val="008D6BC7"/>
    <w:rsid w:val="008E1457"/>
    <w:rsid w:val="008E663D"/>
    <w:rsid w:val="008E6F03"/>
    <w:rsid w:val="008E7135"/>
    <w:rsid w:val="008F0215"/>
    <w:rsid w:val="008F0BC1"/>
    <w:rsid w:val="008F2E3F"/>
    <w:rsid w:val="008F3A27"/>
    <w:rsid w:val="008F782C"/>
    <w:rsid w:val="00901604"/>
    <w:rsid w:val="00901707"/>
    <w:rsid w:val="0090489A"/>
    <w:rsid w:val="00912ED1"/>
    <w:rsid w:val="00914313"/>
    <w:rsid w:val="00915FFC"/>
    <w:rsid w:val="009218BC"/>
    <w:rsid w:val="00922991"/>
    <w:rsid w:val="009249FE"/>
    <w:rsid w:val="00924ADD"/>
    <w:rsid w:val="00926D15"/>
    <w:rsid w:val="00927C37"/>
    <w:rsid w:val="00931472"/>
    <w:rsid w:val="00932D09"/>
    <w:rsid w:val="0093388A"/>
    <w:rsid w:val="00936687"/>
    <w:rsid w:val="00940EEA"/>
    <w:rsid w:val="0094167A"/>
    <w:rsid w:val="00947558"/>
    <w:rsid w:val="00951762"/>
    <w:rsid w:val="00951D4D"/>
    <w:rsid w:val="00952F22"/>
    <w:rsid w:val="00953774"/>
    <w:rsid w:val="009559D9"/>
    <w:rsid w:val="00955D6B"/>
    <w:rsid w:val="00955D9E"/>
    <w:rsid w:val="00961429"/>
    <w:rsid w:val="00962137"/>
    <w:rsid w:val="00962A67"/>
    <w:rsid w:val="00963468"/>
    <w:rsid w:val="00966BAC"/>
    <w:rsid w:val="00967DA8"/>
    <w:rsid w:val="00976ADD"/>
    <w:rsid w:val="009815A1"/>
    <w:rsid w:val="00981C20"/>
    <w:rsid w:val="009828B8"/>
    <w:rsid w:val="00983093"/>
    <w:rsid w:val="00985A94"/>
    <w:rsid w:val="00991A9B"/>
    <w:rsid w:val="009927C6"/>
    <w:rsid w:val="00993D17"/>
    <w:rsid w:val="00993D2F"/>
    <w:rsid w:val="00993DD9"/>
    <w:rsid w:val="0099458D"/>
    <w:rsid w:val="009962DF"/>
    <w:rsid w:val="00996C8B"/>
    <w:rsid w:val="009A6506"/>
    <w:rsid w:val="009A6A5A"/>
    <w:rsid w:val="009A7D01"/>
    <w:rsid w:val="009B0463"/>
    <w:rsid w:val="009B05D6"/>
    <w:rsid w:val="009B3BBE"/>
    <w:rsid w:val="009C2619"/>
    <w:rsid w:val="009C3484"/>
    <w:rsid w:val="009C5154"/>
    <w:rsid w:val="009C52A2"/>
    <w:rsid w:val="009C54D1"/>
    <w:rsid w:val="009D0086"/>
    <w:rsid w:val="009D2A96"/>
    <w:rsid w:val="009D376C"/>
    <w:rsid w:val="009D41F8"/>
    <w:rsid w:val="009D696D"/>
    <w:rsid w:val="009D78AC"/>
    <w:rsid w:val="009E3A64"/>
    <w:rsid w:val="009E3BD1"/>
    <w:rsid w:val="009E4142"/>
    <w:rsid w:val="009E4893"/>
    <w:rsid w:val="009F5EF9"/>
    <w:rsid w:val="009F778C"/>
    <w:rsid w:val="009F7A99"/>
    <w:rsid w:val="00A046D9"/>
    <w:rsid w:val="00A12230"/>
    <w:rsid w:val="00A14AE7"/>
    <w:rsid w:val="00A15177"/>
    <w:rsid w:val="00A16624"/>
    <w:rsid w:val="00A170EA"/>
    <w:rsid w:val="00A17EC7"/>
    <w:rsid w:val="00A2161F"/>
    <w:rsid w:val="00A21B30"/>
    <w:rsid w:val="00A22E0D"/>
    <w:rsid w:val="00A22FC4"/>
    <w:rsid w:val="00A263E8"/>
    <w:rsid w:val="00A31202"/>
    <w:rsid w:val="00A349DE"/>
    <w:rsid w:val="00A3660F"/>
    <w:rsid w:val="00A409DF"/>
    <w:rsid w:val="00A41706"/>
    <w:rsid w:val="00A41B02"/>
    <w:rsid w:val="00A42C8F"/>
    <w:rsid w:val="00A431B5"/>
    <w:rsid w:val="00A46CB3"/>
    <w:rsid w:val="00A47AF5"/>
    <w:rsid w:val="00A51577"/>
    <w:rsid w:val="00A531D4"/>
    <w:rsid w:val="00A53526"/>
    <w:rsid w:val="00A61E8A"/>
    <w:rsid w:val="00A65114"/>
    <w:rsid w:val="00A665DC"/>
    <w:rsid w:val="00A71582"/>
    <w:rsid w:val="00A71900"/>
    <w:rsid w:val="00A7316A"/>
    <w:rsid w:val="00A73994"/>
    <w:rsid w:val="00A763AE"/>
    <w:rsid w:val="00A773BA"/>
    <w:rsid w:val="00A82307"/>
    <w:rsid w:val="00A850A4"/>
    <w:rsid w:val="00A87960"/>
    <w:rsid w:val="00A87A50"/>
    <w:rsid w:val="00A90E56"/>
    <w:rsid w:val="00A923D8"/>
    <w:rsid w:val="00A92B62"/>
    <w:rsid w:val="00A95DF4"/>
    <w:rsid w:val="00AA0641"/>
    <w:rsid w:val="00AA441D"/>
    <w:rsid w:val="00AA4B04"/>
    <w:rsid w:val="00AA5B7B"/>
    <w:rsid w:val="00AA5FB7"/>
    <w:rsid w:val="00AB38AA"/>
    <w:rsid w:val="00AB4B97"/>
    <w:rsid w:val="00AB6D09"/>
    <w:rsid w:val="00AC0E00"/>
    <w:rsid w:val="00AC3C9D"/>
    <w:rsid w:val="00AD0943"/>
    <w:rsid w:val="00AD2019"/>
    <w:rsid w:val="00AD4490"/>
    <w:rsid w:val="00AD46B0"/>
    <w:rsid w:val="00AD599F"/>
    <w:rsid w:val="00AE0E83"/>
    <w:rsid w:val="00AE371C"/>
    <w:rsid w:val="00AE617E"/>
    <w:rsid w:val="00AE6794"/>
    <w:rsid w:val="00AE72EA"/>
    <w:rsid w:val="00AF33C3"/>
    <w:rsid w:val="00AF4B50"/>
    <w:rsid w:val="00AF4DDC"/>
    <w:rsid w:val="00AF5B37"/>
    <w:rsid w:val="00AF70DB"/>
    <w:rsid w:val="00B02385"/>
    <w:rsid w:val="00B033BD"/>
    <w:rsid w:val="00B03495"/>
    <w:rsid w:val="00B04319"/>
    <w:rsid w:val="00B04C24"/>
    <w:rsid w:val="00B05326"/>
    <w:rsid w:val="00B058DE"/>
    <w:rsid w:val="00B062FA"/>
    <w:rsid w:val="00B06C9F"/>
    <w:rsid w:val="00B116A7"/>
    <w:rsid w:val="00B137CB"/>
    <w:rsid w:val="00B161CA"/>
    <w:rsid w:val="00B16590"/>
    <w:rsid w:val="00B208B6"/>
    <w:rsid w:val="00B2471A"/>
    <w:rsid w:val="00B2657F"/>
    <w:rsid w:val="00B32010"/>
    <w:rsid w:val="00B36B75"/>
    <w:rsid w:val="00B37145"/>
    <w:rsid w:val="00B407EC"/>
    <w:rsid w:val="00B43FAE"/>
    <w:rsid w:val="00B455A7"/>
    <w:rsid w:val="00B47C8A"/>
    <w:rsid w:val="00B47F0B"/>
    <w:rsid w:val="00B5092A"/>
    <w:rsid w:val="00B54B7A"/>
    <w:rsid w:val="00B55238"/>
    <w:rsid w:val="00B56584"/>
    <w:rsid w:val="00B60ECD"/>
    <w:rsid w:val="00B62AA1"/>
    <w:rsid w:val="00B65902"/>
    <w:rsid w:val="00B670E6"/>
    <w:rsid w:val="00B6757D"/>
    <w:rsid w:val="00B67FE9"/>
    <w:rsid w:val="00B715AA"/>
    <w:rsid w:val="00B71CE2"/>
    <w:rsid w:val="00B73C05"/>
    <w:rsid w:val="00B73EE1"/>
    <w:rsid w:val="00B75835"/>
    <w:rsid w:val="00B8076E"/>
    <w:rsid w:val="00B812E8"/>
    <w:rsid w:val="00B81BE4"/>
    <w:rsid w:val="00B83106"/>
    <w:rsid w:val="00B85729"/>
    <w:rsid w:val="00B85A4F"/>
    <w:rsid w:val="00B9396F"/>
    <w:rsid w:val="00B95455"/>
    <w:rsid w:val="00B97A56"/>
    <w:rsid w:val="00BA06A7"/>
    <w:rsid w:val="00BA1485"/>
    <w:rsid w:val="00BA17B1"/>
    <w:rsid w:val="00BA2757"/>
    <w:rsid w:val="00BA4972"/>
    <w:rsid w:val="00BA7428"/>
    <w:rsid w:val="00BB123C"/>
    <w:rsid w:val="00BB2356"/>
    <w:rsid w:val="00BC3711"/>
    <w:rsid w:val="00BC39CA"/>
    <w:rsid w:val="00BC3D7B"/>
    <w:rsid w:val="00BC5588"/>
    <w:rsid w:val="00BC75C9"/>
    <w:rsid w:val="00BC7B5B"/>
    <w:rsid w:val="00BD313A"/>
    <w:rsid w:val="00BD39F0"/>
    <w:rsid w:val="00BD5AA8"/>
    <w:rsid w:val="00BD6FEB"/>
    <w:rsid w:val="00BE00D4"/>
    <w:rsid w:val="00BE2E30"/>
    <w:rsid w:val="00BE520A"/>
    <w:rsid w:val="00BE60AC"/>
    <w:rsid w:val="00BF0EDD"/>
    <w:rsid w:val="00BF3D1A"/>
    <w:rsid w:val="00BF788C"/>
    <w:rsid w:val="00C01001"/>
    <w:rsid w:val="00C02F11"/>
    <w:rsid w:val="00C03E7E"/>
    <w:rsid w:val="00C06FDF"/>
    <w:rsid w:val="00C073A1"/>
    <w:rsid w:val="00C079C1"/>
    <w:rsid w:val="00C10A28"/>
    <w:rsid w:val="00C117F2"/>
    <w:rsid w:val="00C12586"/>
    <w:rsid w:val="00C1488A"/>
    <w:rsid w:val="00C15792"/>
    <w:rsid w:val="00C17BD3"/>
    <w:rsid w:val="00C17F44"/>
    <w:rsid w:val="00C21C92"/>
    <w:rsid w:val="00C22C8F"/>
    <w:rsid w:val="00C23EE7"/>
    <w:rsid w:val="00C24B26"/>
    <w:rsid w:val="00C26CEF"/>
    <w:rsid w:val="00C30C70"/>
    <w:rsid w:val="00C31318"/>
    <w:rsid w:val="00C33608"/>
    <w:rsid w:val="00C33EA6"/>
    <w:rsid w:val="00C3455E"/>
    <w:rsid w:val="00C37547"/>
    <w:rsid w:val="00C40230"/>
    <w:rsid w:val="00C4082B"/>
    <w:rsid w:val="00C418D8"/>
    <w:rsid w:val="00C43E84"/>
    <w:rsid w:val="00C443CC"/>
    <w:rsid w:val="00C52A59"/>
    <w:rsid w:val="00C54A7D"/>
    <w:rsid w:val="00C54CC9"/>
    <w:rsid w:val="00C57B12"/>
    <w:rsid w:val="00C6092C"/>
    <w:rsid w:val="00C609A1"/>
    <w:rsid w:val="00C60EE2"/>
    <w:rsid w:val="00C646C0"/>
    <w:rsid w:val="00C64754"/>
    <w:rsid w:val="00C660C2"/>
    <w:rsid w:val="00C67993"/>
    <w:rsid w:val="00C73D1A"/>
    <w:rsid w:val="00C81324"/>
    <w:rsid w:val="00C82977"/>
    <w:rsid w:val="00C83DBB"/>
    <w:rsid w:val="00C843C4"/>
    <w:rsid w:val="00C849AC"/>
    <w:rsid w:val="00C85925"/>
    <w:rsid w:val="00C86439"/>
    <w:rsid w:val="00C8652E"/>
    <w:rsid w:val="00C86726"/>
    <w:rsid w:val="00C868CE"/>
    <w:rsid w:val="00C9103A"/>
    <w:rsid w:val="00C91B93"/>
    <w:rsid w:val="00C92B26"/>
    <w:rsid w:val="00C9425B"/>
    <w:rsid w:val="00C95483"/>
    <w:rsid w:val="00C9572B"/>
    <w:rsid w:val="00C95DC5"/>
    <w:rsid w:val="00C96046"/>
    <w:rsid w:val="00CA3565"/>
    <w:rsid w:val="00CA5409"/>
    <w:rsid w:val="00CA610F"/>
    <w:rsid w:val="00CB0208"/>
    <w:rsid w:val="00CB0CCE"/>
    <w:rsid w:val="00CB1216"/>
    <w:rsid w:val="00CB14A0"/>
    <w:rsid w:val="00CB1F6D"/>
    <w:rsid w:val="00CB26A2"/>
    <w:rsid w:val="00CB3837"/>
    <w:rsid w:val="00CB3843"/>
    <w:rsid w:val="00CB3963"/>
    <w:rsid w:val="00CB3F45"/>
    <w:rsid w:val="00CB4084"/>
    <w:rsid w:val="00CB6769"/>
    <w:rsid w:val="00CB67B0"/>
    <w:rsid w:val="00CC1E3B"/>
    <w:rsid w:val="00CC213E"/>
    <w:rsid w:val="00CC3B1F"/>
    <w:rsid w:val="00CC3E3B"/>
    <w:rsid w:val="00CC47B0"/>
    <w:rsid w:val="00CC587B"/>
    <w:rsid w:val="00CC735F"/>
    <w:rsid w:val="00CD6B46"/>
    <w:rsid w:val="00CD743B"/>
    <w:rsid w:val="00CE7F4F"/>
    <w:rsid w:val="00CF1633"/>
    <w:rsid w:val="00CF24AB"/>
    <w:rsid w:val="00CF6712"/>
    <w:rsid w:val="00D00CD7"/>
    <w:rsid w:val="00D01684"/>
    <w:rsid w:val="00D025B2"/>
    <w:rsid w:val="00D02610"/>
    <w:rsid w:val="00D02671"/>
    <w:rsid w:val="00D04F88"/>
    <w:rsid w:val="00D101FF"/>
    <w:rsid w:val="00D1137F"/>
    <w:rsid w:val="00D12C64"/>
    <w:rsid w:val="00D16248"/>
    <w:rsid w:val="00D169CB"/>
    <w:rsid w:val="00D17F85"/>
    <w:rsid w:val="00D23FA1"/>
    <w:rsid w:val="00D2462F"/>
    <w:rsid w:val="00D248C0"/>
    <w:rsid w:val="00D26C6F"/>
    <w:rsid w:val="00D3148B"/>
    <w:rsid w:val="00D31743"/>
    <w:rsid w:val="00D32324"/>
    <w:rsid w:val="00D33EEC"/>
    <w:rsid w:val="00D35C2E"/>
    <w:rsid w:val="00D43EFD"/>
    <w:rsid w:val="00D44FAB"/>
    <w:rsid w:val="00D45496"/>
    <w:rsid w:val="00D45B7D"/>
    <w:rsid w:val="00D46B19"/>
    <w:rsid w:val="00D47C08"/>
    <w:rsid w:val="00D52C85"/>
    <w:rsid w:val="00D54A67"/>
    <w:rsid w:val="00D577DF"/>
    <w:rsid w:val="00D613FC"/>
    <w:rsid w:val="00D626DA"/>
    <w:rsid w:val="00D62E88"/>
    <w:rsid w:val="00D672C2"/>
    <w:rsid w:val="00D67885"/>
    <w:rsid w:val="00D70182"/>
    <w:rsid w:val="00D72054"/>
    <w:rsid w:val="00D7297A"/>
    <w:rsid w:val="00D74927"/>
    <w:rsid w:val="00D77DEA"/>
    <w:rsid w:val="00D80906"/>
    <w:rsid w:val="00D813F4"/>
    <w:rsid w:val="00D83034"/>
    <w:rsid w:val="00D841C0"/>
    <w:rsid w:val="00D84BD8"/>
    <w:rsid w:val="00D87420"/>
    <w:rsid w:val="00D877CB"/>
    <w:rsid w:val="00D87C32"/>
    <w:rsid w:val="00D9004F"/>
    <w:rsid w:val="00D909AB"/>
    <w:rsid w:val="00D91EB7"/>
    <w:rsid w:val="00D93B00"/>
    <w:rsid w:val="00D959B3"/>
    <w:rsid w:val="00D96264"/>
    <w:rsid w:val="00D96F57"/>
    <w:rsid w:val="00D97B13"/>
    <w:rsid w:val="00DA2449"/>
    <w:rsid w:val="00DA2B97"/>
    <w:rsid w:val="00DA6155"/>
    <w:rsid w:val="00DA75FB"/>
    <w:rsid w:val="00DA7C21"/>
    <w:rsid w:val="00DB1987"/>
    <w:rsid w:val="00DB2E2D"/>
    <w:rsid w:val="00DB319F"/>
    <w:rsid w:val="00DB3E26"/>
    <w:rsid w:val="00DB44AB"/>
    <w:rsid w:val="00DB468C"/>
    <w:rsid w:val="00DB4774"/>
    <w:rsid w:val="00DB6331"/>
    <w:rsid w:val="00DB736A"/>
    <w:rsid w:val="00DC02C9"/>
    <w:rsid w:val="00DC6972"/>
    <w:rsid w:val="00DC6AEE"/>
    <w:rsid w:val="00DD0DA2"/>
    <w:rsid w:val="00DD1691"/>
    <w:rsid w:val="00DD40B6"/>
    <w:rsid w:val="00DD62B7"/>
    <w:rsid w:val="00DD7FC2"/>
    <w:rsid w:val="00DE1203"/>
    <w:rsid w:val="00DE3D8C"/>
    <w:rsid w:val="00DE6019"/>
    <w:rsid w:val="00DE6E9D"/>
    <w:rsid w:val="00DF1AF3"/>
    <w:rsid w:val="00DF1F8D"/>
    <w:rsid w:val="00DF2F95"/>
    <w:rsid w:val="00DF4DA1"/>
    <w:rsid w:val="00DF4E7E"/>
    <w:rsid w:val="00DF5E25"/>
    <w:rsid w:val="00E01659"/>
    <w:rsid w:val="00E01C28"/>
    <w:rsid w:val="00E0457D"/>
    <w:rsid w:val="00E046D0"/>
    <w:rsid w:val="00E05C22"/>
    <w:rsid w:val="00E0648C"/>
    <w:rsid w:val="00E10B72"/>
    <w:rsid w:val="00E13BCF"/>
    <w:rsid w:val="00E1626C"/>
    <w:rsid w:val="00E17770"/>
    <w:rsid w:val="00E2213D"/>
    <w:rsid w:val="00E22B7C"/>
    <w:rsid w:val="00E23605"/>
    <w:rsid w:val="00E274E2"/>
    <w:rsid w:val="00E2798D"/>
    <w:rsid w:val="00E321D7"/>
    <w:rsid w:val="00E36423"/>
    <w:rsid w:val="00E36DFD"/>
    <w:rsid w:val="00E37B60"/>
    <w:rsid w:val="00E4013A"/>
    <w:rsid w:val="00E410B2"/>
    <w:rsid w:val="00E443DF"/>
    <w:rsid w:val="00E46733"/>
    <w:rsid w:val="00E513BC"/>
    <w:rsid w:val="00E52DD0"/>
    <w:rsid w:val="00E575B9"/>
    <w:rsid w:val="00E576D4"/>
    <w:rsid w:val="00E64C9F"/>
    <w:rsid w:val="00E70360"/>
    <w:rsid w:val="00E71FAB"/>
    <w:rsid w:val="00E7413C"/>
    <w:rsid w:val="00E74320"/>
    <w:rsid w:val="00E74E2A"/>
    <w:rsid w:val="00E75543"/>
    <w:rsid w:val="00E817E5"/>
    <w:rsid w:val="00E81FDD"/>
    <w:rsid w:val="00E82204"/>
    <w:rsid w:val="00E8390B"/>
    <w:rsid w:val="00E91FCD"/>
    <w:rsid w:val="00E92D07"/>
    <w:rsid w:val="00E93B45"/>
    <w:rsid w:val="00E94175"/>
    <w:rsid w:val="00E9490D"/>
    <w:rsid w:val="00EA044B"/>
    <w:rsid w:val="00EA456F"/>
    <w:rsid w:val="00EA510F"/>
    <w:rsid w:val="00EB0367"/>
    <w:rsid w:val="00EB6870"/>
    <w:rsid w:val="00EC09F1"/>
    <w:rsid w:val="00EC23AF"/>
    <w:rsid w:val="00EC3981"/>
    <w:rsid w:val="00EC4CB7"/>
    <w:rsid w:val="00ED2DBD"/>
    <w:rsid w:val="00ED4070"/>
    <w:rsid w:val="00ED44A2"/>
    <w:rsid w:val="00ED519A"/>
    <w:rsid w:val="00ED5545"/>
    <w:rsid w:val="00ED5B6F"/>
    <w:rsid w:val="00ED6D0E"/>
    <w:rsid w:val="00ED75A7"/>
    <w:rsid w:val="00EE1C5C"/>
    <w:rsid w:val="00EE3CAD"/>
    <w:rsid w:val="00EF0DD1"/>
    <w:rsid w:val="00EF0FD4"/>
    <w:rsid w:val="00EF4283"/>
    <w:rsid w:val="00EF43FB"/>
    <w:rsid w:val="00EF469A"/>
    <w:rsid w:val="00EF46DE"/>
    <w:rsid w:val="00EF6CB0"/>
    <w:rsid w:val="00F00C75"/>
    <w:rsid w:val="00F0219F"/>
    <w:rsid w:val="00F022F3"/>
    <w:rsid w:val="00F03238"/>
    <w:rsid w:val="00F0461C"/>
    <w:rsid w:val="00F05186"/>
    <w:rsid w:val="00F078BA"/>
    <w:rsid w:val="00F118CA"/>
    <w:rsid w:val="00F1213B"/>
    <w:rsid w:val="00F12DA0"/>
    <w:rsid w:val="00F133CB"/>
    <w:rsid w:val="00F13F17"/>
    <w:rsid w:val="00F152B6"/>
    <w:rsid w:val="00F20526"/>
    <w:rsid w:val="00F2144A"/>
    <w:rsid w:val="00F225E7"/>
    <w:rsid w:val="00F25068"/>
    <w:rsid w:val="00F2603F"/>
    <w:rsid w:val="00F26C3B"/>
    <w:rsid w:val="00F27887"/>
    <w:rsid w:val="00F27E50"/>
    <w:rsid w:val="00F307CD"/>
    <w:rsid w:val="00F323A4"/>
    <w:rsid w:val="00F33238"/>
    <w:rsid w:val="00F356EB"/>
    <w:rsid w:val="00F35A4A"/>
    <w:rsid w:val="00F40836"/>
    <w:rsid w:val="00F42622"/>
    <w:rsid w:val="00F42F9A"/>
    <w:rsid w:val="00F43DD0"/>
    <w:rsid w:val="00F45011"/>
    <w:rsid w:val="00F450BC"/>
    <w:rsid w:val="00F4544B"/>
    <w:rsid w:val="00F469E9"/>
    <w:rsid w:val="00F508F1"/>
    <w:rsid w:val="00F510E9"/>
    <w:rsid w:val="00F51376"/>
    <w:rsid w:val="00F51F1C"/>
    <w:rsid w:val="00F56DA7"/>
    <w:rsid w:val="00F575DF"/>
    <w:rsid w:val="00F57B2A"/>
    <w:rsid w:val="00F57C53"/>
    <w:rsid w:val="00F57FE2"/>
    <w:rsid w:val="00F61D62"/>
    <w:rsid w:val="00F645E1"/>
    <w:rsid w:val="00F738D9"/>
    <w:rsid w:val="00F74030"/>
    <w:rsid w:val="00F80690"/>
    <w:rsid w:val="00F82513"/>
    <w:rsid w:val="00F82F34"/>
    <w:rsid w:val="00F83FC8"/>
    <w:rsid w:val="00F92E65"/>
    <w:rsid w:val="00F971DA"/>
    <w:rsid w:val="00FA10B3"/>
    <w:rsid w:val="00FA1198"/>
    <w:rsid w:val="00FA1C23"/>
    <w:rsid w:val="00FA247B"/>
    <w:rsid w:val="00FA2C62"/>
    <w:rsid w:val="00FA4935"/>
    <w:rsid w:val="00FA758A"/>
    <w:rsid w:val="00FB1C95"/>
    <w:rsid w:val="00FB39E5"/>
    <w:rsid w:val="00FC1DC2"/>
    <w:rsid w:val="00FC30F3"/>
    <w:rsid w:val="00FC3E88"/>
    <w:rsid w:val="00FC3F4C"/>
    <w:rsid w:val="00FC552D"/>
    <w:rsid w:val="00FC56CE"/>
    <w:rsid w:val="00FC62B9"/>
    <w:rsid w:val="00FC65DE"/>
    <w:rsid w:val="00FC6EBF"/>
    <w:rsid w:val="00FC7A5A"/>
    <w:rsid w:val="00FD0163"/>
    <w:rsid w:val="00FD2D4D"/>
    <w:rsid w:val="00FD6652"/>
    <w:rsid w:val="00FE1498"/>
    <w:rsid w:val="00FE2915"/>
    <w:rsid w:val="00FE2B39"/>
    <w:rsid w:val="00FE40E8"/>
    <w:rsid w:val="00FE43EA"/>
    <w:rsid w:val="00FE58C6"/>
    <w:rsid w:val="00FE615C"/>
    <w:rsid w:val="00FF160C"/>
    <w:rsid w:val="00FF229D"/>
    <w:rsid w:val="00FF3DFD"/>
    <w:rsid w:val="00FF41DD"/>
    <w:rsid w:val="00FF533C"/>
    <w:rsid w:val="00FF716E"/>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BD3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A" w:eastAsia="es-P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23C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semiHidden/>
    <w:unhideWhenUsed/>
    <w:rsid w:val="008E6F03"/>
    <w:rPr>
      <w:sz w:val="16"/>
      <w:szCs w:val="16"/>
    </w:rPr>
  </w:style>
  <w:style w:type="paragraph" w:styleId="CommentText">
    <w:name w:val="annotation text"/>
    <w:basedOn w:val="Normal"/>
    <w:link w:val="CommentTextChar"/>
    <w:unhideWhenUsed/>
    <w:rsid w:val="008E6F03"/>
    <w:rPr>
      <w:sz w:val="20"/>
      <w:szCs w:val="20"/>
    </w:rPr>
  </w:style>
  <w:style w:type="character" w:customStyle="1" w:styleId="CommentTextChar">
    <w:name w:val="Comment Text Char"/>
    <w:basedOn w:val="DefaultParagraphFont"/>
    <w:link w:val="CommentText"/>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aliases w:val="fn,single space,footnote text,foottextfra,footnote,F,Texto nota pie Car Car,texto de nota al pie,Nota a pie/Bibliog,Texto nota pie Car Car Car Car Car Car Car Car,Texto nota pie Car Car Car,f,FOOTNOTES,Footnote Text Char Char"/>
    <w:basedOn w:val="Normal"/>
    <w:link w:val="FootnoteTextChar"/>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aliases w:val="fn Char1,single space Char1,footnote text Char1,foottextfra Char,footnote Char,F Char,Texto nota pie Car Car Char,texto de nota al pie Char,Nota a pie/Bibliog Char,Texto nota pie Car Car Car Car Car Car Car Car Char,f Char1"/>
    <w:link w:val="FootnoteText"/>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val="en-US"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aliases w:val="referencia nota al pie,ftref,16 Point,Superscript 6 Point,FC,Ref,de nota al pie,(Ref. de nota al pie),Fußnotenzeichen DISS,Style 24,Appel note de bas de page,titulo 2,Texto nota al pie,Footnote Reference Number,Footnote Reference_LVL6"/>
    <w:uiPriority w:val="99"/>
    <w:unhideWhenUsed/>
    <w:rsid w:val="00B32010"/>
    <w:rPr>
      <w:vertAlign w:val="superscript"/>
    </w:rPr>
  </w:style>
  <w:style w:type="character" w:styleId="Hyperlink">
    <w:name w:val="Hyperlink"/>
    <w:rsid w:val="00000DE5"/>
    <w:rPr>
      <w:color w:val="0000FF"/>
      <w:u w:val="single"/>
    </w:rPr>
  </w:style>
  <w:style w:type="character" w:customStyle="1" w:styleId="ParagraphCar">
    <w:name w:val="Paragraph Car"/>
    <w:link w:val="Paragraph"/>
    <w:locked/>
    <w:rsid w:val="001975ED"/>
  </w:style>
  <w:style w:type="paragraph" w:customStyle="1" w:styleId="Paragraph">
    <w:name w:val="Paragraph"/>
    <w:aliases w:val="paragraph,p,PARAGRAPH,PG,pa,at"/>
    <w:basedOn w:val="Normal"/>
    <w:link w:val="ParagraphCar"/>
    <w:rsid w:val="001975ED"/>
    <w:pPr>
      <w:numPr>
        <w:ilvl w:val="1"/>
        <w:numId w:val="22"/>
      </w:numPr>
      <w:spacing w:before="120" w:after="120" w:line="240" w:lineRule="auto"/>
      <w:jc w:val="both"/>
    </w:pPr>
    <w:rPr>
      <w:sz w:val="20"/>
      <w:szCs w:val="20"/>
    </w:rPr>
  </w:style>
  <w:style w:type="paragraph" w:customStyle="1" w:styleId="subpar">
    <w:name w:val="subpar"/>
    <w:basedOn w:val="Normal"/>
    <w:rsid w:val="001975ED"/>
    <w:pPr>
      <w:numPr>
        <w:ilvl w:val="2"/>
        <w:numId w:val="22"/>
      </w:numPr>
      <w:tabs>
        <w:tab w:val="clear" w:pos="1152"/>
      </w:tabs>
      <w:spacing w:before="120" w:after="120" w:line="240" w:lineRule="auto"/>
      <w:ind w:left="283" w:firstLine="0"/>
      <w:jc w:val="both"/>
    </w:pPr>
    <w:rPr>
      <w:rFonts w:ascii="Times New Roman" w:hAnsi="Times New Roman"/>
      <w:sz w:val="24"/>
      <w:szCs w:val="24"/>
    </w:rPr>
  </w:style>
  <w:style w:type="paragraph" w:customStyle="1" w:styleId="SubSubPar">
    <w:name w:val="SubSubPar"/>
    <w:basedOn w:val="Normal"/>
    <w:rsid w:val="001975ED"/>
    <w:pPr>
      <w:numPr>
        <w:ilvl w:val="3"/>
        <w:numId w:val="22"/>
      </w:numPr>
      <w:tabs>
        <w:tab w:val="clear" w:pos="1584"/>
      </w:tabs>
      <w:spacing w:before="120" w:after="120" w:line="240" w:lineRule="auto"/>
      <w:ind w:left="2745" w:hanging="360"/>
      <w:jc w:val="both"/>
    </w:pPr>
    <w:rPr>
      <w:rFonts w:ascii="Times New Roman" w:hAnsi="Times New Roman"/>
      <w:sz w:val="24"/>
      <w:szCs w:val="24"/>
    </w:rPr>
  </w:style>
  <w:style w:type="character" w:customStyle="1" w:styleId="FootnoteTextChar1">
    <w:name w:val="Footnote Text Char1"/>
    <w:aliases w:val="fn Char,single space Char,footnote text Char,foottextfra Char1,footnote Char1,F Char1,Texto nota pie Car Car Char1,texto de nota al pie Char1,Nota a pie/Bibliog Char1,Texto nota pie Car Car Car Car Car Car Car Car Char1,f Char"/>
    <w:locked/>
    <w:rsid w:val="00BC3711"/>
    <w:rPr>
      <w:rFonts w:ascii="Times New Roman" w:eastAsia="Times New Roman" w:hAnsi="Times New Roman" w:cs="Times New Roman"/>
      <w:sz w:val="20"/>
      <w:szCs w:val="20"/>
    </w:rPr>
  </w:style>
  <w:style w:type="paragraph" w:styleId="Revision">
    <w:name w:val="Revision"/>
    <w:hidden/>
    <w:uiPriority w:val="99"/>
    <w:semiHidden/>
    <w:rsid w:val="00D87420"/>
    <w:rPr>
      <w:sz w:val="22"/>
      <w:szCs w:val="22"/>
      <w:lang w:val="en-US" w:eastAsia="en-US"/>
    </w:rPr>
  </w:style>
  <w:style w:type="character" w:styleId="PageNumber">
    <w:name w:val="page number"/>
    <w:rsid w:val="00363851"/>
  </w:style>
  <w:style w:type="character" w:styleId="FollowedHyperlink">
    <w:name w:val="FollowedHyperlink"/>
    <w:uiPriority w:val="99"/>
    <w:semiHidden/>
    <w:unhideWhenUsed/>
    <w:rsid w:val="00E9490D"/>
    <w:rPr>
      <w:color w:val="954F72"/>
      <w:u w:val="single"/>
    </w:rPr>
  </w:style>
  <w:style w:type="character" w:customStyle="1" w:styleId="hps">
    <w:name w:val="hps"/>
    <w:basedOn w:val="DefaultParagraphFont"/>
    <w:rsid w:val="002064ED"/>
  </w:style>
  <w:style w:type="character" w:styleId="UnresolvedMention">
    <w:name w:val="Unresolved Mention"/>
    <w:basedOn w:val="DefaultParagraphFont"/>
    <w:uiPriority w:val="99"/>
    <w:semiHidden/>
    <w:unhideWhenUsed/>
    <w:rsid w:val="00296E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471291909">
      <w:bodyDiv w:val="1"/>
      <w:marLeft w:val="0"/>
      <w:marRight w:val="0"/>
      <w:marTop w:val="0"/>
      <w:marBottom w:val="0"/>
      <w:divBdr>
        <w:top w:val="none" w:sz="0" w:space="0" w:color="auto"/>
        <w:left w:val="none" w:sz="0" w:space="0" w:color="auto"/>
        <w:bottom w:val="none" w:sz="0" w:space="0" w:color="auto"/>
        <w:right w:val="none" w:sz="0" w:space="0" w:color="auto"/>
      </w:divBdr>
    </w:div>
    <w:div w:id="565844134">
      <w:bodyDiv w:val="1"/>
      <w:marLeft w:val="0"/>
      <w:marRight w:val="0"/>
      <w:marTop w:val="0"/>
      <w:marBottom w:val="0"/>
      <w:divBdr>
        <w:top w:val="none" w:sz="0" w:space="0" w:color="auto"/>
        <w:left w:val="none" w:sz="0" w:space="0" w:color="auto"/>
        <w:bottom w:val="none" w:sz="0" w:space="0" w:color="auto"/>
        <w:right w:val="none" w:sz="0" w:space="0" w:color="auto"/>
      </w:divBdr>
    </w:div>
    <w:div w:id="630595506">
      <w:bodyDiv w:val="1"/>
      <w:marLeft w:val="0"/>
      <w:marRight w:val="0"/>
      <w:marTop w:val="0"/>
      <w:marBottom w:val="0"/>
      <w:divBdr>
        <w:top w:val="none" w:sz="0" w:space="0" w:color="auto"/>
        <w:left w:val="none" w:sz="0" w:space="0" w:color="auto"/>
        <w:bottom w:val="none" w:sz="0" w:space="0" w:color="auto"/>
        <w:right w:val="none" w:sz="0" w:space="0" w:color="auto"/>
      </w:divBdr>
    </w:div>
    <w:div w:id="991179114">
      <w:bodyDiv w:val="1"/>
      <w:marLeft w:val="0"/>
      <w:marRight w:val="0"/>
      <w:marTop w:val="0"/>
      <w:marBottom w:val="0"/>
      <w:divBdr>
        <w:top w:val="none" w:sz="0" w:space="0" w:color="auto"/>
        <w:left w:val="none" w:sz="0" w:space="0" w:color="auto"/>
        <w:bottom w:val="none" w:sz="0" w:space="0" w:color="auto"/>
        <w:right w:val="none" w:sz="0" w:space="0" w:color="auto"/>
      </w:divBdr>
    </w:div>
    <w:div w:id="1130906131">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76083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datos.bancomundial.org/indicador/LP.LPI.OVRL.XQ"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ogistics.gatech.pa/es/assets/seaports/all" TargetMode="External"/><Relationship Id="rId2" Type="http://schemas.openxmlformats.org/officeDocument/2006/relationships/hyperlink" Target="http://www.mef.gob.pa/es/servicios/paginas/publicaciondelacuentageneraldeltesoro.aspx" TargetMode="External"/><Relationship Id="rId1" Type="http://schemas.openxmlformats.org/officeDocument/2006/relationships/hyperlink" Target="http://www.mef.gob.pa/es/informes/Paginas/informes.aspx?Page=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AF64753591D9489FDFDD5B2BC7F5AD" ma:contentTypeVersion="191" ma:contentTypeDescription="A content type to manage public (operations) IDB documents" ma:contentTypeScope="" ma:versionID="940ee4009a098e4460093953b347d894">
  <xsd:schema xmlns:xsd="http://www.w3.org/2001/XMLSchema" xmlns:xs="http://www.w3.org/2001/XMLSchema" xmlns:p="http://schemas.microsoft.com/office/2006/metadata/properties" xmlns:ns2="cdc7663a-08f0-4737-9e8c-148ce897a09c" targetNamespace="http://schemas.microsoft.com/office/2006/metadata/properties" ma:root="true" ma:fieldsID="ef1a656a2907f67721338e601b0d804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R0002282778</Record_x0020_Number>
    <Key_x0020_Document xmlns="cdc7663a-08f0-4737-9e8c-148ce897a09c">false</Key_x0020_Document>
    <Division_x0020_or_x0020_Unit xmlns="cdc7663a-08f0-4737-9e8c-148ce897a09c">INE/TSP</Division_x0020_or_x0020_Unit>
    <Document_x0020_Author xmlns="cdc7663a-08f0-4737-9e8c-148ce897a09c">Alonso Martin,Tania</Document_x0020_Author>
    <_dlc_DocId xmlns="cdc7663a-08f0-4737-9e8c-148ce897a09c">EZSHARE-39050635-31</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Operation_x0020_Type xmlns="cdc7663a-08f0-4737-9e8c-148ce897a09c">Loan Operation</Operation_x0020_Type>
    <TaxCatchAll xmlns="cdc7663a-08f0-4737-9e8c-148ce897a09c">
      <Value>22</Value>
      <Value>25</Value>
      <Value>67</Value>
      <Value>1</Value>
      <Value>91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PN-L1151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Access_x0020_to_x0020_Information_x00a0_Policy xmlns="cdc7663a-08f0-4737-9e8c-148ce897a09c">Public - Simultaneous Disclosure</Access_x0020_to_x0020_Information_x00a0_Policy>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Identifier xmlns="cdc7663a-08f0-4737-9e8c-148ce897a09c" xsi:nil="true"/>
    <Document_x0020_Language_x0020_IDB xmlns="cdc7663a-08f0-4737-9e8c-148ce897a09c">English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LOGISTIC PLANNING, MULTIMODAL TRANSPORT AND LOGISTIC PLATFORMS</TermName>
          <TermId xmlns="http://schemas.microsoft.com/office/infopath/2007/PartnerControls">c57ab9df-eb0b-4c79-9bde-1271a3d462be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_dlc_DocIdUrl xmlns="cdc7663a-08f0-4737-9e8c-148ce897a09c">
      <Url>https://idbg.sharepoint.com/teams/EZ-PN-LON/PN-L1151/_layouts/15/DocIdRedir.aspx?ID=EZSHARE-39050635-31</Url>
      <Description>EZSHARE-39050635-31</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74250B-9AF7-462D-B4E5-4008070D2FE5}">
  <ds:schemaRefs>
    <ds:schemaRef ds:uri="http://schemas.microsoft.com/sharepoint/events"/>
  </ds:schemaRefs>
</ds:datastoreItem>
</file>

<file path=customXml/itemProps2.xml><?xml version="1.0" encoding="utf-8"?>
<ds:datastoreItem xmlns:ds="http://schemas.openxmlformats.org/officeDocument/2006/customXml" ds:itemID="{D8C5CB8D-5C4C-44B6-A8BF-1DA61450F276}"/>
</file>

<file path=customXml/itemProps3.xml><?xml version="1.0" encoding="utf-8"?>
<ds:datastoreItem xmlns:ds="http://schemas.openxmlformats.org/officeDocument/2006/customXml" ds:itemID="{24BA70F8-7180-42F9-AB2D-8312D4918484}">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3B73803C-ADA7-44B7-8C89-E7AE5A9B77CE}"/>
</file>

<file path=customXml/itemProps5.xml><?xml version="1.0" encoding="utf-8"?>
<ds:datastoreItem xmlns:ds="http://schemas.openxmlformats.org/officeDocument/2006/customXml" ds:itemID="{D04DA1DA-A52E-4B51-9DEB-00A26C37FE80}"/>
</file>

<file path=customXml/itemProps6.xml><?xml version="1.0" encoding="utf-8"?>
<ds:datastoreItem xmlns:ds="http://schemas.openxmlformats.org/officeDocument/2006/customXml" ds:itemID="{F133FC8D-4294-4333-85BF-B47E11E7CE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1956</Words>
  <Characters>11152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13082</CharactersWithSpaces>
  <SharedDoc>false</SharedDoc>
  <HLinks>
    <vt:vector size="54" baseType="variant">
      <vt:variant>
        <vt:i4>1245258</vt:i4>
      </vt:variant>
      <vt:variant>
        <vt:i4>24</vt:i4>
      </vt:variant>
      <vt:variant>
        <vt:i4>0</vt:i4>
      </vt:variant>
      <vt:variant>
        <vt:i4>5</vt:i4>
      </vt:variant>
      <vt:variant>
        <vt:lpwstr>http://logistics.gatech.pa/es/assets/seaports/all</vt:lpwstr>
      </vt:variant>
      <vt:variant>
        <vt:lpwstr/>
      </vt:variant>
      <vt:variant>
        <vt:i4>7012400</vt:i4>
      </vt:variant>
      <vt:variant>
        <vt:i4>21</vt:i4>
      </vt:variant>
      <vt:variant>
        <vt:i4>0</vt:i4>
      </vt:variant>
      <vt:variant>
        <vt:i4>5</vt:i4>
      </vt:variant>
      <vt:variant>
        <vt:lpwstr>http://impresa.prensa.com/economia/inversion-industria-bunkering_0_3543395735.html</vt:lpwstr>
      </vt:variant>
      <vt:variant>
        <vt:lpwstr/>
      </vt:variant>
      <vt:variant>
        <vt:i4>917513</vt:i4>
      </vt:variant>
      <vt:variant>
        <vt:i4>18</vt:i4>
      </vt:variant>
      <vt:variant>
        <vt:i4>0</vt:i4>
      </vt:variant>
      <vt:variant>
        <vt:i4>5</vt:i4>
      </vt:variant>
      <vt:variant>
        <vt:lpwstr>http://www.mef.gob.pa/es/Documents/PEG PLAN ESTRATEGICO DE GOBIERNO 2015-2019.pdf</vt:lpwstr>
      </vt:variant>
      <vt:variant>
        <vt:lpwstr/>
      </vt:variant>
      <vt:variant>
        <vt:i4>2097263</vt:i4>
      </vt:variant>
      <vt:variant>
        <vt:i4>15</vt:i4>
      </vt:variant>
      <vt:variant>
        <vt:i4>0</vt:i4>
      </vt:variant>
      <vt:variant>
        <vt:i4>5</vt:i4>
      </vt:variant>
      <vt:variant>
        <vt:lpwstr>http://www.centralamericadata.com/es/article/home/Panam_Plan_20152019_de_inversiones_en_logstica</vt:lpwstr>
      </vt:variant>
      <vt:variant>
        <vt:lpwstr/>
      </vt:variant>
      <vt:variant>
        <vt:i4>5242954</vt:i4>
      </vt:variant>
      <vt:variant>
        <vt:i4>12</vt:i4>
      </vt:variant>
      <vt:variant>
        <vt:i4>0</vt:i4>
      </vt:variant>
      <vt:variant>
        <vt:i4>5</vt:i4>
      </vt:variant>
      <vt:variant>
        <vt:lpwstr>http://www.bancomundial.org/es/country/panama</vt:lpwstr>
      </vt:variant>
      <vt:variant>
        <vt:lpwstr/>
      </vt:variant>
      <vt:variant>
        <vt:i4>1572891</vt:i4>
      </vt:variant>
      <vt:variant>
        <vt:i4>9</vt:i4>
      </vt:variant>
      <vt:variant>
        <vt:i4>0</vt:i4>
      </vt:variant>
      <vt:variant>
        <vt:i4>5</vt:i4>
      </vt:variant>
      <vt:variant>
        <vt:lpwstr>http://www.indexmundi.com/g/g.aspx?c=pm&amp;v=72&amp;l=es</vt:lpwstr>
      </vt:variant>
      <vt:variant>
        <vt:lpwstr/>
      </vt:variant>
      <vt:variant>
        <vt:i4>8061039</vt:i4>
      </vt:variant>
      <vt:variant>
        <vt:i4>6</vt:i4>
      </vt:variant>
      <vt:variant>
        <vt:i4>0</vt:i4>
      </vt:variant>
      <vt:variant>
        <vt:i4>5</vt:i4>
      </vt:variant>
      <vt:variant>
        <vt:lpwstr>https://tipsaprat.wordpress.com/2015/01/13/logistica-transporte-generan-empleo/</vt:lpwstr>
      </vt:variant>
      <vt:variant>
        <vt:lpwstr/>
      </vt:variant>
      <vt:variant>
        <vt:i4>4784147</vt:i4>
      </vt:variant>
      <vt:variant>
        <vt:i4>3</vt:i4>
      </vt:variant>
      <vt:variant>
        <vt:i4>0</vt:i4>
      </vt:variant>
      <vt:variant>
        <vt:i4>5</vt:i4>
      </vt:variant>
      <vt:variant>
        <vt:lpwstr>http://datos.bancomundial.org/pais/panama</vt:lpwstr>
      </vt:variant>
      <vt:variant>
        <vt:lpwstr/>
      </vt:variant>
      <vt:variant>
        <vt:i4>3735587</vt:i4>
      </vt:variant>
      <vt:variant>
        <vt:i4>0</vt:i4>
      </vt:variant>
      <vt:variant>
        <vt:i4>0</vt:i4>
      </vt:variant>
      <vt:variant>
        <vt:i4>5</vt:i4>
      </vt:variant>
      <vt:variant>
        <vt:lpwstr>http://datos.bancomundial.org/indicador/LP.LPI.OVRL.XQ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2018-05-25T19:57:00Z</dcterms:created>
  <dcterms:modified xsi:type="dcterms:W3CDTF">2018-05-25T21:43:00Z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Abstract">
    <vt:lpwstr/>
  </property>
  <property fmtid="{D5CDD505-2E9C-101B-9397-08002B2CF9AE}" pid="4" name="Disclosure Activity">
    <vt:lpwstr>Loan Proposal</vt:lpwstr>
  </property>
  <property fmtid="{D5CDD505-2E9C-101B-9397-08002B2CF9AE}" pid="5" name="Region">
    <vt:lpwstr/>
  </property>
  <property fmtid="{D5CDD505-2E9C-101B-9397-08002B2CF9AE}" pid="7" name="TaxKeywordTaxHTField">
    <vt:lpwstr/>
  </property>
  <property fmtid="{D5CDD505-2E9C-101B-9397-08002B2CF9AE}" pid="8" name="Sub-Sector">
    <vt:lpwstr>91;#LOGISTIC PLANNING, MULTIMODAL TRANSPORT AND LOGISTIC PLATFORMS|c57ab9df-eb0b-4c79-9bde-1271a3d462be</vt:lpwstr>
  </property>
  <property fmtid="{D5CDD505-2E9C-101B-9397-08002B2CF9AE}" pid="9" name="Series Operations IDB">
    <vt:lpwstr/>
  </property>
  <property fmtid="{D5CDD505-2E9C-101B-9397-08002B2CF9AE}" pid="10" name="Country">
    <vt:lpwstr>22;#Panama|7af43a84-776d-43d1-b0f2-8a1f2a8ffc7b</vt:lpwstr>
  </property>
  <property fmtid="{D5CDD505-2E9C-101B-9397-08002B2CF9AE}" pid="11" name="Fund IDB">
    <vt:lpwstr>25;#ORC|c028a4b2-ad8b-4cf4-9cac-a2ae6a778e23</vt:lpwstr>
  </property>
  <property fmtid="{D5CDD505-2E9C-101B-9397-08002B2CF9AE}" pid="12" name="_dlc_DocIdItemGuid">
    <vt:lpwstr>1f779487-719e-449c-866c-688e8d98dac3</vt:lpwstr>
  </property>
  <property fmtid="{D5CDD505-2E9C-101B-9397-08002B2CF9AE}" pid="13" name="Webtopic">
    <vt:lpwstr/>
  </property>
  <property fmtid="{D5CDD505-2E9C-101B-9397-08002B2CF9AE}" pid="14" name="Publishing House">
    <vt:lpwstr/>
  </property>
  <property fmtid="{D5CDD505-2E9C-101B-9397-08002B2CF9AE}" pid="15" name="Sector IDB">
    <vt:lpwstr>67;#TRANSPORT|5a25d1a8-4baf-41a8-9e3b-e167accda6ea</vt:lpwstr>
  </property>
  <property fmtid="{D5CDD505-2E9C-101B-9397-08002B2CF9AE}" pid="16" name="Disclosed">
    <vt:bool>false</vt:bool>
  </property>
  <property fmtid="{D5CDD505-2E9C-101B-9397-08002B2CF9AE}" pid="17" name="KP Topics">
    <vt:lpwstr/>
  </property>
  <property fmtid="{D5CDD505-2E9C-101B-9397-08002B2CF9AE}" pid="18" name="Function Operations IDB">
    <vt:lpwstr>1;#Project Preparation, Planning and Design|29ca0c72-1fc4-435f-a09c-28585cb5eac9</vt:lpwstr>
  </property>
  <property fmtid="{D5CDD505-2E9C-101B-9397-08002B2CF9AE}" pid="19" name="ATI Undisclose Document Workflow">
    <vt:lpwstr/>
  </property>
  <property fmtid="{D5CDD505-2E9C-101B-9397-08002B2CF9AE}" pid="20" name="Editor1">
    <vt:lpwstr/>
  </property>
  <property fmtid="{D5CDD505-2E9C-101B-9397-08002B2CF9AE}" pid="21" name="ATI Disclose Document Workflow v5">
    <vt:lpwstr/>
  </property>
  <property fmtid="{D5CDD505-2E9C-101B-9397-08002B2CF9AE}" pid="22" name="Publication Type">
    <vt:lpwstr/>
  </property>
  <property fmtid="{D5CDD505-2E9C-101B-9397-08002B2CF9AE}" pid="23" name="ContentTypeId">
    <vt:lpwstr>0x0101001A458A224826124E8B45B1D613300CFC0041AF64753591D9489FDFDD5B2BC7F5AD</vt:lpwstr>
  </property>
  <property fmtid="{D5CDD505-2E9C-101B-9397-08002B2CF9AE}" pid="24" name="SharedWithUsers">
    <vt:lpwstr>1126;#Alonso Martin, Tania</vt:lpwstr>
  </property>
</Properties>
</file>