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glossary/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697FA" w14:textId="77777777" w:rsidR="00683634" w:rsidRPr="00D877B4" w:rsidRDefault="00683634">
      <w:pPr>
        <w:rPr>
          <w:rFonts w:ascii="Arial" w:hAnsi="Arial" w:cs="Arial"/>
        </w:rPr>
      </w:pPr>
      <w:bookmarkStart w:id="0" w:name="_GoBack"/>
      <w:bookmarkEnd w:id="0"/>
    </w:p>
    <w:p w14:paraId="1FD697FB" w14:textId="3CD6113B" w:rsidR="00683634" w:rsidRPr="00193615" w:rsidRDefault="7FBDDA1D">
      <w:pPr>
        <w:keepNext/>
        <w:ind w:firstLine="720"/>
        <w:jc w:val="center"/>
        <w:rPr>
          <w:rFonts w:ascii="Arial" w:eastAsia="Arial" w:hAnsi="Arial" w:cs="Arial"/>
          <w:b/>
          <w:bCs/>
          <w:smallCaps/>
          <w:sz w:val="24"/>
          <w:szCs w:val="24"/>
          <w:lang w:val="es-AR"/>
        </w:rPr>
      </w:pPr>
      <w:r w:rsidRPr="00193615">
        <w:rPr>
          <w:rFonts w:ascii="Arial" w:eastAsia="Arial" w:hAnsi="Arial" w:cs="Arial"/>
          <w:b/>
          <w:bCs/>
          <w:smallCaps/>
          <w:sz w:val="24"/>
          <w:szCs w:val="24"/>
          <w:lang w:val="es-ES"/>
        </w:rPr>
        <w:t>Apoyo al Programa de Reformas del Sector Transporte y Logística de Panamá II</w:t>
      </w:r>
      <w:r w:rsidR="009675EC" w:rsidRPr="00193615">
        <w:rPr>
          <w:rFonts w:ascii="Arial" w:eastAsia="Arial" w:hAnsi="Arial" w:cs="Arial"/>
          <w:b/>
          <w:bCs/>
          <w:smallCaps/>
          <w:sz w:val="24"/>
          <w:szCs w:val="24"/>
          <w:lang w:val="es-ES"/>
        </w:rPr>
        <w:t>I</w:t>
      </w:r>
    </w:p>
    <w:p w14:paraId="1FD697FC" w14:textId="77777777" w:rsidR="00683634" w:rsidRPr="00193615" w:rsidRDefault="7FBDDA1D">
      <w:pPr>
        <w:jc w:val="center"/>
        <w:rPr>
          <w:rFonts w:ascii="Arial" w:eastAsia="Arial" w:hAnsi="Arial" w:cs="Arial"/>
          <w:b/>
          <w:bCs/>
          <w:smallCaps/>
          <w:sz w:val="24"/>
          <w:szCs w:val="24"/>
          <w:lang w:val="es-AR"/>
        </w:rPr>
      </w:pPr>
      <w:r w:rsidRPr="00193615">
        <w:rPr>
          <w:rFonts w:ascii="Arial" w:eastAsia="Arial" w:hAnsi="Arial" w:cs="Arial"/>
          <w:b/>
          <w:bCs/>
          <w:smallCaps/>
          <w:sz w:val="24"/>
          <w:szCs w:val="24"/>
          <w:lang w:val="es-ES"/>
        </w:rPr>
        <w:t>Matriz de Medios de Verificación</w:t>
      </w:r>
    </w:p>
    <w:p w14:paraId="1FD697FD" w14:textId="77777777" w:rsidR="00FC5E7F" w:rsidRPr="008D6058" w:rsidRDefault="00FC5E7F" w:rsidP="00683634">
      <w:pPr>
        <w:jc w:val="center"/>
        <w:rPr>
          <w:rFonts w:ascii="Arial" w:hAnsi="Arial" w:cs="Arial"/>
          <w:b/>
          <w:bCs/>
          <w:smallCaps/>
          <w:sz w:val="24"/>
          <w:szCs w:val="24"/>
          <w:lang w:val="es-AR"/>
        </w:rPr>
      </w:pPr>
    </w:p>
    <w:p w14:paraId="1FD697FE" w14:textId="77777777" w:rsidR="00683634" w:rsidRPr="00193615" w:rsidRDefault="7FBDDA1D" w:rsidP="00193615">
      <w:pPr>
        <w:spacing w:before="120" w:after="120"/>
        <w:jc w:val="both"/>
        <w:rPr>
          <w:rFonts w:ascii="Arial" w:eastAsia="Arial" w:hAnsi="Arial" w:cs="Arial"/>
          <w:b/>
          <w:bCs/>
          <w:smallCaps/>
          <w:lang w:val="es-AR"/>
        </w:rPr>
      </w:pPr>
      <w:r w:rsidRPr="00193615">
        <w:rPr>
          <w:rFonts w:ascii="Arial" w:eastAsia="Arial" w:hAnsi="Arial" w:cs="Arial"/>
          <w:b/>
          <w:bCs/>
          <w:smallCaps/>
          <w:lang w:val="es-ES"/>
        </w:rPr>
        <w:t>Objetivo</w:t>
      </w:r>
    </w:p>
    <w:p w14:paraId="1FD697FF" w14:textId="77777777" w:rsidR="002674EB" w:rsidRPr="00193615" w:rsidRDefault="7FBDDA1D">
      <w:pPr>
        <w:pStyle w:val="FootnoteText"/>
        <w:widowControl w:val="0"/>
        <w:ind w:left="0" w:right="200" w:firstLine="0"/>
        <w:rPr>
          <w:rFonts w:ascii="Arial" w:eastAsia="Arial" w:hAnsi="Arial" w:cs="Arial"/>
        </w:rPr>
      </w:pPr>
      <w:r w:rsidRPr="00193615">
        <w:rPr>
          <w:rFonts w:ascii="Arial" w:eastAsia="Arial" w:hAnsi="Arial" w:cs="Arial"/>
          <w:lang w:val="es-ES"/>
        </w:rPr>
        <w:t xml:space="preserve">El objetivo del programa es contribuir a la mejora del desempeño logístico de Panamá para aprovechar su posición geográfica privilegiada, a través de la reducción de restricciones normativas e institucionales que limitan el desempeño del país especialmente en los ámbitos de: (i) Servicios Logísticos de Valor Agregado (SLVA); (ii) logística de apoyo al sector agrícola; (iii) logística de apoyo al comercio regional.  Los objetivos específicos del programa son: (i) fortalecimiento del marco legal y regulatorio; (ii) consolidación del marco institucional de logística y transporte; (iii) fortalecimiento del sistema de planificación multisectorial y de facilitación comercial, </w:t>
      </w:r>
      <w:r w:rsidRPr="00193615">
        <w:rPr>
          <w:rFonts w:ascii="Arial" w:eastAsia="Arial" w:hAnsi="Arial" w:cs="Arial"/>
        </w:rPr>
        <w:t xml:space="preserve"> que contribuirán al incremento de la inversión en el sector de logística y transporte (puertos, aeropuerto y vías), la ampliación del área logística utilizada, a la reducción del tiempo del despacho de mercancías y a la provisión de recursos humanos en el área de logística.</w:t>
      </w:r>
    </w:p>
    <w:tbl>
      <w:tblPr>
        <w:tblW w:w="13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2120"/>
        <w:gridCol w:w="3509"/>
        <w:gridCol w:w="2953"/>
        <w:gridCol w:w="2209"/>
      </w:tblGrid>
      <w:tr w:rsidR="0040704B" w:rsidRPr="009675EC" w14:paraId="1FD69805" w14:textId="77777777" w:rsidTr="00193615">
        <w:trPr>
          <w:trHeight w:val="64"/>
          <w:tblHeader/>
        </w:trPr>
        <w:tc>
          <w:tcPr>
            <w:tcW w:w="2431" w:type="dxa"/>
            <w:shd w:val="clear" w:color="auto" w:fill="BFBFBF" w:themeFill="background1" w:themeFillShade="BF"/>
            <w:vAlign w:val="center"/>
          </w:tcPr>
          <w:p w14:paraId="1FD69800" w14:textId="77777777" w:rsidR="0040704B" w:rsidRPr="00193615" w:rsidRDefault="7FBDDA1D">
            <w:pPr>
              <w:suppressAutoHyphens/>
              <w:jc w:val="center"/>
              <w:rPr>
                <w:rFonts w:ascii="Arial" w:eastAsia="Arial" w:hAnsi="Arial" w:cs="Arial"/>
                <w:smallCaps/>
                <w:lang w:val="es-ES"/>
              </w:rPr>
            </w:pPr>
            <w:r w:rsidRPr="00193615">
              <w:rPr>
                <w:rFonts w:ascii="Arial" w:eastAsia="Arial" w:hAnsi="Arial" w:cs="Arial"/>
                <w:b/>
                <w:bCs/>
                <w:smallCaps/>
                <w:lang w:val="es-ES"/>
              </w:rPr>
              <w:t>Objetivo y Alcance</w:t>
            </w:r>
          </w:p>
        </w:tc>
        <w:tc>
          <w:tcPr>
            <w:tcW w:w="2120" w:type="dxa"/>
            <w:shd w:val="clear" w:color="auto" w:fill="BFBFBF" w:themeFill="background1" w:themeFillShade="BF"/>
            <w:vAlign w:val="center"/>
          </w:tcPr>
          <w:p w14:paraId="1FD69801" w14:textId="77777777" w:rsidR="0040704B" w:rsidRPr="00193615" w:rsidRDefault="7FBDDA1D">
            <w:pPr>
              <w:suppressAutoHyphens/>
              <w:jc w:val="center"/>
              <w:rPr>
                <w:rFonts w:ascii="Arial" w:eastAsia="Arial" w:hAnsi="Arial" w:cs="Arial"/>
                <w:b/>
                <w:bCs/>
                <w:smallCaps/>
                <w:lang w:val="es-ES"/>
              </w:rPr>
            </w:pPr>
            <w:r w:rsidRPr="00193615">
              <w:rPr>
                <w:rFonts w:ascii="Arial" w:eastAsia="Arial" w:hAnsi="Arial" w:cs="Arial"/>
                <w:b/>
                <w:bCs/>
                <w:smallCaps/>
                <w:lang w:val="es-ES"/>
              </w:rPr>
              <w:t>Agencias Responsables del cumplimiento del objetivo</w:t>
            </w:r>
          </w:p>
        </w:tc>
        <w:tc>
          <w:tcPr>
            <w:tcW w:w="3509" w:type="dxa"/>
            <w:shd w:val="clear" w:color="auto" w:fill="BFBFBF" w:themeFill="background1" w:themeFillShade="BF"/>
            <w:vAlign w:val="center"/>
          </w:tcPr>
          <w:p w14:paraId="1FD69802" w14:textId="0F55E21C" w:rsidR="0040704B" w:rsidRPr="00193615" w:rsidRDefault="7FBDDA1D">
            <w:pPr>
              <w:suppressAutoHyphens/>
              <w:jc w:val="center"/>
              <w:rPr>
                <w:rFonts w:ascii="Arial" w:eastAsia="Arial" w:hAnsi="Arial" w:cs="Arial"/>
                <w:b/>
                <w:bCs/>
                <w:i/>
                <w:iCs/>
                <w:smallCaps/>
                <w:lang w:val="es-ES"/>
              </w:rPr>
            </w:pPr>
            <w:r w:rsidRPr="00193615">
              <w:rPr>
                <w:rFonts w:ascii="Arial" w:eastAsia="Arial" w:hAnsi="Arial" w:cs="Arial"/>
                <w:b/>
                <w:bCs/>
                <w:smallCaps/>
                <w:lang w:val="es-ES"/>
              </w:rPr>
              <w:t>Reformas de Política I</w:t>
            </w:r>
            <w:r w:rsidR="0037056A" w:rsidRPr="00193615">
              <w:rPr>
                <w:rFonts w:ascii="Arial" w:eastAsia="Arial" w:hAnsi="Arial" w:cs="Arial"/>
                <w:b/>
                <w:bCs/>
                <w:smallCaps/>
                <w:lang w:val="es-ES"/>
              </w:rPr>
              <w:t>II</w:t>
            </w:r>
          </w:p>
        </w:tc>
        <w:tc>
          <w:tcPr>
            <w:tcW w:w="2953" w:type="dxa"/>
            <w:shd w:val="clear" w:color="auto" w:fill="BFBFBF" w:themeFill="background1" w:themeFillShade="BF"/>
            <w:vAlign w:val="center"/>
          </w:tcPr>
          <w:p w14:paraId="1FD69803" w14:textId="77777777" w:rsidR="0040704B" w:rsidRPr="00193615" w:rsidRDefault="7FBDDA1D">
            <w:pPr>
              <w:suppressAutoHyphens/>
              <w:jc w:val="center"/>
              <w:rPr>
                <w:rFonts w:ascii="Arial" w:eastAsia="Arial" w:hAnsi="Arial" w:cs="Arial"/>
                <w:b/>
                <w:bCs/>
                <w:smallCaps/>
                <w:lang w:val="es-ES"/>
              </w:rPr>
            </w:pPr>
            <w:r w:rsidRPr="00193615">
              <w:rPr>
                <w:rFonts w:ascii="Arial" w:eastAsia="Arial" w:hAnsi="Arial" w:cs="Arial"/>
                <w:b/>
                <w:bCs/>
                <w:smallCaps/>
                <w:lang w:val="es-ES"/>
              </w:rPr>
              <w:t>Medios de Verificación</w:t>
            </w:r>
          </w:p>
        </w:tc>
        <w:tc>
          <w:tcPr>
            <w:tcW w:w="2209" w:type="dxa"/>
            <w:shd w:val="clear" w:color="auto" w:fill="BFBFBF" w:themeFill="background1" w:themeFillShade="BF"/>
            <w:vAlign w:val="center"/>
          </w:tcPr>
          <w:p w14:paraId="1FD69804" w14:textId="77777777" w:rsidR="0040704B" w:rsidRPr="00193615" w:rsidRDefault="7FBDDA1D">
            <w:pPr>
              <w:suppressAutoHyphens/>
              <w:jc w:val="center"/>
              <w:rPr>
                <w:rFonts w:ascii="Arial" w:eastAsia="Arial" w:hAnsi="Arial" w:cs="Arial"/>
                <w:b/>
                <w:bCs/>
                <w:smallCaps/>
                <w:lang w:val="es-ES"/>
              </w:rPr>
            </w:pPr>
            <w:r w:rsidRPr="00193615">
              <w:rPr>
                <w:rFonts w:ascii="Arial" w:eastAsia="Arial" w:hAnsi="Arial" w:cs="Arial"/>
                <w:b/>
                <w:bCs/>
                <w:smallCaps/>
                <w:lang w:val="es-ES"/>
              </w:rPr>
              <w:t>Agencia a cargo del medio de verificación</w:t>
            </w:r>
          </w:p>
        </w:tc>
      </w:tr>
      <w:tr w:rsidR="0040704B" w:rsidRPr="008D6058" w14:paraId="1FD69808" w14:textId="77777777" w:rsidTr="00193615">
        <w:tc>
          <w:tcPr>
            <w:tcW w:w="11013" w:type="dxa"/>
            <w:gridSpan w:val="4"/>
            <w:shd w:val="clear" w:color="auto" w:fill="D9D9D9" w:themeFill="background1" w:themeFillShade="D9"/>
          </w:tcPr>
          <w:p w14:paraId="1FD69806" w14:textId="77777777" w:rsidR="0040704B" w:rsidRPr="00193615" w:rsidRDefault="7FBDDA1D">
            <w:pPr>
              <w:suppressAutoHyphens/>
              <w:jc w:val="both"/>
              <w:rPr>
                <w:rFonts w:ascii="Arial" w:eastAsia="Arial" w:hAnsi="Arial" w:cs="Arial"/>
                <w:b/>
                <w:bCs/>
                <w:lang w:val="es-AR"/>
              </w:rPr>
            </w:pPr>
            <w:r w:rsidRPr="00193615">
              <w:rPr>
                <w:rFonts w:ascii="Arial" w:eastAsia="Arial" w:hAnsi="Arial" w:cs="Arial"/>
                <w:b/>
                <w:bCs/>
                <w:lang w:val="es-ES"/>
              </w:rPr>
              <w:t>Componente I. Estabilidad macroeconómica</w:t>
            </w:r>
          </w:p>
        </w:tc>
        <w:tc>
          <w:tcPr>
            <w:tcW w:w="2209" w:type="dxa"/>
            <w:shd w:val="clear" w:color="auto" w:fill="D9D9D9" w:themeFill="background1" w:themeFillShade="D9"/>
          </w:tcPr>
          <w:p w14:paraId="1FD69807" w14:textId="77777777" w:rsidR="0040704B" w:rsidRPr="008D6058" w:rsidRDefault="0040704B" w:rsidP="00D877B4">
            <w:pPr>
              <w:suppressAutoHyphens/>
              <w:jc w:val="both"/>
              <w:rPr>
                <w:rFonts w:ascii="Arial" w:hAnsi="Arial" w:cs="Arial"/>
                <w:b/>
                <w:lang w:val="es-ES_tradnl"/>
              </w:rPr>
            </w:pPr>
          </w:p>
        </w:tc>
      </w:tr>
      <w:tr w:rsidR="0040704B" w:rsidRPr="009675EC" w14:paraId="1FD6980E" w14:textId="77777777" w:rsidTr="54558B85">
        <w:tc>
          <w:tcPr>
            <w:tcW w:w="2431" w:type="dxa"/>
            <w:shd w:val="clear" w:color="auto" w:fill="auto"/>
          </w:tcPr>
          <w:p w14:paraId="1FD69809" w14:textId="77777777" w:rsidR="0040704B" w:rsidRPr="00193615" w:rsidRDefault="7FBDDA1D">
            <w:pPr>
              <w:suppressAutoHyphens/>
              <w:ind w:left="90"/>
              <w:jc w:val="both"/>
              <w:rPr>
                <w:rFonts w:ascii="Arial" w:eastAsia="Arial" w:hAnsi="Arial" w:cs="Arial"/>
                <w:b/>
                <w:bCs/>
                <w:sz w:val="18"/>
                <w:szCs w:val="18"/>
                <w:lang w:val="es-ES"/>
              </w:rPr>
            </w:pPr>
            <w:r w:rsidRPr="00193615">
              <w:rPr>
                <w:rFonts w:ascii="Arial" w:eastAsia="Arial" w:hAnsi="Arial" w:cs="Arial"/>
                <w:sz w:val="18"/>
                <w:szCs w:val="18"/>
                <w:lang w:val="es-ES"/>
              </w:rPr>
              <w:t>Contribuir a la mejora de la estabilidad macroeconómica.</w:t>
            </w:r>
          </w:p>
        </w:tc>
        <w:tc>
          <w:tcPr>
            <w:tcW w:w="2120" w:type="dxa"/>
            <w:shd w:val="clear" w:color="auto" w:fill="auto"/>
          </w:tcPr>
          <w:p w14:paraId="1FD6980A" w14:textId="77777777" w:rsidR="0040704B" w:rsidRPr="008D6058" w:rsidRDefault="0040704B" w:rsidP="00D877B4">
            <w:pPr>
              <w:suppressAutoHyphens/>
              <w:ind w:left="342" w:hanging="342"/>
              <w:jc w:val="both"/>
              <w:rPr>
                <w:rFonts w:ascii="Arial" w:hAnsi="Arial" w:cs="Arial"/>
                <w:b/>
                <w:sz w:val="18"/>
                <w:szCs w:val="18"/>
                <w:lang w:val="es-ES_tradnl"/>
              </w:rPr>
            </w:pPr>
          </w:p>
        </w:tc>
        <w:tc>
          <w:tcPr>
            <w:tcW w:w="3509" w:type="dxa"/>
            <w:shd w:val="clear" w:color="auto" w:fill="auto"/>
          </w:tcPr>
          <w:p w14:paraId="1FD6980B" w14:textId="77777777" w:rsidR="0040704B" w:rsidRPr="00193615" w:rsidRDefault="7FBDDA1D">
            <w:pPr>
              <w:suppressAutoHyphens/>
              <w:jc w:val="both"/>
              <w:rPr>
                <w:rFonts w:ascii="Arial" w:eastAsia="Arial" w:hAnsi="Arial" w:cs="Arial"/>
                <w:b/>
                <w:bCs/>
                <w:sz w:val="18"/>
                <w:szCs w:val="18"/>
                <w:lang w:val="es-ES"/>
              </w:rPr>
            </w:pPr>
            <w:r w:rsidRPr="00193615">
              <w:rPr>
                <w:rFonts w:ascii="Arial" w:eastAsia="Arial" w:hAnsi="Arial" w:cs="Arial"/>
                <w:sz w:val="18"/>
                <w:szCs w:val="18"/>
                <w:lang w:val="es-ES"/>
              </w:rPr>
              <w:t>1. El marco macroeconómico del Prestatario es estable y consistente con los objetivos del Programa y la Carta de Política Sectorial.</w:t>
            </w:r>
          </w:p>
        </w:tc>
        <w:tc>
          <w:tcPr>
            <w:tcW w:w="2953" w:type="dxa"/>
            <w:shd w:val="clear" w:color="auto" w:fill="auto"/>
          </w:tcPr>
          <w:p w14:paraId="1FD6980C" w14:textId="77777777" w:rsidR="0040704B" w:rsidRPr="00193615" w:rsidRDefault="7FBDDA1D">
            <w:pPr>
              <w:suppressAutoHyphens/>
              <w:jc w:val="both"/>
              <w:rPr>
                <w:rFonts w:ascii="Arial" w:eastAsia="Arial" w:hAnsi="Arial" w:cs="Arial"/>
                <w:b/>
                <w:bCs/>
                <w:sz w:val="18"/>
                <w:szCs w:val="18"/>
                <w:lang w:val="es-ES"/>
              </w:rPr>
            </w:pPr>
            <w:r w:rsidRPr="00193615">
              <w:rPr>
                <w:rFonts w:ascii="Arial" w:eastAsia="Arial" w:hAnsi="Arial" w:cs="Arial"/>
                <w:sz w:val="18"/>
                <w:szCs w:val="18"/>
                <w:lang w:val="es-AR"/>
              </w:rPr>
              <w:t>1. Evaluación Independiente de Condiciones Macroeconómicas (IAMC) preparada por el Banco y vigente al momento del desembolso.</w:t>
            </w:r>
          </w:p>
        </w:tc>
        <w:tc>
          <w:tcPr>
            <w:tcW w:w="2209" w:type="dxa"/>
          </w:tcPr>
          <w:p w14:paraId="1FD6980D" w14:textId="77777777" w:rsidR="0040704B" w:rsidRPr="008D6058" w:rsidRDefault="0040704B" w:rsidP="00D877B4">
            <w:pPr>
              <w:suppressAutoHyphens/>
              <w:jc w:val="both"/>
              <w:rPr>
                <w:rFonts w:ascii="Arial" w:hAnsi="Arial" w:cs="Arial"/>
                <w:sz w:val="18"/>
                <w:szCs w:val="18"/>
                <w:lang w:val="es-AR"/>
              </w:rPr>
            </w:pPr>
          </w:p>
        </w:tc>
      </w:tr>
      <w:tr w:rsidR="0040704B" w:rsidRPr="009675EC" w14:paraId="1FD69811" w14:textId="77777777" w:rsidTr="00193615">
        <w:trPr>
          <w:trHeight w:val="312"/>
        </w:trPr>
        <w:tc>
          <w:tcPr>
            <w:tcW w:w="11013" w:type="dxa"/>
            <w:gridSpan w:val="4"/>
            <w:shd w:val="clear" w:color="auto" w:fill="D9D9D9" w:themeFill="background1" w:themeFillShade="D9"/>
          </w:tcPr>
          <w:p w14:paraId="1FD6980F" w14:textId="74BAEA2D" w:rsidR="0040704B" w:rsidRPr="00193615" w:rsidRDefault="7FBDDA1D">
            <w:pPr>
              <w:suppressAutoHyphens/>
              <w:jc w:val="both"/>
              <w:rPr>
                <w:rFonts w:ascii="Arial" w:eastAsia="Arial" w:hAnsi="Arial" w:cs="Arial"/>
                <w:b/>
                <w:bCs/>
                <w:lang w:val="es-ES"/>
              </w:rPr>
            </w:pPr>
            <w:r w:rsidRPr="00193615">
              <w:rPr>
                <w:rFonts w:ascii="Arial" w:eastAsia="Arial" w:hAnsi="Arial" w:cs="Arial"/>
                <w:b/>
                <w:bCs/>
                <w:lang w:val="es-ES"/>
              </w:rPr>
              <w:t xml:space="preserve">Componente II. </w:t>
            </w:r>
            <w:r w:rsidR="002A65C7" w:rsidRPr="00193615">
              <w:rPr>
                <w:rFonts w:ascii="Arial" w:eastAsia="Arial" w:hAnsi="Arial" w:cs="Arial"/>
                <w:b/>
                <w:bCs/>
                <w:spacing w:val="-2"/>
                <w:sz w:val="18"/>
                <w:szCs w:val="18"/>
              </w:rPr>
              <w:t xml:space="preserve">Marco </w:t>
            </w:r>
            <w:proofErr w:type="spellStart"/>
            <w:r w:rsidR="002A65C7" w:rsidRPr="00193615">
              <w:rPr>
                <w:rFonts w:ascii="Arial" w:eastAsia="Arial" w:hAnsi="Arial" w:cs="Arial"/>
                <w:b/>
                <w:bCs/>
                <w:spacing w:val="-2"/>
                <w:sz w:val="18"/>
                <w:szCs w:val="18"/>
              </w:rPr>
              <w:t>normativo</w:t>
            </w:r>
            <w:proofErr w:type="spellEnd"/>
            <w:r w:rsidR="002A65C7" w:rsidRPr="00193615">
              <w:rPr>
                <w:rFonts w:ascii="Arial" w:eastAsia="Arial" w:hAnsi="Arial" w:cs="Arial"/>
                <w:b/>
                <w:bCs/>
                <w:spacing w:val="-2"/>
                <w:sz w:val="18"/>
                <w:szCs w:val="18"/>
              </w:rPr>
              <w:t xml:space="preserve"> e </w:t>
            </w:r>
            <w:proofErr w:type="spellStart"/>
            <w:r w:rsidR="002A65C7" w:rsidRPr="00193615">
              <w:rPr>
                <w:rFonts w:ascii="Arial" w:eastAsia="Arial" w:hAnsi="Arial" w:cs="Arial"/>
                <w:b/>
                <w:bCs/>
                <w:spacing w:val="-2"/>
                <w:sz w:val="18"/>
                <w:szCs w:val="18"/>
              </w:rPr>
              <w:t>institucional</w:t>
            </w:r>
            <w:proofErr w:type="spellEnd"/>
            <w:r w:rsidR="002A65C7" w:rsidRPr="00193615">
              <w:rPr>
                <w:rFonts w:ascii="Arial" w:eastAsia="Arial" w:hAnsi="Arial" w:cs="Arial"/>
                <w:b/>
                <w:bCs/>
                <w:spacing w:val="-2"/>
                <w:sz w:val="18"/>
                <w:szCs w:val="18"/>
              </w:rPr>
              <w:t xml:space="preserve"> de </w:t>
            </w:r>
            <w:proofErr w:type="spellStart"/>
            <w:r w:rsidR="002A65C7" w:rsidRPr="00193615">
              <w:rPr>
                <w:rFonts w:ascii="Arial" w:eastAsia="Arial" w:hAnsi="Arial" w:cs="Arial"/>
                <w:b/>
                <w:bCs/>
                <w:spacing w:val="-2"/>
                <w:sz w:val="18"/>
                <w:szCs w:val="18"/>
              </w:rPr>
              <w:t>logística</w:t>
            </w:r>
            <w:proofErr w:type="spellEnd"/>
            <w:r w:rsidR="002A65C7" w:rsidRPr="00193615">
              <w:rPr>
                <w:rFonts w:ascii="Arial" w:eastAsia="Arial" w:hAnsi="Arial" w:cs="Arial"/>
                <w:b/>
                <w:bCs/>
                <w:spacing w:val="-2"/>
                <w:sz w:val="18"/>
                <w:szCs w:val="18"/>
              </w:rPr>
              <w:t xml:space="preserve"> y </w:t>
            </w:r>
            <w:proofErr w:type="spellStart"/>
            <w:r w:rsidR="002A65C7" w:rsidRPr="00193615">
              <w:rPr>
                <w:rFonts w:ascii="Arial" w:eastAsia="Arial" w:hAnsi="Arial" w:cs="Arial"/>
                <w:b/>
                <w:bCs/>
                <w:spacing w:val="-2"/>
                <w:sz w:val="18"/>
                <w:szCs w:val="18"/>
              </w:rPr>
              <w:t>transporte</w:t>
            </w:r>
            <w:proofErr w:type="spellEnd"/>
          </w:p>
        </w:tc>
        <w:tc>
          <w:tcPr>
            <w:tcW w:w="2209" w:type="dxa"/>
            <w:shd w:val="clear" w:color="auto" w:fill="D9D9D9" w:themeFill="background1" w:themeFillShade="D9"/>
          </w:tcPr>
          <w:p w14:paraId="1FD69810" w14:textId="77777777" w:rsidR="0040704B" w:rsidRPr="008D6058" w:rsidRDefault="0040704B" w:rsidP="00D877B4">
            <w:pPr>
              <w:suppressAutoHyphens/>
              <w:jc w:val="both"/>
              <w:rPr>
                <w:rFonts w:ascii="Arial" w:hAnsi="Arial" w:cs="Arial"/>
                <w:b/>
                <w:lang w:val="es-ES_tradnl"/>
              </w:rPr>
            </w:pPr>
          </w:p>
        </w:tc>
      </w:tr>
      <w:tr w:rsidR="0040704B" w:rsidRPr="009675EC" w14:paraId="1FD69814" w14:textId="77777777" w:rsidTr="00193615">
        <w:trPr>
          <w:trHeight w:val="312"/>
        </w:trPr>
        <w:tc>
          <w:tcPr>
            <w:tcW w:w="11013" w:type="dxa"/>
            <w:gridSpan w:val="4"/>
            <w:shd w:val="clear" w:color="auto" w:fill="D9D9D9" w:themeFill="background1" w:themeFillShade="D9"/>
          </w:tcPr>
          <w:p w14:paraId="1FD69812" w14:textId="41B6A43A" w:rsidR="0040704B" w:rsidRPr="00193615" w:rsidRDefault="7FBDDA1D">
            <w:pPr>
              <w:suppressAutoHyphens/>
              <w:jc w:val="both"/>
              <w:rPr>
                <w:rFonts w:ascii="Arial" w:eastAsia="Arial" w:hAnsi="Arial" w:cs="Arial"/>
                <w:b/>
                <w:bCs/>
                <w:lang w:val="es-ES"/>
              </w:rPr>
            </w:pPr>
            <w:r w:rsidRPr="00193615">
              <w:rPr>
                <w:rFonts w:ascii="Arial" w:eastAsia="Arial" w:hAnsi="Arial" w:cs="Arial"/>
                <w:b/>
                <w:bCs/>
                <w:lang w:val="es-ES"/>
              </w:rPr>
              <w:t xml:space="preserve">Subcomponente II.1. </w:t>
            </w:r>
            <w:r w:rsidR="003B18D6" w:rsidRPr="00193615">
              <w:rPr>
                <w:rFonts w:ascii="Arial" w:eastAsia="Arial" w:hAnsi="Arial" w:cs="Arial"/>
                <w:b/>
                <w:bCs/>
                <w:spacing w:val="-2"/>
                <w:sz w:val="18"/>
                <w:szCs w:val="18"/>
              </w:rPr>
              <w:t xml:space="preserve">Marco </w:t>
            </w:r>
            <w:proofErr w:type="spellStart"/>
            <w:r w:rsidR="003B18D6" w:rsidRPr="00193615">
              <w:rPr>
                <w:rFonts w:ascii="Arial" w:eastAsia="Arial" w:hAnsi="Arial" w:cs="Arial"/>
                <w:b/>
                <w:bCs/>
                <w:spacing w:val="-2"/>
                <w:sz w:val="18"/>
                <w:szCs w:val="18"/>
              </w:rPr>
              <w:t>normativo</w:t>
            </w:r>
            <w:proofErr w:type="spellEnd"/>
            <w:r w:rsidR="003B18D6" w:rsidRPr="00193615">
              <w:rPr>
                <w:rFonts w:ascii="Arial" w:eastAsia="Arial" w:hAnsi="Arial" w:cs="Arial"/>
                <w:b/>
                <w:bCs/>
                <w:spacing w:val="-2"/>
                <w:sz w:val="18"/>
                <w:szCs w:val="18"/>
              </w:rPr>
              <w:t xml:space="preserve"> de </w:t>
            </w:r>
            <w:proofErr w:type="spellStart"/>
            <w:r w:rsidR="003B18D6" w:rsidRPr="00193615">
              <w:rPr>
                <w:rFonts w:ascii="Arial" w:eastAsia="Arial" w:hAnsi="Arial" w:cs="Arial"/>
                <w:b/>
                <w:bCs/>
                <w:spacing w:val="-2"/>
                <w:sz w:val="18"/>
                <w:szCs w:val="18"/>
              </w:rPr>
              <w:t>logística</w:t>
            </w:r>
            <w:proofErr w:type="spellEnd"/>
          </w:p>
        </w:tc>
        <w:tc>
          <w:tcPr>
            <w:tcW w:w="2209" w:type="dxa"/>
            <w:shd w:val="clear" w:color="auto" w:fill="D9D9D9" w:themeFill="background1" w:themeFillShade="D9"/>
          </w:tcPr>
          <w:p w14:paraId="1FD69813" w14:textId="77777777" w:rsidR="0040704B" w:rsidRPr="008D6058" w:rsidRDefault="0040704B" w:rsidP="00D877B4">
            <w:pPr>
              <w:suppressAutoHyphens/>
              <w:jc w:val="both"/>
              <w:rPr>
                <w:rFonts w:ascii="Arial" w:hAnsi="Arial" w:cs="Arial"/>
                <w:b/>
                <w:lang w:val="es-ES_tradnl"/>
              </w:rPr>
            </w:pPr>
          </w:p>
        </w:tc>
      </w:tr>
      <w:tr w:rsidR="0040704B" w:rsidRPr="009675EC" w14:paraId="1FD6981F" w14:textId="77777777" w:rsidTr="00193615">
        <w:trPr>
          <w:trHeight w:val="2450"/>
        </w:trPr>
        <w:tc>
          <w:tcPr>
            <w:tcW w:w="2431" w:type="dxa"/>
            <w:vMerge w:val="restart"/>
            <w:shd w:val="clear" w:color="auto" w:fill="auto"/>
          </w:tcPr>
          <w:p w14:paraId="1FD69815" w14:textId="77777777" w:rsidR="0040704B" w:rsidRPr="00193615" w:rsidRDefault="7FBDDA1D">
            <w:pPr>
              <w:suppressAutoHyphens/>
              <w:jc w:val="both"/>
              <w:rPr>
                <w:rFonts w:ascii="Arial" w:eastAsia="Arial" w:hAnsi="Arial" w:cs="Arial"/>
                <w:sz w:val="18"/>
                <w:szCs w:val="18"/>
                <w:lang w:val="es-ES"/>
              </w:rPr>
            </w:pPr>
            <w:r w:rsidRPr="00193615">
              <w:rPr>
                <w:rFonts w:ascii="Arial" w:eastAsia="Arial" w:hAnsi="Arial" w:cs="Arial"/>
                <w:b/>
                <w:bCs/>
                <w:sz w:val="18"/>
                <w:szCs w:val="18"/>
                <w:lang w:val="es-ES"/>
              </w:rPr>
              <w:t>Consolidar un</w:t>
            </w:r>
            <w:r w:rsidRPr="00193615">
              <w:rPr>
                <w:rFonts w:ascii="Arial" w:eastAsia="Arial" w:hAnsi="Arial" w:cs="Arial"/>
                <w:sz w:val="18"/>
                <w:szCs w:val="18"/>
                <w:lang w:val="es-ES"/>
              </w:rPr>
              <w:t xml:space="preserve"> </w:t>
            </w:r>
            <w:r w:rsidRPr="00193615">
              <w:rPr>
                <w:rFonts w:ascii="Arial" w:eastAsia="Arial" w:hAnsi="Arial" w:cs="Arial"/>
                <w:b/>
                <w:bCs/>
                <w:sz w:val="18"/>
                <w:szCs w:val="18"/>
                <w:lang w:val="es-ES"/>
              </w:rPr>
              <w:t>marco normativo de logística</w:t>
            </w:r>
            <w:r w:rsidRPr="00193615">
              <w:rPr>
                <w:rFonts w:ascii="Arial" w:eastAsia="Arial" w:hAnsi="Arial" w:cs="Arial"/>
                <w:sz w:val="18"/>
                <w:szCs w:val="18"/>
                <w:lang w:val="es-ES"/>
              </w:rPr>
              <w:t xml:space="preserve"> que introduzca una visión de largo plazo y establezca los lineamientos del sector, incluyendo tres niveles:</w:t>
            </w:r>
          </w:p>
          <w:p w14:paraId="1FD69816" w14:textId="77777777" w:rsidR="0040704B" w:rsidRPr="00193615" w:rsidRDefault="7FBDDA1D">
            <w:pPr>
              <w:pStyle w:val="ListParagraph"/>
              <w:numPr>
                <w:ilvl w:val="0"/>
                <w:numId w:val="1"/>
              </w:numPr>
              <w:suppressAutoHyphens/>
              <w:ind w:left="176" w:hanging="142"/>
              <w:jc w:val="both"/>
              <w:rPr>
                <w:rFonts w:ascii="Arial" w:eastAsia="Arial" w:hAnsi="Arial" w:cs="Arial"/>
                <w:b/>
                <w:bCs/>
                <w:sz w:val="18"/>
                <w:szCs w:val="18"/>
                <w:lang w:val="es-ES"/>
              </w:rPr>
            </w:pPr>
            <w:r w:rsidRPr="00193615">
              <w:rPr>
                <w:rFonts w:ascii="Arial" w:eastAsia="Arial" w:hAnsi="Arial" w:cs="Arial"/>
                <w:b/>
                <w:bCs/>
                <w:sz w:val="18"/>
                <w:szCs w:val="18"/>
                <w:lang w:val="es-ES"/>
              </w:rPr>
              <w:t>objetivos, programas y proyectos;</w:t>
            </w:r>
          </w:p>
          <w:p w14:paraId="1FD69817" w14:textId="77777777" w:rsidR="0040704B" w:rsidRPr="00193615" w:rsidRDefault="7FBDDA1D">
            <w:pPr>
              <w:pStyle w:val="ListParagraph"/>
              <w:numPr>
                <w:ilvl w:val="0"/>
                <w:numId w:val="1"/>
              </w:numPr>
              <w:suppressAutoHyphens/>
              <w:ind w:left="176" w:hanging="142"/>
              <w:jc w:val="both"/>
              <w:rPr>
                <w:rFonts w:ascii="Arial" w:eastAsia="Arial" w:hAnsi="Arial" w:cs="Arial"/>
                <w:b/>
                <w:bCs/>
                <w:sz w:val="18"/>
                <w:szCs w:val="18"/>
                <w:lang w:val="es-ES"/>
              </w:rPr>
            </w:pPr>
            <w:r w:rsidRPr="00193615">
              <w:rPr>
                <w:rFonts w:ascii="Arial" w:eastAsia="Arial" w:hAnsi="Arial" w:cs="Arial"/>
                <w:b/>
                <w:bCs/>
                <w:sz w:val="18"/>
                <w:szCs w:val="18"/>
                <w:lang w:val="es-ES"/>
              </w:rPr>
              <w:t>Visión de largo plazo, estrategia de abordaje y sistema de monitoreo;</w:t>
            </w:r>
          </w:p>
          <w:p w14:paraId="1FD69818" w14:textId="77777777" w:rsidR="0040704B" w:rsidRPr="00193615" w:rsidRDefault="7FBDDA1D">
            <w:pPr>
              <w:pStyle w:val="ListParagraph"/>
              <w:numPr>
                <w:ilvl w:val="0"/>
                <w:numId w:val="1"/>
              </w:numPr>
              <w:suppressAutoHyphens/>
              <w:ind w:left="176" w:hanging="142"/>
              <w:jc w:val="both"/>
              <w:rPr>
                <w:rFonts w:ascii="Arial" w:eastAsia="Arial" w:hAnsi="Arial" w:cs="Arial"/>
                <w:b/>
                <w:bCs/>
                <w:sz w:val="18"/>
                <w:szCs w:val="18"/>
                <w:lang w:val="es-ES"/>
              </w:rPr>
            </w:pPr>
            <w:r w:rsidRPr="00193615">
              <w:rPr>
                <w:rFonts w:ascii="Arial" w:eastAsia="Arial" w:hAnsi="Arial" w:cs="Arial"/>
                <w:b/>
                <w:bCs/>
                <w:sz w:val="18"/>
                <w:szCs w:val="18"/>
                <w:lang w:val="es-ES"/>
              </w:rPr>
              <w:lastRenderedPageBreak/>
              <w:t>lineamientos de políticas, elementos fundamentales del sector de logística y competencias institucionales.</w:t>
            </w:r>
          </w:p>
        </w:tc>
        <w:tc>
          <w:tcPr>
            <w:tcW w:w="2120" w:type="dxa"/>
            <w:vMerge w:val="restart"/>
            <w:shd w:val="clear" w:color="auto" w:fill="auto"/>
          </w:tcPr>
          <w:p w14:paraId="1FD69819" w14:textId="4A3D51B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lastRenderedPageBreak/>
              <w:t>Ministerio de la Presidencia</w:t>
            </w:r>
          </w:p>
          <w:p w14:paraId="2D74A59C" w14:textId="77777777" w:rsidR="00C26134" w:rsidRDefault="00C26134" w:rsidP="7FBDDA1D">
            <w:pPr>
              <w:jc w:val="both"/>
              <w:rPr>
                <w:rFonts w:ascii="Arial" w:hAnsi="Arial" w:cs="Arial"/>
                <w:sz w:val="18"/>
                <w:szCs w:val="18"/>
                <w:lang w:val="es-ES"/>
              </w:rPr>
            </w:pPr>
          </w:p>
          <w:p w14:paraId="0EEDC4B1" w14:textId="529F744B" w:rsidR="00C26134" w:rsidRPr="00193615" w:rsidRDefault="00C26134">
            <w:pPr>
              <w:jc w:val="both"/>
              <w:rPr>
                <w:rFonts w:ascii="Arial" w:eastAsia="Arial" w:hAnsi="Arial" w:cs="Arial"/>
                <w:sz w:val="18"/>
                <w:szCs w:val="18"/>
                <w:lang w:val="es-ES"/>
              </w:rPr>
            </w:pPr>
            <w:proofErr w:type="spellStart"/>
            <w:r w:rsidRPr="00193615">
              <w:rPr>
                <w:rFonts w:ascii="Arial" w:eastAsia="Arial" w:hAnsi="Arial" w:cs="Arial"/>
                <w:spacing w:val="-2"/>
                <w:sz w:val="18"/>
                <w:szCs w:val="18"/>
              </w:rPr>
              <w:t>Gabinete</w:t>
            </w:r>
            <w:proofErr w:type="spellEnd"/>
            <w:r w:rsidRPr="00193615">
              <w:rPr>
                <w:rFonts w:ascii="Arial" w:eastAsia="Arial" w:hAnsi="Arial" w:cs="Arial"/>
                <w:spacing w:val="-2"/>
                <w:sz w:val="18"/>
                <w:szCs w:val="18"/>
              </w:rPr>
              <w:t xml:space="preserve"> </w:t>
            </w:r>
            <w:proofErr w:type="spellStart"/>
            <w:r w:rsidRPr="00193615">
              <w:rPr>
                <w:rFonts w:ascii="Arial" w:eastAsia="Arial" w:hAnsi="Arial" w:cs="Arial"/>
                <w:spacing w:val="-2"/>
                <w:sz w:val="18"/>
                <w:szCs w:val="18"/>
              </w:rPr>
              <w:t>Logístico</w:t>
            </w:r>
            <w:proofErr w:type="spellEnd"/>
            <w:r w:rsidRPr="00193615">
              <w:rPr>
                <w:rFonts w:ascii="Arial" w:eastAsia="Arial" w:hAnsi="Arial" w:cs="Arial"/>
                <w:spacing w:val="-2"/>
                <w:sz w:val="18"/>
                <w:szCs w:val="18"/>
              </w:rPr>
              <w:t>) (GL)</w:t>
            </w:r>
          </w:p>
          <w:p w14:paraId="1FD6981A" w14:textId="77777777" w:rsidR="0040704B" w:rsidRPr="008D6058" w:rsidRDefault="0040704B" w:rsidP="00D877B4">
            <w:pPr>
              <w:suppressAutoHyphens/>
              <w:jc w:val="both"/>
              <w:rPr>
                <w:rFonts w:ascii="Arial" w:hAnsi="Arial" w:cs="Arial"/>
                <w:sz w:val="18"/>
                <w:szCs w:val="18"/>
                <w:lang w:val="es-ES"/>
              </w:rPr>
            </w:pPr>
          </w:p>
        </w:tc>
        <w:tc>
          <w:tcPr>
            <w:tcW w:w="3509" w:type="dxa"/>
            <w:shd w:val="clear" w:color="auto" w:fill="auto"/>
          </w:tcPr>
          <w:p w14:paraId="1FD6981B" w14:textId="5CB71FCD" w:rsidR="0040704B" w:rsidRPr="00193615" w:rsidRDefault="00737A4E">
            <w:pPr>
              <w:suppressAutoHyphens/>
              <w:jc w:val="both"/>
              <w:rPr>
                <w:rFonts w:ascii="Arial" w:eastAsia="Arial" w:hAnsi="Arial" w:cs="Arial"/>
                <w:sz w:val="18"/>
                <w:szCs w:val="18"/>
                <w:lang w:val="es-ES"/>
              </w:rPr>
            </w:pPr>
            <w:r w:rsidRPr="00193615">
              <w:rPr>
                <w:rFonts w:ascii="Arial" w:eastAsia="Arial" w:hAnsi="Arial" w:cs="Arial"/>
                <w:spacing w:val="-2"/>
                <w:sz w:val="18"/>
                <w:szCs w:val="18"/>
                <w:lang w:val="es-ES"/>
              </w:rPr>
              <w:t xml:space="preserve">2.1. </w:t>
            </w:r>
            <w:r w:rsidRPr="00193615">
              <w:rPr>
                <w:rFonts w:ascii="Arial" w:eastAsia="Arial" w:hAnsi="Arial" w:cs="Arial"/>
                <w:spacing w:val="-2"/>
                <w:sz w:val="18"/>
                <w:szCs w:val="18"/>
                <w:lang w:val="es-AR"/>
              </w:rPr>
              <w:t>Aprobación</w:t>
            </w:r>
            <w:r w:rsidRPr="00193615">
              <w:rPr>
                <w:rFonts w:ascii="Arial" w:eastAsia="Arial" w:hAnsi="Arial" w:cs="Arial"/>
                <w:spacing w:val="-2"/>
                <w:sz w:val="18"/>
                <w:szCs w:val="18"/>
                <w:lang w:val="es-ES"/>
              </w:rPr>
              <w:t xml:space="preserve"> </w:t>
            </w:r>
            <w:r w:rsidR="0037056A" w:rsidRPr="00193615">
              <w:rPr>
                <w:rFonts w:ascii="Arial" w:eastAsia="Arial" w:hAnsi="Arial" w:cs="Arial"/>
                <w:spacing w:val="-2"/>
                <w:sz w:val="18"/>
                <w:szCs w:val="18"/>
                <w:lang w:val="es-ES"/>
              </w:rPr>
              <w:t>de</w:t>
            </w:r>
            <w:r w:rsidR="00C86E0D" w:rsidRPr="00193615">
              <w:rPr>
                <w:rFonts w:ascii="Arial" w:eastAsia="Arial" w:hAnsi="Arial" w:cs="Arial"/>
                <w:spacing w:val="-2"/>
                <w:sz w:val="18"/>
                <w:szCs w:val="18"/>
                <w:lang w:val="es-ES"/>
              </w:rPr>
              <w:t>l Poder Ejecutivo de</w:t>
            </w:r>
            <w:r w:rsidR="0037056A" w:rsidRPr="00193615">
              <w:rPr>
                <w:rFonts w:ascii="Arial" w:eastAsia="Arial" w:hAnsi="Arial" w:cs="Arial"/>
                <w:spacing w:val="-2"/>
                <w:sz w:val="18"/>
                <w:szCs w:val="18"/>
                <w:lang w:val="es-ES"/>
              </w:rPr>
              <w:t xml:space="preserve"> un marco estratégico de logística que </w:t>
            </w:r>
            <w:r w:rsidRPr="00193615">
              <w:rPr>
                <w:rFonts w:ascii="Arial" w:eastAsia="Arial" w:hAnsi="Arial" w:cs="Arial"/>
                <w:spacing w:val="-2"/>
                <w:sz w:val="18"/>
                <w:szCs w:val="18"/>
                <w:lang w:val="es-ES"/>
              </w:rPr>
              <w:t>incluy</w:t>
            </w:r>
            <w:r w:rsidR="0037056A" w:rsidRPr="00193615">
              <w:rPr>
                <w:rFonts w:ascii="Arial" w:eastAsia="Arial" w:hAnsi="Arial" w:cs="Arial"/>
                <w:spacing w:val="-2"/>
                <w:sz w:val="18"/>
                <w:szCs w:val="18"/>
                <w:lang w:val="es-ES"/>
              </w:rPr>
              <w:t xml:space="preserve">a – en su texto ordenado- </w:t>
            </w:r>
            <w:r w:rsidRPr="00193615">
              <w:rPr>
                <w:rFonts w:ascii="Arial" w:eastAsia="Arial" w:hAnsi="Arial" w:cs="Arial"/>
                <w:spacing w:val="-2"/>
                <w:sz w:val="18"/>
                <w:szCs w:val="18"/>
                <w:lang w:val="es-ES"/>
              </w:rPr>
              <w:t xml:space="preserve"> los lineamientos de políticas, elementos fundamentales del sector y competencias institucionales.</w:t>
            </w:r>
          </w:p>
        </w:tc>
        <w:tc>
          <w:tcPr>
            <w:tcW w:w="2953" w:type="dxa"/>
            <w:shd w:val="clear" w:color="auto" w:fill="auto"/>
          </w:tcPr>
          <w:p w14:paraId="1FD6981C" w14:textId="7DEF4AC2" w:rsidR="008E7BAE" w:rsidRPr="00193615" w:rsidRDefault="7FBDDA1D" w:rsidP="00193615">
            <w:pPr>
              <w:keepNext/>
              <w:keepLines/>
              <w:spacing w:before="60" w:after="60"/>
              <w:jc w:val="both"/>
              <w:rPr>
                <w:rFonts w:ascii="Arial" w:eastAsia="Arial" w:hAnsi="Arial" w:cs="Arial"/>
                <w:sz w:val="18"/>
                <w:szCs w:val="18"/>
                <w:lang w:val="es-ES"/>
              </w:rPr>
            </w:pPr>
            <w:r w:rsidRPr="00193615">
              <w:rPr>
                <w:rFonts w:ascii="Arial" w:eastAsia="Arial" w:hAnsi="Arial" w:cs="Arial"/>
                <w:sz w:val="18"/>
                <w:szCs w:val="18"/>
                <w:lang w:val="es-ES"/>
              </w:rPr>
              <w:t xml:space="preserve">2.1 </w:t>
            </w:r>
            <w:r w:rsidR="0037056A" w:rsidRPr="00193615">
              <w:rPr>
                <w:rFonts w:ascii="Arial" w:eastAsia="Arial" w:hAnsi="Arial" w:cs="Arial"/>
                <w:color w:val="000000" w:themeColor="text1"/>
                <w:sz w:val="18"/>
                <w:szCs w:val="18"/>
                <w:lang w:val="es-ES"/>
              </w:rPr>
              <w:t>Decreto</w:t>
            </w:r>
            <w:r w:rsidR="007A4BAF" w:rsidRPr="00193615">
              <w:rPr>
                <w:rFonts w:ascii="Arial" w:eastAsia="Arial" w:hAnsi="Arial" w:cs="Arial"/>
                <w:color w:val="000000" w:themeColor="text1"/>
                <w:sz w:val="18"/>
                <w:szCs w:val="18"/>
                <w:lang w:val="es-ES"/>
              </w:rPr>
              <w:t xml:space="preserve"> vigente</w:t>
            </w:r>
            <w:r w:rsidR="0037056A" w:rsidRPr="00193615">
              <w:rPr>
                <w:rFonts w:ascii="Arial" w:eastAsia="Arial" w:hAnsi="Arial" w:cs="Arial"/>
                <w:color w:val="000000" w:themeColor="text1"/>
                <w:sz w:val="18"/>
                <w:szCs w:val="18"/>
                <w:lang w:val="es-ES"/>
              </w:rPr>
              <w:t xml:space="preserve"> del Poder Ejecutivo Nacional aprobando </w:t>
            </w:r>
            <w:r w:rsidR="0037056A" w:rsidRPr="00193615">
              <w:rPr>
                <w:rFonts w:ascii="Arial" w:eastAsia="Arial" w:hAnsi="Arial" w:cs="Arial"/>
                <w:spacing w:val="-2"/>
                <w:sz w:val="18"/>
                <w:szCs w:val="18"/>
                <w:lang w:val="es-ES"/>
              </w:rPr>
              <w:t>marco estratégico de logística que incluya – en su texto ordenado-  los lineamientos de políticas, elementos fundamentales del sector y competencias institucionales.</w:t>
            </w:r>
            <w:r w:rsidRPr="00193615">
              <w:rPr>
                <w:rFonts w:ascii="Arial" w:eastAsia="Arial" w:hAnsi="Arial" w:cs="Arial"/>
                <w:sz w:val="18"/>
                <w:szCs w:val="18"/>
                <w:lang w:val="es-ES"/>
              </w:rPr>
              <w:t xml:space="preserve"> </w:t>
            </w:r>
          </w:p>
          <w:p w14:paraId="1FD6981D" w14:textId="77777777" w:rsidR="0040704B" w:rsidRPr="008D6058" w:rsidRDefault="0040704B" w:rsidP="00D877B4">
            <w:pPr>
              <w:suppressAutoHyphens/>
              <w:jc w:val="both"/>
              <w:rPr>
                <w:rFonts w:ascii="Arial" w:hAnsi="Arial" w:cs="Arial"/>
                <w:sz w:val="18"/>
                <w:szCs w:val="18"/>
                <w:lang w:val="es-ES_tradnl"/>
              </w:rPr>
            </w:pPr>
          </w:p>
        </w:tc>
        <w:tc>
          <w:tcPr>
            <w:tcW w:w="2209" w:type="dxa"/>
          </w:tcPr>
          <w:p w14:paraId="1FD6981E" w14:textId="16C723DC" w:rsidR="0040704B" w:rsidRPr="00193615" w:rsidRDefault="7FBDDA1D">
            <w:pPr>
              <w:suppressAutoHyphens/>
              <w:jc w:val="both"/>
              <w:rPr>
                <w:rFonts w:ascii="Arial" w:eastAsia="Arial" w:hAnsi="Arial" w:cs="Arial"/>
                <w:sz w:val="18"/>
                <w:szCs w:val="18"/>
                <w:lang w:val="es-ES"/>
              </w:rPr>
            </w:pPr>
            <w:r w:rsidRPr="00193615">
              <w:rPr>
                <w:rFonts w:ascii="Arial" w:eastAsia="Arial" w:hAnsi="Arial" w:cs="Arial"/>
                <w:sz w:val="18"/>
                <w:szCs w:val="18"/>
                <w:lang w:val="es-ES"/>
              </w:rPr>
              <w:t>Ministerio de Presidencia y C</w:t>
            </w:r>
            <w:r w:rsidR="013DEBAB" w:rsidRPr="00193615">
              <w:rPr>
                <w:rFonts w:ascii="Arial" w:eastAsia="Arial" w:hAnsi="Arial" w:cs="Arial"/>
                <w:sz w:val="18"/>
                <w:szCs w:val="18"/>
                <w:lang w:val="es-ES"/>
              </w:rPr>
              <w:t>oordinación Logísti</w:t>
            </w:r>
            <w:r w:rsidR="74825505" w:rsidRPr="00193615">
              <w:rPr>
                <w:rFonts w:ascii="Arial" w:eastAsia="Arial" w:hAnsi="Arial" w:cs="Arial"/>
                <w:sz w:val="18"/>
                <w:szCs w:val="18"/>
                <w:lang w:val="es-ES"/>
              </w:rPr>
              <w:t>ca</w:t>
            </w:r>
          </w:p>
        </w:tc>
      </w:tr>
      <w:tr w:rsidR="0040704B" w:rsidRPr="008D6058" w14:paraId="1FD69825" w14:textId="77777777" w:rsidTr="54558B85">
        <w:trPr>
          <w:trHeight w:val="1362"/>
        </w:trPr>
        <w:tc>
          <w:tcPr>
            <w:tcW w:w="2431" w:type="dxa"/>
            <w:vMerge/>
            <w:shd w:val="clear" w:color="auto" w:fill="auto"/>
          </w:tcPr>
          <w:p w14:paraId="1FD69820" w14:textId="77777777" w:rsidR="0040704B" w:rsidRPr="008D6058" w:rsidRDefault="0040704B" w:rsidP="00D877B4">
            <w:pPr>
              <w:suppressAutoHyphens/>
              <w:jc w:val="both"/>
              <w:rPr>
                <w:rFonts w:ascii="Arial" w:hAnsi="Arial" w:cs="Arial"/>
                <w:b/>
                <w:sz w:val="18"/>
                <w:szCs w:val="18"/>
                <w:lang w:val="es-ES"/>
              </w:rPr>
            </w:pPr>
          </w:p>
        </w:tc>
        <w:tc>
          <w:tcPr>
            <w:tcW w:w="2120" w:type="dxa"/>
            <w:vMerge/>
            <w:shd w:val="clear" w:color="auto" w:fill="auto"/>
          </w:tcPr>
          <w:p w14:paraId="1FD69821" w14:textId="77777777" w:rsidR="0040704B" w:rsidRPr="008D6058" w:rsidRDefault="0040704B" w:rsidP="00D877B4">
            <w:pPr>
              <w:jc w:val="both"/>
              <w:rPr>
                <w:rFonts w:ascii="Arial" w:hAnsi="Arial" w:cs="Arial"/>
                <w:sz w:val="18"/>
                <w:szCs w:val="18"/>
                <w:lang w:val="es-ES_tradnl"/>
              </w:rPr>
            </w:pPr>
          </w:p>
        </w:tc>
        <w:tc>
          <w:tcPr>
            <w:tcW w:w="3509" w:type="dxa"/>
            <w:shd w:val="clear" w:color="auto" w:fill="auto"/>
          </w:tcPr>
          <w:p w14:paraId="1FD69822" w14:textId="77777777" w:rsidR="0040704B" w:rsidRPr="008D6058" w:rsidRDefault="0040704B" w:rsidP="00D877B4">
            <w:pPr>
              <w:suppressAutoHyphens/>
              <w:jc w:val="both"/>
              <w:rPr>
                <w:rFonts w:ascii="Arial" w:hAnsi="Arial" w:cs="Arial"/>
                <w:spacing w:val="-2"/>
                <w:sz w:val="18"/>
                <w:szCs w:val="18"/>
                <w:lang w:val="es-ES"/>
              </w:rPr>
            </w:pPr>
          </w:p>
        </w:tc>
        <w:tc>
          <w:tcPr>
            <w:tcW w:w="2953" w:type="dxa"/>
            <w:shd w:val="clear" w:color="auto" w:fill="auto"/>
          </w:tcPr>
          <w:p w14:paraId="1FD69823" w14:textId="77777777" w:rsidR="0040704B" w:rsidRPr="008D6058" w:rsidRDefault="0040704B" w:rsidP="00D877B4">
            <w:pPr>
              <w:suppressAutoHyphens/>
              <w:jc w:val="both"/>
              <w:rPr>
                <w:rFonts w:ascii="Arial" w:hAnsi="Arial" w:cs="Arial"/>
                <w:sz w:val="18"/>
                <w:szCs w:val="18"/>
                <w:lang w:val="es-ES_tradnl"/>
              </w:rPr>
            </w:pPr>
          </w:p>
        </w:tc>
        <w:tc>
          <w:tcPr>
            <w:tcW w:w="2209" w:type="dxa"/>
          </w:tcPr>
          <w:p w14:paraId="1FD69824" w14:textId="77777777" w:rsidR="0040704B" w:rsidRPr="00193615" w:rsidRDefault="7FBDDA1D">
            <w:pPr>
              <w:suppressAutoHyphens/>
              <w:jc w:val="both"/>
              <w:rPr>
                <w:rFonts w:ascii="Arial" w:eastAsia="Arial" w:hAnsi="Arial" w:cs="Arial"/>
                <w:sz w:val="18"/>
                <w:szCs w:val="18"/>
                <w:lang w:val="es-ES"/>
              </w:rPr>
            </w:pPr>
            <w:r w:rsidRPr="00193615">
              <w:rPr>
                <w:rFonts w:ascii="Arial" w:eastAsia="Arial" w:hAnsi="Arial" w:cs="Arial"/>
                <w:sz w:val="18"/>
                <w:szCs w:val="18"/>
                <w:lang w:val="es-ES"/>
              </w:rPr>
              <w:t>Ministerio de Presidencia</w:t>
            </w:r>
          </w:p>
        </w:tc>
      </w:tr>
      <w:tr w:rsidR="00645907" w:rsidRPr="008D6058" w14:paraId="1FD69830" w14:textId="77777777" w:rsidTr="54558B85">
        <w:trPr>
          <w:trHeight w:val="2099"/>
        </w:trPr>
        <w:tc>
          <w:tcPr>
            <w:tcW w:w="2431" w:type="dxa"/>
            <w:shd w:val="clear" w:color="auto" w:fill="auto"/>
          </w:tcPr>
          <w:p w14:paraId="1FD69826" w14:textId="77777777" w:rsidR="00645907" w:rsidRPr="00193615" w:rsidRDefault="00645907">
            <w:pPr>
              <w:jc w:val="both"/>
              <w:rPr>
                <w:rFonts w:ascii="Arial" w:eastAsia="Arial" w:hAnsi="Arial" w:cs="Arial"/>
                <w:sz w:val="18"/>
                <w:szCs w:val="18"/>
                <w:lang w:val="es-ES"/>
              </w:rPr>
            </w:pPr>
            <w:r w:rsidRPr="00193615">
              <w:rPr>
                <w:rFonts w:ascii="Arial" w:eastAsia="Arial" w:hAnsi="Arial" w:cs="Arial"/>
                <w:b/>
                <w:bCs/>
                <w:sz w:val="18"/>
                <w:szCs w:val="18"/>
                <w:lang w:val="es-ES"/>
              </w:rPr>
              <w:t>Reformar el marco legal aduanero</w:t>
            </w:r>
            <w:r w:rsidRPr="00193615">
              <w:rPr>
                <w:rFonts w:ascii="Arial" w:eastAsia="Arial" w:hAnsi="Arial" w:cs="Arial"/>
                <w:sz w:val="18"/>
                <w:szCs w:val="18"/>
                <w:lang w:val="es-ES"/>
              </w:rPr>
              <w:t xml:space="preserve"> a fin de dar cumplimiento al protocolo de integración de Panamá al Sistema de Integración Económica Centroamericana (SIECA) y armonizarlo con el código aduanero regional (CAUCA, RECAUCA).</w:t>
            </w:r>
          </w:p>
        </w:tc>
        <w:tc>
          <w:tcPr>
            <w:tcW w:w="2120" w:type="dxa"/>
            <w:shd w:val="clear" w:color="auto" w:fill="auto"/>
          </w:tcPr>
          <w:p w14:paraId="1FD69827" w14:textId="0ED06378" w:rsidR="00645907" w:rsidRPr="00193615" w:rsidRDefault="00645907">
            <w:pPr>
              <w:jc w:val="both"/>
              <w:rPr>
                <w:rFonts w:ascii="Arial" w:eastAsia="Arial" w:hAnsi="Arial" w:cs="Arial"/>
                <w:sz w:val="18"/>
                <w:szCs w:val="18"/>
                <w:lang w:val="pt-BR"/>
              </w:rPr>
            </w:pPr>
            <w:proofErr w:type="spellStart"/>
            <w:r w:rsidRPr="00193615">
              <w:rPr>
                <w:rFonts w:ascii="Arial" w:eastAsia="Arial" w:hAnsi="Arial" w:cs="Arial"/>
                <w:sz w:val="18"/>
                <w:szCs w:val="18"/>
                <w:lang w:val="pt-BR"/>
              </w:rPr>
              <w:t>Autoridad</w:t>
            </w:r>
            <w:proofErr w:type="spellEnd"/>
            <w:r w:rsidRPr="00193615">
              <w:rPr>
                <w:rFonts w:ascii="Arial" w:eastAsia="Arial" w:hAnsi="Arial" w:cs="Arial"/>
                <w:sz w:val="18"/>
                <w:szCs w:val="18"/>
                <w:lang w:val="pt-BR"/>
              </w:rPr>
              <w:t xml:space="preserve"> Nacional de Aduanas (ANA)</w:t>
            </w:r>
          </w:p>
          <w:p w14:paraId="6B84B7E6" w14:textId="5D8FF36E" w:rsidR="00854839" w:rsidRPr="00193615" w:rsidRDefault="00854839">
            <w:pPr>
              <w:jc w:val="both"/>
              <w:rPr>
                <w:rFonts w:ascii="Arial" w:eastAsia="Arial" w:hAnsi="Arial" w:cs="Arial"/>
                <w:sz w:val="18"/>
                <w:szCs w:val="18"/>
                <w:lang w:val="pt-BR"/>
              </w:rPr>
            </w:pPr>
            <w:r w:rsidRPr="00193615">
              <w:rPr>
                <w:rFonts w:ascii="Arial" w:eastAsia="Arial" w:hAnsi="Arial" w:cs="Arial"/>
                <w:spacing w:val="-2"/>
                <w:sz w:val="18"/>
                <w:szCs w:val="18"/>
              </w:rPr>
              <w:t>(</w:t>
            </w:r>
            <w:proofErr w:type="spellStart"/>
            <w:r w:rsidRPr="00193615">
              <w:rPr>
                <w:rFonts w:ascii="Arial" w:eastAsia="Arial" w:hAnsi="Arial" w:cs="Arial"/>
                <w:spacing w:val="-2"/>
                <w:sz w:val="18"/>
                <w:szCs w:val="18"/>
              </w:rPr>
              <w:t>elaboración</w:t>
            </w:r>
            <w:proofErr w:type="spellEnd"/>
            <w:r w:rsidRPr="00193615">
              <w:rPr>
                <w:rFonts w:ascii="Arial" w:eastAsia="Arial" w:hAnsi="Arial" w:cs="Arial"/>
                <w:spacing w:val="-2"/>
                <w:sz w:val="18"/>
                <w:szCs w:val="18"/>
              </w:rPr>
              <w:t>)</w:t>
            </w:r>
          </w:p>
          <w:p w14:paraId="1FD69828" w14:textId="77777777" w:rsidR="00645907" w:rsidRPr="008D6058" w:rsidRDefault="00645907" w:rsidP="00D877B4">
            <w:pPr>
              <w:jc w:val="both"/>
              <w:rPr>
                <w:rFonts w:ascii="Arial" w:hAnsi="Arial" w:cs="Arial"/>
                <w:sz w:val="18"/>
                <w:szCs w:val="18"/>
                <w:lang w:val="pt-BR"/>
              </w:rPr>
            </w:pPr>
          </w:p>
          <w:p w14:paraId="1FD69829" w14:textId="0B45A586" w:rsidR="00645907" w:rsidRPr="00193615" w:rsidRDefault="00645907">
            <w:pPr>
              <w:jc w:val="both"/>
              <w:rPr>
                <w:rFonts w:ascii="Arial" w:eastAsia="Arial" w:hAnsi="Arial" w:cs="Arial"/>
                <w:sz w:val="18"/>
                <w:szCs w:val="18"/>
                <w:lang w:val="pt-BR"/>
              </w:rPr>
            </w:pPr>
            <w:r w:rsidRPr="00193615">
              <w:rPr>
                <w:rFonts w:ascii="Arial" w:eastAsia="Arial" w:hAnsi="Arial" w:cs="Arial"/>
                <w:sz w:val="18"/>
                <w:szCs w:val="18"/>
                <w:lang w:val="pt-BR"/>
              </w:rPr>
              <w:t>Ministério de Comercio e Indústrias (MICI)</w:t>
            </w:r>
          </w:p>
          <w:p w14:paraId="09EBAB13" w14:textId="310EB483" w:rsidR="009D0E4F" w:rsidRPr="00193615" w:rsidRDefault="009D0E4F">
            <w:pPr>
              <w:jc w:val="both"/>
              <w:rPr>
                <w:rFonts w:ascii="Arial" w:eastAsia="Arial" w:hAnsi="Arial" w:cs="Arial"/>
                <w:sz w:val="18"/>
                <w:szCs w:val="18"/>
                <w:lang w:val="pt-BR"/>
              </w:rPr>
            </w:pPr>
            <w:r w:rsidRPr="00193615">
              <w:rPr>
                <w:rFonts w:ascii="Arial" w:eastAsia="Arial" w:hAnsi="Arial" w:cs="Arial"/>
                <w:spacing w:val="-2"/>
                <w:sz w:val="18"/>
                <w:szCs w:val="18"/>
              </w:rPr>
              <w:t>(</w:t>
            </w:r>
            <w:proofErr w:type="spellStart"/>
            <w:r w:rsidRPr="00193615">
              <w:rPr>
                <w:rFonts w:ascii="Arial" w:eastAsia="Arial" w:hAnsi="Arial" w:cs="Arial"/>
                <w:spacing w:val="-2"/>
                <w:sz w:val="18"/>
                <w:szCs w:val="18"/>
              </w:rPr>
              <w:t>elaboración</w:t>
            </w:r>
            <w:proofErr w:type="spellEnd"/>
            <w:r w:rsidRPr="00193615">
              <w:rPr>
                <w:rFonts w:ascii="Arial" w:eastAsia="Arial" w:hAnsi="Arial" w:cs="Arial"/>
                <w:spacing w:val="-2"/>
                <w:sz w:val="18"/>
                <w:szCs w:val="18"/>
              </w:rPr>
              <w:t>)</w:t>
            </w:r>
          </w:p>
          <w:p w14:paraId="1FD6982A" w14:textId="77777777" w:rsidR="00645907" w:rsidRPr="008D6058" w:rsidRDefault="00645907" w:rsidP="00D877B4">
            <w:pPr>
              <w:jc w:val="both"/>
              <w:rPr>
                <w:rFonts w:ascii="Arial" w:hAnsi="Arial" w:cs="Arial"/>
                <w:sz w:val="18"/>
                <w:szCs w:val="18"/>
                <w:lang w:val="pt-BR"/>
              </w:rPr>
            </w:pPr>
          </w:p>
          <w:p w14:paraId="0AE6ADFE" w14:textId="77777777" w:rsidR="00645907" w:rsidRPr="00193615" w:rsidRDefault="00645907">
            <w:pPr>
              <w:jc w:val="both"/>
              <w:rPr>
                <w:rFonts w:ascii="Arial" w:eastAsia="Arial" w:hAnsi="Arial" w:cs="Arial"/>
                <w:sz w:val="18"/>
                <w:szCs w:val="18"/>
                <w:lang w:val="pt-BR"/>
              </w:rPr>
            </w:pPr>
            <w:proofErr w:type="spellStart"/>
            <w:r w:rsidRPr="00193615">
              <w:rPr>
                <w:rFonts w:ascii="Arial" w:eastAsia="Arial" w:hAnsi="Arial" w:cs="Arial"/>
                <w:sz w:val="18"/>
                <w:szCs w:val="18"/>
                <w:lang w:val="pt-BR"/>
              </w:rPr>
              <w:t>Consejo</w:t>
            </w:r>
            <w:proofErr w:type="spellEnd"/>
            <w:r w:rsidRPr="00193615">
              <w:rPr>
                <w:rFonts w:ascii="Arial" w:eastAsia="Arial" w:hAnsi="Arial" w:cs="Arial"/>
                <w:sz w:val="18"/>
                <w:szCs w:val="18"/>
                <w:lang w:val="pt-BR"/>
              </w:rPr>
              <w:t xml:space="preserve"> de Gabinete</w:t>
            </w:r>
          </w:p>
          <w:p w14:paraId="1FD6982B" w14:textId="4EADA2E5" w:rsidR="00BF5B8E" w:rsidRPr="00193615" w:rsidRDefault="00BF5B8E">
            <w:pPr>
              <w:jc w:val="both"/>
              <w:rPr>
                <w:rFonts w:ascii="Arial" w:eastAsia="Arial" w:hAnsi="Arial" w:cs="Arial"/>
                <w:sz w:val="18"/>
                <w:szCs w:val="18"/>
                <w:lang w:val="pt-BR"/>
              </w:rPr>
            </w:pPr>
            <w:r w:rsidRPr="00193615">
              <w:rPr>
                <w:rFonts w:ascii="Arial" w:eastAsia="Arial" w:hAnsi="Arial" w:cs="Arial"/>
                <w:sz w:val="18"/>
                <w:szCs w:val="18"/>
              </w:rPr>
              <w:t>(</w:t>
            </w:r>
            <w:proofErr w:type="spellStart"/>
            <w:r w:rsidRPr="00193615">
              <w:rPr>
                <w:rFonts w:ascii="Arial" w:eastAsia="Arial" w:hAnsi="Arial" w:cs="Arial"/>
                <w:sz w:val="18"/>
                <w:szCs w:val="18"/>
              </w:rPr>
              <w:t>aprobación</w:t>
            </w:r>
            <w:proofErr w:type="spellEnd"/>
            <w:r w:rsidRPr="00193615">
              <w:rPr>
                <w:rFonts w:ascii="Arial" w:eastAsia="Arial" w:hAnsi="Arial" w:cs="Arial"/>
                <w:sz w:val="18"/>
                <w:szCs w:val="18"/>
              </w:rPr>
              <w:t>)</w:t>
            </w:r>
          </w:p>
        </w:tc>
        <w:tc>
          <w:tcPr>
            <w:tcW w:w="3509" w:type="dxa"/>
            <w:shd w:val="clear" w:color="auto" w:fill="auto"/>
          </w:tcPr>
          <w:p w14:paraId="1FD6982C" w14:textId="77777777" w:rsidR="00645907" w:rsidRPr="00193615" w:rsidRDefault="00645907">
            <w:pPr>
              <w:jc w:val="both"/>
              <w:rPr>
                <w:rFonts w:ascii="Arial" w:eastAsia="Arial" w:hAnsi="Arial" w:cs="Arial"/>
                <w:sz w:val="18"/>
                <w:szCs w:val="18"/>
                <w:lang w:val="es-ES"/>
              </w:rPr>
            </w:pPr>
            <w:r w:rsidRPr="00193615">
              <w:rPr>
                <w:rFonts w:ascii="Arial" w:eastAsia="Arial" w:hAnsi="Arial" w:cs="Arial"/>
                <w:spacing w:val="-2"/>
                <w:sz w:val="18"/>
                <w:szCs w:val="18"/>
                <w:lang w:val="es-ES"/>
              </w:rPr>
              <w:t>3.1.Aprobación de la reglamentación del nuevo marco legal aduanero que permite la armonización con el código aduanero regional de Centroamérica, incluyendo, entre otros la simplificación de trámites aduaneros, la facilitación de procesos, y la creación del Tribunal Penal Aduanero y la Defensoría de Oficio.</w:t>
            </w:r>
          </w:p>
        </w:tc>
        <w:tc>
          <w:tcPr>
            <w:tcW w:w="2953" w:type="dxa"/>
            <w:shd w:val="clear" w:color="auto" w:fill="auto"/>
          </w:tcPr>
          <w:p w14:paraId="1FD6982D" w14:textId="77777777" w:rsidR="00645907" w:rsidRPr="00193615" w:rsidRDefault="00645907">
            <w:pPr>
              <w:jc w:val="both"/>
              <w:rPr>
                <w:rFonts w:ascii="Arial" w:eastAsia="Arial" w:hAnsi="Arial" w:cs="Arial"/>
                <w:sz w:val="18"/>
                <w:szCs w:val="18"/>
                <w:lang w:val="es-ES"/>
              </w:rPr>
            </w:pPr>
            <w:r w:rsidRPr="00193615">
              <w:rPr>
                <w:rFonts w:ascii="Arial" w:eastAsia="Arial" w:hAnsi="Arial" w:cs="Arial"/>
                <w:sz w:val="18"/>
                <w:szCs w:val="18"/>
                <w:lang w:val="es-ES"/>
              </w:rPr>
              <w:t xml:space="preserve"> </w:t>
            </w:r>
            <w:r w:rsidRPr="00193615">
              <w:rPr>
                <w:rFonts w:ascii="Arial" w:eastAsia="Arial" w:hAnsi="Arial" w:cs="Arial"/>
                <w:color w:val="000000" w:themeColor="text1"/>
                <w:sz w:val="18"/>
                <w:szCs w:val="18"/>
                <w:lang w:val="es-ES"/>
              </w:rPr>
              <w:t xml:space="preserve">3.1.1 Resolución de Aduana certificando que la reglamentación del nuevo marco legal aduanero para la armonización con el código aduanero regional de Centroamérica ha sido debidamente implementada, enumerando las principales medidas de reforma.  </w:t>
            </w:r>
          </w:p>
        </w:tc>
        <w:tc>
          <w:tcPr>
            <w:tcW w:w="2209" w:type="dxa"/>
          </w:tcPr>
          <w:p w14:paraId="1FD6982E" w14:textId="77777777" w:rsidR="00645907" w:rsidRPr="00193615" w:rsidRDefault="00645907">
            <w:pPr>
              <w:jc w:val="both"/>
              <w:rPr>
                <w:rFonts w:ascii="Arial" w:eastAsia="Arial" w:hAnsi="Arial" w:cs="Arial"/>
                <w:sz w:val="18"/>
                <w:szCs w:val="18"/>
                <w:lang w:val="es-AR"/>
              </w:rPr>
            </w:pPr>
            <w:r w:rsidRPr="00193615">
              <w:rPr>
                <w:rFonts w:ascii="Arial" w:eastAsia="Arial" w:hAnsi="Arial" w:cs="Arial"/>
                <w:sz w:val="18"/>
                <w:szCs w:val="18"/>
                <w:lang w:val="es-AR"/>
              </w:rPr>
              <w:t xml:space="preserve">Autoridad Nacional de Aduanas </w:t>
            </w:r>
          </w:p>
          <w:p w14:paraId="1FD6982F" w14:textId="77777777" w:rsidR="00645907" w:rsidRPr="008D6058" w:rsidRDefault="00645907" w:rsidP="00D877B4">
            <w:pPr>
              <w:jc w:val="both"/>
              <w:rPr>
                <w:rFonts w:ascii="Arial" w:hAnsi="Arial" w:cs="Arial"/>
                <w:sz w:val="18"/>
                <w:szCs w:val="18"/>
                <w:lang w:val="es-AR"/>
              </w:rPr>
            </w:pPr>
          </w:p>
        </w:tc>
      </w:tr>
      <w:tr w:rsidR="00AE11BE" w:rsidRPr="009675EC" w14:paraId="1FD69837" w14:textId="77777777" w:rsidTr="54558B85">
        <w:trPr>
          <w:trHeight w:val="1820"/>
        </w:trPr>
        <w:tc>
          <w:tcPr>
            <w:tcW w:w="2431" w:type="dxa"/>
            <w:shd w:val="clear" w:color="auto" w:fill="auto"/>
          </w:tcPr>
          <w:p w14:paraId="1FD69831"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b/>
                <w:bCs/>
                <w:sz w:val="18"/>
                <w:szCs w:val="18"/>
                <w:lang w:val="es-ES"/>
              </w:rPr>
              <w:t>Modificar el marco legal de servicios marítimos</w:t>
            </w:r>
            <w:r w:rsidRPr="00193615">
              <w:rPr>
                <w:rFonts w:ascii="Arial" w:eastAsia="Arial" w:hAnsi="Arial" w:cs="Arial"/>
                <w:sz w:val="18"/>
                <w:szCs w:val="18"/>
                <w:lang w:val="es-ES"/>
              </w:rPr>
              <w:t xml:space="preserve"> con el objetivo de </w:t>
            </w:r>
            <w:r w:rsidRPr="00193615">
              <w:rPr>
                <w:rFonts w:ascii="Arial" w:eastAsia="Arial" w:hAnsi="Arial" w:cs="Arial"/>
                <w:b/>
                <w:bCs/>
                <w:sz w:val="18"/>
                <w:szCs w:val="18"/>
                <w:lang w:val="es-ES"/>
              </w:rPr>
              <w:t>estimular la Inversión directa extranjera</w:t>
            </w:r>
            <w:r w:rsidRPr="00193615">
              <w:rPr>
                <w:rFonts w:ascii="Arial" w:eastAsia="Arial" w:hAnsi="Arial" w:cs="Arial"/>
                <w:sz w:val="18"/>
                <w:szCs w:val="18"/>
                <w:lang w:val="es-ES"/>
              </w:rPr>
              <w:t xml:space="preserve"> en el subsector de servicios marítimos auxiliares.</w:t>
            </w:r>
          </w:p>
        </w:tc>
        <w:tc>
          <w:tcPr>
            <w:tcW w:w="2120" w:type="dxa"/>
            <w:shd w:val="clear" w:color="auto" w:fill="auto"/>
          </w:tcPr>
          <w:p w14:paraId="1FD69832"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Autoridad Marítima de Panamá (AMP)</w:t>
            </w:r>
          </w:p>
        </w:tc>
        <w:tc>
          <w:tcPr>
            <w:tcW w:w="3509" w:type="dxa"/>
            <w:shd w:val="clear" w:color="auto" w:fill="auto"/>
          </w:tcPr>
          <w:p w14:paraId="1FD69833" w14:textId="77777777" w:rsidR="00AE11BE" w:rsidRPr="00193615" w:rsidRDefault="00737A4E">
            <w:pPr>
              <w:jc w:val="both"/>
              <w:rPr>
                <w:rFonts w:ascii="Arial" w:eastAsia="Arial" w:hAnsi="Arial" w:cs="Arial"/>
                <w:sz w:val="18"/>
                <w:szCs w:val="18"/>
                <w:lang w:val="es-ES"/>
              </w:rPr>
            </w:pPr>
            <w:r w:rsidRPr="00193615">
              <w:rPr>
                <w:rFonts w:ascii="Arial" w:eastAsia="Arial" w:hAnsi="Arial" w:cs="Arial"/>
                <w:spacing w:val="-2"/>
                <w:sz w:val="18"/>
                <w:szCs w:val="18"/>
                <w:lang w:val="es-ES"/>
              </w:rPr>
              <w:t>4.1. Evaluación de las acciones y resultados del Plan de Desarrollo de IED en servicios marítimos auxiliares.</w:t>
            </w:r>
          </w:p>
        </w:tc>
        <w:tc>
          <w:tcPr>
            <w:tcW w:w="2953" w:type="dxa"/>
            <w:shd w:val="clear" w:color="auto" w:fill="auto"/>
          </w:tcPr>
          <w:p w14:paraId="1FD69834" w14:textId="77777777" w:rsidR="008D6058" w:rsidRPr="00193615" w:rsidRDefault="008D6058">
            <w:pPr>
              <w:rPr>
                <w:rFonts w:ascii="Arial" w:eastAsia="Arial" w:hAnsi="Arial" w:cs="Arial"/>
                <w:color w:val="000000" w:themeColor="text1"/>
                <w:sz w:val="18"/>
                <w:szCs w:val="18"/>
                <w:lang w:val="es-ES"/>
              </w:rPr>
            </w:pPr>
            <w:bookmarkStart w:id="1" w:name="_Hlk508270407"/>
            <w:r w:rsidRPr="00193615">
              <w:rPr>
                <w:rFonts w:ascii="Arial" w:eastAsia="Arial" w:hAnsi="Arial" w:cs="Arial"/>
                <w:color w:val="000000"/>
                <w:spacing w:val="-2"/>
                <w:sz w:val="18"/>
                <w:szCs w:val="18"/>
                <w:lang w:val="es-ES"/>
              </w:rPr>
              <w:t>4.1 Nota Técnica de la AMP reportando las acciones del Plan de Desarrollo de IED en servicios marítimos auxiliares, con foco en la ley de Financiamiento Naval</w:t>
            </w:r>
            <w:bookmarkEnd w:id="1"/>
            <w:r w:rsidRPr="00193615">
              <w:rPr>
                <w:rFonts w:ascii="Arial" w:eastAsia="Arial" w:hAnsi="Arial" w:cs="Arial"/>
                <w:color w:val="000000"/>
                <w:spacing w:val="-2"/>
                <w:sz w:val="18"/>
                <w:szCs w:val="18"/>
                <w:lang w:val="es-ES"/>
              </w:rPr>
              <w:t xml:space="preserve">. </w:t>
            </w:r>
          </w:p>
          <w:p w14:paraId="1FD69835" w14:textId="77777777" w:rsidR="0009300D" w:rsidRPr="008D6058" w:rsidRDefault="0009300D" w:rsidP="00A906F0">
            <w:pPr>
              <w:rPr>
                <w:lang w:val="es-ES_tradnl"/>
              </w:rPr>
            </w:pPr>
          </w:p>
        </w:tc>
        <w:tc>
          <w:tcPr>
            <w:tcW w:w="2209" w:type="dxa"/>
          </w:tcPr>
          <w:p w14:paraId="1FD69836"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Autoridad Marítima de Panamá (AMP)</w:t>
            </w:r>
          </w:p>
        </w:tc>
      </w:tr>
      <w:tr w:rsidR="0040704B" w:rsidRPr="009675EC" w14:paraId="1FD6983A" w14:textId="77777777" w:rsidTr="00193615">
        <w:trPr>
          <w:trHeight w:val="314"/>
        </w:trPr>
        <w:tc>
          <w:tcPr>
            <w:tcW w:w="11013" w:type="dxa"/>
            <w:gridSpan w:val="4"/>
            <w:shd w:val="clear" w:color="auto" w:fill="D9D9D9" w:themeFill="background1" w:themeFillShade="D9"/>
          </w:tcPr>
          <w:p w14:paraId="1FD69838" w14:textId="49B44E86" w:rsidR="0040704B" w:rsidRPr="00193615" w:rsidRDefault="7FBDDA1D">
            <w:pPr>
              <w:jc w:val="both"/>
              <w:rPr>
                <w:rFonts w:ascii="Arial" w:eastAsia="Arial" w:hAnsi="Arial" w:cs="Arial"/>
                <w:b/>
                <w:bCs/>
                <w:lang w:val="es-ES"/>
              </w:rPr>
            </w:pPr>
            <w:r w:rsidRPr="00193615">
              <w:rPr>
                <w:rFonts w:ascii="Arial" w:eastAsia="Arial" w:hAnsi="Arial" w:cs="Arial"/>
                <w:b/>
                <w:bCs/>
                <w:lang w:val="es-ES"/>
              </w:rPr>
              <w:t xml:space="preserve">Subcomponente II.2. </w:t>
            </w:r>
            <w:r w:rsidR="2E01A5B8" w:rsidRPr="00193615">
              <w:rPr>
                <w:rFonts w:ascii="Arial" w:eastAsia="Arial" w:hAnsi="Arial" w:cs="Arial"/>
                <w:b/>
                <w:bCs/>
                <w:lang w:val="es-ES"/>
              </w:rPr>
              <w:t>Marco institucional de logística y transporte</w:t>
            </w:r>
          </w:p>
        </w:tc>
        <w:tc>
          <w:tcPr>
            <w:tcW w:w="2209" w:type="dxa"/>
            <w:shd w:val="clear" w:color="auto" w:fill="D9D9D9" w:themeFill="background1" w:themeFillShade="D9"/>
          </w:tcPr>
          <w:p w14:paraId="1FD69839" w14:textId="77777777" w:rsidR="0040704B" w:rsidRPr="008D6058" w:rsidRDefault="0040704B" w:rsidP="00D877B4">
            <w:pPr>
              <w:jc w:val="both"/>
              <w:rPr>
                <w:rFonts w:ascii="Arial" w:hAnsi="Arial" w:cs="Arial"/>
                <w:b/>
                <w:lang w:val="es-ES"/>
              </w:rPr>
            </w:pPr>
          </w:p>
        </w:tc>
      </w:tr>
      <w:tr w:rsidR="007552B6" w:rsidRPr="008D6058" w14:paraId="1FD69846" w14:textId="77777777" w:rsidTr="00193615">
        <w:trPr>
          <w:trHeight w:val="58"/>
        </w:trPr>
        <w:tc>
          <w:tcPr>
            <w:tcW w:w="2431" w:type="dxa"/>
            <w:vMerge w:val="restart"/>
            <w:shd w:val="clear" w:color="auto" w:fill="auto"/>
          </w:tcPr>
          <w:p w14:paraId="1FD6983B" w14:textId="77777777" w:rsidR="007552B6" w:rsidRPr="00193615" w:rsidRDefault="7FBDDA1D">
            <w:pPr>
              <w:jc w:val="both"/>
              <w:rPr>
                <w:rFonts w:ascii="Arial" w:eastAsia="Arial" w:hAnsi="Arial" w:cs="Arial"/>
                <w:sz w:val="18"/>
                <w:szCs w:val="18"/>
                <w:lang w:val="es-AR"/>
              </w:rPr>
            </w:pPr>
            <w:r w:rsidRPr="00193615">
              <w:rPr>
                <w:rFonts w:ascii="Arial" w:eastAsia="Arial" w:hAnsi="Arial" w:cs="Arial"/>
                <w:b/>
                <w:bCs/>
                <w:sz w:val="18"/>
                <w:szCs w:val="18"/>
                <w:lang w:val="es-AR"/>
              </w:rPr>
              <w:t>Fortalecer el marco organizacional y el contexto institucional</w:t>
            </w:r>
            <w:r w:rsidRPr="00193615">
              <w:rPr>
                <w:rFonts w:ascii="Arial" w:eastAsia="Arial" w:hAnsi="Arial" w:cs="Arial"/>
                <w:sz w:val="18"/>
                <w:szCs w:val="18"/>
                <w:lang w:val="es-AR"/>
              </w:rPr>
              <w:t xml:space="preserve"> con el propósito de consolidar una instancia </w:t>
            </w:r>
            <w:r w:rsidRPr="00193615">
              <w:rPr>
                <w:rFonts w:ascii="Arial" w:eastAsia="Arial" w:hAnsi="Arial" w:cs="Arial"/>
                <w:sz w:val="18"/>
                <w:szCs w:val="18"/>
                <w:lang w:val="es-AR"/>
              </w:rPr>
              <w:lastRenderedPageBreak/>
              <w:t xml:space="preserve">interinstitucional al más alto nivel de Gobierno que facilite la coordinación y la toma de decisiones en materia de </w:t>
            </w:r>
          </w:p>
          <w:p w14:paraId="1FD6983C" w14:textId="77777777" w:rsidR="007552B6" w:rsidRPr="00193615" w:rsidRDefault="7FBDDA1D">
            <w:pPr>
              <w:jc w:val="both"/>
              <w:rPr>
                <w:rFonts w:ascii="Arial" w:eastAsia="Arial" w:hAnsi="Arial" w:cs="Arial"/>
                <w:sz w:val="18"/>
                <w:szCs w:val="18"/>
                <w:lang w:val="es-AR"/>
              </w:rPr>
            </w:pPr>
            <w:r w:rsidRPr="00193615">
              <w:rPr>
                <w:rFonts w:ascii="Arial" w:eastAsia="Arial" w:hAnsi="Arial" w:cs="Arial"/>
                <w:sz w:val="18"/>
                <w:szCs w:val="18"/>
                <w:lang w:val="es-AR"/>
              </w:rPr>
              <w:t xml:space="preserve">logística integrando el sector privado. </w:t>
            </w:r>
          </w:p>
          <w:p w14:paraId="1FD6983D" w14:textId="77777777" w:rsidR="007552B6" w:rsidRPr="008D6058" w:rsidRDefault="007552B6" w:rsidP="00C34D68">
            <w:pPr>
              <w:pStyle w:val="Default"/>
              <w:spacing w:before="60" w:after="60"/>
              <w:ind w:hanging="193"/>
              <w:jc w:val="both"/>
              <w:rPr>
                <w:sz w:val="18"/>
                <w:szCs w:val="18"/>
                <w:lang w:val="es-ES_tradnl"/>
              </w:rPr>
            </w:pPr>
          </w:p>
          <w:p w14:paraId="1FD6983E" w14:textId="77777777" w:rsidR="007552B6" w:rsidRPr="008D6058" w:rsidRDefault="007552B6" w:rsidP="00D877B4">
            <w:pPr>
              <w:jc w:val="both"/>
              <w:rPr>
                <w:rFonts w:ascii="Arial" w:hAnsi="Arial" w:cs="Arial"/>
                <w:sz w:val="18"/>
                <w:szCs w:val="18"/>
                <w:lang w:val="es-ES_tradnl"/>
              </w:rPr>
            </w:pPr>
          </w:p>
        </w:tc>
        <w:tc>
          <w:tcPr>
            <w:tcW w:w="2120" w:type="dxa"/>
            <w:vMerge w:val="restart"/>
            <w:shd w:val="clear" w:color="auto" w:fill="auto"/>
          </w:tcPr>
          <w:p w14:paraId="1FD6983F"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lastRenderedPageBreak/>
              <w:t>Ministerio de la Presidencia</w:t>
            </w:r>
          </w:p>
          <w:p w14:paraId="1FD69840" w14:textId="77777777" w:rsidR="007552B6" w:rsidRPr="008D6058" w:rsidRDefault="007552B6" w:rsidP="00D877B4">
            <w:pPr>
              <w:jc w:val="both"/>
              <w:rPr>
                <w:rFonts w:ascii="Arial" w:hAnsi="Arial" w:cs="Arial"/>
                <w:sz w:val="18"/>
                <w:szCs w:val="18"/>
                <w:lang w:val="es-ES_tradnl"/>
              </w:rPr>
            </w:pPr>
          </w:p>
          <w:p w14:paraId="1FD69841"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Coordinación Logística</w:t>
            </w:r>
          </w:p>
          <w:p w14:paraId="1FD69842" w14:textId="77777777" w:rsidR="007552B6" w:rsidRPr="008D6058" w:rsidRDefault="007552B6" w:rsidP="00D877B4">
            <w:pPr>
              <w:jc w:val="both"/>
              <w:rPr>
                <w:rFonts w:ascii="Arial" w:hAnsi="Arial" w:cs="Arial"/>
                <w:sz w:val="18"/>
                <w:szCs w:val="18"/>
                <w:lang w:val="es-ES_tradnl"/>
              </w:rPr>
            </w:pPr>
          </w:p>
        </w:tc>
        <w:tc>
          <w:tcPr>
            <w:tcW w:w="3509" w:type="dxa"/>
            <w:vMerge w:val="restart"/>
            <w:shd w:val="clear" w:color="auto" w:fill="auto"/>
          </w:tcPr>
          <w:p w14:paraId="1FD69843" w14:textId="25353BFB" w:rsidR="007552B6" w:rsidRPr="00193615" w:rsidRDefault="007552B6">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 xml:space="preserve">5.1. Evaluación de las acciones y resultados de la gestión de la CL </w:t>
            </w:r>
            <w:r w:rsidR="00DE3288" w:rsidRPr="00193615">
              <w:rPr>
                <w:rFonts w:ascii="Arial" w:eastAsia="Arial" w:hAnsi="Arial" w:cs="Arial"/>
                <w:spacing w:val="-2"/>
                <w:sz w:val="18"/>
                <w:szCs w:val="18"/>
                <w:lang w:val="es-ES"/>
              </w:rPr>
              <w:t>mediante</w:t>
            </w:r>
            <w:r w:rsidRPr="00193615">
              <w:rPr>
                <w:rFonts w:ascii="Arial" w:eastAsia="Arial" w:hAnsi="Arial" w:cs="Arial"/>
                <w:spacing w:val="-2"/>
                <w:sz w:val="18"/>
                <w:szCs w:val="18"/>
                <w:lang w:val="es-ES"/>
              </w:rPr>
              <w:t xml:space="preserve"> la implementación y análisis de indicadores de seguimiento y el esquema de monitoreo y evaluación.</w:t>
            </w:r>
          </w:p>
        </w:tc>
        <w:tc>
          <w:tcPr>
            <w:tcW w:w="2953" w:type="dxa"/>
            <w:shd w:val="clear" w:color="auto" w:fill="auto"/>
          </w:tcPr>
          <w:p w14:paraId="1FD69844" w14:textId="77777777" w:rsidR="007552B6" w:rsidRPr="00193615" w:rsidRDefault="007552B6">
            <w:pPr>
              <w:jc w:val="both"/>
              <w:rPr>
                <w:rFonts w:ascii="Arial" w:eastAsia="Arial" w:hAnsi="Arial" w:cs="Arial"/>
                <w:sz w:val="18"/>
                <w:szCs w:val="18"/>
                <w:lang w:val="es-ES"/>
              </w:rPr>
            </w:pPr>
            <w:r w:rsidRPr="00193615">
              <w:rPr>
                <w:rFonts w:ascii="Arial" w:eastAsia="Arial" w:hAnsi="Arial" w:cs="Arial"/>
                <w:spacing w:val="-2"/>
                <w:sz w:val="18"/>
                <w:szCs w:val="18"/>
                <w:lang w:val="es-ES"/>
              </w:rPr>
              <w:t xml:space="preserve">5.1.1 Nota de la CL al </w:t>
            </w:r>
            <w:r w:rsidR="004062E1" w:rsidRPr="00193615">
              <w:rPr>
                <w:rFonts w:ascii="Arial" w:eastAsia="Arial" w:hAnsi="Arial" w:cs="Arial"/>
                <w:spacing w:val="-2"/>
                <w:sz w:val="18"/>
                <w:szCs w:val="18"/>
                <w:lang w:val="es-ES"/>
              </w:rPr>
              <w:t>ministro</w:t>
            </w:r>
            <w:r w:rsidRPr="00193615">
              <w:rPr>
                <w:rFonts w:ascii="Arial" w:eastAsia="Arial" w:hAnsi="Arial" w:cs="Arial"/>
                <w:spacing w:val="-2"/>
                <w:sz w:val="18"/>
                <w:szCs w:val="18"/>
                <w:lang w:val="es-ES"/>
              </w:rPr>
              <w:t xml:space="preserve"> de la Presidencia validando el informe de Georgia </w:t>
            </w:r>
            <w:proofErr w:type="spellStart"/>
            <w:r w:rsidRPr="00193615">
              <w:rPr>
                <w:rFonts w:ascii="Arial" w:eastAsia="Arial" w:hAnsi="Arial" w:cs="Arial"/>
                <w:spacing w:val="-2"/>
                <w:sz w:val="18"/>
                <w:szCs w:val="18"/>
                <w:lang w:val="es-ES"/>
              </w:rPr>
              <w:t>Tech</w:t>
            </w:r>
            <w:proofErr w:type="spellEnd"/>
            <w:r w:rsidRPr="00193615">
              <w:rPr>
                <w:rFonts w:ascii="Arial" w:eastAsia="Arial" w:hAnsi="Arial" w:cs="Arial"/>
                <w:spacing w:val="-2"/>
                <w:sz w:val="18"/>
                <w:szCs w:val="18"/>
                <w:lang w:val="es-ES"/>
              </w:rPr>
              <w:t xml:space="preserve"> que certifica la implementación del sistema de monitoreo y evaluación</w:t>
            </w:r>
          </w:p>
        </w:tc>
        <w:tc>
          <w:tcPr>
            <w:tcW w:w="2209" w:type="dxa"/>
          </w:tcPr>
          <w:p w14:paraId="1FD69845"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Coordinación Logística</w:t>
            </w:r>
          </w:p>
        </w:tc>
      </w:tr>
      <w:tr w:rsidR="00EF0656" w:rsidRPr="007552B6" w14:paraId="1FD6984C" w14:textId="77777777" w:rsidTr="54558B85">
        <w:trPr>
          <w:trHeight w:val="3548"/>
        </w:trPr>
        <w:tc>
          <w:tcPr>
            <w:tcW w:w="2431" w:type="dxa"/>
            <w:vMerge/>
            <w:shd w:val="clear" w:color="auto" w:fill="auto"/>
          </w:tcPr>
          <w:p w14:paraId="1FD69847" w14:textId="77777777" w:rsidR="00EF0656" w:rsidRPr="008D6058" w:rsidRDefault="00EF0656" w:rsidP="00C34D68">
            <w:pPr>
              <w:jc w:val="both"/>
              <w:rPr>
                <w:rFonts w:ascii="Arial" w:hAnsi="Arial" w:cs="Arial"/>
                <w:b/>
                <w:sz w:val="18"/>
                <w:szCs w:val="18"/>
                <w:lang w:val="es-AR"/>
              </w:rPr>
            </w:pPr>
          </w:p>
        </w:tc>
        <w:tc>
          <w:tcPr>
            <w:tcW w:w="2120" w:type="dxa"/>
            <w:vMerge/>
            <w:shd w:val="clear" w:color="auto" w:fill="auto"/>
          </w:tcPr>
          <w:p w14:paraId="1FD69848" w14:textId="77777777" w:rsidR="00EF0656" w:rsidRPr="008D6058" w:rsidRDefault="00EF0656" w:rsidP="00D877B4">
            <w:pPr>
              <w:jc w:val="both"/>
              <w:rPr>
                <w:rFonts w:ascii="Arial" w:hAnsi="Arial" w:cs="Arial"/>
                <w:sz w:val="18"/>
                <w:szCs w:val="18"/>
                <w:lang w:val="es-ES_tradnl"/>
              </w:rPr>
            </w:pPr>
          </w:p>
        </w:tc>
        <w:tc>
          <w:tcPr>
            <w:tcW w:w="3509" w:type="dxa"/>
            <w:vMerge/>
            <w:shd w:val="clear" w:color="auto" w:fill="auto"/>
          </w:tcPr>
          <w:p w14:paraId="1FD69849" w14:textId="77777777" w:rsidR="00EF0656" w:rsidRPr="008D6058" w:rsidRDefault="00EF0656" w:rsidP="008D6058">
            <w:pPr>
              <w:suppressAutoHyphens/>
              <w:ind w:hanging="10"/>
              <w:jc w:val="both"/>
              <w:rPr>
                <w:rFonts w:ascii="Arial" w:hAnsi="Arial" w:cs="Arial"/>
                <w:spacing w:val="-2"/>
                <w:sz w:val="18"/>
                <w:szCs w:val="18"/>
                <w:lang w:val="es-ES_tradnl"/>
              </w:rPr>
            </w:pPr>
          </w:p>
        </w:tc>
        <w:tc>
          <w:tcPr>
            <w:tcW w:w="2953" w:type="dxa"/>
            <w:shd w:val="clear" w:color="auto" w:fill="auto"/>
          </w:tcPr>
          <w:p w14:paraId="1FD6984A" w14:textId="77777777" w:rsidR="00EF0656" w:rsidRPr="00193615" w:rsidRDefault="00EF0656" w:rsidP="00193615">
            <w:pPr>
              <w:pStyle w:val="ListParagraph"/>
              <w:suppressAutoHyphens/>
              <w:spacing w:before="60" w:after="60"/>
              <w:ind w:left="162"/>
              <w:jc w:val="both"/>
              <w:rPr>
                <w:rFonts w:ascii="Arial" w:eastAsia="Arial" w:hAnsi="Arial" w:cs="Arial"/>
                <w:sz w:val="18"/>
                <w:szCs w:val="18"/>
                <w:lang w:val="es-ES"/>
              </w:rPr>
            </w:pPr>
            <w:r w:rsidRPr="00193615">
              <w:rPr>
                <w:rFonts w:ascii="Arial" w:eastAsia="Arial" w:hAnsi="Arial" w:cs="Arial"/>
                <w:spacing w:val="-2"/>
                <w:sz w:val="18"/>
                <w:szCs w:val="18"/>
                <w:lang w:val="es-ES"/>
              </w:rPr>
              <w:t>5.1.2 Minuta oficial de la CL presentando el sistema de monitoreo y evaluación al Gabinete Logístico</w:t>
            </w:r>
          </w:p>
        </w:tc>
        <w:tc>
          <w:tcPr>
            <w:tcW w:w="2209" w:type="dxa"/>
          </w:tcPr>
          <w:p w14:paraId="1FD6984B" w14:textId="77777777" w:rsidR="00EF0656" w:rsidRPr="00193615" w:rsidRDefault="00EF0656">
            <w:pPr>
              <w:jc w:val="both"/>
              <w:rPr>
                <w:rFonts w:ascii="Arial" w:eastAsia="Arial" w:hAnsi="Arial" w:cs="Arial"/>
                <w:sz w:val="18"/>
                <w:szCs w:val="18"/>
                <w:lang w:val="es-ES"/>
              </w:rPr>
            </w:pPr>
            <w:r w:rsidRPr="00193615">
              <w:rPr>
                <w:rFonts w:ascii="Arial" w:eastAsia="Arial" w:hAnsi="Arial" w:cs="Arial"/>
                <w:sz w:val="18"/>
                <w:szCs w:val="18"/>
                <w:lang w:val="es-ES"/>
              </w:rPr>
              <w:t>Coordinación Logística</w:t>
            </w:r>
          </w:p>
        </w:tc>
      </w:tr>
      <w:tr w:rsidR="007552B6" w:rsidRPr="008D6058" w14:paraId="1FD69853" w14:textId="77777777" w:rsidTr="54558B85">
        <w:trPr>
          <w:trHeight w:val="603"/>
        </w:trPr>
        <w:tc>
          <w:tcPr>
            <w:tcW w:w="2431" w:type="dxa"/>
            <w:vMerge/>
            <w:shd w:val="clear" w:color="auto" w:fill="auto"/>
          </w:tcPr>
          <w:p w14:paraId="1FD6984D" w14:textId="77777777" w:rsidR="007552B6" w:rsidRPr="008D6058" w:rsidRDefault="007552B6" w:rsidP="00D877B4">
            <w:pPr>
              <w:jc w:val="both"/>
              <w:rPr>
                <w:rFonts w:ascii="Arial" w:hAnsi="Arial" w:cs="Arial"/>
                <w:b/>
                <w:sz w:val="18"/>
                <w:szCs w:val="18"/>
                <w:lang w:val="es-ES"/>
              </w:rPr>
            </w:pPr>
          </w:p>
        </w:tc>
        <w:tc>
          <w:tcPr>
            <w:tcW w:w="2120" w:type="dxa"/>
            <w:vMerge/>
            <w:shd w:val="clear" w:color="auto" w:fill="auto"/>
          </w:tcPr>
          <w:p w14:paraId="1FD6984E" w14:textId="77777777" w:rsidR="007552B6" w:rsidRPr="008D6058" w:rsidRDefault="007552B6" w:rsidP="00D877B4">
            <w:pPr>
              <w:jc w:val="both"/>
              <w:rPr>
                <w:rFonts w:ascii="Arial" w:hAnsi="Arial" w:cs="Arial"/>
                <w:sz w:val="18"/>
                <w:szCs w:val="18"/>
                <w:lang w:val="es-ES_tradnl"/>
              </w:rPr>
            </w:pPr>
          </w:p>
        </w:tc>
        <w:tc>
          <w:tcPr>
            <w:tcW w:w="3509" w:type="dxa"/>
            <w:shd w:val="clear" w:color="auto" w:fill="auto"/>
          </w:tcPr>
          <w:p w14:paraId="1FD6984F" w14:textId="77777777" w:rsidR="007552B6" w:rsidRPr="00193615" w:rsidRDefault="7FBDDA1D" w:rsidP="00193615">
            <w:pPr>
              <w:suppressAutoHyphens/>
              <w:spacing w:before="60" w:after="60"/>
              <w:ind w:left="322" w:hanging="270"/>
              <w:rPr>
                <w:rFonts w:ascii="Arial" w:eastAsia="Arial" w:hAnsi="Arial" w:cs="Arial"/>
                <w:color w:val="000000" w:themeColor="text1"/>
                <w:sz w:val="18"/>
                <w:szCs w:val="18"/>
                <w:lang w:val="es-ES"/>
              </w:rPr>
            </w:pPr>
            <w:r w:rsidRPr="00193615">
              <w:rPr>
                <w:rFonts w:ascii="Arial" w:eastAsia="Arial" w:hAnsi="Arial" w:cs="Arial"/>
                <w:color w:val="000000" w:themeColor="text1"/>
                <w:sz w:val="18"/>
                <w:szCs w:val="18"/>
                <w:lang w:val="es-ES"/>
              </w:rPr>
              <w:t>5.2 Consolidación de la estructura institucional de la CL bajo la Secretaria de Competitividad y Logística para fortalecer su sustentabilidad.</w:t>
            </w:r>
          </w:p>
          <w:p w14:paraId="1FD69850" w14:textId="77777777" w:rsidR="007552B6" w:rsidRPr="008D6058" w:rsidRDefault="007552B6" w:rsidP="00D877B4">
            <w:pPr>
              <w:suppressAutoHyphens/>
              <w:ind w:hanging="10"/>
              <w:jc w:val="both"/>
              <w:rPr>
                <w:rFonts w:ascii="Arial" w:hAnsi="Arial" w:cs="Arial"/>
                <w:spacing w:val="-2"/>
                <w:sz w:val="18"/>
                <w:szCs w:val="18"/>
                <w:lang w:val="es-ES_tradnl"/>
              </w:rPr>
            </w:pPr>
          </w:p>
        </w:tc>
        <w:tc>
          <w:tcPr>
            <w:tcW w:w="2953" w:type="dxa"/>
            <w:shd w:val="clear" w:color="auto" w:fill="auto"/>
          </w:tcPr>
          <w:p w14:paraId="1FD69851" w14:textId="77777777" w:rsidR="007552B6" w:rsidRPr="00193615" w:rsidRDefault="007552B6">
            <w:pPr>
              <w:jc w:val="both"/>
              <w:rPr>
                <w:rFonts w:ascii="Arial" w:eastAsia="Arial" w:hAnsi="Arial" w:cs="Arial"/>
                <w:sz w:val="18"/>
                <w:szCs w:val="18"/>
                <w:lang w:val="es-ES"/>
              </w:rPr>
            </w:pPr>
            <w:bookmarkStart w:id="2" w:name="_Hlk508270866"/>
            <w:r w:rsidRPr="00193615">
              <w:rPr>
                <w:rFonts w:ascii="Arial" w:eastAsia="Arial" w:hAnsi="Arial" w:cs="Arial"/>
                <w:spacing w:val="-2"/>
                <w:sz w:val="18"/>
                <w:szCs w:val="18"/>
                <w:lang w:val="es-ES"/>
              </w:rPr>
              <w:t xml:space="preserve">5.2 Nota </w:t>
            </w:r>
            <w:r w:rsidRPr="00193615">
              <w:rPr>
                <w:rFonts w:ascii="Arial" w:eastAsia="Arial" w:hAnsi="Arial" w:cs="Arial"/>
                <w:spacing w:val="-2"/>
                <w:sz w:val="18"/>
                <w:szCs w:val="18"/>
                <w:lang w:val="es-AR"/>
              </w:rPr>
              <w:t>del Ministerio de la Presidencia reportando las acciones de consolidación de la estructura de la CL bajo la Secretaría de Competitividad y Logística de conformidad con lo dispuesto en la Estrategia Logística Nacional 2030</w:t>
            </w:r>
            <w:bookmarkEnd w:id="2"/>
          </w:p>
        </w:tc>
        <w:tc>
          <w:tcPr>
            <w:tcW w:w="2209" w:type="dxa"/>
          </w:tcPr>
          <w:p w14:paraId="1FD69852"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la Presidencia</w:t>
            </w:r>
          </w:p>
        </w:tc>
      </w:tr>
      <w:tr w:rsidR="00AE11BE" w:rsidRPr="008D6058" w14:paraId="1FD6985C" w14:textId="77777777" w:rsidTr="54558B85">
        <w:trPr>
          <w:trHeight w:val="2189"/>
        </w:trPr>
        <w:tc>
          <w:tcPr>
            <w:tcW w:w="2431" w:type="dxa"/>
            <w:shd w:val="clear" w:color="auto" w:fill="auto"/>
          </w:tcPr>
          <w:p w14:paraId="1FD69854" w14:textId="77777777" w:rsidR="00AE11BE" w:rsidRPr="00193615" w:rsidRDefault="7FBDDA1D">
            <w:pPr>
              <w:jc w:val="both"/>
              <w:rPr>
                <w:rFonts w:ascii="Arial" w:eastAsia="Arial" w:hAnsi="Arial" w:cs="Arial"/>
                <w:sz w:val="18"/>
                <w:szCs w:val="18"/>
                <w:lang w:val="es-AR"/>
              </w:rPr>
            </w:pPr>
            <w:r w:rsidRPr="00193615">
              <w:rPr>
                <w:rFonts w:ascii="Arial" w:eastAsia="Arial" w:hAnsi="Arial" w:cs="Arial"/>
                <w:b/>
                <w:bCs/>
                <w:sz w:val="18"/>
                <w:szCs w:val="18"/>
                <w:lang w:val="es-AR"/>
              </w:rPr>
              <w:t>Consolidar una instancia interinstitucional al más alto nivel de Gobierno</w:t>
            </w:r>
            <w:r w:rsidRPr="00193615">
              <w:rPr>
                <w:rFonts w:ascii="Arial" w:eastAsia="Arial" w:hAnsi="Arial" w:cs="Arial"/>
                <w:sz w:val="18"/>
                <w:szCs w:val="18"/>
                <w:lang w:val="es-AR"/>
              </w:rPr>
              <w:t xml:space="preserve"> que facilite la coordinación y la toma de decisiones entre todas las instituciones clave del sector de logística e integrando también al sector privado.</w:t>
            </w:r>
          </w:p>
        </w:tc>
        <w:tc>
          <w:tcPr>
            <w:tcW w:w="2120" w:type="dxa"/>
            <w:shd w:val="clear" w:color="auto" w:fill="auto"/>
          </w:tcPr>
          <w:p w14:paraId="1FD69855"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la Presidencia</w:t>
            </w:r>
          </w:p>
          <w:p w14:paraId="1FD69856" w14:textId="77777777" w:rsidR="00647A45" w:rsidRPr="008D6058" w:rsidRDefault="00647A45" w:rsidP="00D877B4">
            <w:pPr>
              <w:jc w:val="both"/>
              <w:rPr>
                <w:rFonts w:ascii="Arial" w:hAnsi="Arial" w:cs="Arial"/>
                <w:sz w:val="18"/>
                <w:szCs w:val="18"/>
                <w:lang w:val="es-ES_tradnl"/>
              </w:rPr>
            </w:pPr>
          </w:p>
          <w:p w14:paraId="1FD69857" w14:textId="77777777" w:rsidR="00647A45"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Coordinación Logística</w:t>
            </w:r>
          </w:p>
          <w:p w14:paraId="1FD69858" w14:textId="77777777" w:rsidR="00AE11BE" w:rsidRPr="008D6058" w:rsidRDefault="00AE11BE" w:rsidP="00D877B4">
            <w:pPr>
              <w:jc w:val="both"/>
              <w:rPr>
                <w:rFonts w:ascii="Arial" w:hAnsi="Arial" w:cs="Arial"/>
                <w:sz w:val="18"/>
                <w:szCs w:val="18"/>
                <w:lang w:val="es-ES_tradnl"/>
              </w:rPr>
            </w:pPr>
          </w:p>
        </w:tc>
        <w:tc>
          <w:tcPr>
            <w:tcW w:w="3509" w:type="dxa"/>
            <w:shd w:val="clear" w:color="auto" w:fill="auto"/>
          </w:tcPr>
          <w:p w14:paraId="1FD69859" w14:textId="07E0049F" w:rsidR="00AE11BE" w:rsidRPr="00193615" w:rsidRDefault="00737A4E">
            <w:pPr>
              <w:jc w:val="both"/>
              <w:rPr>
                <w:rFonts w:ascii="Arial" w:eastAsia="Arial" w:hAnsi="Arial" w:cs="Arial"/>
                <w:sz w:val="18"/>
                <w:szCs w:val="18"/>
                <w:lang w:val="es-ES"/>
              </w:rPr>
            </w:pPr>
            <w:r w:rsidRPr="00193615">
              <w:rPr>
                <w:rFonts w:ascii="Arial" w:eastAsia="Arial" w:hAnsi="Arial" w:cs="Arial"/>
                <w:spacing w:val="-2"/>
                <w:sz w:val="18"/>
                <w:szCs w:val="18"/>
                <w:lang w:val="es-ES"/>
              </w:rPr>
              <w:t>6.1. Aprobación por parte del GL del Informe de Gestión de la CL con los productos y resultados vinculados al plan de trabajo del año precedente</w:t>
            </w:r>
            <w:r w:rsidR="004062E1" w:rsidRPr="00193615">
              <w:rPr>
                <w:rFonts w:ascii="Arial" w:eastAsia="Arial" w:hAnsi="Arial" w:cs="Arial"/>
                <w:spacing w:val="-2"/>
                <w:sz w:val="18"/>
                <w:szCs w:val="18"/>
                <w:lang w:val="es-ES"/>
              </w:rPr>
              <w:t>,</w:t>
            </w:r>
            <w:r w:rsidRPr="00193615">
              <w:rPr>
                <w:rFonts w:ascii="Arial" w:eastAsia="Arial" w:hAnsi="Arial" w:cs="Arial"/>
                <w:spacing w:val="-2"/>
                <w:sz w:val="18"/>
                <w:szCs w:val="18"/>
                <w:lang w:val="es-ES"/>
              </w:rPr>
              <w:t xml:space="preserve"> así como directrices estratégicas para el próximo año.</w:t>
            </w:r>
          </w:p>
        </w:tc>
        <w:tc>
          <w:tcPr>
            <w:tcW w:w="2953" w:type="dxa"/>
            <w:shd w:val="clear" w:color="auto" w:fill="auto"/>
          </w:tcPr>
          <w:p w14:paraId="1FD6985A" w14:textId="77777777" w:rsidR="00AE11BE" w:rsidRPr="00193615" w:rsidRDefault="008D6058" w:rsidP="00193615">
            <w:pPr>
              <w:suppressAutoHyphens/>
              <w:spacing w:before="60" w:after="60"/>
              <w:jc w:val="both"/>
              <w:rPr>
                <w:rFonts w:ascii="Arial" w:eastAsia="Arial" w:hAnsi="Arial" w:cs="Arial"/>
                <w:sz w:val="18"/>
                <w:szCs w:val="18"/>
                <w:lang w:val="es-ES"/>
              </w:rPr>
            </w:pPr>
            <w:r w:rsidRPr="00193615">
              <w:rPr>
                <w:rFonts w:ascii="Arial" w:eastAsia="Arial" w:hAnsi="Arial" w:cs="Arial"/>
                <w:spacing w:val="-2"/>
                <w:sz w:val="18"/>
                <w:szCs w:val="18"/>
                <w:lang w:val="es-ES"/>
              </w:rPr>
              <w:t>6.1 Nota del Ministro de Presidencia aprobando el Informe de Gestión de la CL, el cual debe incluir productos y resultados vinculados al Plan de Trabajo correspondiente y directrices estratégicas.</w:t>
            </w:r>
          </w:p>
        </w:tc>
        <w:tc>
          <w:tcPr>
            <w:tcW w:w="2209" w:type="dxa"/>
          </w:tcPr>
          <w:p w14:paraId="1FD6985B"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Presidencia</w:t>
            </w:r>
          </w:p>
        </w:tc>
      </w:tr>
      <w:tr w:rsidR="0040704B" w:rsidRPr="009675EC" w14:paraId="1FD6985F" w14:textId="77777777" w:rsidTr="00193615">
        <w:trPr>
          <w:trHeight w:val="278"/>
        </w:trPr>
        <w:tc>
          <w:tcPr>
            <w:tcW w:w="11013" w:type="dxa"/>
            <w:gridSpan w:val="4"/>
            <w:shd w:val="clear" w:color="auto" w:fill="D9D9D9" w:themeFill="background1" w:themeFillShade="D9"/>
          </w:tcPr>
          <w:p w14:paraId="1FD6985D" w14:textId="381DEB47" w:rsidR="0040704B" w:rsidRPr="00193615" w:rsidRDefault="7FBDDA1D">
            <w:pPr>
              <w:jc w:val="both"/>
              <w:rPr>
                <w:rFonts w:ascii="Arial" w:eastAsia="Arial" w:hAnsi="Arial" w:cs="Arial"/>
                <w:lang w:val="es-ES"/>
              </w:rPr>
            </w:pPr>
            <w:r w:rsidRPr="00193615">
              <w:rPr>
                <w:rFonts w:ascii="Arial" w:eastAsia="Arial" w:hAnsi="Arial" w:cs="Arial"/>
                <w:b/>
                <w:bCs/>
                <w:lang w:val="es-ES"/>
              </w:rPr>
              <w:lastRenderedPageBreak/>
              <w:t xml:space="preserve">Componente III. </w:t>
            </w:r>
            <w:r w:rsidR="1D98D582" w:rsidRPr="00193615">
              <w:rPr>
                <w:rFonts w:ascii="Arial" w:eastAsia="Arial" w:hAnsi="Arial" w:cs="Arial"/>
                <w:b/>
                <w:bCs/>
                <w:lang w:val="es-ES"/>
              </w:rPr>
              <w:t>P</w:t>
            </w:r>
            <w:r w:rsidRPr="00193615">
              <w:rPr>
                <w:rFonts w:ascii="Arial" w:eastAsia="Arial" w:hAnsi="Arial" w:cs="Arial"/>
                <w:b/>
                <w:bCs/>
                <w:lang w:val="es-ES"/>
              </w:rPr>
              <w:t>rocesos de planificación integral y facilitación comercial</w:t>
            </w:r>
          </w:p>
        </w:tc>
        <w:tc>
          <w:tcPr>
            <w:tcW w:w="2209" w:type="dxa"/>
            <w:shd w:val="clear" w:color="auto" w:fill="D9D9D9" w:themeFill="background1" w:themeFillShade="D9"/>
          </w:tcPr>
          <w:p w14:paraId="1FD6985E" w14:textId="77777777" w:rsidR="0040704B" w:rsidRPr="008D6058" w:rsidRDefault="0040704B" w:rsidP="00D877B4">
            <w:pPr>
              <w:jc w:val="both"/>
              <w:rPr>
                <w:rFonts w:ascii="Arial" w:hAnsi="Arial" w:cs="Arial"/>
                <w:b/>
                <w:lang w:val="es-ES"/>
              </w:rPr>
            </w:pPr>
          </w:p>
        </w:tc>
      </w:tr>
      <w:tr w:rsidR="0040704B" w:rsidRPr="009675EC" w14:paraId="1FD69862" w14:textId="77777777" w:rsidTr="00193615">
        <w:trPr>
          <w:trHeight w:val="404"/>
        </w:trPr>
        <w:tc>
          <w:tcPr>
            <w:tcW w:w="11013" w:type="dxa"/>
            <w:gridSpan w:val="4"/>
            <w:shd w:val="clear" w:color="auto" w:fill="D9D9D9" w:themeFill="background1" w:themeFillShade="D9"/>
          </w:tcPr>
          <w:p w14:paraId="1FD69860" w14:textId="6ED7E060" w:rsidR="0040704B" w:rsidRPr="00193615" w:rsidRDefault="7FBDDA1D">
            <w:pPr>
              <w:jc w:val="both"/>
              <w:rPr>
                <w:rFonts w:ascii="Arial" w:eastAsia="Arial" w:hAnsi="Arial" w:cs="Arial"/>
                <w:lang w:val="es-ES"/>
              </w:rPr>
            </w:pPr>
            <w:r w:rsidRPr="00193615">
              <w:rPr>
                <w:rFonts w:ascii="Arial" w:eastAsia="Arial" w:hAnsi="Arial" w:cs="Arial"/>
                <w:b/>
                <w:bCs/>
                <w:lang w:val="es-ES"/>
              </w:rPr>
              <w:t xml:space="preserve">Subcomponente III.1. </w:t>
            </w:r>
            <w:r w:rsidR="1D98D582" w:rsidRPr="00193615">
              <w:rPr>
                <w:rFonts w:ascii="Arial" w:eastAsia="Arial" w:hAnsi="Arial" w:cs="Arial"/>
                <w:b/>
                <w:bCs/>
                <w:lang w:val="es-ES"/>
              </w:rPr>
              <w:t>P</w:t>
            </w:r>
            <w:r w:rsidRPr="00193615">
              <w:rPr>
                <w:rFonts w:ascii="Arial" w:eastAsia="Arial" w:hAnsi="Arial" w:cs="Arial"/>
                <w:b/>
                <w:bCs/>
                <w:lang w:val="es-ES"/>
              </w:rPr>
              <w:t>rocesos de planificación integral</w:t>
            </w:r>
          </w:p>
        </w:tc>
        <w:tc>
          <w:tcPr>
            <w:tcW w:w="2209" w:type="dxa"/>
            <w:shd w:val="clear" w:color="auto" w:fill="D9D9D9" w:themeFill="background1" w:themeFillShade="D9"/>
          </w:tcPr>
          <w:p w14:paraId="1FD69861" w14:textId="77777777" w:rsidR="0040704B" w:rsidRPr="008D6058" w:rsidRDefault="0040704B" w:rsidP="00D877B4">
            <w:pPr>
              <w:jc w:val="both"/>
              <w:rPr>
                <w:rFonts w:ascii="Arial" w:hAnsi="Arial" w:cs="Arial"/>
                <w:b/>
                <w:lang w:val="es-ES_tradnl"/>
              </w:rPr>
            </w:pPr>
          </w:p>
        </w:tc>
      </w:tr>
      <w:tr w:rsidR="0040704B" w:rsidRPr="008D6058" w14:paraId="1FD6986F" w14:textId="77777777" w:rsidTr="54558B85">
        <w:trPr>
          <w:trHeight w:val="566"/>
        </w:trPr>
        <w:tc>
          <w:tcPr>
            <w:tcW w:w="2431" w:type="dxa"/>
            <w:shd w:val="clear" w:color="auto" w:fill="auto"/>
          </w:tcPr>
          <w:p w14:paraId="1FD69863" w14:textId="77777777" w:rsidR="0040704B" w:rsidRPr="00193615" w:rsidRDefault="7FBDDA1D">
            <w:pPr>
              <w:suppressAutoHyphens/>
              <w:jc w:val="both"/>
              <w:rPr>
                <w:rFonts w:ascii="Arial" w:eastAsia="Arial" w:hAnsi="Arial" w:cs="Arial"/>
                <w:sz w:val="18"/>
                <w:szCs w:val="18"/>
                <w:lang w:val="es-ES"/>
              </w:rPr>
            </w:pPr>
            <w:r w:rsidRPr="00193615">
              <w:rPr>
                <w:rFonts w:ascii="Arial" w:eastAsia="Arial" w:hAnsi="Arial" w:cs="Arial"/>
                <w:b/>
                <w:bCs/>
                <w:sz w:val="18"/>
                <w:szCs w:val="18"/>
                <w:lang w:val="es-ES"/>
              </w:rPr>
              <w:t>Desarrollar un Plan de Transporte y Logística de la Zona Interoceánica (PTLZI)</w:t>
            </w:r>
            <w:r w:rsidRPr="00193615">
              <w:rPr>
                <w:rFonts w:ascii="Arial" w:eastAsia="Arial" w:hAnsi="Arial" w:cs="Arial"/>
                <w:sz w:val="18"/>
                <w:szCs w:val="18"/>
                <w:lang w:val="es-ES"/>
              </w:rPr>
              <w:t xml:space="preserve"> con el fin de ordenar las inversiones en el área del Canal y </w:t>
            </w:r>
            <w:r w:rsidRPr="00193615">
              <w:rPr>
                <w:rFonts w:ascii="Arial" w:eastAsia="Arial" w:hAnsi="Arial" w:cs="Arial"/>
                <w:b/>
                <w:bCs/>
                <w:sz w:val="18"/>
                <w:szCs w:val="18"/>
                <w:lang w:val="es-ES"/>
              </w:rPr>
              <w:t>fomentar el desarrollo de actividades de valor agregado.</w:t>
            </w:r>
          </w:p>
        </w:tc>
        <w:tc>
          <w:tcPr>
            <w:tcW w:w="2120" w:type="dxa"/>
            <w:shd w:val="clear" w:color="auto" w:fill="auto"/>
          </w:tcPr>
          <w:p w14:paraId="1FD69864"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Presidencia</w:t>
            </w:r>
          </w:p>
          <w:p w14:paraId="1FD69865" w14:textId="77777777" w:rsidR="00136651" w:rsidRPr="008D6058" w:rsidRDefault="00136651" w:rsidP="00D877B4">
            <w:pPr>
              <w:jc w:val="both"/>
              <w:rPr>
                <w:rFonts w:ascii="Arial" w:hAnsi="Arial" w:cs="Arial"/>
                <w:sz w:val="18"/>
                <w:szCs w:val="18"/>
                <w:lang w:val="es-ES_tradnl"/>
              </w:rPr>
            </w:pPr>
          </w:p>
          <w:p w14:paraId="1FD69866"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Ambiente</w:t>
            </w:r>
          </w:p>
          <w:p w14:paraId="1FD69867" w14:textId="77777777" w:rsidR="00136651" w:rsidRPr="008D6058" w:rsidRDefault="00136651" w:rsidP="00D877B4">
            <w:pPr>
              <w:jc w:val="both"/>
              <w:rPr>
                <w:rFonts w:ascii="Arial" w:hAnsi="Arial" w:cs="Arial"/>
                <w:sz w:val="18"/>
                <w:szCs w:val="18"/>
                <w:lang w:val="es-ES_tradnl"/>
              </w:rPr>
            </w:pPr>
          </w:p>
          <w:p w14:paraId="1FD69868" w14:textId="77777777" w:rsidR="00136651"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Gabinete Logístico</w:t>
            </w:r>
          </w:p>
          <w:p w14:paraId="1FD69869"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Autoridad del Canal de Panamá</w:t>
            </w:r>
          </w:p>
          <w:p w14:paraId="1FD6986A" w14:textId="77777777" w:rsidR="0040704B" w:rsidRPr="008D6058" w:rsidRDefault="0040704B" w:rsidP="00D877B4">
            <w:pPr>
              <w:jc w:val="both"/>
              <w:rPr>
                <w:rFonts w:ascii="Arial" w:hAnsi="Arial" w:cs="Arial"/>
                <w:sz w:val="18"/>
                <w:szCs w:val="18"/>
                <w:lang w:val="es-ES_tradnl"/>
              </w:rPr>
            </w:pPr>
          </w:p>
          <w:p w14:paraId="1FD6986B" w14:textId="77777777" w:rsidR="0040704B" w:rsidRPr="008D6058" w:rsidRDefault="0040704B" w:rsidP="00D877B4">
            <w:pPr>
              <w:jc w:val="both"/>
              <w:rPr>
                <w:rFonts w:ascii="Arial" w:hAnsi="Arial" w:cs="Arial"/>
                <w:sz w:val="18"/>
                <w:szCs w:val="18"/>
                <w:lang w:val="es-ES_tradnl"/>
              </w:rPr>
            </w:pPr>
          </w:p>
        </w:tc>
        <w:tc>
          <w:tcPr>
            <w:tcW w:w="3509" w:type="dxa"/>
            <w:shd w:val="clear" w:color="auto" w:fill="auto"/>
          </w:tcPr>
          <w:p w14:paraId="1FD6986C" w14:textId="77777777" w:rsidR="0040704B" w:rsidRPr="00193615" w:rsidRDefault="00737A4E">
            <w:pPr>
              <w:pStyle w:val="ListParagraph"/>
              <w:numPr>
                <w:ilvl w:val="0"/>
                <w:numId w:val="9"/>
              </w:numPr>
              <w:suppressAutoHyphens/>
              <w:jc w:val="both"/>
              <w:rPr>
                <w:rFonts w:ascii="Arial" w:eastAsia="Arial" w:hAnsi="Arial" w:cs="Arial"/>
                <w:sz w:val="18"/>
                <w:szCs w:val="18"/>
                <w:lang w:val="es-ES"/>
              </w:rPr>
            </w:pPr>
            <w:r w:rsidRPr="00193615">
              <w:rPr>
                <w:rFonts w:ascii="Arial" w:eastAsia="Arial" w:hAnsi="Arial" w:cs="Arial"/>
                <w:spacing w:val="-2"/>
                <w:sz w:val="18"/>
                <w:szCs w:val="18"/>
                <w:lang w:val="es-ES"/>
              </w:rPr>
              <w:t>7.1. Aprobación por el GL del PTLZI, el cual debe incluir los aspectos definidos en el segundo programa de reformas.</w:t>
            </w:r>
          </w:p>
        </w:tc>
        <w:tc>
          <w:tcPr>
            <w:tcW w:w="2953" w:type="dxa"/>
            <w:shd w:val="clear" w:color="auto" w:fill="auto"/>
          </w:tcPr>
          <w:p w14:paraId="1FD6986D" w14:textId="77777777" w:rsidR="008D6058" w:rsidRPr="00193615" w:rsidRDefault="008D6058" w:rsidP="00193615">
            <w:pPr>
              <w:pStyle w:val="ListParagraph"/>
              <w:suppressAutoHyphens/>
              <w:spacing w:before="60" w:after="60"/>
              <w:ind w:left="79"/>
              <w:jc w:val="both"/>
              <w:rPr>
                <w:rFonts w:ascii="Arial" w:eastAsia="Arial" w:hAnsi="Arial" w:cs="Arial"/>
                <w:sz w:val="18"/>
                <w:szCs w:val="18"/>
                <w:lang w:val="es-ES"/>
              </w:rPr>
            </w:pPr>
            <w:r w:rsidRPr="00193615">
              <w:rPr>
                <w:rFonts w:ascii="Arial" w:eastAsia="Arial" w:hAnsi="Arial" w:cs="Arial"/>
                <w:spacing w:val="-2"/>
                <w:sz w:val="18"/>
                <w:szCs w:val="18"/>
                <w:lang w:val="es-ES"/>
              </w:rPr>
              <w:t>7.1 Minuta del GL aprobando el Plan de Transporte y Logística de la Zona Interoceánica (PTLZI).</w:t>
            </w:r>
          </w:p>
        </w:tc>
        <w:tc>
          <w:tcPr>
            <w:tcW w:w="2209" w:type="dxa"/>
          </w:tcPr>
          <w:p w14:paraId="1FD6986E"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Gabinete Logístico</w:t>
            </w:r>
          </w:p>
        </w:tc>
      </w:tr>
      <w:tr w:rsidR="00737A4E" w:rsidRPr="008D6058" w14:paraId="1FD69875" w14:textId="77777777" w:rsidTr="54558B85">
        <w:trPr>
          <w:trHeight w:val="2000"/>
        </w:trPr>
        <w:tc>
          <w:tcPr>
            <w:tcW w:w="2431" w:type="dxa"/>
            <w:shd w:val="clear" w:color="auto" w:fill="auto"/>
          </w:tcPr>
          <w:p w14:paraId="1FD69870" w14:textId="77777777" w:rsidR="00737A4E" w:rsidRPr="008D6058" w:rsidRDefault="00737A4E" w:rsidP="00D877B4">
            <w:pPr>
              <w:suppressAutoHyphens/>
              <w:jc w:val="both"/>
              <w:rPr>
                <w:rFonts w:ascii="Arial" w:hAnsi="Arial" w:cs="Arial"/>
                <w:b/>
                <w:sz w:val="18"/>
                <w:szCs w:val="18"/>
                <w:lang w:val="es-ES"/>
              </w:rPr>
            </w:pPr>
          </w:p>
        </w:tc>
        <w:tc>
          <w:tcPr>
            <w:tcW w:w="2120" w:type="dxa"/>
            <w:shd w:val="clear" w:color="auto" w:fill="auto"/>
          </w:tcPr>
          <w:p w14:paraId="1FD69871" w14:textId="77777777" w:rsidR="00737A4E" w:rsidRPr="008D6058" w:rsidRDefault="00737A4E" w:rsidP="00D877B4">
            <w:pPr>
              <w:jc w:val="both"/>
              <w:rPr>
                <w:rFonts w:ascii="Arial" w:hAnsi="Arial" w:cs="Arial"/>
                <w:sz w:val="18"/>
                <w:szCs w:val="18"/>
                <w:lang w:val="pt-BR"/>
              </w:rPr>
            </w:pPr>
          </w:p>
        </w:tc>
        <w:tc>
          <w:tcPr>
            <w:tcW w:w="3509" w:type="dxa"/>
            <w:shd w:val="clear" w:color="auto" w:fill="auto"/>
          </w:tcPr>
          <w:p w14:paraId="1FD69872" w14:textId="6AC7BE0E" w:rsidR="00737A4E" w:rsidRPr="00193615" w:rsidRDefault="00737A4E" w:rsidP="00193615">
            <w:pPr>
              <w:keepNext/>
              <w:keepLines/>
              <w:spacing w:before="60" w:after="60"/>
              <w:ind w:left="342" w:hanging="342"/>
              <w:jc w:val="both"/>
              <w:rPr>
                <w:rFonts w:ascii="Arial" w:eastAsia="Arial" w:hAnsi="Arial" w:cs="Arial"/>
                <w:sz w:val="18"/>
                <w:szCs w:val="18"/>
                <w:lang w:val="es-ES"/>
              </w:rPr>
            </w:pPr>
            <w:r w:rsidRPr="00193615">
              <w:rPr>
                <w:rFonts w:ascii="Arial" w:eastAsia="Arial" w:hAnsi="Arial" w:cs="Arial"/>
                <w:spacing w:val="-2"/>
                <w:sz w:val="18"/>
                <w:szCs w:val="18"/>
                <w:lang w:val="es-ES"/>
              </w:rPr>
              <w:t>7.2.Elaboración de los reglamentos de evaluación estratégica Ambiental para los Planes de Infraestructura</w:t>
            </w:r>
            <w:r w:rsidR="00692852" w:rsidRPr="00193615">
              <w:rPr>
                <w:rFonts w:ascii="Arial" w:eastAsia="Arial" w:hAnsi="Arial" w:cs="Arial"/>
                <w:spacing w:val="-2"/>
                <w:sz w:val="18"/>
                <w:szCs w:val="18"/>
                <w:lang w:val="es-ES"/>
              </w:rPr>
              <w:t>.</w:t>
            </w:r>
          </w:p>
        </w:tc>
        <w:tc>
          <w:tcPr>
            <w:tcW w:w="2953" w:type="dxa"/>
            <w:shd w:val="clear" w:color="auto" w:fill="auto"/>
          </w:tcPr>
          <w:p w14:paraId="1FD69873" w14:textId="77777777" w:rsidR="00737A4E" w:rsidRPr="00193615" w:rsidRDefault="008D6058">
            <w:pPr>
              <w:jc w:val="both"/>
              <w:rPr>
                <w:rFonts w:ascii="Arial" w:eastAsia="Arial" w:hAnsi="Arial" w:cs="Arial"/>
                <w:sz w:val="18"/>
                <w:szCs w:val="18"/>
                <w:lang w:val="es-ES"/>
              </w:rPr>
            </w:pPr>
            <w:r w:rsidRPr="00193615">
              <w:rPr>
                <w:rFonts w:ascii="Arial" w:eastAsia="Arial" w:hAnsi="Arial" w:cs="Arial"/>
                <w:spacing w:val="-2"/>
                <w:sz w:val="18"/>
                <w:szCs w:val="18"/>
                <w:lang w:val="es-ES"/>
              </w:rPr>
              <w:t xml:space="preserve">7.2 Resolución del Ministerio de Ambiente aprobando el Reglamento que define los Lineamientos Estratégicos para la evaluación ambiental de los Planes de Infraestructura. </w:t>
            </w:r>
          </w:p>
        </w:tc>
        <w:tc>
          <w:tcPr>
            <w:tcW w:w="2209" w:type="dxa"/>
          </w:tcPr>
          <w:p w14:paraId="1FD69874" w14:textId="77777777" w:rsidR="00737A4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Ambiente</w:t>
            </w:r>
          </w:p>
        </w:tc>
      </w:tr>
      <w:tr w:rsidR="007552B6" w:rsidRPr="009675EC" w14:paraId="1FD69882" w14:textId="77777777" w:rsidTr="00193615">
        <w:trPr>
          <w:trHeight w:val="920"/>
        </w:trPr>
        <w:tc>
          <w:tcPr>
            <w:tcW w:w="2431" w:type="dxa"/>
            <w:vMerge w:val="restart"/>
            <w:shd w:val="clear" w:color="auto" w:fill="auto"/>
          </w:tcPr>
          <w:p w14:paraId="1FD69876" w14:textId="77777777" w:rsidR="007552B6" w:rsidRPr="00193615" w:rsidRDefault="7FBDDA1D">
            <w:pPr>
              <w:suppressAutoHyphens/>
              <w:jc w:val="both"/>
              <w:rPr>
                <w:rFonts w:ascii="Arial" w:eastAsia="Arial" w:hAnsi="Arial" w:cs="Arial"/>
                <w:sz w:val="18"/>
                <w:szCs w:val="18"/>
                <w:lang w:val="es-ES"/>
              </w:rPr>
            </w:pPr>
            <w:r w:rsidRPr="00193615">
              <w:rPr>
                <w:rFonts w:ascii="Arial" w:eastAsia="Arial" w:hAnsi="Arial" w:cs="Arial"/>
                <w:b/>
                <w:bCs/>
                <w:sz w:val="18"/>
                <w:szCs w:val="18"/>
                <w:lang w:val="es-ES"/>
              </w:rPr>
              <w:t>Desarrollar un Plan Maestro de Transporte y Logística (PMTL)</w:t>
            </w:r>
            <w:r w:rsidRPr="00193615">
              <w:rPr>
                <w:rFonts w:ascii="Arial" w:eastAsia="Arial" w:hAnsi="Arial" w:cs="Arial"/>
                <w:sz w:val="18"/>
                <w:szCs w:val="18"/>
                <w:lang w:val="es-ES"/>
              </w:rPr>
              <w:t xml:space="preserve"> a fin de integrar la planificación multimodal de infraestructura y los servicios logísticos a nivel nacional, </w:t>
            </w:r>
            <w:r w:rsidRPr="00193615">
              <w:rPr>
                <w:rFonts w:ascii="Arial" w:eastAsia="Arial" w:hAnsi="Arial" w:cs="Arial"/>
                <w:b/>
                <w:bCs/>
                <w:sz w:val="18"/>
                <w:szCs w:val="18"/>
                <w:lang w:val="es-ES"/>
              </w:rPr>
              <w:t xml:space="preserve">tomando en </w:t>
            </w:r>
            <w:r w:rsidRPr="00193615">
              <w:rPr>
                <w:rFonts w:ascii="Arial" w:eastAsia="Arial" w:hAnsi="Arial" w:cs="Arial"/>
                <w:b/>
                <w:bCs/>
                <w:sz w:val="18"/>
                <w:szCs w:val="18"/>
                <w:lang w:val="es-ES"/>
              </w:rPr>
              <w:lastRenderedPageBreak/>
              <w:t>cuenta los principales sectores económicos incluyendo los productores agrícolas.</w:t>
            </w:r>
            <w:r w:rsidRPr="00193615">
              <w:rPr>
                <w:rFonts w:ascii="Arial" w:eastAsia="Arial" w:hAnsi="Arial" w:cs="Arial"/>
                <w:sz w:val="18"/>
                <w:szCs w:val="18"/>
                <w:lang w:val="es-ES"/>
              </w:rPr>
              <w:t xml:space="preserve"> </w:t>
            </w:r>
          </w:p>
        </w:tc>
        <w:tc>
          <w:tcPr>
            <w:tcW w:w="2120" w:type="dxa"/>
            <w:vMerge w:val="restart"/>
            <w:shd w:val="clear" w:color="auto" w:fill="auto"/>
          </w:tcPr>
          <w:p w14:paraId="1FD69877" w14:textId="77777777" w:rsidR="007552B6" w:rsidRPr="00193615" w:rsidRDefault="7FBDDA1D">
            <w:pPr>
              <w:jc w:val="both"/>
              <w:rPr>
                <w:rFonts w:ascii="Arial" w:eastAsia="Arial" w:hAnsi="Arial" w:cs="Arial"/>
                <w:sz w:val="18"/>
                <w:szCs w:val="18"/>
                <w:lang w:val="pt-BR"/>
              </w:rPr>
            </w:pPr>
            <w:proofErr w:type="spellStart"/>
            <w:r w:rsidRPr="00193615">
              <w:rPr>
                <w:rFonts w:ascii="Arial" w:eastAsia="Arial" w:hAnsi="Arial" w:cs="Arial"/>
                <w:sz w:val="18"/>
                <w:szCs w:val="18"/>
                <w:lang w:val="pt-BR"/>
              </w:rPr>
              <w:lastRenderedPageBreak/>
              <w:t>Ministerio</w:t>
            </w:r>
            <w:proofErr w:type="spellEnd"/>
            <w:r w:rsidRPr="00193615">
              <w:rPr>
                <w:rFonts w:ascii="Arial" w:eastAsia="Arial" w:hAnsi="Arial" w:cs="Arial"/>
                <w:sz w:val="18"/>
                <w:szCs w:val="18"/>
                <w:lang w:val="pt-BR"/>
              </w:rPr>
              <w:t xml:space="preserve"> de </w:t>
            </w:r>
            <w:proofErr w:type="spellStart"/>
            <w:r w:rsidRPr="00193615">
              <w:rPr>
                <w:rFonts w:ascii="Arial" w:eastAsia="Arial" w:hAnsi="Arial" w:cs="Arial"/>
                <w:sz w:val="18"/>
                <w:szCs w:val="18"/>
                <w:lang w:val="pt-BR"/>
              </w:rPr>
              <w:t>Presidencia</w:t>
            </w:r>
            <w:proofErr w:type="spellEnd"/>
          </w:p>
          <w:p w14:paraId="1FD69878" w14:textId="77777777" w:rsidR="007552B6" w:rsidRPr="008D6058" w:rsidRDefault="007552B6" w:rsidP="00D877B4">
            <w:pPr>
              <w:jc w:val="both"/>
              <w:rPr>
                <w:rFonts w:ascii="Arial" w:hAnsi="Arial" w:cs="Arial"/>
                <w:sz w:val="18"/>
                <w:szCs w:val="18"/>
                <w:lang w:val="pt-BR"/>
              </w:rPr>
            </w:pPr>
          </w:p>
          <w:p w14:paraId="1FD69879" w14:textId="77777777" w:rsidR="007552B6" w:rsidRPr="00193615" w:rsidRDefault="7FBDDA1D">
            <w:pPr>
              <w:jc w:val="both"/>
              <w:rPr>
                <w:rFonts w:ascii="Arial" w:eastAsia="Arial" w:hAnsi="Arial" w:cs="Arial"/>
                <w:sz w:val="18"/>
                <w:szCs w:val="18"/>
                <w:lang w:val="pt-BR"/>
              </w:rPr>
            </w:pPr>
            <w:proofErr w:type="spellStart"/>
            <w:r w:rsidRPr="00193615">
              <w:rPr>
                <w:rFonts w:ascii="Arial" w:eastAsia="Arial" w:hAnsi="Arial" w:cs="Arial"/>
                <w:sz w:val="18"/>
                <w:szCs w:val="18"/>
                <w:lang w:val="pt-BR"/>
              </w:rPr>
              <w:t>Coordinación</w:t>
            </w:r>
            <w:proofErr w:type="spellEnd"/>
            <w:r w:rsidRPr="00193615">
              <w:rPr>
                <w:rFonts w:ascii="Arial" w:eastAsia="Arial" w:hAnsi="Arial" w:cs="Arial"/>
                <w:sz w:val="18"/>
                <w:szCs w:val="18"/>
                <w:lang w:val="pt-BR"/>
              </w:rPr>
              <w:t xml:space="preserve"> Logística</w:t>
            </w:r>
          </w:p>
          <w:p w14:paraId="1FD6987A" w14:textId="77777777" w:rsidR="007552B6" w:rsidRPr="008D6058" w:rsidRDefault="007552B6" w:rsidP="00D877B4">
            <w:pPr>
              <w:jc w:val="both"/>
              <w:rPr>
                <w:rFonts w:ascii="Arial" w:hAnsi="Arial" w:cs="Arial"/>
                <w:sz w:val="18"/>
                <w:szCs w:val="18"/>
                <w:lang w:val="pt-BR"/>
              </w:rPr>
            </w:pPr>
          </w:p>
          <w:p w14:paraId="1FD6987B" w14:textId="77777777" w:rsidR="007552B6" w:rsidRPr="008D6058" w:rsidRDefault="007552B6" w:rsidP="00D877B4">
            <w:pPr>
              <w:jc w:val="both"/>
              <w:rPr>
                <w:rFonts w:ascii="Arial" w:hAnsi="Arial" w:cs="Arial"/>
                <w:sz w:val="18"/>
                <w:szCs w:val="18"/>
                <w:lang w:val="pt-BR"/>
              </w:rPr>
            </w:pPr>
          </w:p>
          <w:p w14:paraId="1FD6987C" w14:textId="77777777" w:rsidR="007552B6" w:rsidRPr="008D6058" w:rsidRDefault="007552B6" w:rsidP="00D877B4">
            <w:pPr>
              <w:jc w:val="both"/>
              <w:rPr>
                <w:rFonts w:ascii="Arial" w:hAnsi="Arial" w:cs="Arial"/>
                <w:sz w:val="18"/>
                <w:szCs w:val="18"/>
                <w:lang w:val="pt-BR"/>
              </w:rPr>
            </w:pPr>
          </w:p>
          <w:p w14:paraId="1FD6987D" w14:textId="77777777" w:rsidR="007552B6" w:rsidRPr="008D6058" w:rsidRDefault="007552B6" w:rsidP="00D877B4">
            <w:pPr>
              <w:jc w:val="both"/>
              <w:rPr>
                <w:rFonts w:ascii="Arial" w:hAnsi="Arial" w:cs="Arial"/>
                <w:sz w:val="18"/>
                <w:szCs w:val="18"/>
                <w:lang w:val="pt-BR"/>
              </w:rPr>
            </w:pPr>
          </w:p>
        </w:tc>
        <w:tc>
          <w:tcPr>
            <w:tcW w:w="3509" w:type="dxa"/>
            <w:vMerge w:val="restart"/>
            <w:shd w:val="clear" w:color="auto" w:fill="auto"/>
          </w:tcPr>
          <w:p w14:paraId="1FD6987E" w14:textId="3A95DA3B" w:rsidR="007552B6" w:rsidRPr="00193615" w:rsidRDefault="007552B6" w:rsidP="00193615">
            <w:pPr>
              <w:keepNext/>
              <w:keepLines/>
              <w:spacing w:before="60" w:after="60"/>
              <w:ind w:left="342" w:hanging="342"/>
              <w:jc w:val="both"/>
              <w:rPr>
                <w:rFonts w:ascii="Arial" w:eastAsia="Arial" w:hAnsi="Arial" w:cs="Arial"/>
                <w:smallCaps/>
                <w:sz w:val="18"/>
                <w:szCs w:val="18"/>
                <w:lang w:val="es-ES"/>
              </w:rPr>
            </w:pPr>
            <w:r w:rsidRPr="00193615">
              <w:rPr>
                <w:rFonts w:ascii="Arial" w:eastAsia="Arial" w:hAnsi="Arial" w:cs="Arial"/>
                <w:spacing w:val="-2"/>
                <w:sz w:val="18"/>
                <w:szCs w:val="18"/>
                <w:lang w:val="es-ES"/>
              </w:rPr>
              <w:t xml:space="preserve">8.1. </w:t>
            </w:r>
            <w:r w:rsidRPr="00193615">
              <w:rPr>
                <w:rFonts w:ascii="Arial" w:eastAsia="Arial" w:hAnsi="Arial" w:cs="Arial"/>
                <w:sz w:val="18"/>
                <w:szCs w:val="18"/>
                <w:lang w:val="es-ES"/>
              </w:rPr>
              <w:t>Aprobación por parte del GL del PMTL, el cual debe incluir los aspectos definidos en el segundo programa de reformas</w:t>
            </w:r>
            <w:r w:rsidRPr="00193615">
              <w:rPr>
                <w:rFonts w:ascii="Arial" w:eastAsia="Arial" w:hAnsi="Arial" w:cs="Arial"/>
                <w:spacing w:val="-2"/>
                <w:sz w:val="18"/>
                <w:szCs w:val="18"/>
                <w:lang w:val="es-ES"/>
              </w:rPr>
              <w:t>.</w:t>
            </w:r>
          </w:p>
          <w:p w14:paraId="1FD6987F" w14:textId="77777777" w:rsidR="007552B6" w:rsidRPr="008D6058" w:rsidRDefault="007552B6" w:rsidP="00737A4E">
            <w:pPr>
              <w:pStyle w:val="ListParagraph"/>
              <w:suppressAutoHyphens/>
              <w:ind w:left="200"/>
              <w:jc w:val="both"/>
              <w:rPr>
                <w:rFonts w:ascii="Arial" w:hAnsi="Arial" w:cs="Arial"/>
                <w:spacing w:val="-2"/>
                <w:sz w:val="18"/>
                <w:szCs w:val="18"/>
                <w:lang w:val="es-ES"/>
              </w:rPr>
            </w:pPr>
          </w:p>
        </w:tc>
        <w:tc>
          <w:tcPr>
            <w:tcW w:w="2953" w:type="dxa"/>
            <w:shd w:val="clear" w:color="auto" w:fill="auto"/>
          </w:tcPr>
          <w:p w14:paraId="1FD69880" w14:textId="21E1D7A9" w:rsidR="007552B6" w:rsidRPr="00193615" w:rsidRDefault="7FBDDA1D" w:rsidP="00193615">
            <w:pPr>
              <w:keepNext/>
              <w:keepLines/>
              <w:spacing w:before="60" w:after="60"/>
              <w:ind w:left="1" w:hanging="1"/>
              <w:rPr>
                <w:rFonts w:ascii="Arial" w:eastAsia="Arial" w:hAnsi="Arial" w:cs="Arial"/>
                <w:sz w:val="18"/>
                <w:szCs w:val="18"/>
                <w:lang w:val="es-ES"/>
              </w:rPr>
            </w:pPr>
            <w:r w:rsidRPr="00193615">
              <w:rPr>
                <w:rFonts w:ascii="Arial" w:eastAsia="Arial" w:hAnsi="Arial" w:cs="Arial"/>
                <w:color w:val="000000" w:themeColor="text1"/>
                <w:sz w:val="18"/>
                <w:szCs w:val="18"/>
                <w:lang w:val="es-ES"/>
              </w:rPr>
              <w:t>8.1.1 Decreto del Poder Ejecutivo Nacional aprobando la EN</w:t>
            </w:r>
            <w:r w:rsidR="00B9129F" w:rsidRPr="00193615">
              <w:rPr>
                <w:rFonts w:ascii="Arial" w:eastAsia="Arial" w:hAnsi="Arial" w:cs="Arial"/>
                <w:color w:val="000000" w:themeColor="text1"/>
                <w:sz w:val="18"/>
                <w:szCs w:val="18"/>
                <w:lang w:val="es-ES"/>
              </w:rPr>
              <w:t xml:space="preserve">L que integre los principios del PMTL propuestos en el Sistema de Planificación de Transporte y Logística, conforme fueran definidos en el segundo programa de reformas. </w:t>
            </w:r>
          </w:p>
        </w:tc>
        <w:tc>
          <w:tcPr>
            <w:tcW w:w="2209" w:type="dxa"/>
          </w:tcPr>
          <w:p w14:paraId="38BC327F" w14:textId="63C4118D" w:rsidR="007552B6" w:rsidRPr="00193615" w:rsidRDefault="013DEBAB">
            <w:pPr>
              <w:jc w:val="both"/>
              <w:rPr>
                <w:rFonts w:ascii="Arial" w:eastAsia="Arial" w:hAnsi="Arial" w:cs="Arial"/>
                <w:sz w:val="18"/>
                <w:szCs w:val="18"/>
                <w:lang w:val="es-ES"/>
              </w:rPr>
            </w:pPr>
            <w:r w:rsidRPr="00193615">
              <w:rPr>
                <w:rFonts w:ascii="Arial" w:eastAsia="Arial" w:hAnsi="Arial" w:cs="Arial"/>
                <w:sz w:val="18"/>
                <w:szCs w:val="18"/>
                <w:lang w:val="es-ES"/>
              </w:rPr>
              <w:t>Ministerio de Presidencia y Coordinación Logística</w:t>
            </w:r>
          </w:p>
          <w:p w14:paraId="297596E1" w14:textId="63C4118D" w:rsidR="007552B6" w:rsidRPr="00193615" w:rsidRDefault="007552B6">
            <w:pPr>
              <w:jc w:val="both"/>
              <w:rPr>
                <w:rFonts w:ascii="Arial" w:eastAsia="Arial" w:hAnsi="Arial" w:cs="Arial"/>
                <w:sz w:val="18"/>
                <w:szCs w:val="18"/>
                <w:lang w:val="es-ES"/>
              </w:rPr>
            </w:pPr>
          </w:p>
          <w:p w14:paraId="1FD69881" w14:textId="77777777" w:rsidR="007552B6" w:rsidRPr="00193615" w:rsidRDefault="007552B6">
            <w:pPr>
              <w:jc w:val="both"/>
              <w:rPr>
                <w:rFonts w:ascii="Arial" w:eastAsia="Arial" w:hAnsi="Arial" w:cs="Arial"/>
                <w:sz w:val="18"/>
                <w:szCs w:val="18"/>
                <w:lang w:val="es-ES"/>
              </w:rPr>
            </w:pPr>
          </w:p>
        </w:tc>
      </w:tr>
      <w:tr w:rsidR="007552B6" w:rsidRPr="007552B6" w14:paraId="1FD69888" w14:textId="77777777" w:rsidTr="54558B85">
        <w:trPr>
          <w:trHeight w:val="1806"/>
        </w:trPr>
        <w:tc>
          <w:tcPr>
            <w:tcW w:w="2431" w:type="dxa"/>
            <w:vMerge/>
            <w:shd w:val="clear" w:color="auto" w:fill="auto"/>
          </w:tcPr>
          <w:p w14:paraId="1FD69883" w14:textId="77777777" w:rsidR="007552B6" w:rsidRPr="008D6058" w:rsidRDefault="007552B6" w:rsidP="00D877B4">
            <w:pPr>
              <w:suppressAutoHyphens/>
              <w:jc w:val="both"/>
              <w:rPr>
                <w:rFonts w:ascii="Arial" w:hAnsi="Arial" w:cs="Arial"/>
                <w:b/>
                <w:sz w:val="18"/>
                <w:szCs w:val="18"/>
                <w:lang w:val="es-ES"/>
              </w:rPr>
            </w:pPr>
          </w:p>
        </w:tc>
        <w:tc>
          <w:tcPr>
            <w:tcW w:w="2120" w:type="dxa"/>
            <w:vMerge/>
            <w:shd w:val="clear" w:color="auto" w:fill="auto"/>
          </w:tcPr>
          <w:p w14:paraId="1FD69884" w14:textId="77777777" w:rsidR="007552B6" w:rsidRPr="005223CA" w:rsidRDefault="007552B6" w:rsidP="00D877B4">
            <w:pPr>
              <w:jc w:val="both"/>
              <w:rPr>
                <w:rFonts w:ascii="Arial" w:hAnsi="Arial" w:cs="Arial"/>
                <w:sz w:val="18"/>
                <w:szCs w:val="18"/>
                <w:lang w:val="es-ES_tradnl"/>
              </w:rPr>
            </w:pPr>
          </w:p>
        </w:tc>
        <w:tc>
          <w:tcPr>
            <w:tcW w:w="3509" w:type="dxa"/>
            <w:vMerge/>
            <w:shd w:val="clear" w:color="auto" w:fill="auto"/>
          </w:tcPr>
          <w:p w14:paraId="1FD69885" w14:textId="77777777" w:rsidR="007552B6" w:rsidRPr="008D6058" w:rsidRDefault="007552B6" w:rsidP="00737A4E">
            <w:pPr>
              <w:keepNext/>
              <w:keepLines/>
              <w:spacing w:before="60" w:after="60"/>
              <w:ind w:left="342" w:hanging="342"/>
              <w:jc w:val="both"/>
              <w:rPr>
                <w:rFonts w:ascii="Arial" w:hAnsi="Arial" w:cs="Arial"/>
                <w:spacing w:val="-2"/>
                <w:sz w:val="18"/>
                <w:szCs w:val="18"/>
                <w:lang w:val="es-ES_tradnl"/>
              </w:rPr>
            </w:pPr>
          </w:p>
        </w:tc>
        <w:tc>
          <w:tcPr>
            <w:tcW w:w="2953" w:type="dxa"/>
            <w:shd w:val="clear" w:color="auto" w:fill="auto"/>
          </w:tcPr>
          <w:p w14:paraId="1FD69886" w14:textId="77777777" w:rsidR="007552B6" w:rsidRPr="00193615" w:rsidRDefault="7FBDDA1D" w:rsidP="00193615">
            <w:pPr>
              <w:keepNext/>
              <w:keepLines/>
              <w:spacing w:before="60" w:after="60"/>
              <w:ind w:left="1" w:hanging="1"/>
              <w:rPr>
                <w:rFonts w:ascii="Arial" w:eastAsia="Arial" w:hAnsi="Arial" w:cs="Arial"/>
                <w:color w:val="000000" w:themeColor="text1"/>
                <w:sz w:val="18"/>
                <w:szCs w:val="18"/>
                <w:lang w:val="es-ES"/>
              </w:rPr>
            </w:pPr>
            <w:bookmarkStart w:id="3" w:name="_Hlk509244490"/>
            <w:r w:rsidRPr="00193615">
              <w:rPr>
                <w:rFonts w:ascii="Arial" w:eastAsia="Arial" w:hAnsi="Arial" w:cs="Arial"/>
                <w:color w:val="000000" w:themeColor="text1"/>
                <w:sz w:val="18"/>
                <w:szCs w:val="18"/>
                <w:lang w:val="es-ES"/>
              </w:rPr>
              <w:t xml:space="preserve">8.1.2 Nota de la CL al </w:t>
            </w:r>
            <w:r w:rsidR="001A1493" w:rsidRPr="00193615">
              <w:rPr>
                <w:rFonts w:ascii="Arial" w:eastAsia="Arial" w:hAnsi="Arial" w:cs="Arial"/>
                <w:color w:val="000000" w:themeColor="text1"/>
                <w:sz w:val="18"/>
                <w:szCs w:val="18"/>
                <w:lang w:val="es-ES"/>
              </w:rPr>
              <w:t>m</w:t>
            </w:r>
            <w:r w:rsidRPr="00193615">
              <w:rPr>
                <w:rFonts w:ascii="Arial" w:eastAsia="Arial" w:hAnsi="Arial" w:cs="Arial"/>
                <w:color w:val="000000" w:themeColor="text1"/>
                <w:sz w:val="18"/>
                <w:szCs w:val="18"/>
                <w:lang w:val="es-ES"/>
              </w:rPr>
              <w:t xml:space="preserve">inistro de la Presidencia ratificando que los planes individuales del sector logístico y de transporte forman parte de una estrategia integral del sistema multimodal de planificación.  </w:t>
            </w:r>
            <w:bookmarkEnd w:id="3"/>
          </w:p>
        </w:tc>
        <w:tc>
          <w:tcPr>
            <w:tcW w:w="2209" w:type="dxa"/>
          </w:tcPr>
          <w:p w14:paraId="1FD69887"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Coordinación Logística</w:t>
            </w:r>
          </w:p>
        </w:tc>
      </w:tr>
      <w:tr w:rsidR="008D6058" w:rsidRPr="008D6058" w14:paraId="1FD69891" w14:textId="77777777" w:rsidTr="00193615">
        <w:trPr>
          <w:trHeight w:val="2315"/>
        </w:trPr>
        <w:tc>
          <w:tcPr>
            <w:tcW w:w="2431" w:type="dxa"/>
            <w:vMerge w:val="restart"/>
            <w:shd w:val="clear" w:color="auto" w:fill="auto"/>
          </w:tcPr>
          <w:p w14:paraId="1FD69889" w14:textId="77777777" w:rsidR="008D6058" w:rsidRPr="00193615" w:rsidRDefault="7FBDDA1D">
            <w:pPr>
              <w:autoSpaceDE w:val="0"/>
              <w:autoSpaceDN w:val="0"/>
              <w:adjustRightInd w:val="0"/>
              <w:jc w:val="both"/>
              <w:rPr>
                <w:rFonts w:ascii="Arial" w:eastAsia="Arial" w:hAnsi="Arial" w:cs="Arial"/>
                <w:sz w:val="18"/>
                <w:szCs w:val="18"/>
                <w:lang w:val="es-ES"/>
              </w:rPr>
            </w:pPr>
            <w:r w:rsidRPr="00193615">
              <w:rPr>
                <w:rFonts w:ascii="Arial" w:eastAsia="Arial" w:hAnsi="Arial" w:cs="Arial"/>
                <w:b/>
                <w:bCs/>
                <w:sz w:val="18"/>
                <w:szCs w:val="18"/>
                <w:lang w:val="es-ES"/>
              </w:rPr>
              <w:t>Desarrollar instrumentos de ordenamiento y planificación territorial a nivel nacional</w:t>
            </w:r>
            <w:r w:rsidRPr="00193615">
              <w:rPr>
                <w:rFonts w:ascii="Arial" w:eastAsia="Arial" w:hAnsi="Arial" w:cs="Arial"/>
                <w:sz w:val="18"/>
                <w:szCs w:val="18"/>
                <w:lang w:val="es-ES"/>
              </w:rPr>
              <w:t xml:space="preserve"> que permitan el adecuado uso de las </w:t>
            </w:r>
            <w:r w:rsidRPr="00193615">
              <w:rPr>
                <w:rFonts w:ascii="Arial" w:eastAsia="Arial" w:hAnsi="Arial" w:cs="Arial"/>
                <w:b/>
                <w:bCs/>
                <w:sz w:val="18"/>
                <w:szCs w:val="18"/>
                <w:lang w:val="es-ES"/>
              </w:rPr>
              <w:t>potencialidades productivas y logísticas del país</w:t>
            </w:r>
            <w:r w:rsidRPr="00193615">
              <w:rPr>
                <w:rFonts w:ascii="Arial" w:eastAsia="Arial" w:hAnsi="Arial" w:cs="Arial"/>
                <w:sz w:val="18"/>
                <w:szCs w:val="18"/>
                <w:lang w:val="es-ES"/>
              </w:rPr>
              <w:t>. Lo que incluye:</w:t>
            </w:r>
          </w:p>
          <w:p w14:paraId="1FD6988A" w14:textId="77777777" w:rsidR="008D6058" w:rsidRPr="00193615" w:rsidRDefault="7FBDDA1D">
            <w:pPr>
              <w:pStyle w:val="ListParagraph"/>
              <w:numPr>
                <w:ilvl w:val="0"/>
                <w:numId w:val="3"/>
              </w:numPr>
              <w:autoSpaceDE w:val="0"/>
              <w:autoSpaceDN w:val="0"/>
              <w:adjustRightInd w:val="0"/>
              <w:ind w:left="176" w:hanging="142"/>
              <w:jc w:val="both"/>
              <w:rPr>
                <w:rFonts w:ascii="Arial" w:eastAsia="Arial" w:hAnsi="Arial" w:cs="Arial"/>
                <w:sz w:val="18"/>
                <w:szCs w:val="18"/>
                <w:lang w:val="es-ES"/>
              </w:rPr>
            </w:pPr>
            <w:r w:rsidRPr="00193615">
              <w:rPr>
                <w:rFonts w:ascii="Arial" w:eastAsia="Arial" w:hAnsi="Arial" w:cs="Arial"/>
                <w:sz w:val="18"/>
                <w:szCs w:val="18"/>
                <w:lang w:val="es-ES"/>
              </w:rPr>
              <w:t>desarrollar una política de ordenamiento territorial a nivel nacional para fortalecer y alinear las capacidades político institucional.</w:t>
            </w:r>
          </w:p>
          <w:p w14:paraId="1FD6988B" w14:textId="77777777" w:rsidR="008D6058" w:rsidRPr="00193615" w:rsidRDefault="7FBDDA1D">
            <w:pPr>
              <w:pStyle w:val="ListParagraph"/>
              <w:numPr>
                <w:ilvl w:val="0"/>
                <w:numId w:val="3"/>
              </w:numPr>
              <w:autoSpaceDE w:val="0"/>
              <w:autoSpaceDN w:val="0"/>
              <w:adjustRightInd w:val="0"/>
              <w:ind w:left="176" w:hanging="142"/>
              <w:jc w:val="both"/>
              <w:rPr>
                <w:rFonts w:ascii="Arial" w:eastAsia="Arial" w:hAnsi="Arial" w:cs="Arial"/>
                <w:sz w:val="18"/>
                <w:szCs w:val="18"/>
                <w:lang w:val="es-ES"/>
              </w:rPr>
            </w:pPr>
            <w:r w:rsidRPr="00193615">
              <w:rPr>
                <w:rFonts w:ascii="Arial" w:eastAsia="Arial" w:hAnsi="Arial" w:cs="Arial"/>
                <w:sz w:val="18"/>
                <w:szCs w:val="18"/>
                <w:lang w:val="es-ES"/>
              </w:rPr>
              <w:t xml:space="preserve">modificar, simplificar y desarrollar el marco legal vigente en materia de planificación y gestión del desarrollo territorial </w:t>
            </w:r>
          </w:p>
          <w:p w14:paraId="1FD6988C" w14:textId="77777777" w:rsidR="008D6058" w:rsidRPr="00193615" w:rsidRDefault="7FBDDA1D">
            <w:pPr>
              <w:pStyle w:val="ListParagraph"/>
              <w:numPr>
                <w:ilvl w:val="0"/>
                <w:numId w:val="3"/>
              </w:numPr>
              <w:autoSpaceDE w:val="0"/>
              <w:autoSpaceDN w:val="0"/>
              <w:adjustRightInd w:val="0"/>
              <w:ind w:left="176" w:hanging="142"/>
              <w:jc w:val="both"/>
              <w:rPr>
                <w:rFonts w:ascii="Arial" w:eastAsia="Arial" w:hAnsi="Arial" w:cs="Arial"/>
                <w:sz w:val="18"/>
                <w:szCs w:val="18"/>
                <w:lang w:val="es-ES"/>
              </w:rPr>
            </w:pPr>
            <w:r w:rsidRPr="00193615">
              <w:rPr>
                <w:rFonts w:ascii="Arial" w:eastAsia="Arial" w:hAnsi="Arial" w:cs="Arial"/>
                <w:sz w:val="18"/>
                <w:szCs w:val="18"/>
                <w:lang w:val="es-ES"/>
              </w:rPr>
              <w:t>actualizar el Plan de Desarrollo Urbano de las áreas metropolitanas del Pacífico y Atlántico.</w:t>
            </w:r>
          </w:p>
        </w:tc>
        <w:tc>
          <w:tcPr>
            <w:tcW w:w="2120" w:type="dxa"/>
            <w:vMerge w:val="restart"/>
            <w:shd w:val="clear" w:color="auto" w:fill="auto"/>
          </w:tcPr>
          <w:p w14:paraId="1FD6988D" w14:textId="77777777" w:rsidR="008D6058"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Vivienda y Ordenamiento Territorial (MIVIOT)</w:t>
            </w:r>
          </w:p>
        </w:tc>
        <w:tc>
          <w:tcPr>
            <w:tcW w:w="3509" w:type="dxa"/>
            <w:shd w:val="clear" w:color="auto" w:fill="auto"/>
          </w:tcPr>
          <w:p w14:paraId="1FD6988E" w14:textId="733573B8" w:rsidR="008D6058" w:rsidRPr="00193615" w:rsidRDefault="008D6058">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9.1. Elaboración de la Política Nacional de Ordenamiento Territorial</w:t>
            </w:r>
            <w:r w:rsidR="00702500" w:rsidRPr="00193615">
              <w:rPr>
                <w:rFonts w:ascii="Arial" w:eastAsia="Arial" w:hAnsi="Arial" w:cs="Arial"/>
                <w:spacing w:val="-2"/>
                <w:sz w:val="18"/>
                <w:szCs w:val="18"/>
                <w:lang w:val="es-ES"/>
              </w:rPr>
              <w:t xml:space="preserve"> (PNOT)</w:t>
            </w:r>
          </w:p>
        </w:tc>
        <w:tc>
          <w:tcPr>
            <w:tcW w:w="2953" w:type="dxa"/>
            <w:shd w:val="clear" w:color="auto" w:fill="auto"/>
          </w:tcPr>
          <w:p w14:paraId="1FD6988F" w14:textId="77777777" w:rsidR="008D6058" w:rsidRPr="00193615" w:rsidRDefault="008D6058" w:rsidP="00193615">
            <w:pPr>
              <w:suppressAutoHyphens/>
              <w:spacing w:before="60" w:after="60"/>
              <w:jc w:val="both"/>
              <w:rPr>
                <w:rFonts w:ascii="Arial" w:eastAsia="Arial" w:hAnsi="Arial" w:cs="Arial"/>
                <w:sz w:val="18"/>
                <w:szCs w:val="18"/>
                <w:lang w:val="es-ES"/>
              </w:rPr>
            </w:pPr>
            <w:bookmarkStart w:id="4" w:name="_Hlk508271881"/>
            <w:bookmarkStart w:id="5" w:name="_Hlk511755440"/>
            <w:r w:rsidRPr="00193615">
              <w:rPr>
                <w:rFonts w:ascii="Arial" w:eastAsia="Arial" w:hAnsi="Arial" w:cs="Arial"/>
                <w:color w:val="000000"/>
                <w:spacing w:val="-4"/>
                <w:sz w:val="18"/>
                <w:szCs w:val="18"/>
                <w:lang w:val="es-ES"/>
              </w:rPr>
              <w:t xml:space="preserve">9.1 Nota Técnica del MIVIOT describiendo el proceso implementado a nivel nacional para alcanzar consensos en materia de Integración, Ordenamiento y Desarrollo Territorial  </w:t>
            </w:r>
            <w:bookmarkEnd w:id="4"/>
            <w:bookmarkEnd w:id="5"/>
          </w:p>
        </w:tc>
        <w:tc>
          <w:tcPr>
            <w:tcW w:w="2209" w:type="dxa"/>
          </w:tcPr>
          <w:p w14:paraId="1FD69890" w14:textId="77777777" w:rsidR="008D6058" w:rsidRPr="00193615" w:rsidRDefault="008D6058">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MIVIOT</w:t>
            </w:r>
          </w:p>
        </w:tc>
      </w:tr>
      <w:tr w:rsidR="00AE11BE" w:rsidRPr="008D6058" w14:paraId="1FD69897" w14:textId="77777777" w:rsidTr="54558B85">
        <w:trPr>
          <w:trHeight w:val="1586"/>
        </w:trPr>
        <w:tc>
          <w:tcPr>
            <w:tcW w:w="2431" w:type="dxa"/>
            <w:vMerge/>
            <w:shd w:val="clear" w:color="auto" w:fill="auto"/>
          </w:tcPr>
          <w:p w14:paraId="1FD69892" w14:textId="77777777" w:rsidR="00AE11BE" w:rsidRPr="008D6058" w:rsidRDefault="00AE11BE" w:rsidP="00D877B4">
            <w:pPr>
              <w:jc w:val="both"/>
              <w:rPr>
                <w:rFonts w:ascii="Arial" w:hAnsi="Arial" w:cs="Arial"/>
                <w:sz w:val="18"/>
                <w:szCs w:val="18"/>
                <w:lang w:val="es-ES"/>
              </w:rPr>
            </w:pPr>
          </w:p>
        </w:tc>
        <w:tc>
          <w:tcPr>
            <w:tcW w:w="2120" w:type="dxa"/>
            <w:vMerge/>
            <w:shd w:val="clear" w:color="auto" w:fill="auto"/>
          </w:tcPr>
          <w:p w14:paraId="1FD69893" w14:textId="77777777" w:rsidR="00AE11BE" w:rsidRPr="008D6058" w:rsidRDefault="00AE11BE" w:rsidP="00D877B4">
            <w:pPr>
              <w:jc w:val="both"/>
              <w:rPr>
                <w:rFonts w:ascii="Arial" w:hAnsi="Arial" w:cs="Arial"/>
                <w:sz w:val="18"/>
                <w:szCs w:val="18"/>
                <w:lang w:val="es-ES"/>
              </w:rPr>
            </w:pPr>
          </w:p>
        </w:tc>
        <w:tc>
          <w:tcPr>
            <w:tcW w:w="3509" w:type="dxa"/>
            <w:shd w:val="clear" w:color="auto" w:fill="auto"/>
          </w:tcPr>
          <w:p w14:paraId="1FD69894" w14:textId="77777777" w:rsidR="00AE11BE" w:rsidRPr="00193615" w:rsidRDefault="00737A4E">
            <w:pPr>
              <w:jc w:val="both"/>
              <w:rPr>
                <w:rFonts w:ascii="Arial" w:eastAsia="Arial" w:hAnsi="Arial" w:cs="Arial"/>
                <w:sz w:val="18"/>
                <w:szCs w:val="18"/>
                <w:lang w:val="es-ES"/>
              </w:rPr>
            </w:pPr>
            <w:r w:rsidRPr="00193615">
              <w:rPr>
                <w:rFonts w:ascii="Arial" w:eastAsia="Arial" w:hAnsi="Arial" w:cs="Arial"/>
                <w:spacing w:val="-4"/>
                <w:sz w:val="18"/>
                <w:szCs w:val="18"/>
                <w:lang w:val="es-ES"/>
              </w:rPr>
              <w:t>9.2.Aprobación del Plan de Desarrollo Urbano de las áreas metropolitanas del Pacífico y el Atlántico con el objetivo de identificar áreas prioritarias para fortalecer el desarrollo logístico nacional.</w:t>
            </w:r>
          </w:p>
        </w:tc>
        <w:tc>
          <w:tcPr>
            <w:tcW w:w="2953" w:type="dxa"/>
            <w:shd w:val="clear" w:color="auto" w:fill="auto"/>
          </w:tcPr>
          <w:p w14:paraId="1FD69895" w14:textId="77777777" w:rsidR="00AE11BE" w:rsidRPr="00193615" w:rsidRDefault="008D6058">
            <w:pPr>
              <w:suppressAutoHyphens/>
              <w:ind w:hanging="10"/>
              <w:jc w:val="both"/>
              <w:rPr>
                <w:rFonts w:ascii="Arial" w:eastAsia="Arial" w:hAnsi="Arial" w:cs="Arial"/>
                <w:sz w:val="18"/>
                <w:szCs w:val="18"/>
                <w:lang w:val="es-ES"/>
              </w:rPr>
            </w:pPr>
            <w:r w:rsidRPr="00193615">
              <w:rPr>
                <w:rFonts w:ascii="Arial" w:eastAsia="Arial" w:hAnsi="Arial" w:cs="Arial"/>
                <w:color w:val="000000"/>
                <w:spacing w:val="-4"/>
                <w:sz w:val="18"/>
                <w:szCs w:val="18"/>
                <w:lang w:val="es-ES"/>
              </w:rPr>
              <w:t>9.2 Decreto del Poder Ejecutivo ratificando el Plan de Desarrollo Urbano de las Áreas Metropolitanas del Pacífico y del Atlántico.</w:t>
            </w:r>
          </w:p>
        </w:tc>
        <w:tc>
          <w:tcPr>
            <w:tcW w:w="2209" w:type="dxa"/>
          </w:tcPr>
          <w:p w14:paraId="1FD69896" w14:textId="77777777" w:rsidR="00AE11BE" w:rsidRPr="00193615" w:rsidRDefault="00AE11BE">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MIVIOT</w:t>
            </w:r>
          </w:p>
        </w:tc>
      </w:tr>
      <w:tr w:rsidR="0000596D" w:rsidRPr="009675EC" w14:paraId="1FD69899" w14:textId="77777777" w:rsidTr="00193615">
        <w:trPr>
          <w:trHeight w:val="353"/>
        </w:trPr>
        <w:tc>
          <w:tcPr>
            <w:tcW w:w="13222" w:type="dxa"/>
            <w:gridSpan w:val="5"/>
            <w:shd w:val="clear" w:color="auto" w:fill="D9D9D9" w:themeFill="background1" w:themeFillShade="D9"/>
          </w:tcPr>
          <w:p w14:paraId="1FD69898" w14:textId="7AE1AA03" w:rsidR="0000596D" w:rsidRPr="00193615" w:rsidRDefault="7FBDDA1D">
            <w:pPr>
              <w:suppressAutoHyphens/>
              <w:ind w:hanging="10"/>
              <w:jc w:val="both"/>
              <w:rPr>
                <w:rFonts w:ascii="Arial" w:eastAsia="Arial" w:hAnsi="Arial" w:cs="Arial"/>
                <w:b/>
                <w:bCs/>
                <w:sz w:val="18"/>
                <w:szCs w:val="18"/>
                <w:lang w:val="es-ES"/>
              </w:rPr>
            </w:pPr>
            <w:r w:rsidRPr="00193615">
              <w:rPr>
                <w:rFonts w:ascii="Arial" w:eastAsia="Arial" w:hAnsi="Arial" w:cs="Arial"/>
                <w:b/>
                <w:bCs/>
                <w:sz w:val="18"/>
                <w:szCs w:val="18"/>
                <w:lang w:val="es-ES"/>
              </w:rPr>
              <w:t xml:space="preserve">Subcomponente III.2. </w:t>
            </w:r>
            <w:r w:rsidR="54558B85" w:rsidRPr="00193615">
              <w:rPr>
                <w:rFonts w:ascii="Arial" w:eastAsia="Arial" w:hAnsi="Arial" w:cs="Arial"/>
                <w:b/>
                <w:bCs/>
                <w:sz w:val="18"/>
                <w:szCs w:val="18"/>
                <w:lang w:val="es-ES"/>
              </w:rPr>
              <w:t>P</w:t>
            </w:r>
            <w:r w:rsidRPr="00193615">
              <w:rPr>
                <w:rFonts w:ascii="Arial" w:eastAsia="Arial" w:hAnsi="Arial" w:cs="Arial"/>
                <w:b/>
                <w:bCs/>
                <w:sz w:val="18"/>
                <w:szCs w:val="18"/>
                <w:lang w:val="es-ES"/>
              </w:rPr>
              <w:t>roceso de facilitación comercial</w:t>
            </w:r>
          </w:p>
        </w:tc>
      </w:tr>
      <w:tr w:rsidR="00AE11BE" w:rsidRPr="008D6058" w14:paraId="1FD698A7" w14:textId="77777777" w:rsidTr="00193615">
        <w:trPr>
          <w:trHeight w:val="2630"/>
        </w:trPr>
        <w:tc>
          <w:tcPr>
            <w:tcW w:w="2431" w:type="dxa"/>
            <w:vMerge w:val="restart"/>
            <w:shd w:val="clear" w:color="auto" w:fill="auto"/>
          </w:tcPr>
          <w:p w14:paraId="1FD6989A" w14:textId="6AC879CE" w:rsidR="00AE11BE" w:rsidRPr="00193615" w:rsidRDefault="7FBDDA1D">
            <w:pPr>
              <w:suppressAutoHyphens/>
              <w:jc w:val="both"/>
              <w:rPr>
                <w:rFonts w:ascii="Arial" w:eastAsia="Arial" w:hAnsi="Arial" w:cs="Arial"/>
                <w:sz w:val="18"/>
                <w:szCs w:val="18"/>
                <w:lang w:val="es-ES"/>
              </w:rPr>
            </w:pPr>
            <w:r w:rsidRPr="00193615">
              <w:rPr>
                <w:rFonts w:ascii="Arial" w:eastAsia="Arial" w:hAnsi="Arial" w:cs="Arial"/>
                <w:b/>
                <w:bCs/>
                <w:sz w:val="18"/>
                <w:szCs w:val="18"/>
                <w:lang w:val="es-ES"/>
              </w:rPr>
              <w:lastRenderedPageBreak/>
              <w:t>Implementar los compromisos asumidos por Panamá en torno de los acuerdos de facilitación de comercio</w:t>
            </w:r>
            <w:r w:rsidRPr="00193615">
              <w:rPr>
                <w:rFonts w:ascii="Arial" w:eastAsia="Arial" w:hAnsi="Arial" w:cs="Arial"/>
                <w:sz w:val="18"/>
                <w:szCs w:val="18"/>
                <w:lang w:val="es-ES"/>
              </w:rPr>
              <w:t xml:space="preserve"> establecido con Organizaciones internacionales </w:t>
            </w:r>
            <w:r w:rsidR="00F8492A" w:rsidRPr="00193615">
              <w:rPr>
                <w:rFonts w:ascii="Arial" w:eastAsia="Arial" w:hAnsi="Arial" w:cs="Arial"/>
                <w:sz w:val="18"/>
                <w:szCs w:val="18"/>
                <w:lang w:val="es-ES"/>
              </w:rPr>
              <w:t xml:space="preserve">para </w:t>
            </w:r>
            <w:r w:rsidRPr="00193615">
              <w:rPr>
                <w:rFonts w:ascii="Arial" w:eastAsia="Arial" w:hAnsi="Arial" w:cs="Arial"/>
                <w:sz w:val="18"/>
                <w:szCs w:val="18"/>
                <w:lang w:val="es-ES"/>
              </w:rPr>
              <w:t>modernizar los procesos de facilitación comercial</w:t>
            </w:r>
            <w:r w:rsidR="001D6C90" w:rsidRPr="00193615">
              <w:rPr>
                <w:rFonts w:ascii="Arial" w:eastAsia="Arial" w:hAnsi="Arial" w:cs="Arial"/>
                <w:sz w:val="18"/>
                <w:szCs w:val="18"/>
                <w:lang w:val="es-ES"/>
              </w:rPr>
              <w:t>:</w:t>
            </w:r>
          </w:p>
          <w:p w14:paraId="1FD6989B" w14:textId="27F5CFFE" w:rsidR="00AE11BE" w:rsidRPr="00193615" w:rsidRDefault="001D6C90" w:rsidP="00193615">
            <w:pPr>
              <w:pStyle w:val="ListParagraph"/>
              <w:numPr>
                <w:ilvl w:val="0"/>
                <w:numId w:val="23"/>
              </w:numPr>
              <w:suppressAutoHyphens/>
              <w:ind w:left="432" w:hanging="270"/>
              <w:jc w:val="both"/>
              <w:rPr>
                <w:rFonts w:ascii="Arial" w:eastAsia="Arial" w:hAnsi="Arial" w:cs="Arial"/>
                <w:sz w:val="18"/>
                <w:szCs w:val="18"/>
                <w:lang w:val="es-ES"/>
              </w:rPr>
            </w:pPr>
            <w:r w:rsidRPr="00193615">
              <w:rPr>
                <w:rFonts w:ascii="Arial" w:eastAsia="Arial" w:hAnsi="Arial" w:cs="Arial"/>
                <w:sz w:val="18"/>
                <w:szCs w:val="18"/>
                <w:lang w:val="es-ES"/>
              </w:rPr>
              <w:t>l</w:t>
            </w:r>
            <w:r w:rsidR="7FBDDA1D" w:rsidRPr="00193615">
              <w:rPr>
                <w:rFonts w:ascii="Arial" w:eastAsia="Arial" w:hAnsi="Arial" w:cs="Arial"/>
                <w:sz w:val="18"/>
                <w:szCs w:val="18"/>
                <w:lang w:val="es-ES"/>
              </w:rPr>
              <w:t xml:space="preserve">os compromisos del convenio </w:t>
            </w:r>
            <w:r w:rsidR="7FBDDA1D" w:rsidRPr="00193615">
              <w:rPr>
                <w:rFonts w:ascii="Arial" w:eastAsia="Arial" w:hAnsi="Arial" w:cs="Arial"/>
                <w:b/>
                <w:bCs/>
                <w:sz w:val="18"/>
                <w:szCs w:val="18"/>
                <w:lang w:val="es-ES"/>
              </w:rPr>
              <w:t>FAL 65</w:t>
            </w:r>
            <w:r w:rsidR="7FBDDA1D" w:rsidRPr="00193615">
              <w:rPr>
                <w:rFonts w:ascii="Arial" w:eastAsia="Arial" w:hAnsi="Arial" w:cs="Arial"/>
                <w:sz w:val="18"/>
                <w:szCs w:val="18"/>
                <w:lang w:val="es-ES"/>
              </w:rPr>
              <w:t xml:space="preserve"> de Facilitación del Tráfico Marítimo de Mercancías establecido en la  </w:t>
            </w:r>
            <w:r w:rsidR="7FBDDA1D" w:rsidRPr="00193615">
              <w:rPr>
                <w:rFonts w:ascii="Arial" w:eastAsia="Arial" w:hAnsi="Arial" w:cs="Arial"/>
                <w:b/>
                <w:bCs/>
                <w:sz w:val="18"/>
                <w:szCs w:val="18"/>
                <w:lang w:val="es-ES"/>
              </w:rPr>
              <w:t>Organización Marítima Internacional (OMI).</w:t>
            </w:r>
          </w:p>
          <w:p w14:paraId="1FD6989C" w14:textId="1C391C5E" w:rsidR="00AE11BE" w:rsidRPr="00193615" w:rsidRDefault="001D6C90" w:rsidP="00193615">
            <w:pPr>
              <w:pStyle w:val="ListParagraph"/>
              <w:numPr>
                <w:ilvl w:val="0"/>
                <w:numId w:val="23"/>
              </w:numPr>
              <w:suppressAutoHyphens/>
              <w:ind w:left="432"/>
              <w:jc w:val="both"/>
              <w:rPr>
                <w:rFonts w:ascii="Arial" w:eastAsia="Arial" w:hAnsi="Arial" w:cs="Arial"/>
                <w:sz w:val="18"/>
                <w:szCs w:val="18"/>
                <w:lang w:val="es-AR"/>
              </w:rPr>
            </w:pPr>
            <w:r w:rsidRPr="00193615">
              <w:rPr>
                <w:rFonts w:ascii="Arial" w:eastAsia="Arial" w:hAnsi="Arial" w:cs="Arial"/>
                <w:sz w:val="18"/>
                <w:szCs w:val="18"/>
                <w:lang w:val="es-ES"/>
              </w:rPr>
              <w:t>l</w:t>
            </w:r>
            <w:r w:rsidR="7FBDDA1D" w:rsidRPr="00193615">
              <w:rPr>
                <w:rFonts w:ascii="Arial" w:eastAsia="Arial" w:hAnsi="Arial" w:cs="Arial"/>
                <w:sz w:val="18"/>
                <w:szCs w:val="18"/>
                <w:lang w:val="es-ES"/>
              </w:rPr>
              <w:t xml:space="preserve">os compromisos de Acuerdo sobre Facilitación del Comercio de la </w:t>
            </w:r>
            <w:r w:rsidR="7FBDDA1D" w:rsidRPr="00193615">
              <w:rPr>
                <w:rFonts w:ascii="Arial" w:eastAsia="Arial" w:hAnsi="Arial" w:cs="Arial"/>
                <w:b/>
                <w:bCs/>
                <w:sz w:val="18"/>
                <w:szCs w:val="18"/>
                <w:lang w:val="es-ES"/>
              </w:rPr>
              <w:t>Organización Mundial del Comercio (OMC) – Paquete de Bali</w:t>
            </w:r>
          </w:p>
          <w:p w14:paraId="1FD6989D" w14:textId="77777777" w:rsidR="00D877B4" w:rsidRPr="008D6058" w:rsidRDefault="00D877B4" w:rsidP="00D877B4">
            <w:pPr>
              <w:pStyle w:val="ListParagraph"/>
              <w:suppressAutoHyphens/>
              <w:ind w:left="288"/>
              <w:jc w:val="both"/>
              <w:rPr>
                <w:rFonts w:ascii="Arial" w:hAnsi="Arial" w:cs="Arial"/>
                <w:sz w:val="18"/>
                <w:szCs w:val="18"/>
                <w:lang w:val="es-AR"/>
              </w:rPr>
            </w:pPr>
          </w:p>
        </w:tc>
        <w:tc>
          <w:tcPr>
            <w:tcW w:w="2120" w:type="dxa"/>
            <w:vMerge w:val="restart"/>
            <w:shd w:val="clear" w:color="auto" w:fill="auto"/>
          </w:tcPr>
          <w:p w14:paraId="1FD6989E" w14:textId="585BBE69" w:rsidR="00AE11BE" w:rsidRPr="00193615" w:rsidRDefault="7FBDDA1D">
            <w:pPr>
              <w:jc w:val="both"/>
              <w:rPr>
                <w:rFonts w:ascii="Arial" w:eastAsia="Arial" w:hAnsi="Arial" w:cs="Arial"/>
                <w:sz w:val="18"/>
                <w:szCs w:val="18"/>
                <w:lang w:val="pt-BR"/>
              </w:rPr>
            </w:pPr>
            <w:r w:rsidRPr="00193615">
              <w:rPr>
                <w:rFonts w:ascii="Arial" w:eastAsia="Arial" w:hAnsi="Arial" w:cs="Arial"/>
                <w:sz w:val="18"/>
                <w:szCs w:val="18"/>
                <w:lang w:val="pt-BR"/>
              </w:rPr>
              <w:t>AMP</w:t>
            </w:r>
          </w:p>
          <w:p w14:paraId="52A4B3BC" w14:textId="1CD73DB2" w:rsidR="000605EF" w:rsidRPr="00193615" w:rsidRDefault="000605EF">
            <w:pPr>
              <w:jc w:val="both"/>
              <w:rPr>
                <w:rFonts w:ascii="Arial" w:eastAsia="Arial" w:hAnsi="Arial" w:cs="Arial"/>
                <w:sz w:val="18"/>
                <w:szCs w:val="18"/>
                <w:lang w:val="pt-BR"/>
              </w:rPr>
            </w:pPr>
            <w:r w:rsidRPr="00193615">
              <w:rPr>
                <w:rFonts w:ascii="Arial" w:eastAsia="Arial" w:hAnsi="Arial" w:cs="Arial"/>
                <w:sz w:val="18"/>
                <w:szCs w:val="18"/>
                <w:lang w:val="pt-BR"/>
              </w:rPr>
              <w:t>(</w:t>
            </w:r>
            <w:proofErr w:type="spellStart"/>
            <w:r w:rsidRPr="00193615">
              <w:rPr>
                <w:rFonts w:ascii="Arial" w:eastAsia="Arial" w:hAnsi="Arial" w:cs="Arial"/>
                <w:sz w:val="18"/>
                <w:szCs w:val="18"/>
                <w:lang w:val="pt-BR"/>
              </w:rPr>
              <w:t>aprobación</w:t>
            </w:r>
            <w:proofErr w:type="spellEnd"/>
            <w:r w:rsidRPr="00193615">
              <w:rPr>
                <w:rFonts w:ascii="Arial" w:eastAsia="Arial" w:hAnsi="Arial" w:cs="Arial"/>
                <w:sz w:val="18"/>
                <w:szCs w:val="18"/>
                <w:lang w:val="pt-BR"/>
              </w:rPr>
              <w:t>)</w:t>
            </w:r>
          </w:p>
          <w:p w14:paraId="1FD6989F" w14:textId="77777777" w:rsidR="00AE11BE" w:rsidRPr="008D6058" w:rsidRDefault="00AE11BE" w:rsidP="00D877B4">
            <w:pPr>
              <w:jc w:val="both"/>
              <w:rPr>
                <w:rFonts w:ascii="Arial" w:hAnsi="Arial" w:cs="Arial"/>
                <w:sz w:val="18"/>
                <w:szCs w:val="18"/>
                <w:lang w:val="pt-BR"/>
              </w:rPr>
            </w:pPr>
          </w:p>
          <w:p w14:paraId="1FD698A0" w14:textId="77777777" w:rsidR="00AE11BE" w:rsidRPr="00193615" w:rsidRDefault="7FBDDA1D">
            <w:pPr>
              <w:jc w:val="both"/>
              <w:rPr>
                <w:rFonts w:ascii="Arial" w:eastAsia="Arial" w:hAnsi="Arial" w:cs="Arial"/>
                <w:sz w:val="18"/>
                <w:szCs w:val="18"/>
                <w:lang w:val="pt-BR"/>
              </w:rPr>
            </w:pPr>
            <w:r w:rsidRPr="00193615">
              <w:rPr>
                <w:rFonts w:ascii="Arial" w:eastAsia="Arial" w:hAnsi="Arial" w:cs="Arial"/>
                <w:sz w:val="18"/>
                <w:szCs w:val="18"/>
                <w:lang w:val="pt-BR"/>
              </w:rPr>
              <w:t>ACP</w:t>
            </w:r>
          </w:p>
          <w:p w14:paraId="1FD698A1" w14:textId="77777777" w:rsidR="00AE11BE" w:rsidRPr="008D6058" w:rsidRDefault="00AE11BE" w:rsidP="00D877B4">
            <w:pPr>
              <w:jc w:val="both"/>
              <w:rPr>
                <w:rFonts w:ascii="Arial" w:hAnsi="Arial" w:cs="Arial"/>
                <w:sz w:val="18"/>
                <w:szCs w:val="18"/>
                <w:lang w:val="pt-BR"/>
              </w:rPr>
            </w:pPr>
          </w:p>
          <w:p w14:paraId="1FD698A2" w14:textId="77777777" w:rsidR="00AE11BE" w:rsidRPr="00193615" w:rsidRDefault="7FBDDA1D">
            <w:pPr>
              <w:jc w:val="both"/>
              <w:rPr>
                <w:rFonts w:ascii="Arial" w:eastAsia="Arial" w:hAnsi="Arial" w:cs="Arial"/>
                <w:sz w:val="18"/>
                <w:szCs w:val="18"/>
                <w:lang w:val="pt-BR"/>
              </w:rPr>
            </w:pPr>
            <w:r w:rsidRPr="00193615">
              <w:rPr>
                <w:rFonts w:ascii="Arial" w:eastAsia="Arial" w:hAnsi="Arial" w:cs="Arial"/>
                <w:sz w:val="18"/>
                <w:szCs w:val="18"/>
                <w:lang w:val="pt-BR"/>
              </w:rPr>
              <w:t>MICI</w:t>
            </w:r>
          </w:p>
        </w:tc>
        <w:tc>
          <w:tcPr>
            <w:tcW w:w="3509" w:type="dxa"/>
            <w:shd w:val="clear" w:color="auto" w:fill="auto"/>
          </w:tcPr>
          <w:p w14:paraId="1FD698A3" w14:textId="77777777" w:rsidR="00AE11BE" w:rsidRPr="00193615" w:rsidRDefault="00737A4E">
            <w:pPr>
              <w:suppressAutoHyphens/>
              <w:ind w:left="-18" w:firstLine="8"/>
              <w:jc w:val="both"/>
              <w:rPr>
                <w:rFonts w:ascii="Arial" w:eastAsia="Arial" w:hAnsi="Arial" w:cs="Arial"/>
                <w:sz w:val="18"/>
                <w:szCs w:val="18"/>
                <w:lang w:val="es-ES"/>
              </w:rPr>
            </w:pPr>
            <w:r w:rsidRPr="00193615">
              <w:rPr>
                <w:rFonts w:ascii="Arial" w:eastAsia="Arial" w:hAnsi="Arial" w:cs="Arial"/>
                <w:spacing w:val="-2"/>
                <w:sz w:val="18"/>
                <w:szCs w:val="18"/>
                <w:lang w:val="es-ES"/>
              </w:rPr>
              <w:t>10.1. Integración de los sistemas de ACP y AMP en una misma plataforma informática</w:t>
            </w:r>
          </w:p>
        </w:tc>
        <w:tc>
          <w:tcPr>
            <w:tcW w:w="2953" w:type="dxa"/>
            <w:shd w:val="clear" w:color="auto" w:fill="auto"/>
          </w:tcPr>
          <w:p w14:paraId="1FD698A4" w14:textId="77777777" w:rsidR="008D6058" w:rsidRPr="00193615" w:rsidRDefault="008D6058" w:rsidP="00193615">
            <w:pPr>
              <w:suppressAutoHyphens/>
              <w:spacing w:before="60" w:after="60"/>
              <w:jc w:val="both"/>
              <w:rPr>
                <w:rFonts w:ascii="Arial" w:eastAsia="Arial" w:hAnsi="Arial" w:cs="Arial"/>
                <w:sz w:val="18"/>
                <w:szCs w:val="18"/>
                <w:lang w:val="es-ES"/>
              </w:rPr>
            </w:pPr>
            <w:r w:rsidRPr="00193615">
              <w:rPr>
                <w:rFonts w:ascii="Arial" w:eastAsia="Arial" w:hAnsi="Arial" w:cs="Arial"/>
                <w:spacing w:val="-2"/>
                <w:sz w:val="18"/>
                <w:szCs w:val="18"/>
                <w:lang w:val="es-ES"/>
              </w:rPr>
              <w:t>10.1 Suscripción de Convenio de Colaboración entre ACP y AMP evidenciando la integración de los sistemas y formalizando el lanzamiento de la VUMPA.</w:t>
            </w:r>
          </w:p>
          <w:p w14:paraId="1FD698A5" w14:textId="77777777" w:rsidR="00AE11BE" w:rsidRPr="008D6058" w:rsidRDefault="00AE11BE" w:rsidP="00D877B4">
            <w:pPr>
              <w:jc w:val="both"/>
              <w:rPr>
                <w:rFonts w:ascii="Arial" w:hAnsi="Arial" w:cs="Arial"/>
                <w:sz w:val="18"/>
                <w:szCs w:val="18"/>
                <w:lang w:val="es-ES_tradnl"/>
              </w:rPr>
            </w:pPr>
          </w:p>
        </w:tc>
        <w:tc>
          <w:tcPr>
            <w:tcW w:w="2209" w:type="dxa"/>
          </w:tcPr>
          <w:p w14:paraId="1FD698A6"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AMP y ACP</w:t>
            </w:r>
          </w:p>
        </w:tc>
      </w:tr>
      <w:tr w:rsidR="0040704B" w:rsidRPr="009675EC" w14:paraId="1FD698AE" w14:textId="77777777" w:rsidTr="54558B85">
        <w:trPr>
          <w:trHeight w:val="1808"/>
        </w:trPr>
        <w:tc>
          <w:tcPr>
            <w:tcW w:w="2431" w:type="dxa"/>
            <w:vMerge/>
            <w:shd w:val="clear" w:color="auto" w:fill="auto"/>
          </w:tcPr>
          <w:p w14:paraId="1FD698A8" w14:textId="77777777" w:rsidR="0040704B" w:rsidRPr="008D6058" w:rsidRDefault="0040704B" w:rsidP="00D877B4">
            <w:pPr>
              <w:suppressAutoHyphens/>
              <w:jc w:val="both"/>
              <w:rPr>
                <w:rFonts w:ascii="Arial" w:hAnsi="Arial" w:cs="Arial"/>
                <w:b/>
                <w:sz w:val="18"/>
                <w:szCs w:val="18"/>
                <w:lang w:val="es-ES"/>
              </w:rPr>
            </w:pPr>
          </w:p>
        </w:tc>
        <w:tc>
          <w:tcPr>
            <w:tcW w:w="2120" w:type="dxa"/>
            <w:vMerge/>
            <w:shd w:val="clear" w:color="auto" w:fill="auto"/>
          </w:tcPr>
          <w:p w14:paraId="1FD698A9" w14:textId="77777777" w:rsidR="0040704B" w:rsidRPr="008D6058" w:rsidRDefault="0040704B" w:rsidP="00D877B4">
            <w:pPr>
              <w:jc w:val="both"/>
              <w:rPr>
                <w:rFonts w:ascii="Arial" w:hAnsi="Arial" w:cs="Arial"/>
                <w:sz w:val="18"/>
                <w:szCs w:val="18"/>
                <w:lang w:val="es-ES"/>
              </w:rPr>
            </w:pPr>
          </w:p>
        </w:tc>
        <w:tc>
          <w:tcPr>
            <w:tcW w:w="3509" w:type="dxa"/>
            <w:shd w:val="clear" w:color="auto" w:fill="auto"/>
          </w:tcPr>
          <w:p w14:paraId="1FD698AA" w14:textId="77777777" w:rsidR="0040704B" w:rsidRPr="00193615" w:rsidRDefault="00737A4E">
            <w:pPr>
              <w:suppressAutoHyphens/>
              <w:ind w:left="-18" w:firstLine="8"/>
              <w:jc w:val="both"/>
              <w:rPr>
                <w:rFonts w:ascii="Arial" w:eastAsia="Arial" w:hAnsi="Arial" w:cs="Arial"/>
                <w:sz w:val="18"/>
                <w:szCs w:val="18"/>
                <w:lang w:val="es-AR"/>
              </w:rPr>
            </w:pPr>
            <w:r w:rsidRPr="00193615">
              <w:rPr>
                <w:rFonts w:ascii="Arial" w:eastAsia="Arial" w:hAnsi="Arial" w:cs="Arial"/>
                <w:spacing w:val="-2"/>
                <w:sz w:val="18"/>
                <w:szCs w:val="18"/>
                <w:lang w:val="es-ES"/>
              </w:rPr>
              <w:t>10.2. Aprobación de la normativa que ratifica los compromisos del convenio FAL 65 de Facilitación del Tráfico Marítimo de Mercancías establecido en la Organización Marítima Internacional (OMI).</w:t>
            </w:r>
          </w:p>
        </w:tc>
        <w:tc>
          <w:tcPr>
            <w:tcW w:w="2953" w:type="dxa"/>
            <w:shd w:val="clear" w:color="auto" w:fill="auto"/>
          </w:tcPr>
          <w:p w14:paraId="1FD698AB" w14:textId="77777777" w:rsidR="008D6058" w:rsidRPr="00193615" w:rsidRDefault="7FBDDA1D" w:rsidP="00193615">
            <w:pPr>
              <w:suppressAutoHyphens/>
              <w:spacing w:before="60" w:after="60"/>
              <w:jc w:val="both"/>
              <w:rPr>
                <w:rFonts w:ascii="Arial" w:eastAsia="Arial" w:hAnsi="Arial" w:cs="Arial"/>
                <w:color w:val="000000" w:themeColor="text1"/>
                <w:sz w:val="18"/>
                <w:szCs w:val="18"/>
                <w:lang w:val="es-PA"/>
              </w:rPr>
            </w:pPr>
            <w:r w:rsidRPr="00193615">
              <w:rPr>
                <w:rFonts w:ascii="Arial" w:eastAsia="Arial" w:hAnsi="Arial" w:cs="Arial"/>
                <w:color w:val="000000" w:themeColor="text1"/>
                <w:sz w:val="18"/>
                <w:szCs w:val="18"/>
                <w:lang w:val="es-PA"/>
              </w:rPr>
              <w:t>10.2 Decreto del Poder Ejecutivo estableciendo disposiciones para dar cumplimiento al convenio FAL 65.</w:t>
            </w:r>
          </w:p>
          <w:p w14:paraId="1FD698AC" w14:textId="77777777" w:rsidR="0040704B" w:rsidRPr="008D6058" w:rsidRDefault="0040704B" w:rsidP="00D877B4">
            <w:pPr>
              <w:jc w:val="both"/>
              <w:rPr>
                <w:rFonts w:ascii="Arial" w:hAnsi="Arial" w:cs="Arial"/>
                <w:sz w:val="18"/>
                <w:szCs w:val="18"/>
                <w:lang w:val="es-PA"/>
              </w:rPr>
            </w:pPr>
          </w:p>
        </w:tc>
        <w:tc>
          <w:tcPr>
            <w:tcW w:w="2209" w:type="dxa"/>
          </w:tcPr>
          <w:p w14:paraId="1FD698AD" w14:textId="22E5C7BE" w:rsidR="0040704B" w:rsidRPr="00193615" w:rsidRDefault="0E1A26FE">
            <w:pPr>
              <w:jc w:val="both"/>
              <w:rPr>
                <w:rFonts w:ascii="Arial" w:eastAsia="Arial" w:hAnsi="Arial" w:cs="Arial"/>
                <w:sz w:val="18"/>
                <w:szCs w:val="18"/>
                <w:lang w:val="es-ES"/>
              </w:rPr>
            </w:pPr>
            <w:r w:rsidRPr="00193615">
              <w:rPr>
                <w:rFonts w:ascii="Arial" w:eastAsia="Arial" w:hAnsi="Arial" w:cs="Arial"/>
                <w:sz w:val="18"/>
                <w:szCs w:val="18"/>
                <w:lang w:val="es-ES"/>
              </w:rPr>
              <w:t>M</w:t>
            </w:r>
            <w:r w:rsidR="2000B6BA" w:rsidRPr="00193615">
              <w:rPr>
                <w:rFonts w:ascii="Arial" w:eastAsia="Arial" w:hAnsi="Arial" w:cs="Arial"/>
                <w:sz w:val="18"/>
                <w:szCs w:val="18"/>
                <w:lang w:val="es-ES"/>
              </w:rPr>
              <w:t>inisterio de la Presidencia</w:t>
            </w:r>
          </w:p>
        </w:tc>
      </w:tr>
      <w:tr w:rsidR="0040704B" w:rsidRPr="008D6058" w14:paraId="1FD698B6" w14:textId="77777777" w:rsidTr="54558B85">
        <w:trPr>
          <w:trHeight w:val="1095"/>
        </w:trPr>
        <w:tc>
          <w:tcPr>
            <w:tcW w:w="2431" w:type="dxa"/>
            <w:shd w:val="clear" w:color="auto" w:fill="auto"/>
          </w:tcPr>
          <w:p w14:paraId="1FD698AF" w14:textId="77777777" w:rsidR="0040704B" w:rsidRPr="00193615" w:rsidRDefault="7FBDDA1D">
            <w:pPr>
              <w:jc w:val="both"/>
              <w:rPr>
                <w:rFonts w:ascii="Arial" w:eastAsia="Arial" w:hAnsi="Arial" w:cs="Arial"/>
                <w:sz w:val="18"/>
                <w:szCs w:val="18"/>
                <w:lang w:val="es-AR"/>
              </w:rPr>
            </w:pPr>
            <w:r w:rsidRPr="00193615">
              <w:rPr>
                <w:rFonts w:ascii="Arial" w:eastAsia="Arial" w:hAnsi="Arial" w:cs="Arial"/>
                <w:b/>
                <w:bCs/>
                <w:sz w:val="18"/>
                <w:szCs w:val="18"/>
                <w:lang w:val="es-ES"/>
              </w:rPr>
              <w:t>Implementar los compromisos asumidos por Panamá en torno de los acuerdos de facilitación</w:t>
            </w:r>
            <w:r w:rsidRPr="00193615">
              <w:rPr>
                <w:rFonts w:ascii="Arial" w:eastAsia="Arial" w:hAnsi="Arial" w:cs="Arial"/>
                <w:sz w:val="18"/>
                <w:szCs w:val="18"/>
                <w:lang w:val="es-ES"/>
              </w:rPr>
              <w:t xml:space="preserve"> de comercio acordadas por el </w:t>
            </w:r>
            <w:r w:rsidRPr="00193615">
              <w:rPr>
                <w:rFonts w:ascii="Arial" w:eastAsia="Arial" w:hAnsi="Arial" w:cs="Arial"/>
                <w:b/>
                <w:bCs/>
                <w:sz w:val="18"/>
                <w:szCs w:val="18"/>
                <w:lang w:val="es-ES"/>
              </w:rPr>
              <w:t xml:space="preserve">Consejo de Ministros de Integración y Comercio </w:t>
            </w:r>
            <w:r w:rsidRPr="00193615">
              <w:rPr>
                <w:rFonts w:ascii="Arial" w:eastAsia="Arial" w:hAnsi="Arial" w:cs="Arial"/>
                <w:b/>
                <w:bCs/>
                <w:sz w:val="18"/>
                <w:szCs w:val="18"/>
                <w:lang w:val="es-ES"/>
              </w:rPr>
              <w:lastRenderedPageBreak/>
              <w:t>de Centroamérica (COMIECO)</w:t>
            </w:r>
          </w:p>
        </w:tc>
        <w:tc>
          <w:tcPr>
            <w:tcW w:w="2120" w:type="dxa"/>
            <w:shd w:val="clear" w:color="auto" w:fill="auto"/>
          </w:tcPr>
          <w:p w14:paraId="1FD698B0"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lastRenderedPageBreak/>
              <w:t>Agencia Nacional de Aduanas (ANA)</w:t>
            </w:r>
          </w:p>
          <w:p w14:paraId="1FD698B1" w14:textId="77777777" w:rsidR="0040704B" w:rsidRPr="008D6058" w:rsidRDefault="0040704B" w:rsidP="00D877B4">
            <w:pPr>
              <w:jc w:val="both"/>
              <w:rPr>
                <w:rFonts w:ascii="Arial" w:hAnsi="Arial" w:cs="Arial"/>
                <w:sz w:val="18"/>
                <w:szCs w:val="18"/>
                <w:lang w:val="es-ES_tradnl"/>
              </w:rPr>
            </w:pPr>
          </w:p>
        </w:tc>
        <w:tc>
          <w:tcPr>
            <w:tcW w:w="3509" w:type="dxa"/>
            <w:shd w:val="clear" w:color="auto" w:fill="auto"/>
          </w:tcPr>
          <w:p w14:paraId="1FD698B2" w14:textId="5601F480" w:rsidR="0040704B" w:rsidRPr="00193615" w:rsidRDefault="00737A4E">
            <w:pPr>
              <w:jc w:val="both"/>
              <w:rPr>
                <w:rFonts w:ascii="Arial" w:eastAsia="Arial" w:hAnsi="Arial" w:cs="Arial"/>
                <w:sz w:val="18"/>
                <w:szCs w:val="18"/>
                <w:lang w:val="es-ES"/>
              </w:rPr>
            </w:pPr>
            <w:r w:rsidRPr="00193615">
              <w:rPr>
                <w:rFonts w:ascii="Arial" w:eastAsia="Arial" w:hAnsi="Arial" w:cs="Arial"/>
                <w:spacing w:val="-2"/>
                <w:sz w:val="18"/>
                <w:szCs w:val="18"/>
                <w:lang w:val="es-ES"/>
              </w:rPr>
              <w:t xml:space="preserve">11. 1. Implementación de al menos </w:t>
            </w:r>
            <w:r w:rsidR="000605EF" w:rsidRPr="00193615">
              <w:rPr>
                <w:rFonts w:ascii="Arial" w:eastAsia="Arial" w:hAnsi="Arial" w:cs="Arial"/>
                <w:spacing w:val="-2"/>
                <w:sz w:val="18"/>
                <w:szCs w:val="18"/>
                <w:lang w:val="es-ES"/>
              </w:rPr>
              <w:t xml:space="preserve">tres </w:t>
            </w:r>
            <w:r w:rsidRPr="00193615">
              <w:rPr>
                <w:rFonts w:ascii="Arial" w:eastAsia="Arial" w:hAnsi="Arial" w:cs="Arial"/>
                <w:spacing w:val="-2"/>
                <w:sz w:val="18"/>
                <w:szCs w:val="18"/>
                <w:lang w:val="es-ES"/>
              </w:rPr>
              <w:t xml:space="preserve">medidas de corto plazo acordadas </w:t>
            </w:r>
            <w:r w:rsidRPr="00193615">
              <w:rPr>
                <w:rFonts w:ascii="Arial" w:eastAsia="Arial" w:hAnsi="Arial" w:cs="Arial"/>
                <w:spacing w:val="-2"/>
                <w:sz w:val="18"/>
                <w:szCs w:val="18"/>
                <w:lang w:val="es-AR"/>
              </w:rPr>
              <w:t>por el COMIECO</w:t>
            </w:r>
          </w:p>
        </w:tc>
        <w:tc>
          <w:tcPr>
            <w:tcW w:w="2953" w:type="dxa"/>
            <w:shd w:val="clear" w:color="auto" w:fill="auto"/>
          </w:tcPr>
          <w:p w14:paraId="1FD698B3" w14:textId="701B3A25" w:rsidR="008D6058" w:rsidRPr="00193615" w:rsidRDefault="7FBDDA1D">
            <w:pPr>
              <w:rPr>
                <w:rFonts w:ascii="Arial" w:eastAsia="Arial" w:hAnsi="Arial" w:cs="Arial"/>
                <w:sz w:val="18"/>
                <w:szCs w:val="18"/>
                <w:lang w:val="es-AR"/>
              </w:rPr>
            </w:pPr>
            <w:bookmarkStart w:id="6" w:name="_Hlk504468131"/>
            <w:r w:rsidRPr="00193615">
              <w:rPr>
                <w:rFonts w:ascii="Arial" w:eastAsia="Arial" w:hAnsi="Arial" w:cs="Arial"/>
                <w:sz w:val="18"/>
                <w:szCs w:val="18"/>
                <w:lang w:val="es-ES"/>
              </w:rPr>
              <w:t xml:space="preserve">11.1 Nota </w:t>
            </w:r>
            <w:r w:rsidRPr="00193615">
              <w:rPr>
                <w:rFonts w:ascii="Arial" w:eastAsia="Arial" w:hAnsi="Arial" w:cs="Arial"/>
                <w:sz w:val="18"/>
                <w:szCs w:val="18"/>
                <w:lang w:val="es-AR"/>
              </w:rPr>
              <w:t>de la</w:t>
            </w:r>
            <w:r w:rsidRPr="00193615">
              <w:rPr>
                <w:rFonts w:ascii="Arial" w:eastAsia="Arial" w:hAnsi="Arial" w:cs="Arial"/>
                <w:sz w:val="18"/>
                <w:szCs w:val="18"/>
                <w:lang w:val="es-ES"/>
              </w:rPr>
              <w:t xml:space="preserve"> ANA sustentando el proceso de implementación de al menos 3 medidas acordadas por el </w:t>
            </w:r>
            <w:r w:rsidRPr="00193615">
              <w:rPr>
                <w:rFonts w:ascii="Arial" w:eastAsia="Arial" w:hAnsi="Arial" w:cs="Arial"/>
                <w:sz w:val="18"/>
                <w:szCs w:val="18"/>
                <w:lang w:val="es-AR"/>
              </w:rPr>
              <w:t>COMIECO</w:t>
            </w:r>
            <w:r w:rsidR="009C1E94" w:rsidRPr="00193615">
              <w:rPr>
                <w:rFonts w:ascii="Arial" w:eastAsia="Arial" w:hAnsi="Arial" w:cs="Arial"/>
                <w:sz w:val="18"/>
                <w:szCs w:val="18"/>
                <w:lang w:val="es-AR"/>
              </w:rPr>
              <w:t xml:space="preserve">: la instalación de la tecnología de radio frecuencia; el uso de la Declaración Única Centroamericana (DUCA) y </w:t>
            </w:r>
            <w:r w:rsidR="009C1E94" w:rsidRPr="00193615">
              <w:rPr>
                <w:rFonts w:ascii="Arial" w:eastAsia="Arial" w:hAnsi="Arial" w:cs="Arial"/>
                <w:sz w:val="18"/>
                <w:szCs w:val="18"/>
                <w:lang w:val="es-AR"/>
              </w:rPr>
              <w:lastRenderedPageBreak/>
              <w:t>recepción e implementación de cámaras de video en los puntos fronterizos</w:t>
            </w:r>
            <w:bookmarkEnd w:id="6"/>
          </w:p>
          <w:p w14:paraId="1FD698B4" w14:textId="77777777" w:rsidR="0040704B" w:rsidRPr="008D6058" w:rsidRDefault="0040704B" w:rsidP="007C5D43">
            <w:pPr>
              <w:jc w:val="both"/>
              <w:rPr>
                <w:rFonts w:ascii="Arial" w:hAnsi="Arial" w:cs="Arial"/>
                <w:spacing w:val="-2"/>
                <w:sz w:val="18"/>
                <w:szCs w:val="18"/>
                <w:lang w:val="es-ES_tradnl"/>
              </w:rPr>
            </w:pPr>
          </w:p>
        </w:tc>
        <w:tc>
          <w:tcPr>
            <w:tcW w:w="2209" w:type="dxa"/>
          </w:tcPr>
          <w:p w14:paraId="1FD698B5"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lastRenderedPageBreak/>
              <w:t>ANA</w:t>
            </w:r>
          </w:p>
        </w:tc>
      </w:tr>
      <w:tr w:rsidR="00AE11BE" w:rsidRPr="008D6058" w14:paraId="1FD698C4" w14:textId="77777777" w:rsidTr="00193615">
        <w:trPr>
          <w:trHeight w:val="1802"/>
        </w:trPr>
        <w:tc>
          <w:tcPr>
            <w:tcW w:w="2431" w:type="dxa"/>
            <w:vMerge w:val="restart"/>
            <w:shd w:val="clear" w:color="auto" w:fill="auto"/>
          </w:tcPr>
          <w:p w14:paraId="1FD698B7" w14:textId="77777777" w:rsidR="00AE11BE" w:rsidRPr="00193615" w:rsidRDefault="7FBDDA1D">
            <w:pPr>
              <w:suppressAutoHyphens/>
              <w:jc w:val="both"/>
              <w:rPr>
                <w:rFonts w:ascii="Arial" w:eastAsia="Arial" w:hAnsi="Arial" w:cs="Arial"/>
                <w:sz w:val="18"/>
                <w:szCs w:val="18"/>
                <w:lang w:val="es-AR"/>
              </w:rPr>
            </w:pPr>
            <w:r w:rsidRPr="00193615">
              <w:rPr>
                <w:rFonts w:ascii="Arial" w:eastAsia="Arial" w:hAnsi="Arial" w:cs="Arial"/>
                <w:b/>
                <w:bCs/>
                <w:sz w:val="18"/>
                <w:szCs w:val="18"/>
                <w:lang w:val="es-AR"/>
              </w:rPr>
              <w:t>Promover la sistematización de las operaciones de control de comercio exterior,</w:t>
            </w:r>
            <w:r w:rsidRPr="00193615">
              <w:rPr>
                <w:rFonts w:ascii="Arial" w:eastAsia="Arial" w:hAnsi="Arial" w:cs="Arial"/>
                <w:sz w:val="18"/>
                <w:szCs w:val="18"/>
                <w:lang w:val="es-AR"/>
              </w:rPr>
              <w:t xml:space="preserve"> incluyendo, entre otros:</w:t>
            </w:r>
          </w:p>
          <w:p w14:paraId="1FD698B8" w14:textId="77777777" w:rsidR="00AE11BE" w:rsidRPr="00193615" w:rsidRDefault="7FBDDA1D">
            <w:pPr>
              <w:pStyle w:val="ListParagraph"/>
              <w:numPr>
                <w:ilvl w:val="0"/>
                <w:numId w:val="5"/>
              </w:numPr>
              <w:suppressAutoHyphens/>
              <w:ind w:left="176" w:hanging="142"/>
              <w:jc w:val="both"/>
              <w:rPr>
                <w:rFonts w:ascii="Arial" w:eastAsia="Arial" w:hAnsi="Arial" w:cs="Arial"/>
                <w:sz w:val="18"/>
                <w:szCs w:val="18"/>
                <w:lang w:val="es-AR"/>
              </w:rPr>
            </w:pPr>
            <w:r w:rsidRPr="00193615">
              <w:rPr>
                <w:rFonts w:ascii="Arial" w:eastAsia="Arial" w:hAnsi="Arial" w:cs="Arial"/>
                <w:sz w:val="18"/>
                <w:szCs w:val="18"/>
                <w:lang w:val="es-AR"/>
              </w:rPr>
              <w:t>Modernización del Sistema de Gestión Aduanera (SIGA)</w:t>
            </w:r>
          </w:p>
          <w:p w14:paraId="1FD698B9" w14:textId="77777777" w:rsidR="00AE11BE" w:rsidRPr="00193615" w:rsidRDefault="7FBDDA1D">
            <w:pPr>
              <w:pStyle w:val="ListParagraph"/>
              <w:numPr>
                <w:ilvl w:val="0"/>
                <w:numId w:val="5"/>
              </w:numPr>
              <w:suppressAutoHyphens/>
              <w:ind w:left="176" w:hanging="142"/>
              <w:jc w:val="both"/>
              <w:rPr>
                <w:rFonts w:ascii="Arial" w:eastAsia="Arial" w:hAnsi="Arial" w:cs="Arial"/>
                <w:sz w:val="18"/>
                <w:szCs w:val="18"/>
                <w:lang w:val="es-AR"/>
              </w:rPr>
            </w:pPr>
            <w:r w:rsidRPr="00193615">
              <w:rPr>
                <w:rFonts w:ascii="Arial" w:eastAsia="Arial" w:hAnsi="Arial" w:cs="Arial"/>
                <w:sz w:val="18"/>
                <w:szCs w:val="18"/>
                <w:lang w:val="es-AR"/>
              </w:rPr>
              <w:t xml:space="preserve">La adaptación completa del  (SIGA) a los procedimientos y prácticas panameñas y las derivadas de la integración regional centroamericano (CAUCA, RECAUCA); </w:t>
            </w:r>
          </w:p>
          <w:p w14:paraId="1FD698BA" w14:textId="77777777" w:rsidR="00AE11BE" w:rsidRPr="00193615" w:rsidRDefault="7FBDDA1D">
            <w:pPr>
              <w:pStyle w:val="ListParagraph"/>
              <w:numPr>
                <w:ilvl w:val="0"/>
                <w:numId w:val="5"/>
              </w:numPr>
              <w:ind w:left="176" w:hanging="142"/>
              <w:jc w:val="both"/>
              <w:rPr>
                <w:rFonts w:ascii="Arial" w:eastAsia="Arial" w:hAnsi="Arial" w:cs="Arial"/>
                <w:sz w:val="18"/>
                <w:szCs w:val="18"/>
                <w:lang w:val="es-AR"/>
              </w:rPr>
            </w:pPr>
            <w:r w:rsidRPr="00193615">
              <w:rPr>
                <w:rFonts w:ascii="Arial" w:eastAsia="Arial" w:hAnsi="Arial" w:cs="Arial"/>
                <w:sz w:val="18"/>
                <w:szCs w:val="18"/>
                <w:lang w:val="es-AR"/>
              </w:rPr>
              <w:t>El desarrollo de la Ventanilla Única de Comercio Exterior (VUCE).</w:t>
            </w:r>
          </w:p>
        </w:tc>
        <w:tc>
          <w:tcPr>
            <w:tcW w:w="2120" w:type="dxa"/>
            <w:vMerge w:val="restart"/>
            <w:shd w:val="clear" w:color="auto" w:fill="auto"/>
          </w:tcPr>
          <w:p w14:paraId="1FD698BB"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ANA</w:t>
            </w:r>
          </w:p>
          <w:p w14:paraId="1FD698BC" w14:textId="77777777" w:rsidR="00AE11BE" w:rsidRPr="008D6058" w:rsidRDefault="00AE11BE" w:rsidP="00D877B4">
            <w:pPr>
              <w:jc w:val="both"/>
              <w:rPr>
                <w:rFonts w:ascii="Arial" w:hAnsi="Arial" w:cs="Arial"/>
                <w:sz w:val="18"/>
                <w:szCs w:val="18"/>
                <w:lang w:val="es-ES_tradnl"/>
              </w:rPr>
            </w:pPr>
          </w:p>
          <w:p w14:paraId="1FD698BD" w14:textId="77777777" w:rsidR="00E426B9" w:rsidRPr="00193615" w:rsidRDefault="7FBDDA1D">
            <w:pPr>
              <w:jc w:val="both"/>
              <w:rPr>
                <w:rFonts w:ascii="Arial" w:eastAsia="Arial" w:hAnsi="Arial" w:cs="Arial"/>
                <w:sz w:val="18"/>
                <w:szCs w:val="18"/>
              </w:rPr>
            </w:pPr>
            <w:r w:rsidRPr="00193615">
              <w:rPr>
                <w:rFonts w:ascii="Arial" w:eastAsia="Arial" w:hAnsi="Arial" w:cs="Arial"/>
                <w:sz w:val="18"/>
                <w:szCs w:val="18"/>
                <w:lang w:val="es-ES"/>
              </w:rPr>
              <w:t>MICI</w:t>
            </w:r>
          </w:p>
          <w:p w14:paraId="1FD698BE" w14:textId="77777777" w:rsidR="00E426B9" w:rsidRPr="008D6058" w:rsidRDefault="00E426B9" w:rsidP="00E426B9">
            <w:pPr>
              <w:rPr>
                <w:rFonts w:ascii="Arial" w:hAnsi="Arial" w:cs="Arial"/>
                <w:sz w:val="18"/>
                <w:szCs w:val="18"/>
              </w:rPr>
            </w:pPr>
          </w:p>
          <w:p w14:paraId="1FD698BF" w14:textId="77777777" w:rsidR="00AE11BE" w:rsidRPr="008D6058" w:rsidRDefault="00AE11BE" w:rsidP="00A906F0">
            <w:pPr>
              <w:jc w:val="right"/>
              <w:rPr>
                <w:rFonts w:ascii="Arial" w:hAnsi="Arial" w:cs="Arial"/>
                <w:sz w:val="18"/>
                <w:szCs w:val="18"/>
              </w:rPr>
            </w:pPr>
          </w:p>
        </w:tc>
        <w:tc>
          <w:tcPr>
            <w:tcW w:w="3509" w:type="dxa"/>
            <w:vMerge w:val="restart"/>
            <w:shd w:val="clear" w:color="auto" w:fill="auto"/>
          </w:tcPr>
          <w:p w14:paraId="1FD698C0" w14:textId="424FEE89" w:rsidR="00AE11BE" w:rsidRPr="00193615" w:rsidRDefault="00737A4E">
            <w:pPr>
              <w:jc w:val="both"/>
              <w:rPr>
                <w:rFonts w:ascii="Arial" w:eastAsia="Arial" w:hAnsi="Arial" w:cs="Arial"/>
                <w:sz w:val="18"/>
                <w:szCs w:val="18"/>
                <w:lang w:val="es-ES"/>
              </w:rPr>
            </w:pPr>
            <w:r w:rsidRPr="00193615">
              <w:rPr>
                <w:rFonts w:ascii="Arial" w:eastAsia="Arial" w:hAnsi="Arial" w:cs="Arial"/>
                <w:spacing w:val="-2"/>
                <w:sz w:val="18"/>
                <w:szCs w:val="18"/>
                <w:lang w:val="es-ES"/>
              </w:rPr>
              <w:t>12.1. Auditoría funcional externa en SIGA y VUCE que evalúa la alineación con los procesos estipulados en el marco de integración regional centroamericano (CAUCA, RECAUCA) y el grado en que los cambios efectuados resuelven los problemas destacados por los usuarios</w:t>
            </w:r>
          </w:p>
        </w:tc>
        <w:tc>
          <w:tcPr>
            <w:tcW w:w="2953" w:type="dxa"/>
            <w:shd w:val="clear" w:color="auto" w:fill="auto"/>
          </w:tcPr>
          <w:p w14:paraId="1FD698C1" w14:textId="77777777" w:rsidR="00AE11BE" w:rsidRPr="00193615" w:rsidRDefault="008D6058">
            <w:pPr>
              <w:rPr>
                <w:rFonts w:ascii="Arial" w:eastAsia="Arial" w:hAnsi="Arial" w:cs="Arial"/>
                <w:sz w:val="18"/>
                <w:szCs w:val="18"/>
                <w:lang w:val="es-ES"/>
              </w:rPr>
            </w:pPr>
            <w:r w:rsidRPr="00193615">
              <w:rPr>
                <w:rFonts w:ascii="Arial" w:eastAsia="Arial" w:hAnsi="Arial" w:cs="Arial"/>
                <w:spacing w:val="-2"/>
                <w:sz w:val="18"/>
                <w:szCs w:val="18"/>
                <w:lang w:val="es-ES"/>
              </w:rPr>
              <w:t>12.1.1 Auditoría AIG a la plataforma SIGA y VUCE evaluando la alineación con los procesos CAUCA Y RECAUC</w:t>
            </w:r>
            <w:r w:rsidR="00803989" w:rsidRPr="00193615">
              <w:rPr>
                <w:rFonts w:ascii="Arial" w:eastAsia="Arial" w:hAnsi="Arial" w:cs="Arial"/>
                <w:spacing w:val="-2"/>
                <w:sz w:val="18"/>
                <w:szCs w:val="18"/>
                <w:lang w:val="es-ES"/>
              </w:rPr>
              <w:t>A</w:t>
            </w:r>
          </w:p>
          <w:p w14:paraId="1FD698C2" w14:textId="77777777" w:rsidR="008D6058" w:rsidRPr="008D6058" w:rsidRDefault="008D6058" w:rsidP="00D877B4">
            <w:pPr>
              <w:jc w:val="both"/>
              <w:rPr>
                <w:rFonts w:ascii="Arial" w:hAnsi="Arial" w:cs="Arial"/>
                <w:sz w:val="18"/>
                <w:szCs w:val="18"/>
                <w:lang w:val="es-ES_tradnl"/>
              </w:rPr>
            </w:pPr>
          </w:p>
        </w:tc>
        <w:tc>
          <w:tcPr>
            <w:tcW w:w="2209" w:type="dxa"/>
          </w:tcPr>
          <w:p w14:paraId="1FD698C3"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AIG</w:t>
            </w:r>
          </w:p>
        </w:tc>
      </w:tr>
      <w:tr w:rsidR="0040704B" w:rsidRPr="008D6058" w14:paraId="1FD698CA" w14:textId="77777777" w:rsidTr="54558B85">
        <w:trPr>
          <w:trHeight w:val="1495"/>
        </w:trPr>
        <w:tc>
          <w:tcPr>
            <w:tcW w:w="2431" w:type="dxa"/>
            <w:vMerge/>
            <w:shd w:val="clear" w:color="auto" w:fill="auto"/>
          </w:tcPr>
          <w:p w14:paraId="1FD698C5" w14:textId="77777777" w:rsidR="0040704B" w:rsidRPr="008D6058" w:rsidRDefault="0040704B" w:rsidP="00D877B4">
            <w:pPr>
              <w:suppressAutoHyphens/>
              <w:jc w:val="both"/>
              <w:rPr>
                <w:rFonts w:ascii="Arial" w:hAnsi="Arial" w:cs="Arial"/>
                <w:b/>
                <w:sz w:val="18"/>
                <w:szCs w:val="18"/>
                <w:lang w:val="es-AR"/>
              </w:rPr>
            </w:pPr>
          </w:p>
        </w:tc>
        <w:tc>
          <w:tcPr>
            <w:tcW w:w="2120" w:type="dxa"/>
            <w:vMerge/>
            <w:shd w:val="clear" w:color="auto" w:fill="auto"/>
          </w:tcPr>
          <w:p w14:paraId="1FD698C6" w14:textId="77777777" w:rsidR="0040704B" w:rsidRPr="008D6058" w:rsidRDefault="0040704B" w:rsidP="00D877B4">
            <w:pPr>
              <w:jc w:val="both"/>
              <w:rPr>
                <w:rFonts w:ascii="Arial" w:hAnsi="Arial" w:cs="Arial"/>
                <w:sz w:val="18"/>
                <w:szCs w:val="18"/>
                <w:lang w:val="es-ES_tradnl"/>
              </w:rPr>
            </w:pPr>
          </w:p>
        </w:tc>
        <w:tc>
          <w:tcPr>
            <w:tcW w:w="3509" w:type="dxa"/>
            <w:vMerge/>
            <w:shd w:val="clear" w:color="auto" w:fill="auto"/>
          </w:tcPr>
          <w:p w14:paraId="1FD698C7" w14:textId="77777777" w:rsidR="0040704B" w:rsidRPr="008D6058" w:rsidRDefault="0040704B" w:rsidP="00D877B4">
            <w:pPr>
              <w:jc w:val="both"/>
              <w:rPr>
                <w:rFonts w:ascii="Arial" w:hAnsi="Arial" w:cs="Arial"/>
                <w:spacing w:val="-2"/>
                <w:sz w:val="18"/>
                <w:szCs w:val="18"/>
                <w:lang w:val="es-ES"/>
              </w:rPr>
            </w:pPr>
          </w:p>
        </w:tc>
        <w:tc>
          <w:tcPr>
            <w:tcW w:w="2953" w:type="dxa"/>
            <w:shd w:val="clear" w:color="auto" w:fill="auto"/>
          </w:tcPr>
          <w:p w14:paraId="1FD698C8"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12.1.2 Nota Técnica de Aduana que describe los cambios incorporados al sistema a fin de incorporarse a la plataforma SIGA en los temas relacionados con transbordo.</w:t>
            </w:r>
          </w:p>
        </w:tc>
        <w:tc>
          <w:tcPr>
            <w:tcW w:w="2209" w:type="dxa"/>
          </w:tcPr>
          <w:p w14:paraId="1FD698C9"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ANA</w:t>
            </w:r>
          </w:p>
        </w:tc>
      </w:tr>
      <w:tr w:rsidR="00AE11BE" w:rsidRPr="009675EC" w14:paraId="1FD698D1" w14:textId="77777777" w:rsidTr="54558B85">
        <w:trPr>
          <w:trHeight w:val="2151"/>
        </w:trPr>
        <w:tc>
          <w:tcPr>
            <w:tcW w:w="2431" w:type="dxa"/>
            <w:shd w:val="clear" w:color="auto" w:fill="auto"/>
          </w:tcPr>
          <w:p w14:paraId="1FD698CB" w14:textId="77777777" w:rsidR="00AE11BE" w:rsidRPr="00193615" w:rsidRDefault="7FBDDA1D">
            <w:pPr>
              <w:jc w:val="both"/>
              <w:rPr>
                <w:rFonts w:ascii="Arial" w:eastAsia="Arial" w:hAnsi="Arial" w:cs="Arial"/>
                <w:sz w:val="18"/>
                <w:szCs w:val="18"/>
                <w:lang w:val="es-AR"/>
              </w:rPr>
            </w:pPr>
            <w:r w:rsidRPr="00193615">
              <w:rPr>
                <w:rFonts w:ascii="Arial" w:eastAsia="Arial" w:hAnsi="Arial" w:cs="Arial"/>
                <w:b/>
                <w:bCs/>
                <w:sz w:val="18"/>
                <w:szCs w:val="18"/>
                <w:lang w:val="es-ES"/>
              </w:rPr>
              <w:t>Promover la trazabilidad integral del flujo de mercancías</w:t>
            </w:r>
            <w:r w:rsidRPr="00193615">
              <w:rPr>
                <w:rFonts w:ascii="Arial" w:eastAsia="Arial" w:hAnsi="Arial" w:cs="Arial"/>
                <w:sz w:val="18"/>
                <w:szCs w:val="18"/>
                <w:lang w:val="es-ES"/>
              </w:rPr>
              <w:t xml:space="preserve"> por medio de la </w:t>
            </w:r>
            <w:r w:rsidRPr="00193615">
              <w:rPr>
                <w:rFonts w:ascii="Arial" w:eastAsia="Arial" w:hAnsi="Arial" w:cs="Arial"/>
                <w:b/>
                <w:bCs/>
                <w:sz w:val="18"/>
                <w:szCs w:val="18"/>
                <w:lang w:val="es-ES"/>
              </w:rPr>
              <w:t xml:space="preserve">digitalización integral </w:t>
            </w:r>
            <w:r w:rsidRPr="00193615">
              <w:rPr>
                <w:rFonts w:ascii="Arial" w:eastAsia="Arial" w:hAnsi="Arial" w:cs="Arial"/>
                <w:sz w:val="18"/>
                <w:szCs w:val="18"/>
                <w:lang w:val="es-ES"/>
              </w:rPr>
              <w:t>de las actividades de apoyo al control de operaciones de comercio exterior.</w:t>
            </w:r>
          </w:p>
        </w:tc>
        <w:tc>
          <w:tcPr>
            <w:tcW w:w="2120" w:type="dxa"/>
            <w:shd w:val="clear" w:color="auto" w:fill="auto"/>
          </w:tcPr>
          <w:p w14:paraId="1FD698CC" w14:textId="77777777" w:rsidR="00AE11BE"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Agencia de Inteligencia Gubernamental (AIG)</w:t>
            </w:r>
          </w:p>
        </w:tc>
        <w:tc>
          <w:tcPr>
            <w:tcW w:w="3509" w:type="dxa"/>
            <w:shd w:val="clear" w:color="auto" w:fill="auto"/>
          </w:tcPr>
          <w:p w14:paraId="1FD698CD" w14:textId="77777777" w:rsidR="00737A4E" w:rsidRPr="00193615" w:rsidRDefault="00737A4E" w:rsidP="00193615">
            <w:pPr>
              <w:keepNext/>
              <w:keepLines/>
              <w:spacing w:before="60" w:after="60"/>
              <w:ind w:left="432" w:hanging="442"/>
              <w:jc w:val="both"/>
              <w:rPr>
                <w:rFonts w:ascii="Arial" w:eastAsia="Arial" w:hAnsi="Arial" w:cs="Arial"/>
                <w:sz w:val="18"/>
                <w:szCs w:val="18"/>
                <w:lang w:val="es-ES"/>
              </w:rPr>
            </w:pPr>
            <w:r w:rsidRPr="00193615">
              <w:rPr>
                <w:rFonts w:ascii="Arial" w:eastAsia="Arial" w:hAnsi="Arial" w:cs="Arial"/>
                <w:spacing w:val="-2"/>
                <w:sz w:val="18"/>
                <w:szCs w:val="18"/>
                <w:lang w:val="es-ES"/>
              </w:rPr>
              <w:t>13.1. Implementación del Plan Maestro de Digitalización Integral del Sistema Logístico Nacional: Plataforma Tecnológica para la integración de los Sistemas de Logística y de Comercio Exterior, el cual debe incluir los aspectos definidos en el segundo programa de reformas.</w:t>
            </w:r>
          </w:p>
          <w:p w14:paraId="1FD698CE" w14:textId="77777777" w:rsidR="00AE11BE" w:rsidRPr="008D6058" w:rsidRDefault="00AE11BE" w:rsidP="00D877B4">
            <w:pPr>
              <w:suppressAutoHyphens/>
              <w:ind w:left="407" w:hanging="275"/>
              <w:jc w:val="both"/>
              <w:rPr>
                <w:rFonts w:ascii="Arial" w:hAnsi="Arial" w:cs="Arial"/>
                <w:sz w:val="18"/>
                <w:szCs w:val="18"/>
                <w:lang w:val="es-ES_tradnl"/>
              </w:rPr>
            </w:pPr>
          </w:p>
        </w:tc>
        <w:tc>
          <w:tcPr>
            <w:tcW w:w="2953" w:type="dxa"/>
            <w:shd w:val="clear" w:color="auto" w:fill="auto"/>
          </w:tcPr>
          <w:p w14:paraId="1FD698CF" w14:textId="77777777" w:rsidR="00AE11BE" w:rsidRPr="00193615" w:rsidRDefault="008D6058">
            <w:pPr>
              <w:ind w:left="186" w:hanging="186"/>
              <w:jc w:val="both"/>
              <w:rPr>
                <w:rFonts w:ascii="Arial" w:eastAsia="Arial" w:hAnsi="Arial" w:cs="Arial"/>
                <w:sz w:val="18"/>
                <w:szCs w:val="18"/>
                <w:lang w:val="es-ES"/>
              </w:rPr>
            </w:pPr>
            <w:r w:rsidRPr="00193615">
              <w:rPr>
                <w:rFonts w:ascii="Arial" w:eastAsia="Arial" w:hAnsi="Arial" w:cs="Arial"/>
                <w:sz w:val="18"/>
                <w:szCs w:val="18"/>
                <w:lang w:val="es-ES"/>
              </w:rPr>
              <w:t>13.1 Refrendo de Contraloría al Contrato de Servicios de Plataforma Tecnológica para la Integración de los Sistemas de Logística y de Comercio Exterior</w:t>
            </w:r>
            <w:r w:rsidR="00AE11BE" w:rsidRPr="00193615">
              <w:rPr>
                <w:rFonts w:ascii="Arial" w:eastAsia="Arial" w:hAnsi="Arial" w:cs="Arial"/>
                <w:spacing w:val="-2"/>
                <w:sz w:val="18"/>
                <w:szCs w:val="18"/>
                <w:lang w:val="es-ES"/>
              </w:rPr>
              <w:t>.</w:t>
            </w:r>
          </w:p>
        </w:tc>
        <w:tc>
          <w:tcPr>
            <w:tcW w:w="2209" w:type="dxa"/>
          </w:tcPr>
          <w:p w14:paraId="1FD698D0" w14:textId="77777777" w:rsidR="00AE11BE" w:rsidRPr="00193615" w:rsidRDefault="7FBDDA1D">
            <w:pPr>
              <w:suppressAutoHyphens/>
              <w:ind w:left="-18" w:firstLine="8"/>
              <w:jc w:val="both"/>
              <w:rPr>
                <w:rFonts w:ascii="Arial" w:eastAsia="Arial" w:hAnsi="Arial" w:cs="Arial"/>
                <w:sz w:val="18"/>
                <w:szCs w:val="18"/>
                <w:lang w:val="es-ES"/>
              </w:rPr>
            </w:pPr>
            <w:r w:rsidRPr="00193615">
              <w:rPr>
                <w:rFonts w:ascii="Arial" w:eastAsia="Arial" w:hAnsi="Arial" w:cs="Arial"/>
                <w:sz w:val="18"/>
                <w:szCs w:val="18"/>
                <w:lang w:val="es-ES"/>
              </w:rPr>
              <w:t>Contraloría General de la República</w:t>
            </w:r>
          </w:p>
        </w:tc>
      </w:tr>
      <w:tr w:rsidR="0040704B" w:rsidRPr="008D6058" w14:paraId="1FD698DA" w14:textId="77777777" w:rsidTr="54558B85">
        <w:tc>
          <w:tcPr>
            <w:tcW w:w="2431" w:type="dxa"/>
            <w:shd w:val="clear" w:color="auto" w:fill="auto"/>
          </w:tcPr>
          <w:p w14:paraId="1FD698D2" w14:textId="0F7EC28F" w:rsidR="0040704B" w:rsidRPr="00193615" w:rsidRDefault="7FBDDA1D">
            <w:pPr>
              <w:suppressAutoHyphens/>
              <w:jc w:val="both"/>
              <w:rPr>
                <w:rFonts w:ascii="Arial" w:eastAsia="Arial" w:hAnsi="Arial" w:cs="Arial"/>
                <w:sz w:val="18"/>
                <w:szCs w:val="18"/>
                <w:lang w:val="es-ES"/>
              </w:rPr>
            </w:pPr>
            <w:r w:rsidRPr="00193615">
              <w:rPr>
                <w:rFonts w:ascii="Arial" w:eastAsia="Arial" w:hAnsi="Arial" w:cs="Arial"/>
                <w:b/>
                <w:bCs/>
                <w:sz w:val="18"/>
                <w:szCs w:val="18"/>
                <w:lang w:val="es-ES"/>
              </w:rPr>
              <w:lastRenderedPageBreak/>
              <w:t xml:space="preserve">Promover el intercambio de información entre entidades del Estado </w:t>
            </w:r>
            <w:r w:rsidR="002B0A70" w:rsidRPr="00193615">
              <w:rPr>
                <w:rFonts w:ascii="Arial" w:eastAsia="Arial" w:hAnsi="Arial" w:cs="Arial"/>
                <w:sz w:val="18"/>
                <w:szCs w:val="18"/>
                <w:lang w:val="es-ES"/>
              </w:rPr>
              <w:t>para</w:t>
            </w:r>
            <w:r w:rsidRPr="00193615">
              <w:rPr>
                <w:rFonts w:ascii="Arial" w:eastAsia="Arial" w:hAnsi="Arial" w:cs="Arial"/>
                <w:sz w:val="18"/>
                <w:szCs w:val="18"/>
                <w:lang w:val="es-ES"/>
              </w:rPr>
              <w:t xml:space="preserve"> de monitorear el desempeño del sistema logístico y facilitar la toma de decisión relacionada a políticas públicas e inversiones.</w:t>
            </w:r>
            <w:r w:rsidRPr="00193615">
              <w:rPr>
                <w:rFonts w:ascii="Arial" w:eastAsia="Arial" w:hAnsi="Arial" w:cs="Arial"/>
                <w:b/>
                <w:bCs/>
                <w:sz w:val="18"/>
                <w:szCs w:val="18"/>
                <w:lang w:val="es-ES"/>
              </w:rPr>
              <w:t xml:space="preserve"> </w:t>
            </w:r>
          </w:p>
        </w:tc>
        <w:tc>
          <w:tcPr>
            <w:tcW w:w="2120" w:type="dxa"/>
            <w:shd w:val="clear" w:color="auto" w:fill="auto"/>
          </w:tcPr>
          <w:p w14:paraId="1FD698D3"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AMP</w:t>
            </w:r>
          </w:p>
          <w:p w14:paraId="1FD698D4" w14:textId="77777777" w:rsidR="0040704B" w:rsidRPr="008D6058" w:rsidRDefault="0040704B" w:rsidP="00D877B4">
            <w:pPr>
              <w:jc w:val="both"/>
              <w:rPr>
                <w:rFonts w:ascii="Arial" w:hAnsi="Arial" w:cs="Arial"/>
                <w:sz w:val="18"/>
                <w:szCs w:val="18"/>
                <w:lang w:val="es-ES_tradnl"/>
              </w:rPr>
            </w:pPr>
          </w:p>
          <w:p w14:paraId="27538DD4"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ANA</w:t>
            </w:r>
          </w:p>
          <w:p w14:paraId="1FD698D5" w14:textId="4B74B670" w:rsidR="00185932" w:rsidRPr="00193615" w:rsidRDefault="00185932">
            <w:pPr>
              <w:jc w:val="both"/>
              <w:rPr>
                <w:rFonts w:ascii="Arial" w:eastAsia="Arial" w:hAnsi="Arial" w:cs="Arial"/>
                <w:sz w:val="18"/>
                <w:szCs w:val="18"/>
                <w:lang w:val="es-ES"/>
              </w:rPr>
            </w:pPr>
            <w:r w:rsidRPr="00193615">
              <w:rPr>
                <w:rFonts w:ascii="Arial" w:eastAsia="Arial" w:hAnsi="Arial" w:cs="Arial"/>
                <w:spacing w:val="-2"/>
                <w:sz w:val="18"/>
                <w:szCs w:val="18"/>
              </w:rPr>
              <w:t>(</w:t>
            </w:r>
            <w:proofErr w:type="spellStart"/>
            <w:r w:rsidRPr="00193615">
              <w:rPr>
                <w:rFonts w:ascii="Arial" w:eastAsia="Arial" w:hAnsi="Arial" w:cs="Arial"/>
                <w:spacing w:val="-2"/>
                <w:sz w:val="18"/>
                <w:szCs w:val="18"/>
              </w:rPr>
              <w:t>aprobación</w:t>
            </w:r>
            <w:proofErr w:type="spellEnd"/>
            <w:r w:rsidRPr="00193615">
              <w:rPr>
                <w:rFonts w:ascii="Arial" w:eastAsia="Arial" w:hAnsi="Arial" w:cs="Arial"/>
                <w:spacing w:val="-2"/>
                <w:sz w:val="18"/>
                <w:szCs w:val="18"/>
              </w:rPr>
              <w:t>)</w:t>
            </w:r>
          </w:p>
        </w:tc>
        <w:tc>
          <w:tcPr>
            <w:tcW w:w="3509" w:type="dxa"/>
            <w:shd w:val="clear" w:color="auto" w:fill="auto"/>
          </w:tcPr>
          <w:p w14:paraId="1FD698D6" w14:textId="0CFA91B0" w:rsidR="0040704B" w:rsidRPr="00193615" w:rsidRDefault="00737A4E">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14.1. Evaluación de acciones y resultados del esquema de intercambio de información estadística entre la AMP y la ANA  para obtener información de parte de empresas individuales.</w:t>
            </w:r>
          </w:p>
        </w:tc>
        <w:tc>
          <w:tcPr>
            <w:tcW w:w="2953" w:type="dxa"/>
            <w:shd w:val="clear" w:color="auto" w:fill="auto"/>
          </w:tcPr>
          <w:p w14:paraId="1FD698D7" w14:textId="77777777" w:rsidR="008D6058" w:rsidRPr="008D6058" w:rsidRDefault="008D6058" w:rsidP="7FBDDA1D">
            <w:pPr>
              <w:rPr>
                <w:lang w:val="es-ES"/>
              </w:rPr>
            </w:pPr>
            <w:r w:rsidRPr="00193615">
              <w:rPr>
                <w:rFonts w:ascii="Arial" w:eastAsia="Arial" w:hAnsi="Arial" w:cs="Arial"/>
                <w:sz w:val="18"/>
                <w:szCs w:val="18"/>
                <w:lang w:val="es-ES"/>
              </w:rPr>
              <w:t>14.1 Nota de AMP aprobando el Informe de Evaluación de acciones que releve el intercambio de información estadística con la ANA</w:t>
            </w:r>
            <w:r w:rsidRPr="00193615">
              <w:rPr>
                <w:rStyle w:val="FootnoteReference"/>
                <w:rFonts w:ascii="Arial" w:eastAsia="Arial" w:hAnsi="Arial" w:cs="Arial"/>
                <w:sz w:val="18"/>
                <w:szCs w:val="18"/>
              </w:rPr>
              <w:footnoteReference w:id="1"/>
            </w:r>
            <w:r w:rsidRPr="00193615">
              <w:rPr>
                <w:rFonts w:ascii="Arial" w:eastAsia="Arial" w:hAnsi="Arial" w:cs="Arial"/>
                <w:sz w:val="18"/>
                <w:szCs w:val="18"/>
                <w:lang w:val="es-ES"/>
              </w:rPr>
              <w:t>.</w:t>
            </w:r>
            <w:r w:rsidRPr="7FBDDA1D">
              <w:rPr>
                <w:lang w:val="es-ES"/>
              </w:rPr>
              <w:t xml:space="preserve"> </w:t>
            </w:r>
          </w:p>
          <w:p w14:paraId="1FD698D8" w14:textId="77777777" w:rsidR="0040704B" w:rsidRPr="008D6058" w:rsidRDefault="0040704B" w:rsidP="00D877B4">
            <w:pPr>
              <w:jc w:val="both"/>
              <w:rPr>
                <w:rFonts w:ascii="Arial" w:hAnsi="Arial" w:cs="Arial"/>
                <w:sz w:val="18"/>
                <w:szCs w:val="18"/>
                <w:lang w:val="es-ES_tradnl"/>
              </w:rPr>
            </w:pPr>
          </w:p>
        </w:tc>
        <w:tc>
          <w:tcPr>
            <w:tcW w:w="2209" w:type="dxa"/>
          </w:tcPr>
          <w:p w14:paraId="1FD698D9" w14:textId="77777777" w:rsidR="0040704B"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AMP</w:t>
            </w:r>
          </w:p>
        </w:tc>
      </w:tr>
      <w:tr w:rsidR="007552B6" w:rsidRPr="009675EC" w14:paraId="1FD698E5" w14:textId="77777777" w:rsidTr="00193615">
        <w:trPr>
          <w:trHeight w:val="1696"/>
        </w:trPr>
        <w:tc>
          <w:tcPr>
            <w:tcW w:w="2431" w:type="dxa"/>
            <w:vMerge w:val="restart"/>
            <w:shd w:val="clear" w:color="auto" w:fill="auto"/>
          </w:tcPr>
          <w:p w14:paraId="1FD698DB"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b/>
                <w:bCs/>
                <w:sz w:val="18"/>
                <w:szCs w:val="18"/>
                <w:lang w:val="es-ES"/>
              </w:rPr>
              <w:t xml:space="preserve">Desarrollar un plan de capacitación técnica en logística </w:t>
            </w:r>
            <w:r w:rsidRPr="00193615">
              <w:rPr>
                <w:rFonts w:ascii="Arial" w:eastAsia="Arial" w:hAnsi="Arial" w:cs="Arial"/>
                <w:sz w:val="18"/>
                <w:szCs w:val="18"/>
                <w:lang w:val="es-ES"/>
              </w:rPr>
              <w:t xml:space="preserve">con el objetivo de generar una </w:t>
            </w:r>
            <w:r w:rsidRPr="00193615">
              <w:rPr>
                <w:rFonts w:ascii="Arial" w:eastAsia="Arial" w:hAnsi="Arial" w:cs="Arial"/>
                <w:b/>
                <w:bCs/>
                <w:sz w:val="18"/>
                <w:szCs w:val="18"/>
                <w:lang w:val="es-ES"/>
              </w:rPr>
              <w:t>oferta de recursos humanos adaptada en calidad y cantidad a las necesidades de los distintos subsistemas logísticos del país</w:t>
            </w:r>
            <w:r w:rsidRPr="00193615">
              <w:rPr>
                <w:rFonts w:ascii="Arial" w:eastAsia="Arial" w:hAnsi="Arial" w:cs="Arial"/>
                <w:sz w:val="18"/>
                <w:szCs w:val="18"/>
                <w:lang w:val="es-ES"/>
              </w:rPr>
              <w:t>, asegurando su inserción laboral y monitoreando la evolución de las necesidades del sector privado.</w:t>
            </w:r>
          </w:p>
        </w:tc>
        <w:tc>
          <w:tcPr>
            <w:tcW w:w="2120" w:type="dxa"/>
            <w:vMerge w:val="restart"/>
            <w:shd w:val="clear" w:color="auto" w:fill="auto"/>
          </w:tcPr>
          <w:p w14:paraId="1FD698DC" w14:textId="77777777" w:rsidR="007552B6" w:rsidRPr="00193615" w:rsidRDefault="7FBDDA1D">
            <w:pPr>
              <w:jc w:val="both"/>
              <w:rPr>
                <w:rFonts w:ascii="Arial" w:eastAsia="Arial" w:hAnsi="Arial" w:cs="Arial"/>
                <w:sz w:val="18"/>
                <w:szCs w:val="18"/>
                <w:lang w:val="es-ES"/>
              </w:rPr>
            </w:pPr>
            <w:r w:rsidRPr="00193615">
              <w:rPr>
                <w:rFonts w:ascii="Arial" w:eastAsia="Arial" w:hAnsi="Arial" w:cs="Arial"/>
                <w:sz w:val="18"/>
                <w:szCs w:val="18"/>
                <w:lang w:val="es-ES"/>
              </w:rPr>
              <w:t>Ministerio de Presidencia</w:t>
            </w:r>
          </w:p>
          <w:p w14:paraId="1FD698DD" w14:textId="77777777" w:rsidR="007552B6" w:rsidRPr="00193615" w:rsidRDefault="007552B6">
            <w:pPr>
              <w:keepNext/>
              <w:widowControl w:val="0"/>
              <w:suppressAutoHyphens/>
              <w:jc w:val="both"/>
              <w:rPr>
                <w:rFonts w:ascii="Arial" w:eastAsia="Arial" w:hAnsi="Arial" w:cs="Arial"/>
                <w:sz w:val="18"/>
                <w:szCs w:val="18"/>
                <w:lang w:val="es-ES"/>
              </w:rPr>
            </w:pPr>
            <w:r w:rsidRPr="00193615">
              <w:rPr>
                <w:rFonts w:ascii="Arial" w:eastAsia="Arial" w:hAnsi="Arial" w:cs="Arial"/>
                <w:spacing w:val="-2"/>
                <w:sz w:val="18"/>
                <w:szCs w:val="18"/>
                <w:lang w:val="es-ES"/>
              </w:rPr>
              <w:t>Coordinación Logística</w:t>
            </w:r>
          </w:p>
          <w:p w14:paraId="1FD698DE" w14:textId="77777777" w:rsidR="007552B6" w:rsidRPr="008D6058" w:rsidRDefault="007552B6" w:rsidP="00D877B4">
            <w:pPr>
              <w:jc w:val="both"/>
              <w:rPr>
                <w:rFonts w:ascii="Arial" w:hAnsi="Arial" w:cs="Arial"/>
                <w:sz w:val="18"/>
                <w:szCs w:val="18"/>
                <w:lang w:val="es-ES_tradnl"/>
              </w:rPr>
            </w:pPr>
          </w:p>
          <w:p w14:paraId="1FD698DF" w14:textId="77777777" w:rsidR="007552B6" w:rsidRPr="008D6058" w:rsidRDefault="007552B6" w:rsidP="00D877B4">
            <w:pPr>
              <w:jc w:val="both"/>
              <w:rPr>
                <w:rFonts w:ascii="Arial" w:hAnsi="Arial" w:cs="Arial"/>
                <w:sz w:val="18"/>
                <w:szCs w:val="18"/>
                <w:lang w:val="es-ES_tradnl"/>
              </w:rPr>
            </w:pPr>
          </w:p>
          <w:p w14:paraId="1FD698E0" w14:textId="77777777" w:rsidR="007552B6" w:rsidRPr="008D6058" w:rsidRDefault="007552B6" w:rsidP="00D877B4">
            <w:pPr>
              <w:jc w:val="both"/>
              <w:rPr>
                <w:rFonts w:ascii="Arial" w:hAnsi="Arial" w:cs="Arial"/>
                <w:sz w:val="18"/>
                <w:szCs w:val="18"/>
              </w:rPr>
            </w:pPr>
          </w:p>
        </w:tc>
        <w:tc>
          <w:tcPr>
            <w:tcW w:w="3509" w:type="dxa"/>
            <w:vMerge w:val="restart"/>
            <w:shd w:val="clear" w:color="auto" w:fill="auto"/>
          </w:tcPr>
          <w:p w14:paraId="1FD698E1" w14:textId="77777777" w:rsidR="007552B6" w:rsidRPr="00193615" w:rsidRDefault="007552B6">
            <w:pPr>
              <w:suppressAutoHyphens/>
              <w:ind w:hanging="10"/>
              <w:jc w:val="both"/>
              <w:rPr>
                <w:rFonts w:ascii="Arial" w:eastAsia="Arial" w:hAnsi="Arial" w:cs="Arial"/>
                <w:sz w:val="18"/>
                <w:szCs w:val="18"/>
                <w:lang w:val="es-ES"/>
              </w:rPr>
            </w:pPr>
            <w:r w:rsidRPr="00193615">
              <w:rPr>
                <w:rFonts w:ascii="Arial" w:eastAsia="Arial" w:hAnsi="Arial" w:cs="Arial"/>
                <w:spacing w:val="-2"/>
                <w:sz w:val="18"/>
                <w:szCs w:val="18"/>
                <w:lang w:val="es-ES"/>
              </w:rPr>
              <w:t>15.1.Implementación del plan piloto de capacitación en logística, y su incorporación a las actividades de las mesas de trabajo.</w:t>
            </w:r>
          </w:p>
        </w:tc>
        <w:tc>
          <w:tcPr>
            <w:tcW w:w="2953" w:type="dxa"/>
            <w:shd w:val="clear" w:color="auto" w:fill="auto"/>
          </w:tcPr>
          <w:p w14:paraId="1FD698E2" w14:textId="0DBB3B00" w:rsidR="007552B6" w:rsidRPr="00193615" w:rsidRDefault="7FBDDA1D" w:rsidP="00193615">
            <w:pPr>
              <w:pStyle w:val="ListParagraph"/>
              <w:suppressAutoHyphens/>
              <w:spacing w:before="60" w:after="60"/>
              <w:ind w:left="0"/>
              <w:jc w:val="both"/>
              <w:rPr>
                <w:rFonts w:ascii="Arial" w:eastAsia="Arial" w:hAnsi="Arial" w:cs="Arial"/>
                <w:color w:val="FF0000"/>
                <w:sz w:val="18"/>
                <w:szCs w:val="18"/>
                <w:lang w:val="es-ES"/>
              </w:rPr>
            </w:pPr>
            <w:r w:rsidRPr="00193615">
              <w:rPr>
                <w:rFonts w:ascii="Arial" w:eastAsia="Arial" w:hAnsi="Arial" w:cs="Arial"/>
                <w:sz w:val="18"/>
                <w:szCs w:val="18"/>
                <w:lang w:val="es-ES"/>
              </w:rPr>
              <w:t>15.1.2 Aprobación de la Ley de creación del Instituto Técnico Superior Especializado a fin de impartir educación superior técnica orientada a la innovación y mejoramiento continuo</w:t>
            </w:r>
            <w:r w:rsidR="00B9129F" w:rsidRPr="00193615">
              <w:rPr>
                <w:rFonts w:ascii="Arial" w:eastAsia="Arial" w:hAnsi="Arial" w:cs="Arial"/>
                <w:sz w:val="18"/>
                <w:szCs w:val="18"/>
                <w:lang w:val="es-ES"/>
              </w:rPr>
              <w:t xml:space="preserve"> en línea con el plan piloto </w:t>
            </w:r>
            <w:r w:rsidR="00B9129F" w:rsidRPr="00193615">
              <w:rPr>
                <w:rFonts w:ascii="Arial" w:eastAsia="Arial" w:hAnsi="Arial" w:cs="Arial"/>
                <w:spacing w:val="-2"/>
                <w:sz w:val="18"/>
                <w:szCs w:val="18"/>
                <w:lang w:val="es-ES"/>
              </w:rPr>
              <w:t>de capacitación en logística</w:t>
            </w:r>
          </w:p>
          <w:p w14:paraId="1FD698E3" w14:textId="77777777" w:rsidR="007552B6" w:rsidRPr="008D6058" w:rsidRDefault="007552B6" w:rsidP="00D25B26">
            <w:pPr>
              <w:jc w:val="both"/>
              <w:rPr>
                <w:rFonts w:ascii="Arial" w:hAnsi="Arial" w:cs="Arial"/>
                <w:color w:val="FF0000"/>
                <w:sz w:val="18"/>
                <w:szCs w:val="18"/>
                <w:lang w:val="es-ES_tradnl"/>
              </w:rPr>
            </w:pPr>
          </w:p>
        </w:tc>
        <w:tc>
          <w:tcPr>
            <w:tcW w:w="2209" w:type="dxa"/>
          </w:tcPr>
          <w:p w14:paraId="1FD698E4" w14:textId="01177927" w:rsidR="007552B6" w:rsidRPr="00193615" w:rsidRDefault="4247347D">
            <w:pPr>
              <w:jc w:val="both"/>
              <w:rPr>
                <w:rFonts w:ascii="Arial" w:eastAsia="Arial" w:hAnsi="Arial" w:cs="Arial"/>
                <w:sz w:val="18"/>
                <w:szCs w:val="18"/>
                <w:lang w:val="es-ES"/>
              </w:rPr>
            </w:pPr>
            <w:r w:rsidRPr="00193615">
              <w:rPr>
                <w:rFonts w:ascii="Arial" w:eastAsia="Arial" w:hAnsi="Arial" w:cs="Arial"/>
                <w:sz w:val="18"/>
                <w:szCs w:val="18"/>
                <w:lang w:val="es-ES"/>
              </w:rPr>
              <w:t>Mi</w:t>
            </w:r>
            <w:r w:rsidR="58A34F5C" w:rsidRPr="00193615">
              <w:rPr>
                <w:rFonts w:ascii="Arial" w:eastAsia="Arial" w:hAnsi="Arial" w:cs="Arial"/>
                <w:sz w:val="18"/>
                <w:szCs w:val="18"/>
                <w:lang w:val="es-ES"/>
              </w:rPr>
              <w:t>nisterio de la Presidencia</w:t>
            </w:r>
          </w:p>
        </w:tc>
      </w:tr>
      <w:tr w:rsidR="007552B6" w:rsidRPr="009675EC" w14:paraId="1FD698EB" w14:textId="77777777" w:rsidTr="54558B85">
        <w:trPr>
          <w:trHeight w:val="1695"/>
        </w:trPr>
        <w:tc>
          <w:tcPr>
            <w:tcW w:w="2431" w:type="dxa"/>
            <w:vMerge/>
            <w:shd w:val="clear" w:color="auto" w:fill="auto"/>
          </w:tcPr>
          <w:p w14:paraId="1FD698E6" w14:textId="77777777" w:rsidR="007552B6" w:rsidRPr="008D6058" w:rsidRDefault="007552B6" w:rsidP="00D877B4">
            <w:pPr>
              <w:jc w:val="both"/>
              <w:rPr>
                <w:rFonts w:ascii="Arial" w:hAnsi="Arial" w:cs="Arial"/>
                <w:b/>
                <w:sz w:val="18"/>
                <w:szCs w:val="18"/>
                <w:lang w:val="es-ES"/>
              </w:rPr>
            </w:pPr>
          </w:p>
        </w:tc>
        <w:tc>
          <w:tcPr>
            <w:tcW w:w="2120" w:type="dxa"/>
            <w:vMerge/>
            <w:shd w:val="clear" w:color="auto" w:fill="auto"/>
          </w:tcPr>
          <w:p w14:paraId="1FD698E7" w14:textId="77777777" w:rsidR="007552B6" w:rsidRPr="008D6058" w:rsidRDefault="007552B6" w:rsidP="00D877B4">
            <w:pPr>
              <w:jc w:val="both"/>
              <w:rPr>
                <w:rFonts w:ascii="Arial" w:hAnsi="Arial" w:cs="Arial"/>
                <w:sz w:val="18"/>
                <w:szCs w:val="18"/>
                <w:lang w:val="es-ES_tradnl"/>
              </w:rPr>
            </w:pPr>
          </w:p>
        </w:tc>
        <w:tc>
          <w:tcPr>
            <w:tcW w:w="3509" w:type="dxa"/>
            <w:vMerge/>
            <w:shd w:val="clear" w:color="auto" w:fill="auto"/>
          </w:tcPr>
          <w:p w14:paraId="1FD698E8" w14:textId="77777777" w:rsidR="007552B6" w:rsidRPr="008D6058" w:rsidRDefault="007552B6" w:rsidP="00D877B4">
            <w:pPr>
              <w:suppressAutoHyphens/>
              <w:ind w:hanging="10"/>
              <w:jc w:val="both"/>
              <w:rPr>
                <w:rFonts w:ascii="Arial" w:hAnsi="Arial" w:cs="Arial"/>
                <w:spacing w:val="-2"/>
                <w:sz w:val="18"/>
                <w:szCs w:val="18"/>
                <w:lang w:val="es-ES_tradnl"/>
              </w:rPr>
            </w:pPr>
          </w:p>
        </w:tc>
        <w:tc>
          <w:tcPr>
            <w:tcW w:w="2953" w:type="dxa"/>
            <w:shd w:val="clear" w:color="auto" w:fill="auto"/>
          </w:tcPr>
          <w:p w14:paraId="1FD698E9" w14:textId="77777777" w:rsidR="007552B6" w:rsidRPr="00193615" w:rsidRDefault="7FBDDA1D" w:rsidP="00193615">
            <w:pPr>
              <w:pStyle w:val="ListParagraph"/>
              <w:suppressAutoHyphens/>
              <w:spacing w:before="60" w:after="60"/>
              <w:ind w:left="0"/>
              <w:jc w:val="both"/>
              <w:rPr>
                <w:rFonts w:ascii="Arial" w:eastAsia="Arial" w:hAnsi="Arial" w:cs="Arial"/>
                <w:sz w:val="18"/>
                <w:szCs w:val="18"/>
                <w:lang w:val="es-ES"/>
              </w:rPr>
            </w:pPr>
            <w:r w:rsidRPr="00193615">
              <w:rPr>
                <w:rFonts w:ascii="Arial" w:eastAsia="Arial" w:hAnsi="Arial" w:cs="Arial"/>
                <w:sz w:val="18"/>
                <w:szCs w:val="18"/>
                <w:lang w:val="es-ES"/>
              </w:rPr>
              <w:t xml:space="preserve">15.1.2 Acta de la Mesa Sectorial Logística del ITSE implementando un plan de capacitación especializado en el sector.  </w:t>
            </w:r>
          </w:p>
        </w:tc>
        <w:tc>
          <w:tcPr>
            <w:tcW w:w="2209" w:type="dxa"/>
          </w:tcPr>
          <w:p w14:paraId="5984C0C2" w14:textId="01177927" w:rsidR="007552B6" w:rsidRPr="00193615" w:rsidRDefault="759E7B78">
            <w:pPr>
              <w:jc w:val="both"/>
              <w:rPr>
                <w:rFonts w:ascii="Arial" w:eastAsia="Arial" w:hAnsi="Arial" w:cs="Arial"/>
                <w:sz w:val="18"/>
                <w:szCs w:val="18"/>
                <w:lang w:val="es-ES"/>
              </w:rPr>
            </w:pPr>
            <w:r w:rsidRPr="00193615">
              <w:rPr>
                <w:rFonts w:ascii="Arial" w:eastAsia="Arial" w:hAnsi="Arial" w:cs="Arial"/>
                <w:sz w:val="18"/>
                <w:szCs w:val="18"/>
                <w:lang w:val="es-ES"/>
              </w:rPr>
              <w:t>Ministerio de la Presidencia</w:t>
            </w:r>
          </w:p>
          <w:p w14:paraId="1FD698EA" w14:textId="77777777" w:rsidR="007552B6" w:rsidRPr="00193615" w:rsidRDefault="007552B6">
            <w:pPr>
              <w:jc w:val="both"/>
              <w:rPr>
                <w:rFonts w:ascii="Arial" w:eastAsia="Arial" w:hAnsi="Arial" w:cs="Arial"/>
                <w:sz w:val="18"/>
                <w:szCs w:val="18"/>
                <w:lang w:val="es-ES"/>
              </w:rPr>
            </w:pPr>
          </w:p>
        </w:tc>
      </w:tr>
    </w:tbl>
    <w:p w14:paraId="1FD698EC" w14:textId="77777777" w:rsidR="00D51CB3" w:rsidRPr="00D877B4" w:rsidRDefault="00D51CB3">
      <w:pPr>
        <w:rPr>
          <w:rFonts w:ascii="Arial" w:hAnsi="Arial" w:cs="Arial"/>
          <w:lang w:val="es-AR"/>
        </w:rPr>
      </w:pPr>
    </w:p>
    <w:p w14:paraId="1FD698ED" w14:textId="77777777" w:rsidR="00853082" w:rsidRPr="00D877B4" w:rsidRDefault="00853082">
      <w:pPr>
        <w:rPr>
          <w:rFonts w:ascii="Arial" w:hAnsi="Arial" w:cs="Arial"/>
          <w:lang w:val="es-AR"/>
        </w:rPr>
      </w:pPr>
    </w:p>
    <w:p w14:paraId="1FD698EE" w14:textId="77777777" w:rsidR="00853082" w:rsidRPr="00D877B4" w:rsidRDefault="00853082">
      <w:pPr>
        <w:rPr>
          <w:rFonts w:ascii="Arial" w:hAnsi="Arial" w:cs="Arial"/>
          <w:lang w:val="es-AR"/>
        </w:rPr>
      </w:pPr>
    </w:p>
    <w:sectPr w:rsidR="00853082" w:rsidRPr="00D877B4" w:rsidSect="00D877B4">
      <w:headerReference w:type="default" r:id="rId13"/>
      <w:pgSz w:w="15840" w:h="12240" w:orient="landscape" w:code="1"/>
      <w:pgMar w:top="1446"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D434C" w14:textId="77777777" w:rsidR="00446AA8" w:rsidRDefault="00446AA8" w:rsidP="00683634">
      <w:r>
        <w:separator/>
      </w:r>
    </w:p>
  </w:endnote>
  <w:endnote w:type="continuationSeparator" w:id="0">
    <w:p w14:paraId="0DAADC01" w14:textId="77777777" w:rsidR="00446AA8" w:rsidRDefault="00446AA8" w:rsidP="0068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6D3C3" w14:textId="77777777" w:rsidR="00446AA8" w:rsidRDefault="00446AA8" w:rsidP="00683634">
      <w:r>
        <w:separator/>
      </w:r>
    </w:p>
  </w:footnote>
  <w:footnote w:type="continuationSeparator" w:id="0">
    <w:p w14:paraId="7CEFC6D4" w14:textId="77777777" w:rsidR="00446AA8" w:rsidRDefault="00446AA8" w:rsidP="00683634">
      <w:r>
        <w:continuationSeparator/>
      </w:r>
    </w:p>
  </w:footnote>
  <w:footnote w:id="1">
    <w:p w14:paraId="1FD698F8" w14:textId="41543CA4" w:rsidR="009C1E94" w:rsidRDefault="009C1E94" w:rsidP="7FBDDA1D">
      <w:pPr>
        <w:pStyle w:val="FootnoteText"/>
        <w:rPr>
          <w:lang w:eastAsia="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rPr>
      <w:id w:val="1477648756"/>
      <w:docPartObj>
        <w:docPartGallery w:val="Page Numbers (Top of Page)"/>
        <w:docPartUnique/>
      </w:docPartObj>
    </w:sdtPr>
    <w:sdtEndPr>
      <w:rPr>
        <w:sz w:val="22"/>
        <w:szCs w:val="24"/>
      </w:rPr>
    </w:sdtEndPr>
    <w:sdtContent>
      <w:p w14:paraId="1FD698F3" w14:textId="77777777" w:rsidR="009C1E94" w:rsidRPr="00A906F0" w:rsidRDefault="009C1E94" w:rsidP="00FB6AE7">
        <w:pPr>
          <w:pStyle w:val="Header"/>
          <w:rPr>
            <w:rFonts w:ascii="Arial" w:hAnsi="Arial" w:cs="Arial"/>
            <w:sz w:val="18"/>
            <w:lang w:val="es-ES_tradnl"/>
          </w:rPr>
        </w:pPr>
      </w:p>
      <w:p w14:paraId="1FD698F4" w14:textId="77777777" w:rsidR="009C1E94" w:rsidRPr="00A906F0" w:rsidRDefault="009C1E94" w:rsidP="00683634">
        <w:pPr>
          <w:pStyle w:val="Header"/>
          <w:jc w:val="right"/>
          <w:rPr>
            <w:rFonts w:ascii="Arial" w:hAnsi="Arial" w:cs="Arial"/>
            <w:sz w:val="22"/>
            <w:szCs w:val="24"/>
            <w:lang w:val="es-ES_tradnl"/>
          </w:rPr>
        </w:pPr>
      </w:p>
      <w:p w14:paraId="1FD698F5" w14:textId="77777777" w:rsidR="009C1E94" w:rsidRPr="00A906F0" w:rsidRDefault="009C1E94" w:rsidP="00683634">
        <w:pPr>
          <w:pStyle w:val="Header"/>
          <w:jc w:val="right"/>
          <w:rPr>
            <w:rFonts w:ascii="Arial" w:hAnsi="Arial" w:cs="Arial"/>
            <w:sz w:val="22"/>
            <w:szCs w:val="24"/>
            <w:lang w:val="es-ES_tradnl"/>
          </w:rPr>
        </w:pPr>
      </w:p>
      <w:p w14:paraId="1FD698F6" w14:textId="77777777" w:rsidR="009C1E94" w:rsidRPr="00193615" w:rsidRDefault="009C1E94">
        <w:pPr>
          <w:pStyle w:val="Header"/>
          <w:jc w:val="right"/>
          <w:rPr>
            <w:rFonts w:ascii="Arial" w:eastAsia="Arial" w:hAnsi="Arial" w:cs="Arial"/>
            <w:sz w:val="22"/>
            <w:szCs w:val="22"/>
            <w:lang w:val="pt-BR"/>
          </w:rPr>
        </w:pPr>
        <w:r w:rsidRPr="00193615">
          <w:rPr>
            <w:rFonts w:ascii="Arial" w:eastAsia="Arial" w:hAnsi="Arial" w:cs="Arial"/>
            <w:sz w:val="22"/>
            <w:szCs w:val="22"/>
            <w:lang w:val="pt-BR"/>
          </w:rPr>
          <w:t>EER#3 – PN-L1151</w:t>
        </w:r>
      </w:p>
      <w:p w14:paraId="1FD698F7" w14:textId="77777777" w:rsidR="009C1E94" w:rsidRPr="00193615" w:rsidRDefault="009C1E94">
        <w:pPr>
          <w:pStyle w:val="Header"/>
          <w:jc w:val="right"/>
          <w:rPr>
            <w:rFonts w:ascii="Arial" w:eastAsia="Arial" w:hAnsi="Arial" w:cs="Arial"/>
            <w:sz w:val="22"/>
            <w:szCs w:val="22"/>
          </w:rPr>
        </w:pPr>
        <w:proofErr w:type="spellStart"/>
        <w:r w:rsidRPr="00193615">
          <w:rPr>
            <w:rFonts w:ascii="Arial" w:eastAsia="Arial" w:hAnsi="Arial" w:cs="Arial"/>
            <w:sz w:val="22"/>
            <w:szCs w:val="22"/>
          </w:rPr>
          <w:t>Página</w:t>
        </w:r>
        <w:proofErr w:type="spellEnd"/>
        <w:r w:rsidRPr="00193615">
          <w:rPr>
            <w:rFonts w:ascii="Arial" w:eastAsia="Arial" w:hAnsi="Arial" w:cs="Arial"/>
            <w:sz w:val="22"/>
            <w:szCs w:val="22"/>
          </w:rPr>
          <w:t xml:space="preserve"> </w:t>
        </w:r>
        <w:r w:rsidRPr="00193615">
          <w:rPr>
            <w:rFonts w:ascii="Arial" w:eastAsia="Arial" w:hAnsi="Arial" w:cs="Arial"/>
            <w:noProof/>
            <w:sz w:val="22"/>
            <w:szCs w:val="22"/>
          </w:rPr>
          <w:fldChar w:fldCharType="begin"/>
        </w:r>
        <w:r w:rsidRPr="7FBDDA1D">
          <w:rPr>
            <w:rFonts w:ascii="Arial" w:hAnsi="Arial" w:cs="Arial"/>
            <w:noProof/>
            <w:sz w:val="22"/>
            <w:szCs w:val="22"/>
          </w:rPr>
          <w:instrText xml:space="preserve"> PAGE </w:instrText>
        </w:r>
        <w:r w:rsidRPr="013DEBAB">
          <w:rPr>
            <w:rFonts w:ascii="Arial" w:hAnsi="Arial" w:cs="Arial"/>
            <w:noProof/>
            <w:sz w:val="22"/>
            <w:szCs w:val="22"/>
          </w:rPr>
          <w:fldChar w:fldCharType="separate"/>
        </w:r>
        <w:r w:rsidRPr="00193615">
          <w:rPr>
            <w:rFonts w:ascii="Arial" w:eastAsia="Arial" w:hAnsi="Arial" w:cs="Arial"/>
            <w:noProof/>
            <w:sz w:val="22"/>
            <w:szCs w:val="22"/>
          </w:rPr>
          <w:t>4</w:t>
        </w:r>
        <w:r w:rsidRPr="00193615">
          <w:rPr>
            <w:rFonts w:ascii="Arial" w:eastAsia="Arial" w:hAnsi="Arial" w:cs="Arial"/>
            <w:noProof/>
            <w:sz w:val="22"/>
            <w:szCs w:val="22"/>
          </w:rPr>
          <w:fldChar w:fldCharType="end"/>
        </w:r>
        <w:r w:rsidRPr="00193615">
          <w:rPr>
            <w:rFonts w:ascii="Arial" w:eastAsia="Arial" w:hAnsi="Arial" w:cs="Arial"/>
            <w:sz w:val="22"/>
            <w:szCs w:val="22"/>
          </w:rPr>
          <w:t xml:space="preserve"> de </w:t>
        </w:r>
        <w:r w:rsidRPr="00193615">
          <w:rPr>
            <w:rFonts w:ascii="Arial" w:eastAsia="Arial" w:hAnsi="Arial" w:cs="Arial"/>
            <w:noProof/>
            <w:sz w:val="22"/>
            <w:szCs w:val="22"/>
          </w:rPr>
          <w:fldChar w:fldCharType="begin"/>
        </w:r>
        <w:r w:rsidRPr="7FBDDA1D">
          <w:rPr>
            <w:rFonts w:ascii="Arial" w:hAnsi="Arial" w:cs="Arial"/>
            <w:noProof/>
            <w:sz w:val="22"/>
            <w:szCs w:val="22"/>
          </w:rPr>
          <w:instrText xml:space="preserve"> NUMPAGES  </w:instrText>
        </w:r>
        <w:r w:rsidRPr="013DEBAB">
          <w:rPr>
            <w:rFonts w:ascii="Arial" w:hAnsi="Arial" w:cs="Arial"/>
            <w:noProof/>
            <w:sz w:val="22"/>
            <w:szCs w:val="22"/>
          </w:rPr>
          <w:fldChar w:fldCharType="separate"/>
        </w:r>
        <w:r w:rsidRPr="00193615">
          <w:rPr>
            <w:rFonts w:ascii="Arial" w:eastAsia="Arial" w:hAnsi="Arial" w:cs="Arial"/>
            <w:noProof/>
            <w:sz w:val="22"/>
            <w:szCs w:val="22"/>
          </w:rPr>
          <w:t>9</w:t>
        </w:r>
        <w:r w:rsidRPr="00193615">
          <w:rPr>
            <w:rFonts w:ascii="Arial" w:eastAsia="Arial" w:hAnsi="Arial" w:cs="Arial"/>
            <w:noProof/>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634E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72638"/>
    <w:multiLevelType w:val="hybridMultilevel"/>
    <w:tmpl w:val="47A05552"/>
    <w:lvl w:ilvl="0" w:tplc="98E0498E">
      <w:start w:val="1"/>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BC673D3"/>
    <w:multiLevelType w:val="hybridMultilevel"/>
    <w:tmpl w:val="BF1E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51233"/>
    <w:multiLevelType w:val="hybridMultilevel"/>
    <w:tmpl w:val="D732348C"/>
    <w:lvl w:ilvl="0" w:tplc="4628BBC8">
      <w:start w:val="1"/>
      <w:numFmt w:val="bullet"/>
      <w:lvlText w:val="•"/>
      <w:lvlJc w:val="left"/>
      <w:pPr>
        <w:tabs>
          <w:tab w:val="num" w:pos="720"/>
        </w:tabs>
        <w:ind w:left="720" w:hanging="360"/>
      </w:pPr>
      <w:rPr>
        <w:rFonts w:ascii="Times New Roman" w:hAnsi="Times New Roman" w:hint="default"/>
      </w:rPr>
    </w:lvl>
    <w:lvl w:ilvl="1" w:tplc="7A2A1AB8" w:tentative="1">
      <w:start w:val="1"/>
      <w:numFmt w:val="bullet"/>
      <w:lvlText w:val="•"/>
      <w:lvlJc w:val="left"/>
      <w:pPr>
        <w:tabs>
          <w:tab w:val="num" w:pos="1440"/>
        </w:tabs>
        <w:ind w:left="1440" w:hanging="360"/>
      </w:pPr>
      <w:rPr>
        <w:rFonts w:ascii="Times New Roman" w:hAnsi="Times New Roman" w:hint="default"/>
      </w:rPr>
    </w:lvl>
    <w:lvl w:ilvl="2" w:tplc="5C50D864" w:tentative="1">
      <w:start w:val="1"/>
      <w:numFmt w:val="bullet"/>
      <w:lvlText w:val="•"/>
      <w:lvlJc w:val="left"/>
      <w:pPr>
        <w:tabs>
          <w:tab w:val="num" w:pos="2160"/>
        </w:tabs>
        <w:ind w:left="2160" w:hanging="360"/>
      </w:pPr>
      <w:rPr>
        <w:rFonts w:ascii="Times New Roman" w:hAnsi="Times New Roman" w:hint="default"/>
      </w:rPr>
    </w:lvl>
    <w:lvl w:ilvl="3" w:tplc="EB98B12E" w:tentative="1">
      <w:start w:val="1"/>
      <w:numFmt w:val="bullet"/>
      <w:lvlText w:val="•"/>
      <w:lvlJc w:val="left"/>
      <w:pPr>
        <w:tabs>
          <w:tab w:val="num" w:pos="2880"/>
        </w:tabs>
        <w:ind w:left="2880" w:hanging="360"/>
      </w:pPr>
      <w:rPr>
        <w:rFonts w:ascii="Times New Roman" w:hAnsi="Times New Roman" w:hint="default"/>
      </w:rPr>
    </w:lvl>
    <w:lvl w:ilvl="4" w:tplc="C21E944C" w:tentative="1">
      <w:start w:val="1"/>
      <w:numFmt w:val="bullet"/>
      <w:lvlText w:val="•"/>
      <w:lvlJc w:val="left"/>
      <w:pPr>
        <w:tabs>
          <w:tab w:val="num" w:pos="3600"/>
        </w:tabs>
        <w:ind w:left="3600" w:hanging="360"/>
      </w:pPr>
      <w:rPr>
        <w:rFonts w:ascii="Times New Roman" w:hAnsi="Times New Roman" w:hint="default"/>
      </w:rPr>
    </w:lvl>
    <w:lvl w:ilvl="5" w:tplc="D4F0950E" w:tentative="1">
      <w:start w:val="1"/>
      <w:numFmt w:val="bullet"/>
      <w:lvlText w:val="•"/>
      <w:lvlJc w:val="left"/>
      <w:pPr>
        <w:tabs>
          <w:tab w:val="num" w:pos="4320"/>
        </w:tabs>
        <w:ind w:left="4320" w:hanging="360"/>
      </w:pPr>
      <w:rPr>
        <w:rFonts w:ascii="Times New Roman" w:hAnsi="Times New Roman" w:hint="default"/>
      </w:rPr>
    </w:lvl>
    <w:lvl w:ilvl="6" w:tplc="A632409C" w:tentative="1">
      <w:start w:val="1"/>
      <w:numFmt w:val="bullet"/>
      <w:lvlText w:val="•"/>
      <w:lvlJc w:val="left"/>
      <w:pPr>
        <w:tabs>
          <w:tab w:val="num" w:pos="5040"/>
        </w:tabs>
        <w:ind w:left="5040" w:hanging="360"/>
      </w:pPr>
      <w:rPr>
        <w:rFonts w:ascii="Times New Roman" w:hAnsi="Times New Roman" w:hint="default"/>
      </w:rPr>
    </w:lvl>
    <w:lvl w:ilvl="7" w:tplc="1C2E7F1C" w:tentative="1">
      <w:start w:val="1"/>
      <w:numFmt w:val="bullet"/>
      <w:lvlText w:val="•"/>
      <w:lvlJc w:val="left"/>
      <w:pPr>
        <w:tabs>
          <w:tab w:val="num" w:pos="5760"/>
        </w:tabs>
        <w:ind w:left="5760" w:hanging="360"/>
      </w:pPr>
      <w:rPr>
        <w:rFonts w:ascii="Times New Roman" w:hAnsi="Times New Roman" w:hint="default"/>
      </w:rPr>
    </w:lvl>
    <w:lvl w:ilvl="8" w:tplc="CCC8BD3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EB519C0"/>
    <w:multiLevelType w:val="hybridMultilevel"/>
    <w:tmpl w:val="18B071C4"/>
    <w:lvl w:ilvl="0" w:tplc="2C0A0019">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 w15:restartNumberingAfterBreak="0">
    <w:nsid w:val="302C4A1C"/>
    <w:multiLevelType w:val="hybridMultilevel"/>
    <w:tmpl w:val="975E7F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7E6B86"/>
    <w:multiLevelType w:val="hybridMultilevel"/>
    <w:tmpl w:val="D4A2F39C"/>
    <w:lvl w:ilvl="0" w:tplc="2C0A0001">
      <w:start w:val="1"/>
      <w:numFmt w:val="bullet"/>
      <w:lvlText w:val=""/>
      <w:lvlJc w:val="left"/>
      <w:pPr>
        <w:ind w:left="895" w:hanging="360"/>
      </w:pPr>
      <w:rPr>
        <w:rFonts w:ascii="Symbol" w:hAnsi="Symbol" w:hint="default"/>
      </w:rPr>
    </w:lvl>
    <w:lvl w:ilvl="1" w:tplc="2C0A0003" w:tentative="1">
      <w:start w:val="1"/>
      <w:numFmt w:val="bullet"/>
      <w:lvlText w:val="o"/>
      <w:lvlJc w:val="left"/>
      <w:pPr>
        <w:ind w:left="1615" w:hanging="360"/>
      </w:pPr>
      <w:rPr>
        <w:rFonts w:ascii="Courier New" w:hAnsi="Courier New" w:cs="Courier New" w:hint="default"/>
      </w:rPr>
    </w:lvl>
    <w:lvl w:ilvl="2" w:tplc="2C0A0005" w:tentative="1">
      <w:start w:val="1"/>
      <w:numFmt w:val="bullet"/>
      <w:lvlText w:val=""/>
      <w:lvlJc w:val="left"/>
      <w:pPr>
        <w:ind w:left="2335" w:hanging="360"/>
      </w:pPr>
      <w:rPr>
        <w:rFonts w:ascii="Wingdings" w:hAnsi="Wingdings" w:hint="default"/>
      </w:rPr>
    </w:lvl>
    <w:lvl w:ilvl="3" w:tplc="2C0A0001" w:tentative="1">
      <w:start w:val="1"/>
      <w:numFmt w:val="bullet"/>
      <w:lvlText w:val=""/>
      <w:lvlJc w:val="left"/>
      <w:pPr>
        <w:ind w:left="3055" w:hanging="360"/>
      </w:pPr>
      <w:rPr>
        <w:rFonts w:ascii="Symbol" w:hAnsi="Symbol" w:hint="default"/>
      </w:rPr>
    </w:lvl>
    <w:lvl w:ilvl="4" w:tplc="2C0A0003" w:tentative="1">
      <w:start w:val="1"/>
      <w:numFmt w:val="bullet"/>
      <w:lvlText w:val="o"/>
      <w:lvlJc w:val="left"/>
      <w:pPr>
        <w:ind w:left="3775" w:hanging="360"/>
      </w:pPr>
      <w:rPr>
        <w:rFonts w:ascii="Courier New" w:hAnsi="Courier New" w:cs="Courier New" w:hint="default"/>
      </w:rPr>
    </w:lvl>
    <w:lvl w:ilvl="5" w:tplc="2C0A0005" w:tentative="1">
      <w:start w:val="1"/>
      <w:numFmt w:val="bullet"/>
      <w:lvlText w:val=""/>
      <w:lvlJc w:val="left"/>
      <w:pPr>
        <w:ind w:left="4495" w:hanging="360"/>
      </w:pPr>
      <w:rPr>
        <w:rFonts w:ascii="Wingdings" w:hAnsi="Wingdings" w:hint="default"/>
      </w:rPr>
    </w:lvl>
    <w:lvl w:ilvl="6" w:tplc="2C0A0001" w:tentative="1">
      <w:start w:val="1"/>
      <w:numFmt w:val="bullet"/>
      <w:lvlText w:val=""/>
      <w:lvlJc w:val="left"/>
      <w:pPr>
        <w:ind w:left="5215" w:hanging="360"/>
      </w:pPr>
      <w:rPr>
        <w:rFonts w:ascii="Symbol" w:hAnsi="Symbol" w:hint="default"/>
      </w:rPr>
    </w:lvl>
    <w:lvl w:ilvl="7" w:tplc="2C0A0003" w:tentative="1">
      <w:start w:val="1"/>
      <w:numFmt w:val="bullet"/>
      <w:lvlText w:val="o"/>
      <w:lvlJc w:val="left"/>
      <w:pPr>
        <w:ind w:left="5935" w:hanging="360"/>
      </w:pPr>
      <w:rPr>
        <w:rFonts w:ascii="Courier New" w:hAnsi="Courier New" w:cs="Courier New" w:hint="default"/>
      </w:rPr>
    </w:lvl>
    <w:lvl w:ilvl="8" w:tplc="2C0A0005" w:tentative="1">
      <w:start w:val="1"/>
      <w:numFmt w:val="bullet"/>
      <w:lvlText w:val=""/>
      <w:lvlJc w:val="left"/>
      <w:pPr>
        <w:ind w:left="6655" w:hanging="360"/>
      </w:pPr>
      <w:rPr>
        <w:rFonts w:ascii="Wingdings" w:hAnsi="Wingdings" w:hint="default"/>
      </w:rPr>
    </w:lvl>
  </w:abstractNum>
  <w:abstractNum w:abstractNumId="7" w15:restartNumberingAfterBreak="0">
    <w:nsid w:val="3B0F6DC1"/>
    <w:multiLevelType w:val="hybridMultilevel"/>
    <w:tmpl w:val="B7941AF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41A46BEF"/>
    <w:multiLevelType w:val="hybridMultilevel"/>
    <w:tmpl w:val="F2649326"/>
    <w:lvl w:ilvl="0" w:tplc="85BCF8D0">
      <w:start w:val="1"/>
      <w:numFmt w:val="bullet"/>
      <w:lvlText w:val="•"/>
      <w:lvlJc w:val="left"/>
      <w:pPr>
        <w:tabs>
          <w:tab w:val="num" w:pos="720"/>
        </w:tabs>
        <w:ind w:left="720" w:hanging="360"/>
      </w:pPr>
      <w:rPr>
        <w:rFonts w:ascii="Times New Roman" w:hAnsi="Times New Roman" w:hint="default"/>
      </w:rPr>
    </w:lvl>
    <w:lvl w:ilvl="1" w:tplc="DACA3A38" w:tentative="1">
      <w:start w:val="1"/>
      <w:numFmt w:val="bullet"/>
      <w:lvlText w:val="•"/>
      <w:lvlJc w:val="left"/>
      <w:pPr>
        <w:tabs>
          <w:tab w:val="num" w:pos="1440"/>
        </w:tabs>
        <w:ind w:left="1440" w:hanging="360"/>
      </w:pPr>
      <w:rPr>
        <w:rFonts w:ascii="Times New Roman" w:hAnsi="Times New Roman" w:hint="default"/>
      </w:rPr>
    </w:lvl>
    <w:lvl w:ilvl="2" w:tplc="EF72939A" w:tentative="1">
      <w:start w:val="1"/>
      <w:numFmt w:val="bullet"/>
      <w:lvlText w:val="•"/>
      <w:lvlJc w:val="left"/>
      <w:pPr>
        <w:tabs>
          <w:tab w:val="num" w:pos="2160"/>
        </w:tabs>
        <w:ind w:left="2160" w:hanging="360"/>
      </w:pPr>
      <w:rPr>
        <w:rFonts w:ascii="Times New Roman" w:hAnsi="Times New Roman" w:hint="default"/>
      </w:rPr>
    </w:lvl>
    <w:lvl w:ilvl="3" w:tplc="F1B8B8FE" w:tentative="1">
      <w:start w:val="1"/>
      <w:numFmt w:val="bullet"/>
      <w:lvlText w:val="•"/>
      <w:lvlJc w:val="left"/>
      <w:pPr>
        <w:tabs>
          <w:tab w:val="num" w:pos="2880"/>
        </w:tabs>
        <w:ind w:left="2880" w:hanging="360"/>
      </w:pPr>
      <w:rPr>
        <w:rFonts w:ascii="Times New Roman" w:hAnsi="Times New Roman" w:hint="default"/>
      </w:rPr>
    </w:lvl>
    <w:lvl w:ilvl="4" w:tplc="85967476" w:tentative="1">
      <w:start w:val="1"/>
      <w:numFmt w:val="bullet"/>
      <w:lvlText w:val="•"/>
      <w:lvlJc w:val="left"/>
      <w:pPr>
        <w:tabs>
          <w:tab w:val="num" w:pos="3600"/>
        </w:tabs>
        <w:ind w:left="3600" w:hanging="360"/>
      </w:pPr>
      <w:rPr>
        <w:rFonts w:ascii="Times New Roman" w:hAnsi="Times New Roman" w:hint="default"/>
      </w:rPr>
    </w:lvl>
    <w:lvl w:ilvl="5" w:tplc="74BA86BC" w:tentative="1">
      <w:start w:val="1"/>
      <w:numFmt w:val="bullet"/>
      <w:lvlText w:val="•"/>
      <w:lvlJc w:val="left"/>
      <w:pPr>
        <w:tabs>
          <w:tab w:val="num" w:pos="4320"/>
        </w:tabs>
        <w:ind w:left="4320" w:hanging="360"/>
      </w:pPr>
      <w:rPr>
        <w:rFonts w:ascii="Times New Roman" w:hAnsi="Times New Roman" w:hint="default"/>
      </w:rPr>
    </w:lvl>
    <w:lvl w:ilvl="6" w:tplc="819EF7F8" w:tentative="1">
      <w:start w:val="1"/>
      <w:numFmt w:val="bullet"/>
      <w:lvlText w:val="•"/>
      <w:lvlJc w:val="left"/>
      <w:pPr>
        <w:tabs>
          <w:tab w:val="num" w:pos="5040"/>
        </w:tabs>
        <w:ind w:left="5040" w:hanging="360"/>
      </w:pPr>
      <w:rPr>
        <w:rFonts w:ascii="Times New Roman" w:hAnsi="Times New Roman" w:hint="default"/>
      </w:rPr>
    </w:lvl>
    <w:lvl w:ilvl="7" w:tplc="7A64AD0E" w:tentative="1">
      <w:start w:val="1"/>
      <w:numFmt w:val="bullet"/>
      <w:lvlText w:val="•"/>
      <w:lvlJc w:val="left"/>
      <w:pPr>
        <w:tabs>
          <w:tab w:val="num" w:pos="5760"/>
        </w:tabs>
        <w:ind w:left="5760" w:hanging="360"/>
      </w:pPr>
      <w:rPr>
        <w:rFonts w:ascii="Times New Roman" w:hAnsi="Times New Roman" w:hint="default"/>
      </w:rPr>
    </w:lvl>
    <w:lvl w:ilvl="8" w:tplc="83F6DA3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E727A"/>
    <w:multiLevelType w:val="hybridMultilevel"/>
    <w:tmpl w:val="2682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6D4E83"/>
    <w:multiLevelType w:val="hybridMultilevel"/>
    <w:tmpl w:val="98D24082"/>
    <w:lvl w:ilvl="0" w:tplc="04090001">
      <w:start w:val="1"/>
      <w:numFmt w:val="bullet"/>
      <w:lvlText w:val=""/>
      <w:lvlJc w:val="left"/>
      <w:pPr>
        <w:ind w:left="911" w:hanging="360"/>
      </w:pPr>
      <w:rPr>
        <w:rFonts w:ascii="Symbol" w:hAnsi="Symbol" w:hint="default"/>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12"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284B9C"/>
    <w:multiLevelType w:val="hybridMultilevel"/>
    <w:tmpl w:val="E5881984"/>
    <w:lvl w:ilvl="0" w:tplc="47A877B4">
      <w:start w:val="1"/>
      <w:numFmt w:val="bullet"/>
      <w:lvlText w:val="•"/>
      <w:lvlJc w:val="left"/>
      <w:pPr>
        <w:tabs>
          <w:tab w:val="num" w:pos="720"/>
        </w:tabs>
        <w:ind w:left="720" w:hanging="360"/>
      </w:pPr>
      <w:rPr>
        <w:rFonts w:ascii="Times New Roman" w:hAnsi="Times New Roman" w:hint="default"/>
      </w:rPr>
    </w:lvl>
    <w:lvl w:ilvl="1" w:tplc="D09EF92C" w:tentative="1">
      <w:start w:val="1"/>
      <w:numFmt w:val="bullet"/>
      <w:lvlText w:val="•"/>
      <w:lvlJc w:val="left"/>
      <w:pPr>
        <w:tabs>
          <w:tab w:val="num" w:pos="1440"/>
        </w:tabs>
        <w:ind w:left="1440" w:hanging="360"/>
      </w:pPr>
      <w:rPr>
        <w:rFonts w:ascii="Times New Roman" w:hAnsi="Times New Roman" w:hint="default"/>
      </w:rPr>
    </w:lvl>
    <w:lvl w:ilvl="2" w:tplc="C1485FEE" w:tentative="1">
      <w:start w:val="1"/>
      <w:numFmt w:val="bullet"/>
      <w:lvlText w:val="•"/>
      <w:lvlJc w:val="left"/>
      <w:pPr>
        <w:tabs>
          <w:tab w:val="num" w:pos="2160"/>
        </w:tabs>
        <w:ind w:left="2160" w:hanging="360"/>
      </w:pPr>
      <w:rPr>
        <w:rFonts w:ascii="Times New Roman" w:hAnsi="Times New Roman" w:hint="default"/>
      </w:rPr>
    </w:lvl>
    <w:lvl w:ilvl="3" w:tplc="B8C87DCC" w:tentative="1">
      <w:start w:val="1"/>
      <w:numFmt w:val="bullet"/>
      <w:lvlText w:val="•"/>
      <w:lvlJc w:val="left"/>
      <w:pPr>
        <w:tabs>
          <w:tab w:val="num" w:pos="2880"/>
        </w:tabs>
        <w:ind w:left="2880" w:hanging="360"/>
      </w:pPr>
      <w:rPr>
        <w:rFonts w:ascii="Times New Roman" w:hAnsi="Times New Roman" w:hint="default"/>
      </w:rPr>
    </w:lvl>
    <w:lvl w:ilvl="4" w:tplc="767C0DF0" w:tentative="1">
      <w:start w:val="1"/>
      <w:numFmt w:val="bullet"/>
      <w:lvlText w:val="•"/>
      <w:lvlJc w:val="left"/>
      <w:pPr>
        <w:tabs>
          <w:tab w:val="num" w:pos="3600"/>
        </w:tabs>
        <w:ind w:left="3600" w:hanging="360"/>
      </w:pPr>
      <w:rPr>
        <w:rFonts w:ascii="Times New Roman" w:hAnsi="Times New Roman" w:hint="default"/>
      </w:rPr>
    </w:lvl>
    <w:lvl w:ilvl="5" w:tplc="25327C1E" w:tentative="1">
      <w:start w:val="1"/>
      <w:numFmt w:val="bullet"/>
      <w:lvlText w:val="•"/>
      <w:lvlJc w:val="left"/>
      <w:pPr>
        <w:tabs>
          <w:tab w:val="num" w:pos="4320"/>
        </w:tabs>
        <w:ind w:left="4320" w:hanging="360"/>
      </w:pPr>
      <w:rPr>
        <w:rFonts w:ascii="Times New Roman" w:hAnsi="Times New Roman" w:hint="default"/>
      </w:rPr>
    </w:lvl>
    <w:lvl w:ilvl="6" w:tplc="ECB45DC6" w:tentative="1">
      <w:start w:val="1"/>
      <w:numFmt w:val="bullet"/>
      <w:lvlText w:val="•"/>
      <w:lvlJc w:val="left"/>
      <w:pPr>
        <w:tabs>
          <w:tab w:val="num" w:pos="5040"/>
        </w:tabs>
        <w:ind w:left="5040" w:hanging="360"/>
      </w:pPr>
      <w:rPr>
        <w:rFonts w:ascii="Times New Roman" w:hAnsi="Times New Roman" w:hint="default"/>
      </w:rPr>
    </w:lvl>
    <w:lvl w:ilvl="7" w:tplc="07080220" w:tentative="1">
      <w:start w:val="1"/>
      <w:numFmt w:val="bullet"/>
      <w:lvlText w:val="•"/>
      <w:lvlJc w:val="left"/>
      <w:pPr>
        <w:tabs>
          <w:tab w:val="num" w:pos="5760"/>
        </w:tabs>
        <w:ind w:left="5760" w:hanging="360"/>
      </w:pPr>
      <w:rPr>
        <w:rFonts w:ascii="Times New Roman" w:hAnsi="Times New Roman" w:hint="default"/>
      </w:rPr>
    </w:lvl>
    <w:lvl w:ilvl="8" w:tplc="067AE0C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9490DC6"/>
    <w:multiLevelType w:val="hybridMultilevel"/>
    <w:tmpl w:val="E34C8C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5B632CCB"/>
    <w:multiLevelType w:val="hybridMultilevel"/>
    <w:tmpl w:val="2E40D88A"/>
    <w:lvl w:ilvl="0" w:tplc="145C7808">
      <w:start w:val="3"/>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8D44EA9"/>
    <w:multiLevelType w:val="hybridMultilevel"/>
    <w:tmpl w:val="1D103D92"/>
    <w:lvl w:ilvl="0" w:tplc="5B38D0C0">
      <w:start w:val="1"/>
      <w:numFmt w:val="bullet"/>
      <w:lvlText w:val=""/>
      <w:lvlJc w:val="left"/>
      <w:pPr>
        <w:ind w:left="720" w:hanging="360"/>
      </w:pPr>
      <w:rPr>
        <w:rFonts w:ascii="Symbol" w:hAnsi="Symbol" w:hint="default"/>
        <w:sz w:val="18"/>
        <w:szCs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6F5A1F6E"/>
    <w:multiLevelType w:val="hybridMultilevel"/>
    <w:tmpl w:val="FB9C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F12DDA"/>
    <w:multiLevelType w:val="hybridMultilevel"/>
    <w:tmpl w:val="AF98FBF2"/>
    <w:lvl w:ilvl="0" w:tplc="E7B83E26">
      <w:start w:val="8"/>
      <w:numFmt w:val="bullet"/>
      <w:lvlText w:val="-"/>
      <w:lvlJc w:val="left"/>
      <w:pPr>
        <w:ind w:left="367" w:hanging="360"/>
      </w:pPr>
      <w:rPr>
        <w:rFonts w:ascii="Arial" w:eastAsia="Times New Roman" w:hAnsi="Arial" w:cs="Arial" w:hint="default"/>
      </w:rPr>
    </w:lvl>
    <w:lvl w:ilvl="1" w:tplc="2C0A0003" w:tentative="1">
      <w:start w:val="1"/>
      <w:numFmt w:val="bullet"/>
      <w:lvlText w:val="o"/>
      <w:lvlJc w:val="left"/>
      <w:pPr>
        <w:ind w:left="1087" w:hanging="360"/>
      </w:pPr>
      <w:rPr>
        <w:rFonts w:ascii="Courier New" w:hAnsi="Courier New" w:cs="Courier New" w:hint="default"/>
      </w:rPr>
    </w:lvl>
    <w:lvl w:ilvl="2" w:tplc="2C0A0005" w:tentative="1">
      <w:start w:val="1"/>
      <w:numFmt w:val="bullet"/>
      <w:lvlText w:val=""/>
      <w:lvlJc w:val="left"/>
      <w:pPr>
        <w:ind w:left="1807" w:hanging="360"/>
      </w:pPr>
      <w:rPr>
        <w:rFonts w:ascii="Wingdings" w:hAnsi="Wingdings" w:hint="default"/>
      </w:rPr>
    </w:lvl>
    <w:lvl w:ilvl="3" w:tplc="2C0A0001" w:tentative="1">
      <w:start w:val="1"/>
      <w:numFmt w:val="bullet"/>
      <w:lvlText w:val=""/>
      <w:lvlJc w:val="left"/>
      <w:pPr>
        <w:ind w:left="2527" w:hanging="360"/>
      </w:pPr>
      <w:rPr>
        <w:rFonts w:ascii="Symbol" w:hAnsi="Symbol" w:hint="default"/>
      </w:rPr>
    </w:lvl>
    <w:lvl w:ilvl="4" w:tplc="2C0A0003" w:tentative="1">
      <w:start w:val="1"/>
      <w:numFmt w:val="bullet"/>
      <w:lvlText w:val="o"/>
      <w:lvlJc w:val="left"/>
      <w:pPr>
        <w:ind w:left="3247" w:hanging="360"/>
      </w:pPr>
      <w:rPr>
        <w:rFonts w:ascii="Courier New" w:hAnsi="Courier New" w:cs="Courier New" w:hint="default"/>
      </w:rPr>
    </w:lvl>
    <w:lvl w:ilvl="5" w:tplc="2C0A0005" w:tentative="1">
      <w:start w:val="1"/>
      <w:numFmt w:val="bullet"/>
      <w:lvlText w:val=""/>
      <w:lvlJc w:val="left"/>
      <w:pPr>
        <w:ind w:left="3967" w:hanging="360"/>
      </w:pPr>
      <w:rPr>
        <w:rFonts w:ascii="Wingdings" w:hAnsi="Wingdings" w:hint="default"/>
      </w:rPr>
    </w:lvl>
    <w:lvl w:ilvl="6" w:tplc="2C0A0001" w:tentative="1">
      <w:start w:val="1"/>
      <w:numFmt w:val="bullet"/>
      <w:lvlText w:val=""/>
      <w:lvlJc w:val="left"/>
      <w:pPr>
        <w:ind w:left="4687" w:hanging="360"/>
      </w:pPr>
      <w:rPr>
        <w:rFonts w:ascii="Symbol" w:hAnsi="Symbol" w:hint="default"/>
      </w:rPr>
    </w:lvl>
    <w:lvl w:ilvl="7" w:tplc="2C0A0003" w:tentative="1">
      <w:start w:val="1"/>
      <w:numFmt w:val="bullet"/>
      <w:lvlText w:val="o"/>
      <w:lvlJc w:val="left"/>
      <w:pPr>
        <w:ind w:left="5407" w:hanging="360"/>
      </w:pPr>
      <w:rPr>
        <w:rFonts w:ascii="Courier New" w:hAnsi="Courier New" w:cs="Courier New" w:hint="default"/>
      </w:rPr>
    </w:lvl>
    <w:lvl w:ilvl="8" w:tplc="2C0A0005" w:tentative="1">
      <w:start w:val="1"/>
      <w:numFmt w:val="bullet"/>
      <w:lvlText w:val=""/>
      <w:lvlJc w:val="left"/>
      <w:pPr>
        <w:ind w:left="6127" w:hanging="360"/>
      </w:pPr>
      <w:rPr>
        <w:rFonts w:ascii="Wingdings" w:hAnsi="Wingdings" w:hint="default"/>
      </w:rPr>
    </w:lvl>
  </w:abstractNum>
  <w:abstractNum w:abstractNumId="19" w15:restartNumberingAfterBreak="0">
    <w:nsid w:val="75BA3A4F"/>
    <w:multiLevelType w:val="hybridMultilevel"/>
    <w:tmpl w:val="1BBE8FF6"/>
    <w:lvl w:ilvl="0" w:tplc="AD58A41A">
      <w:start w:val="1"/>
      <w:numFmt w:val="decimal"/>
      <w:lvlText w:val="%1."/>
      <w:lvlJc w:val="left"/>
      <w:pPr>
        <w:ind w:left="394" w:hanging="360"/>
      </w:pPr>
      <w:rPr>
        <w:rFonts w:hint="default"/>
      </w:rPr>
    </w:lvl>
    <w:lvl w:ilvl="1" w:tplc="2C0A0019" w:tentative="1">
      <w:start w:val="1"/>
      <w:numFmt w:val="lowerLetter"/>
      <w:lvlText w:val="%2."/>
      <w:lvlJc w:val="left"/>
      <w:pPr>
        <w:ind w:left="1114" w:hanging="360"/>
      </w:pPr>
    </w:lvl>
    <w:lvl w:ilvl="2" w:tplc="2C0A001B" w:tentative="1">
      <w:start w:val="1"/>
      <w:numFmt w:val="lowerRoman"/>
      <w:lvlText w:val="%3."/>
      <w:lvlJc w:val="right"/>
      <w:pPr>
        <w:ind w:left="1834" w:hanging="180"/>
      </w:pPr>
    </w:lvl>
    <w:lvl w:ilvl="3" w:tplc="2C0A000F" w:tentative="1">
      <w:start w:val="1"/>
      <w:numFmt w:val="decimal"/>
      <w:lvlText w:val="%4."/>
      <w:lvlJc w:val="left"/>
      <w:pPr>
        <w:ind w:left="2554" w:hanging="360"/>
      </w:pPr>
    </w:lvl>
    <w:lvl w:ilvl="4" w:tplc="2C0A0019" w:tentative="1">
      <w:start w:val="1"/>
      <w:numFmt w:val="lowerLetter"/>
      <w:lvlText w:val="%5."/>
      <w:lvlJc w:val="left"/>
      <w:pPr>
        <w:ind w:left="3274" w:hanging="360"/>
      </w:pPr>
    </w:lvl>
    <w:lvl w:ilvl="5" w:tplc="2C0A001B" w:tentative="1">
      <w:start w:val="1"/>
      <w:numFmt w:val="lowerRoman"/>
      <w:lvlText w:val="%6."/>
      <w:lvlJc w:val="right"/>
      <w:pPr>
        <w:ind w:left="3994" w:hanging="180"/>
      </w:pPr>
    </w:lvl>
    <w:lvl w:ilvl="6" w:tplc="2C0A000F" w:tentative="1">
      <w:start w:val="1"/>
      <w:numFmt w:val="decimal"/>
      <w:lvlText w:val="%7."/>
      <w:lvlJc w:val="left"/>
      <w:pPr>
        <w:ind w:left="4714" w:hanging="360"/>
      </w:pPr>
    </w:lvl>
    <w:lvl w:ilvl="7" w:tplc="2C0A0019" w:tentative="1">
      <w:start w:val="1"/>
      <w:numFmt w:val="lowerLetter"/>
      <w:lvlText w:val="%8."/>
      <w:lvlJc w:val="left"/>
      <w:pPr>
        <w:ind w:left="5434" w:hanging="360"/>
      </w:pPr>
    </w:lvl>
    <w:lvl w:ilvl="8" w:tplc="2C0A001B" w:tentative="1">
      <w:start w:val="1"/>
      <w:numFmt w:val="lowerRoman"/>
      <w:lvlText w:val="%9."/>
      <w:lvlJc w:val="right"/>
      <w:pPr>
        <w:ind w:left="6154" w:hanging="180"/>
      </w:pPr>
    </w:lvl>
  </w:abstractNum>
  <w:abstractNum w:abstractNumId="20" w15:restartNumberingAfterBreak="0">
    <w:nsid w:val="762D007D"/>
    <w:multiLevelType w:val="hybridMultilevel"/>
    <w:tmpl w:val="C4AA2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8E73D7"/>
    <w:multiLevelType w:val="hybridMultilevel"/>
    <w:tmpl w:val="90B62976"/>
    <w:lvl w:ilvl="0" w:tplc="107829CE">
      <w:start w:val="1"/>
      <w:numFmt w:val="bullet"/>
      <w:lvlText w:val="•"/>
      <w:lvlJc w:val="left"/>
      <w:pPr>
        <w:tabs>
          <w:tab w:val="num" w:pos="720"/>
        </w:tabs>
        <w:ind w:left="720" w:hanging="360"/>
      </w:pPr>
      <w:rPr>
        <w:rFonts w:ascii="Times New Roman" w:hAnsi="Times New Roman" w:hint="default"/>
      </w:rPr>
    </w:lvl>
    <w:lvl w:ilvl="1" w:tplc="0992A8F2" w:tentative="1">
      <w:start w:val="1"/>
      <w:numFmt w:val="bullet"/>
      <w:lvlText w:val="•"/>
      <w:lvlJc w:val="left"/>
      <w:pPr>
        <w:tabs>
          <w:tab w:val="num" w:pos="1440"/>
        </w:tabs>
        <w:ind w:left="1440" w:hanging="360"/>
      </w:pPr>
      <w:rPr>
        <w:rFonts w:ascii="Times New Roman" w:hAnsi="Times New Roman" w:hint="default"/>
      </w:rPr>
    </w:lvl>
    <w:lvl w:ilvl="2" w:tplc="BEE0527C" w:tentative="1">
      <w:start w:val="1"/>
      <w:numFmt w:val="bullet"/>
      <w:lvlText w:val="•"/>
      <w:lvlJc w:val="left"/>
      <w:pPr>
        <w:tabs>
          <w:tab w:val="num" w:pos="2160"/>
        </w:tabs>
        <w:ind w:left="2160" w:hanging="360"/>
      </w:pPr>
      <w:rPr>
        <w:rFonts w:ascii="Times New Roman" w:hAnsi="Times New Roman" w:hint="default"/>
      </w:rPr>
    </w:lvl>
    <w:lvl w:ilvl="3" w:tplc="BAE8E7EA" w:tentative="1">
      <w:start w:val="1"/>
      <w:numFmt w:val="bullet"/>
      <w:lvlText w:val="•"/>
      <w:lvlJc w:val="left"/>
      <w:pPr>
        <w:tabs>
          <w:tab w:val="num" w:pos="2880"/>
        </w:tabs>
        <w:ind w:left="2880" w:hanging="360"/>
      </w:pPr>
      <w:rPr>
        <w:rFonts w:ascii="Times New Roman" w:hAnsi="Times New Roman" w:hint="default"/>
      </w:rPr>
    </w:lvl>
    <w:lvl w:ilvl="4" w:tplc="7A7A417A" w:tentative="1">
      <w:start w:val="1"/>
      <w:numFmt w:val="bullet"/>
      <w:lvlText w:val="•"/>
      <w:lvlJc w:val="left"/>
      <w:pPr>
        <w:tabs>
          <w:tab w:val="num" w:pos="3600"/>
        </w:tabs>
        <w:ind w:left="3600" w:hanging="360"/>
      </w:pPr>
      <w:rPr>
        <w:rFonts w:ascii="Times New Roman" w:hAnsi="Times New Roman" w:hint="default"/>
      </w:rPr>
    </w:lvl>
    <w:lvl w:ilvl="5" w:tplc="6BF885FA" w:tentative="1">
      <w:start w:val="1"/>
      <w:numFmt w:val="bullet"/>
      <w:lvlText w:val="•"/>
      <w:lvlJc w:val="left"/>
      <w:pPr>
        <w:tabs>
          <w:tab w:val="num" w:pos="4320"/>
        </w:tabs>
        <w:ind w:left="4320" w:hanging="360"/>
      </w:pPr>
      <w:rPr>
        <w:rFonts w:ascii="Times New Roman" w:hAnsi="Times New Roman" w:hint="default"/>
      </w:rPr>
    </w:lvl>
    <w:lvl w:ilvl="6" w:tplc="2E8C209A" w:tentative="1">
      <w:start w:val="1"/>
      <w:numFmt w:val="bullet"/>
      <w:lvlText w:val="•"/>
      <w:lvlJc w:val="left"/>
      <w:pPr>
        <w:tabs>
          <w:tab w:val="num" w:pos="5040"/>
        </w:tabs>
        <w:ind w:left="5040" w:hanging="360"/>
      </w:pPr>
      <w:rPr>
        <w:rFonts w:ascii="Times New Roman" w:hAnsi="Times New Roman" w:hint="default"/>
      </w:rPr>
    </w:lvl>
    <w:lvl w:ilvl="7" w:tplc="3E26AD62" w:tentative="1">
      <w:start w:val="1"/>
      <w:numFmt w:val="bullet"/>
      <w:lvlText w:val="•"/>
      <w:lvlJc w:val="left"/>
      <w:pPr>
        <w:tabs>
          <w:tab w:val="num" w:pos="5760"/>
        </w:tabs>
        <w:ind w:left="5760" w:hanging="360"/>
      </w:pPr>
      <w:rPr>
        <w:rFonts w:ascii="Times New Roman" w:hAnsi="Times New Roman" w:hint="default"/>
      </w:rPr>
    </w:lvl>
    <w:lvl w:ilvl="8" w:tplc="092404B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7EB37850"/>
    <w:multiLevelType w:val="hybridMultilevel"/>
    <w:tmpl w:val="FA703808"/>
    <w:lvl w:ilvl="0" w:tplc="BDC02334">
      <w:start w:val="1"/>
      <w:numFmt w:val="lowerRoman"/>
      <w:lvlText w:val="%1)"/>
      <w:lvlJc w:val="left"/>
      <w:pPr>
        <w:ind w:left="851" w:hanging="720"/>
      </w:pPr>
      <w:rPr>
        <w:rFonts w:hint="default"/>
      </w:rPr>
    </w:lvl>
    <w:lvl w:ilvl="1" w:tplc="2C0A0019" w:tentative="1">
      <w:start w:val="1"/>
      <w:numFmt w:val="lowerLetter"/>
      <w:lvlText w:val="%2."/>
      <w:lvlJc w:val="left"/>
      <w:pPr>
        <w:ind w:left="1211" w:hanging="360"/>
      </w:pPr>
    </w:lvl>
    <w:lvl w:ilvl="2" w:tplc="2C0A001B" w:tentative="1">
      <w:start w:val="1"/>
      <w:numFmt w:val="lowerRoman"/>
      <w:lvlText w:val="%3."/>
      <w:lvlJc w:val="right"/>
      <w:pPr>
        <w:ind w:left="1931" w:hanging="180"/>
      </w:pPr>
    </w:lvl>
    <w:lvl w:ilvl="3" w:tplc="2C0A000F" w:tentative="1">
      <w:start w:val="1"/>
      <w:numFmt w:val="decimal"/>
      <w:lvlText w:val="%4."/>
      <w:lvlJc w:val="left"/>
      <w:pPr>
        <w:ind w:left="2651" w:hanging="360"/>
      </w:pPr>
    </w:lvl>
    <w:lvl w:ilvl="4" w:tplc="2C0A0019" w:tentative="1">
      <w:start w:val="1"/>
      <w:numFmt w:val="lowerLetter"/>
      <w:lvlText w:val="%5."/>
      <w:lvlJc w:val="left"/>
      <w:pPr>
        <w:ind w:left="3371" w:hanging="360"/>
      </w:pPr>
    </w:lvl>
    <w:lvl w:ilvl="5" w:tplc="2C0A001B" w:tentative="1">
      <w:start w:val="1"/>
      <w:numFmt w:val="lowerRoman"/>
      <w:lvlText w:val="%6."/>
      <w:lvlJc w:val="right"/>
      <w:pPr>
        <w:ind w:left="4091" w:hanging="180"/>
      </w:pPr>
    </w:lvl>
    <w:lvl w:ilvl="6" w:tplc="2C0A000F" w:tentative="1">
      <w:start w:val="1"/>
      <w:numFmt w:val="decimal"/>
      <w:lvlText w:val="%7."/>
      <w:lvlJc w:val="left"/>
      <w:pPr>
        <w:ind w:left="4811" w:hanging="360"/>
      </w:pPr>
    </w:lvl>
    <w:lvl w:ilvl="7" w:tplc="2C0A0019" w:tentative="1">
      <w:start w:val="1"/>
      <w:numFmt w:val="lowerLetter"/>
      <w:lvlText w:val="%8."/>
      <w:lvlJc w:val="left"/>
      <w:pPr>
        <w:ind w:left="5531" w:hanging="360"/>
      </w:pPr>
    </w:lvl>
    <w:lvl w:ilvl="8" w:tplc="2C0A001B" w:tentative="1">
      <w:start w:val="1"/>
      <w:numFmt w:val="lowerRoman"/>
      <w:lvlText w:val="%9."/>
      <w:lvlJc w:val="right"/>
      <w:pPr>
        <w:ind w:left="6251" w:hanging="180"/>
      </w:pPr>
    </w:lvl>
  </w:abstractNum>
  <w:num w:numId="1">
    <w:abstractNumId w:val="0"/>
  </w:num>
  <w:num w:numId="2">
    <w:abstractNumId w:val="16"/>
  </w:num>
  <w:num w:numId="3">
    <w:abstractNumId w:val="17"/>
  </w:num>
  <w:num w:numId="4">
    <w:abstractNumId w:val="5"/>
  </w:num>
  <w:num w:numId="5">
    <w:abstractNumId w:val="2"/>
  </w:num>
  <w:num w:numId="6">
    <w:abstractNumId w:val="11"/>
  </w:num>
  <w:num w:numId="7">
    <w:abstractNumId w:val="10"/>
  </w:num>
  <w:num w:numId="8">
    <w:abstractNumId w:val="20"/>
  </w:num>
  <w:num w:numId="9">
    <w:abstractNumId w:val="9"/>
  </w:num>
  <w:num w:numId="10">
    <w:abstractNumId w:val="12"/>
  </w:num>
  <w:num w:numId="11">
    <w:abstractNumId w:val="13"/>
  </w:num>
  <w:num w:numId="12">
    <w:abstractNumId w:val="21"/>
  </w:num>
  <w:num w:numId="13">
    <w:abstractNumId w:val="8"/>
  </w:num>
  <w:num w:numId="14">
    <w:abstractNumId w:val="6"/>
  </w:num>
  <w:num w:numId="15">
    <w:abstractNumId w:val="22"/>
  </w:num>
  <w:num w:numId="16">
    <w:abstractNumId w:val="1"/>
  </w:num>
  <w:num w:numId="17">
    <w:abstractNumId w:val="15"/>
  </w:num>
  <w:num w:numId="18">
    <w:abstractNumId w:val="3"/>
  </w:num>
  <w:num w:numId="19">
    <w:abstractNumId w:val="7"/>
  </w:num>
  <w:num w:numId="20">
    <w:abstractNumId w:val="19"/>
  </w:num>
  <w:num w:numId="21">
    <w:abstractNumId w:val="4"/>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34"/>
    <w:rsid w:val="00000BD2"/>
    <w:rsid w:val="0000596D"/>
    <w:rsid w:val="00014767"/>
    <w:rsid w:val="000605EF"/>
    <w:rsid w:val="00061938"/>
    <w:rsid w:val="00077CA7"/>
    <w:rsid w:val="0008111C"/>
    <w:rsid w:val="0009300D"/>
    <w:rsid w:val="000950DB"/>
    <w:rsid w:val="000B1686"/>
    <w:rsid w:val="000C4DA9"/>
    <w:rsid w:val="000C7AFE"/>
    <w:rsid w:val="000D2584"/>
    <w:rsid w:val="000D3A5B"/>
    <w:rsid w:val="000E202D"/>
    <w:rsid w:val="00110565"/>
    <w:rsid w:val="0011570A"/>
    <w:rsid w:val="00132EA4"/>
    <w:rsid w:val="00136651"/>
    <w:rsid w:val="001417BF"/>
    <w:rsid w:val="001427A2"/>
    <w:rsid w:val="0015250F"/>
    <w:rsid w:val="001534D3"/>
    <w:rsid w:val="00185932"/>
    <w:rsid w:val="00193615"/>
    <w:rsid w:val="001A1493"/>
    <w:rsid w:val="001A1BEE"/>
    <w:rsid w:val="001B2B35"/>
    <w:rsid w:val="001B3882"/>
    <w:rsid w:val="001C7E99"/>
    <w:rsid w:val="001D6C90"/>
    <w:rsid w:val="001E39F1"/>
    <w:rsid w:val="001E5D70"/>
    <w:rsid w:val="001F2E18"/>
    <w:rsid w:val="00204C7C"/>
    <w:rsid w:val="00212BB1"/>
    <w:rsid w:val="00232F9A"/>
    <w:rsid w:val="00266089"/>
    <w:rsid w:val="00266A31"/>
    <w:rsid w:val="002674EB"/>
    <w:rsid w:val="00296426"/>
    <w:rsid w:val="002A65C7"/>
    <w:rsid w:val="002B0A70"/>
    <w:rsid w:val="002D0AED"/>
    <w:rsid w:val="002D27E3"/>
    <w:rsid w:val="002D4DC3"/>
    <w:rsid w:val="002D6762"/>
    <w:rsid w:val="002E22C3"/>
    <w:rsid w:val="003217BA"/>
    <w:rsid w:val="003244C9"/>
    <w:rsid w:val="00345E5E"/>
    <w:rsid w:val="00351F4E"/>
    <w:rsid w:val="0037056A"/>
    <w:rsid w:val="003723E6"/>
    <w:rsid w:val="003728C6"/>
    <w:rsid w:val="00387DA7"/>
    <w:rsid w:val="003B13D0"/>
    <w:rsid w:val="003B18D6"/>
    <w:rsid w:val="003B2040"/>
    <w:rsid w:val="003C4E70"/>
    <w:rsid w:val="003C79E5"/>
    <w:rsid w:val="003D55DE"/>
    <w:rsid w:val="003D7E61"/>
    <w:rsid w:val="003F4C0A"/>
    <w:rsid w:val="004062E1"/>
    <w:rsid w:val="0040704B"/>
    <w:rsid w:val="004115F4"/>
    <w:rsid w:val="00436685"/>
    <w:rsid w:val="004379F1"/>
    <w:rsid w:val="00442599"/>
    <w:rsid w:val="00446AA8"/>
    <w:rsid w:val="0047519B"/>
    <w:rsid w:val="00475FA2"/>
    <w:rsid w:val="00477E96"/>
    <w:rsid w:val="0048275B"/>
    <w:rsid w:val="00490099"/>
    <w:rsid w:val="00491E1C"/>
    <w:rsid w:val="004B3E27"/>
    <w:rsid w:val="004E29F7"/>
    <w:rsid w:val="004E7F1C"/>
    <w:rsid w:val="004F52C7"/>
    <w:rsid w:val="005033C8"/>
    <w:rsid w:val="00512B41"/>
    <w:rsid w:val="00513A5D"/>
    <w:rsid w:val="00515CA0"/>
    <w:rsid w:val="00521E12"/>
    <w:rsid w:val="005223CA"/>
    <w:rsid w:val="00525E47"/>
    <w:rsid w:val="0054309A"/>
    <w:rsid w:val="00546FF4"/>
    <w:rsid w:val="00553CE7"/>
    <w:rsid w:val="00554D15"/>
    <w:rsid w:val="00555895"/>
    <w:rsid w:val="005601C5"/>
    <w:rsid w:val="00580882"/>
    <w:rsid w:val="005A5805"/>
    <w:rsid w:val="005A5AF4"/>
    <w:rsid w:val="005B1332"/>
    <w:rsid w:val="005E1415"/>
    <w:rsid w:val="005E68B0"/>
    <w:rsid w:val="005F4954"/>
    <w:rsid w:val="006015D1"/>
    <w:rsid w:val="00620E82"/>
    <w:rsid w:val="00636740"/>
    <w:rsid w:val="00637916"/>
    <w:rsid w:val="00640554"/>
    <w:rsid w:val="00645907"/>
    <w:rsid w:val="00647A45"/>
    <w:rsid w:val="00651A73"/>
    <w:rsid w:val="00671C4C"/>
    <w:rsid w:val="00671D6D"/>
    <w:rsid w:val="00674F4A"/>
    <w:rsid w:val="00674FB1"/>
    <w:rsid w:val="00683634"/>
    <w:rsid w:val="00692852"/>
    <w:rsid w:val="00695998"/>
    <w:rsid w:val="006A0595"/>
    <w:rsid w:val="006B6703"/>
    <w:rsid w:val="006E2686"/>
    <w:rsid w:val="007014A3"/>
    <w:rsid w:val="00702500"/>
    <w:rsid w:val="00704466"/>
    <w:rsid w:val="00720D23"/>
    <w:rsid w:val="00724212"/>
    <w:rsid w:val="00737A4E"/>
    <w:rsid w:val="00737B2A"/>
    <w:rsid w:val="007522BA"/>
    <w:rsid w:val="007552B6"/>
    <w:rsid w:val="00762B37"/>
    <w:rsid w:val="007821CF"/>
    <w:rsid w:val="00791216"/>
    <w:rsid w:val="00796CF2"/>
    <w:rsid w:val="007A4BAF"/>
    <w:rsid w:val="007A52C5"/>
    <w:rsid w:val="007B5312"/>
    <w:rsid w:val="007B626B"/>
    <w:rsid w:val="007C021F"/>
    <w:rsid w:val="007C5D43"/>
    <w:rsid w:val="007E2458"/>
    <w:rsid w:val="007F6457"/>
    <w:rsid w:val="008025F5"/>
    <w:rsid w:val="008028E6"/>
    <w:rsid w:val="00803520"/>
    <w:rsid w:val="00803989"/>
    <w:rsid w:val="008122DD"/>
    <w:rsid w:val="008138BC"/>
    <w:rsid w:val="00815B48"/>
    <w:rsid w:val="00826BCF"/>
    <w:rsid w:val="00842EE7"/>
    <w:rsid w:val="00853082"/>
    <w:rsid w:val="00854839"/>
    <w:rsid w:val="00861BCD"/>
    <w:rsid w:val="00884ACC"/>
    <w:rsid w:val="00884B16"/>
    <w:rsid w:val="00891F7D"/>
    <w:rsid w:val="008A44C7"/>
    <w:rsid w:val="008B6DF3"/>
    <w:rsid w:val="008D6058"/>
    <w:rsid w:val="008D655E"/>
    <w:rsid w:val="008D7B1D"/>
    <w:rsid w:val="008E4763"/>
    <w:rsid w:val="008E6635"/>
    <w:rsid w:val="008E7BAE"/>
    <w:rsid w:val="008F03A1"/>
    <w:rsid w:val="00905A0E"/>
    <w:rsid w:val="009071CA"/>
    <w:rsid w:val="00911C18"/>
    <w:rsid w:val="00914C55"/>
    <w:rsid w:val="009229A2"/>
    <w:rsid w:val="00935B1C"/>
    <w:rsid w:val="00946399"/>
    <w:rsid w:val="00946B1D"/>
    <w:rsid w:val="00954E91"/>
    <w:rsid w:val="00962137"/>
    <w:rsid w:val="00965DFE"/>
    <w:rsid w:val="009675EC"/>
    <w:rsid w:val="00967BF0"/>
    <w:rsid w:val="00971AE7"/>
    <w:rsid w:val="009743A3"/>
    <w:rsid w:val="009B0D48"/>
    <w:rsid w:val="009B5FDC"/>
    <w:rsid w:val="009B6AF2"/>
    <w:rsid w:val="009B6C3F"/>
    <w:rsid w:val="009C1E94"/>
    <w:rsid w:val="009C1F31"/>
    <w:rsid w:val="009D053E"/>
    <w:rsid w:val="009D0E4F"/>
    <w:rsid w:val="009D518A"/>
    <w:rsid w:val="009E0422"/>
    <w:rsid w:val="009F0CCD"/>
    <w:rsid w:val="00A009E1"/>
    <w:rsid w:val="00A02E7C"/>
    <w:rsid w:val="00A10678"/>
    <w:rsid w:val="00A1643C"/>
    <w:rsid w:val="00A43D5C"/>
    <w:rsid w:val="00A46B5B"/>
    <w:rsid w:val="00A84A1B"/>
    <w:rsid w:val="00A906F0"/>
    <w:rsid w:val="00AA07C6"/>
    <w:rsid w:val="00AA309C"/>
    <w:rsid w:val="00AB0921"/>
    <w:rsid w:val="00AB62F3"/>
    <w:rsid w:val="00AC5109"/>
    <w:rsid w:val="00AC777F"/>
    <w:rsid w:val="00AE11BE"/>
    <w:rsid w:val="00AE5095"/>
    <w:rsid w:val="00AF2A4F"/>
    <w:rsid w:val="00AF769B"/>
    <w:rsid w:val="00B00094"/>
    <w:rsid w:val="00B062C5"/>
    <w:rsid w:val="00B120A1"/>
    <w:rsid w:val="00B334B2"/>
    <w:rsid w:val="00B40E74"/>
    <w:rsid w:val="00B51EE7"/>
    <w:rsid w:val="00B55440"/>
    <w:rsid w:val="00B57B2C"/>
    <w:rsid w:val="00B709C4"/>
    <w:rsid w:val="00B9129F"/>
    <w:rsid w:val="00BB300D"/>
    <w:rsid w:val="00BC6CD3"/>
    <w:rsid w:val="00BE03CA"/>
    <w:rsid w:val="00BE5196"/>
    <w:rsid w:val="00BF5B8E"/>
    <w:rsid w:val="00C022E0"/>
    <w:rsid w:val="00C02C9F"/>
    <w:rsid w:val="00C07535"/>
    <w:rsid w:val="00C07A02"/>
    <w:rsid w:val="00C26134"/>
    <w:rsid w:val="00C26927"/>
    <w:rsid w:val="00C34D68"/>
    <w:rsid w:val="00C51B27"/>
    <w:rsid w:val="00C60775"/>
    <w:rsid w:val="00C6479D"/>
    <w:rsid w:val="00C86E0D"/>
    <w:rsid w:val="00C87522"/>
    <w:rsid w:val="00CB4571"/>
    <w:rsid w:val="00CB665B"/>
    <w:rsid w:val="00CE70C2"/>
    <w:rsid w:val="00CF62E5"/>
    <w:rsid w:val="00D11FDB"/>
    <w:rsid w:val="00D25B26"/>
    <w:rsid w:val="00D41B6F"/>
    <w:rsid w:val="00D43067"/>
    <w:rsid w:val="00D50F4C"/>
    <w:rsid w:val="00D51CB3"/>
    <w:rsid w:val="00D626C7"/>
    <w:rsid w:val="00D63E68"/>
    <w:rsid w:val="00D701DE"/>
    <w:rsid w:val="00D80399"/>
    <w:rsid w:val="00D877B4"/>
    <w:rsid w:val="00D94115"/>
    <w:rsid w:val="00DA30A6"/>
    <w:rsid w:val="00DA5B0B"/>
    <w:rsid w:val="00DA77C0"/>
    <w:rsid w:val="00DB5483"/>
    <w:rsid w:val="00DD15B3"/>
    <w:rsid w:val="00DD1AB0"/>
    <w:rsid w:val="00DE29CD"/>
    <w:rsid w:val="00DE3288"/>
    <w:rsid w:val="00E32664"/>
    <w:rsid w:val="00E363C6"/>
    <w:rsid w:val="00E426B9"/>
    <w:rsid w:val="00E476D1"/>
    <w:rsid w:val="00E5186C"/>
    <w:rsid w:val="00E54E7B"/>
    <w:rsid w:val="00E55DE1"/>
    <w:rsid w:val="00E60CD4"/>
    <w:rsid w:val="00E61960"/>
    <w:rsid w:val="00E758C8"/>
    <w:rsid w:val="00EA0690"/>
    <w:rsid w:val="00EB1025"/>
    <w:rsid w:val="00EB1A25"/>
    <w:rsid w:val="00EC20F9"/>
    <w:rsid w:val="00EC442A"/>
    <w:rsid w:val="00EC6BEC"/>
    <w:rsid w:val="00EE2D29"/>
    <w:rsid w:val="00EE5CDF"/>
    <w:rsid w:val="00EF0656"/>
    <w:rsid w:val="00EF06F2"/>
    <w:rsid w:val="00EF2A2A"/>
    <w:rsid w:val="00EF4ABF"/>
    <w:rsid w:val="00F05E95"/>
    <w:rsid w:val="00F441A5"/>
    <w:rsid w:val="00F47227"/>
    <w:rsid w:val="00F6141B"/>
    <w:rsid w:val="00F62B46"/>
    <w:rsid w:val="00F65206"/>
    <w:rsid w:val="00F72CCB"/>
    <w:rsid w:val="00F8152D"/>
    <w:rsid w:val="00F8492A"/>
    <w:rsid w:val="00F91BF1"/>
    <w:rsid w:val="00F94BC7"/>
    <w:rsid w:val="00FA5CF4"/>
    <w:rsid w:val="00FB6AE7"/>
    <w:rsid w:val="00FC3C1C"/>
    <w:rsid w:val="00FC5E7F"/>
    <w:rsid w:val="00FE446E"/>
    <w:rsid w:val="00FE6C16"/>
    <w:rsid w:val="013DEBAB"/>
    <w:rsid w:val="093FE3D4"/>
    <w:rsid w:val="0E1A26FE"/>
    <w:rsid w:val="1D98D582"/>
    <w:rsid w:val="2000B6BA"/>
    <w:rsid w:val="2E01A5B8"/>
    <w:rsid w:val="4191676A"/>
    <w:rsid w:val="4247347D"/>
    <w:rsid w:val="54558B85"/>
    <w:rsid w:val="58202070"/>
    <w:rsid w:val="5882B5A2"/>
    <w:rsid w:val="58A34F5C"/>
    <w:rsid w:val="5B38A42C"/>
    <w:rsid w:val="6F19556B"/>
    <w:rsid w:val="74825505"/>
    <w:rsid w:val="759E7B78"/>
    <w:rsid w:val="7FBDDA1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69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63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634"/>
    <w:pPr>
      <w:ind w:left="720"/>
    </w:pPr>
  </w:style>
  <w:style w:type="paragraph" w:styleId="Header">
    <w:name w:val="header"/>
    <w:basedOn w:val="Normal"/>
    <w:link w:val="HeaderChar"/>
    <w:uiPriority w:val="99"/>
    <w:unhideWhenUsed/>
    <w:rsid w:val="00683634"/>
    <w:pPr>
      <w:tabs>
        <w:tab w:val="center" w:pos="4419"/>
        <w:tab w:val="right" w:pos="8838"/>
      </w:tabs>
    </w:pPr>
  </w:style>
  <w:style w:type="character" w:customStyle="1" w:styleId="HeaderChar">
    <w:name w:val="Header Char"/>
    <w:basedOn w:val="DefaultParagraphFont"/>
    <w:link w:val="Header"/>
    <w:uiPriority w:val="99"/>
    <w:rsid w:val="00683634"/>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683634"/>
    <w:pPr>
      <w:tabs>
        <w:tab w:val="center" w:pos="4419"/>
        <w:tab w:val="right" w:pos="8838"/>
      </w:tabs>
    </w:pPr>
  </w:style>
  <w:style w:type="character" w:customStyle="1" w:styleId="FooterChar">
    <w:name w:val="Footer Char"/>
    <w:basedOn w:val="DefaultParagraphFont"/>
    <w:link w:val="Footer"/>
    <w:uiPriority w:val="99"/>
    <w:rsid w:val="00683634"/>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A43D5C"/>
    <w:rPr>
      <w:rFonts w:ascii="Tahoma" w:hAnsi="Tahoma" w:cs="Tahoma"/>
      <w:sz w:val="16"/>
      <w:szCs w:val="16"/>
    </w:rPr>
  </w:style>
  <w:style w:type="character" w:customStyle="1" w:styleId="BalloonTextChar">
    <w:name w:val="Balloon Text Char"/>
    <w:basedOn w:val="DefaultParagraphFont"/>
    <w:link w:val="BalloonText"/>
    <w:uiPriority w:val="99"/>
    <w:semiHidden/>
    <w:rsid w:val="00A43D5C"/>
    <w:rPr>
      <w:rFonts w:ascii="Tahoma" w:eastAsia="Times New Roman" w:hAnsi="Tahoma" w:cs="Tahoma"/>
      <w:sz w:val="16"/>
      <w:szCs w:val="16"/>
      <w:lang w:val="en-US"/>
    </w:rPr>
  </w:style>
  <w:style w:type="character" w:styleId="CommentReference">
    <w:name w:val="annotation reference"/>
    <w:basedOn w:val="DefaultParagraphFont"/>
    <w:semiHidden/>
    <w:unhideWhenUsed/>
    <w:rsid w:val="00853082"/>
    <w:rPr>
      <w:sz w:val="16"/>
      <w:szCs w:val="16"/>
    </w:rPr>
  </w:style>
  <w:style w:type="paragraph" w:styleId="CommentText">
    <w:name w:val="annotation text"/>
    <w:basedOn w:val="Normal"/>
    <w:link w:val="CommentTextChar"/>
    <w:unhideWhenUsed/>
    <w:rsid w:val="00853082"/>
  </w:style>
  <w:style w:type="character" w:customStyle="1" w:styleId="CommentTextChar">
    <w:name w:val="Comment Text Char"/>
    <w:basedOn w:val="DefaultParagraphFont"/>
    <w:link w:val="CommentText"/>
    <w:rsid w:val="0085308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53082"/>
    <w:rPr>
      <w:b/>
      <w:bCs/>
    </w:rPr>
  </w:style>
  <w:style w:type="character" w:customStyle="1" w:styleId="CommentSubjectChar">
    <w:name w:val="Comment Subject Char"/>
    <w:basedOn w:val="CommentTextChar"/>
    <w:link w:val="CommentSubject"/>
    <w:uiPriority w:val="99"/>
    <w:semiHidden/>
    <w:rsid w:val="00853082"/>
    <w:rPr>
      <w:rFonts w:ascii="Times New Roman" w:eastAsia="Times New Roman" w:hAnsi="Times New Roman" w:cs="Times New Roman"/>
      <w:b/>
      <w:bCs/>
      <w:sz w:val="20"/>
      <w:szCs w:val="20"/>
      <w:lang w:val="en-US"/>
    </w:rPr>
  </w:style>
  <w:style w:type="table" w:styleId="TableGrid">
    <w:name w:val="Table Grid"/>
    <w:basedOn w:val="TableNormal"/>
    <w:uiPriority w:val="59"/>
    <w:rsid w:val="00853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fn Car,ADB"/>
    <w:basedOn w:val="Normal"/>
    <w:link w:val="FootnoteTextChar"/>
    <w:qFormat/>
    <w:rsid w:val="002674EB"/>
    <w:pPr>
      <w:keepNext/>
      <w:keepLines/>
      <w:spacing w:after="120"/>
      <w:ind w:left="288" w:hanging="288"/>
      <w:jc w:val="both"/>
    </w:pPr>
    <w:rPr>
      <w:spacing w:val="-3"/>
      <w:lang w:val="es-ES_tradnl"/>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rsid w:val="002674EB"/>
    <w:rPr>
      <w:rFonts w:ascii="Times New Roman" w:eastAsia="Times New Roman" w:hAnsi="Times New Roman" w:cs="Times New Roman"/>
      <w:spacing w:val="-3"/>
      <w:sz w:val="20"/>
      <w:szCs w:val="20"/>
      <w:lang w:val="es-ES_tradnl"/>
    </w:rPr>
  </w:style>
  <w:style w:type="paragraph" w:styleId="Revision">
    <w:name w:val="Revision"/>
    <w:hidden/>
    <w:uiPriority w:val="99"/>
    <w:semiHidden/>
    <w:rsid w:val="00671D6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C34D68"/>
    <w:pPr>
      <w:autoSpaceDE w:val="0"/>
      <w:autoSpaceDN w:val="0"/>
      <w:adjustRightInd w:val="0"/>
      <w:spacing w:after="0" w:line="240" w:lineRule="auto"/>
    </w:pPr>
    <w:rPr>
      <w:rFonts w:ascii="Arial" w:hAnsi="Arial" w:cs="Arial"/>
      <w:color w:val="000000"/>
      <w:sz w:val="24"/>
      <w:szCs w:val="24"/>
      <w:lang w:val="en-US"/>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8D60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300952">
      <w:bodyDiv w:val="1"/>
      <w:marLeft w:val="0"/>
      <w:marRight w:val="0"/>
      <w:marTop w:val="0"/>
      <w:marBottom w:val="0"/>
      <w:divBdr>
        <w:top w:val="none" w:sz="0" w:space="0" w:color="auto"/>
        <w:left w:val="none" w:sz="0" w:space="0" w:color="auto"/>
        <w:bottom w:val="none" w:sz="0" w:space="0" w:color="auto"/>
        <w:right w:val="none" w:sz="0" w:space="0" w:color="auto"/>
      </w:divBdr>
      <w:divsChild>
        <w:div w:id="1089883438">
          <w:marLeft w:val="547"/>
          <w:marRight w:val="0"/>
          <w:marTop w:val="0"/>
          <w:marBottom w:val="0"/>
          <w:divBdr>
            <w:top w:val="none" w:sz="0" w:space="0" w:color="auto"/>
            <w:left w:val="none" w:sz="0" w:space="0" w:color="auto"/>
            <w:bottom w:val="none" w:sz="0" w:space="0" w:color="auto"/>
            <w:right w:val="none" w:sz="0" w:space="0" w:color="auto"/>
          </w:divBdr>
        </w:div>
      </w:divsChild>
    </w:div>
    <w:div w:id="507519851">
      <w:bodyDiv w:val="1"/>
      <w:marLeft w:val="0"/>
      <w:marRight w:val="0"/>
      <w:marTop w:val="0"/>
      <w:marBottom w:val="0"/>
      <w:divBdr>
        <w:top w:val="none" w:sz="0" w:space="0" w:color="auto"/>
        <w:left w:val="none" w:sz="0" w:space="0" w:color="auto"/>
        <w:bottom w:val="none" w:sz="0" w:space="0" w:color="auto"/>
        <w:right w:val="none" w:sz="0" w:space="0" w:color="auto"/>
      </w:divBdr>
    </w:div>
    <w:div w:id="591284086">
      <w:bodyDiv w:val="1"/>
      <w:marLeft w:val="0"/>
      <w:marRight w:val="0"/>
      <w:marTop w:val="0"/>
      <w:marBottom w:val="0"/>
      <w:divBdr>
        <w:top w:val="none" w:sz="0" w:space="0" w:color="auto"/>
        <w:left w:val="none" w:sz="0" w:space="0" w:color="auto"/>
        <w:bottom w:val="none" w:sz="0" w:space="0" w:color="auto"/>
        <w:right w:val="none" w:sz="0" w:space="0" w:color="auto"/>
      </w:divBdr>
    </w:div>
    <w:div w:id="633291528">
      <w:bodyDiv w:val="1"/>
      <w:marLeft w:val="0"/>
      <w:marRight w:val="0"/>
      <w:marTop w:val="0"/>
      <w:marBottom w:val="0"/>
      <w:divBdr>
        <w:top w:val="none" w:sz="0" w:space="0" w:color="auto"/>
        <w:left w:val="none" w:sz="0" w:space="0" w:color="auto"/>
        <w:bottom w:val="none" w:sz="0" w:space="0" w:color="auto"/>
        <w:right w:val="none" w:sz="0" w:space="0" w:color="auto"/>
      </w:divBdr>
    </w:div>
    <w:div w:id="752354275">
      <w:bodyDiv w:val="1"/>
      <w:marLeft w:val="0"/>
      <w:marRight w:val="0"/>
      <w:marTop w:val="0"/>
      <w:marBottom w:val="0"/>
      <w:divBdr>
        <w:top w:val="none" w:sz="0" w:space="0" w:color="auto"/>
        <w:left w:val="none" w:sz="0" w:space="0" w:color="auto"/>
        <w:bottom w:val="none" w:sz="0" w:space="0" w:color="auto"/>
        <w:right w:val="none" w:sz="0" w:space="0" w:color="auto"/>
      </w:divBdr>
    </w:div>
    <w:div w:id="950862729">
      <w:bodyDiv w:val="1"/>
      <w:marLeft w:val="0"/>
      <w:marRight w:val="0"/>
      <w:marTop w:val="0"/>
      <w:marBottom w:val="0"/>
      <w:divBdr>
        <w:top w:val="none" w:sz="0" w:space="0" w:color="auto"/>
        <w:left w:val="none" w:sz="0" w:space="0" w:color="auto"/>
        <w:bottom w:val="none" w:sz="0" w:space="0" w:color="auto"/>
        <w:right w:val="none" w:sz="0" w:space="0" w:color="auto"/>
      </w:divBdr>
    </w:div>
    <w:div w:id="981999976">
      <w:bodyDiv w:val="1"/>
      <w:marLeft w:val="0"/>
      <w:marRight w:val="0"/>
      <w:marTop w:val="0"/>
      <w:marBottom w:val="0"/>
      <w:divBdr>
        <w:top w:val="none" w:sz="0" w:space="0" w:color="auto"/>
        <w:left w:val="none" w:sz="0" w:space="0" w:color="auto"/>
        <w:bottom w:val="none" w:sz="0" w:space="0" w:color="auto"/>
        <w:right w:val="none" w:sz="0" w:space="0" w:color="auto"/>
      </w:divBdr>
      <w:divsChild>
        <w:div w:id="744885183">
          <w:marLeft w:val="547"/>
          <w:marRight w:val="0"/>
          <w:marTop w:val="0"/>
          <w:marBottom w:val="0"/>
          <w:divBdr>
            <w:top w:val="none" w:sz="0" w:space="0" w:color="auto"/>
            <w:left w:val="none" w:sz="0" w:space="0" w:color="auto"/>
            <w:bottom w:val="none" w:sz="0" w:space="0" w:color="auto"/>
            <w:right w:val="none" w:sz="0" w:space="0" w:color="auto"/>
          </w:divBdr>
        </w:div>
      </w:divsChild>
    </w:div>
    <w:div w:id="1005549075">
      <w:bodyDiv w:val="1"/>
      <w:marLeft w:val="0"/>
      <w:marRight w:val="0"/>
      <w:marTop w:val="0"/>
      <w:marBottom w:val="0"/>
      <w:divBdr>
        <w:top w:val="none" w:sz="0" w:space="0" w:color="auto"/>
        <w:left w:val="none" w:sz="0" w:space="0" w:color="auto"/>
        <w:bottom w:val="none" w:sz="0" w:space="0" w:color="auto"/>
        <w:right w:val="none" w:sz="0" w:space="0" w:color="auto"/>
      </w:divBdr>
      <w:divsChild>
        <w:div w:id="274948198">
          <w:marLeft w:val="547"/>
          <w:marRight w:val="0"/>
          <w:marTop w:val="0"/>
          <w:marBottom w:val="0"/>
          <w:divBdr>
            <w:top w:val="none" w:sz="0" w:space="0" w:color="auto"/>
            <w:left w:val="none" w:sz="0" w:space="0" w:color="auto"/>
            <w:bottom w:val="none" w:sz="0" w:space="0" w:color="auto"/>
            <w:right w:val="none" w:sz="0" w:space="0" w:color="auto"/>
          </w:divBdr>
        </w:div>
      </w:divsChild>
    </w:div>
    <w:div w:id="1114012297">
      <w:bodyDiv w:val="1"/>
      <w:marLeft w:val="0"/>
      <w:marRight w:val="0"/>
      <w:marTop w:val="0"/>
      <w:marBottom w:val="0"/>
      <w:divBdr>
        <w:top w:val="none" w:sz="0" w:space="0" w:color="auto"/>
        <w:left w:val="none" w:sz="0" w:space="0" w:color="auto"/>
        <w:bottom w:val="none" w:sz="0" w:space="0" w:color="auto"/>
        <w:right w:val="none" w:sz="0" w:space="0" w:color="auto"/>
      </w:divBdr>
    </w:div>
    <w:div w:id="1323318464">
      <w:bodyDiv w:val="1"/>
      <w:marLeft w:val="0"/>
      <w:marRight w:val="0"/>
      <w:marTop w:val="0"/>
      <w:marBottom w:val="0"/>
      <w:divBdr>
        <w:top w:val="none" w:sz="0" w:space="0" w:color="auto"/>
        <w:left w:val="none" w:sz="0" w:space="0" w:color="auto"/>
        <w:bottom w:val="none" w:sz="0" w:space="0" w:color="auto"/>
        <w:right w:val="none" w:sz="0" w:space="0" w:color="auto"/>
      </w:divBdr>
    </w:div>
    <w:div w:id="1332875806">
      <w:bodyDiv w:val="1"/>
      <w:marLeft w:val="0"/>
      <w:marRight w:val="0"/>
      <w:marTop w:val="0"/>
      <w:marBottom w:val="0"/>
      <w:divBdr>
        <w:top w:val="none" w:sz="0" w:space="0" w:color="auto"/>
        <w:left w:val="none" w:sz="0" w:space="0" w:color="auto"/>
        <w:bottom w:val="none" w:sz="0" w:space="0" w:color="auto"/>
        <w:right w:val="none" w:sz="0" w:space="0" w:color="auto"/>
      </w:divBdr>
      <w:divsChild>
        <w:div w:id="1168597698">
          <w:marLeft w:val="547"/>
          <w:marRight w:val="0"/>
          <w:marTop w:val="0"/>
          <w:marBottom w:val="0"/>
          <w:divBdr>
            <w:top w:val="none" w:sz="0" w:space="0" w:color="auto"/>
            <w:left w:val="none" w:sz="0" w:space="0" w:color="auto"/>
            <w:bottom w:val="none" w:sz="0" w:space="0" w:color="auto"/>
            <w:right w:val="none" w:sz="0" w:space="0" w:color="auto"/>
          </w:divBdr>
        </w:div>
      </w:divsChild>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426152251">
      <w:bodyDiv w:val="1"/>
      <w:marLeft w:val="0"/>
      <w:marRight w:val="0"/>
      <w:marTop w:val="0"/>
      <w:marBottom w:val="0"/>
      <w:divBdr>
        <w:top w:val="none" w:sz="0" w:space="0" w:color="auto"/>
        <w:left w:val="none" w:sz="0" w:space="0" w:color="auto"/>
        <w:bottom w:val="none" w:sz="0" w:space="0" w:color="auto"/>
        <w:right w:val="none" w:sz="0" w:space="0" w:color="auto"/>
      </w:divBdr>
    </w:div>
    <w:div w:id="1449465493">
      <w:bodyDiv w:val="1"/>
      <w:marLeft w:val="0"/>
      <w:marRight w:val="0"/>
      <w:marTop w:val="0"/>
      <w:marBottom w:val="0"/>
      <w:divBdr>
        <w:top w:val="none" w:sz="0" w:space="0" w:color="auto"/>
        <w:left w:val="none" w:sz="0" w:space="0" w:color="auto"/>
        <w:bottom w:val="none" w:sz="0" w:space="0" w:color="auto"/>
        <w:right w:val="none" w:sz="0" w:space="0" w:color="auto"/>
      </w:divBdr>
    </w:div>
    <w:div w:id="1581063162">
      <w:bodyDiv w:val="1"/>
      <w:marLeft w:val="0"/>
      <w:marRight w:val="0"/>
      <w:marTop w:val="0"/>
      <w:marBottom w:val="0"/>
      <w:divBdr>
        <w:top w:val="none" w:sz="0" w:space="0" w:color="auto"/>
        <w:left w:val="none" w:sz="0" w:space="0" w:color="auto"/>
        <w:bottom w:val="none" w:sz="0" w:space="0" w:color="auto"/>
        <w:right w:val="none" w:sz="0" w:space="0" w:color="auto"/>
      </w:divBdr>
    </w:div>
    <w:div w:id="1593704945">
      <w:bodyDiv w:val="1"/>
      <w:marLeft w:val="0"/>
      <w:marRight w:val="0"/>
      <w:marTop w:val="0"/>
      <w:marBottom w:val="0"/>
      <w:divBdr>
        <w:top w:val="none" w:sz="0" w:space="0" w:color="auto"/>
        <w:left w:val="none" w:sz="0" w:space="0" w:color="auto"/>
        <w:bottom w:val="none" w:sz="0" w:space="0" w:color="auto"/>
        <w:right w:val="none" w:sz="0" w:space="0" w:color="auto"/>
      </w:divBdr>
    </w:div>
    <w:div w:id="1600799081">
      <w:bodyDiv w:val="1"/>
      <w:marLeft w:val="0"/>
      <w:marRight w:val="0"/>
      <w:marTop w:val="0"/>
      <w:marBottom w:val="0"/>
      <w:divBdr>
        <w:top w:val="none" w:sz="0" w:space="0" w:color="auto"/>
        <w:left w:val="none" w:sz="0" w:space="0" w:color="auto"/>
        <w:bottom w:val="none" w:sz="0" w:space="0" w:color="auto"/>
        <w:right w:val="none" w:sz="0" w:space="0" w:color="auto"/>
      </w:divBdr>
    </w:div>
    <w:div w:id="1707366474">
      <w:bodyDiv w:val="1"/>
      <w:marLeft w:val="0"/>
      <w:marRight w:val="0"/>
      <w:marTop w:val="0"/>
      <w:marBottom w:val="0"/>
      <w:divBdr>
        <w:top w:val="none" w:sz="0" w:space="0" w:color="auto"/>
        <w:left w:val="none" w:sz="0" w:space="0" w:color="auto"/>
        <w:bottom w:val="none" w:sz="0" w:space="0" w:color="auto"/>
        <w:right w:val="none" w:sz="0" w:space="0" w:color="auto"/>
      </w:divBdr>
    </w:div>
    <w:div w:id="1770470966">
      <w:bodyDiv w:val="1"/>
      <w:marLeft w:val="0"/>
      <w:marRight w:val="0"/>
      <w:marTop w:val="0"/>
      <w:marBottom w:val="0"/>
      <w:divBdr>
        <w:top w:val="none" w:sz="0" w:space="0" w:color="auto"/>
        <w:left w:val="none" w:sz="0" w:space="0" w:color="auto"/>
        <w:bottom w:val="none" w:sz="0" w:space="0" w:color="auto"/>
        <w:right w:val="none" w:sz="0" w:space="0" w:color="auto"/>
      </w:divBdr>
    </w:div>
    <w:div w:id="1951354640">
      <w:bodyDiv w:val="1"/>
      <w:marLeft w:val="0"/>
      <w:marRight w:val="0"/>
      <w:marTop w:val="0"/>
      <w:marBottom w:val="0"/>
      <w:divBdr>
        <w:top w:val="none" w:sz="0" w:space="0" w:color="auto"/>
        <w:left w:val="none" w:sz="0" w:space="0" w:color="auto"/>
        <w:bottom w:val="none" w:sz="0" w:space="0" w:color="auto"/>
        <w:right w:val="none" w:sz="0" w:space="0" w:color="auto"/>
      </w:divBdr>
    </w:div>
    <w:div w:id="2030525852">
      <w:bodyDiv w:val="1"/>
      <w:marLeft w:val="0"/>
      <w:marRight w:val="0"/>
      <w:marTop w:val="0"/>
      <w:marBottom w:val="0"/>
      <w:divBdr>
        <w:top w:val="none" w:sz="0" w:space="0" w:color="auto"/>
        <w:left w:val="none" w:sz="0" w:space="0" w:color="auto"/>
        <w:bottom w:val="none" w:sz="0" w:space="0" w:color="auto"/>
        <w:right w:val="none" w:sz="0" w:space="0" w:color="auto"/>
      </w:divBdr>
    </w:div>
    <w:div w:id="2050183449">
      <w:bodyDiv w:val="1"/>
      <w:marLeft w:val="0"/>
      <w:marRight w:val="0"/>
      <w:marTop w:val="0"/>
      <w:marBottom w:val="0"/>
      <w:divBdr>
        <w:top w:val="none" w:sz="0" w:space="0" w:color="auto"/>
        <w:left w:val="none" w:sz="0" w:space="0" w:color="auto"/>
        <w:bottom w:val="none" w:sz="0" w:space="0" w:color="auto"/>
        <w:right w:val="none" w:sz="0" w:space="0" w:color="auto"/>
      </w:divBdr>
    </w:div>
    <w:div w:id="2079353597">
      <w:bodyDiv w:val="1"/>
      <w:marLeft w:val="0"/>
      <w:marRight w:val="0"/>
      <w:marTop w:val="0"/>
      <w:marBottom w:val="0"/>
      <w:divBdr>
        <w:top w:val="none" w:sz="0" w:space="0" w:color="auto"/>
        <w:left w:val="none" w:sz="0" w:space="0" w:color="auto"/>
        <w:bottom w:val="none" w:sz="0" w:space="0" w:color="auto"/>
        <w:right w:val="none" w:sz="0" w:space="0" w:color="auto"/>
      </w:divBdr>
    </w:div>
    <w:div w:id="208641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73BC"/>
    <w:rsid w:val="00F973BC"/>
    <w:rsid w:val="00FE4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46" ma:contentTypeDescription="The base project type from which other project content types inherit their information." ma:contentTypeScope="" ma:versionID="7798dd872840be5a88d470c77f559f03">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R0002227806</Record_x0020_Number>
    <Key_x0020_Document xmlns="cdc7663a-08f0-4737-9e8c-148ce897a09c">false</Key_x0020_Document>
    <Division_x0020_or_x0020_Unit xmlns="cdc7663a-08f0-4737-9e8c-148ce897a09c">INE/TSP</Division_x0020_or_x0020_Unit>
    <Document_x0020_Author xmlns="cdc7663a-08f0-4737-9e8c-148ce897a09c">Alonso Martin,Tania</Document_x0020_Author>
    <_dlc_DocId xmlns="cdc7663a-08f0-4737-9e8c-148ce897a09c">EZSHARE-39050635-47</_dlc_DocId>
    <Operation_x0020_Type xmlns="cdc7663a-08f0-4737-9e8c-148ce897a09c">Loan Operation</Operation_x0020_Type>
    <TaxCatchAll xmlns="cdc7663a-08f0-4737-9e8c-148ce897a09c">
      <Value>22</Value>
      <Value>25</Value>
      <Value>67</Value>
      <Value>1</Value>
      <Value>91</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https://idbg.sharepoint.com/teams/EZ-PN-LON/PN-L1151/_layouts/15/DocIdRedir.aspx?ID=EZSHARE-39050635-47</Url>
      <Description>EZSHARE-39050635-47</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Transportation;;</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54" ma:contentTypeDescription="The base project type from which other project content types inherit their information." ma:contentTypeScope="" ma:versionID="0757ec77b6a62e05f7a8175616bfdb83">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63" ma:contentTypeDescription="A content type to manage public (operations) IDB documents" ma:contentTypeScope="" ma:versionID="c06d6f7c141ee9f7594e9ee42b72a46e">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EE06EE2-9A53-48C6-B2B0-56584D4E4C87}">
  <ds:schemaRefs>
    <ds:schemaRef ds:uri="http://schemas.microsoft.com/sharepoint/v3/contenttype/forms/url"/>
  </ds:schemaRefs>
</ds:datastoreItem>
</file>

<file path=customXml/itemProps2.xml><?xml version="1.0" encoding="utf-8"?>
<ds:datastoreItem xmlns:ds="http://schemas.openxmlformats.org/officeDocument/2006/customXml" ds:itemID="{2FA9B3A2-F062-409F-9EEE-E9540ECEFBAB}"/>
</file>

<file path=customXml/itemProps3.xml><?xml version="1.0" encoding="utf-8"?>
<ds:datastoreItem xmlns:ds="http://schemas.openxmlformats.org/officeDocument/2006/customXml" ds:itemID="{09B5EC18-3C49-4095-8A05-C7D7DBD0C5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B5D813DD-208E-4918-8991-10B7C1E1D7F8}"/>
</file>

<file path=customXml/itemProps5.xml><?xml version="1.0" encoding="utf-8"?>
<ds:datastoreItem xmlns:ds="http://schemas.openxmlformats.org/officeDocument/2006/customXml" ds:itemID="{FAB3033B-9047-456B-890D-1F2212B23716}">
  <ds:schemaRefs>
    <ds:schemaRef ds:uri="http://schemas.microsoft.com/sharepoint/events"/>
  </ds:schemaRefs>
</ds:datastoreItem>
</file>

<file path=customXml/itemProps6.xml><?xml version="1.0" encoding="utf-8"?>
<ds:datastoreItem xmlns:ds="http://schemas.openxmlformats.org/officeDocument/2006/customXml" ds:itemID="{9615B624-5497-4171-A41B-48BC8B6BF446}">
  <ds:schemaRefs>
    <ds:schemaRef ds:uri="http://schemas.microsoft.com/sharepoint/v3/contenttype/forms"/>
  </ds:schemaRefs>
</ds:datastoreItem>
</file>

<file path=customXml/itemProps7.xml><?xml version="1.0" encoding="utf-8"?>
<ds:datastoreItem xmlns:ds="http://schemas.openxmlformats.org/officeDocument/2006/customXml" ds:itemID="{4D09B5D5-417D-4185-AC06-1D8A979CEAD6}"/>
</file>

<file path=customXml/itemProps8.xml><?xml version="1.0" encoding="utf-8"?>
<ds:datastoreItem xmlns:ds="http://schemas.openxmlformats.org/officeDocument/2006/customXml" ds:itemID="{E1A16619-DAB5-4773-93A5-2AF68862F391}"/>
</file>

<file path=customXml/itemProps9.xml><?xml version="1.0" encoding="utf-8"?>
<ds:datastoreItem xmlns:ds="http://schemas.openxmlformats.org/officeDocument/2006/customXml" ds:itemID="{00CCA18C-D2D8-4291-B1AF-82FC2DB42242}"/>
</file>

<file path=docProps/app.xml><?xml version="1.0" encoding="utf-8"?>
<Properties xmlns="http://schemas.openxmlformats.org/officeDocument/2006/extended-properties" xmlns:vt="http://schemas.openxmlformats.org/officeDocument/2006/docPropsVTypes">
  <Template>Normal</Template>
  <TotalTime>0</TotalTime>
  <Pages>8</Pages>
  <Words>2099</Words>
  <Characters>11967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2018-06-05T14:33:00Z</dcterms:created>
  <dcterms:modified xsi:type="dcterms:W3CDTF">2018-06-05T14:33:00Z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5" name="TaxKeywordTaxHTField">
    <vt:lpwstr/>
  </property>
  <property fmtid="{D5CDD505-2E9C-101B-9397-08002B2CF9AE}" pid="6" name="Sub-Sector">
    <vt:lpwstr>91;#LOGISTIC PLANNING, MULTIMODAL TRANSPORT AND LOGISTIC PLATFORMS|c57ab9df-eb0b-4c79-9bde-1271a3d462be</vt:lpwstr>
  </property>
  <property fmtid="{D5CDD505-2E9C-101B-9397-08002B2CF9AE}" pid="7" name="Series Operations IDB">
    <vt:lpwstr/>
  </property>
  <property fmtid="{D5CDD505-2E9C-101B-9397-08002B2CF9AE}" pid="8" name="Country">
    <vt:lpwstr>22;#Panama|7af43a84-776d-43d1-b0f2-8a1f2a8ffc7b</vt:lpwstr>
  </property>
  <property fmtid="{D5CDD505-2E9C-101B-9397-08002B2CF9AE}" pid="9" name="Fund IDB">
    <vt:lpwstr>25;#ORC|c028a4b2-ad8b-4cf4-9cac-a2ae6a778e23</vt:lpwstr>
  </property>
  <property fmtid="{D5CDD505-2E9C-101B-9397-08002B2CF9AE}" pid="10" name="_dlc_DocIdItemGuid">
    <vt:lpwstr>156b6667-1e1e-4ee8-8333-b96ecf2cf711</vt:lpwstr>
  </property>
  <property fmtid="{D5CDD505-2E9C-101B-9397-08002B2CF9AE}" pid="11" name="Webtopic">
    <vt:lpwstr>Transportation</vt:lpwstr>
  </property>
  <property fmtid="{D5CDD505-2E9C-101B-9397-08002B2CF9AE}" pid="12" name="Sector IDB">
    <vt:lpwstr>67;#TRANSPORT|5a25d1a8-4baf-41a8-9e3b-e167accda6ea</vt:lpwstr>
  </property>
  <property fmtid="{D5CDD505-2E9C-101B-9397-08002B2CF9AE}" pid="13" name="Disclosed">
    <vt:bool>false</vt:bool>
  </property>
  <property fmtid="{D5CDD505-2E9C-101B-9397-08002B2CF9AE}" pid="14" name="Function Operations IDB">
    <vt:lpwstr>1;#Project Preparation, Planning and Design|29ca0c72-1fc4-435f-a09c-28585cb5eac9</vt:lpwstr>
  </property>
  <property fmtid="{D5CDD505-2E9C-101B-9397-08002B2CF9AE}" pid="15" name="ATI Undisclose Document Workflow">
    <vt:lpwstr/>
  </property>
  <property fmtid="{D5CDD505-2E9C-101B-9397-08002B2CF9AE}" pid="16" name="ATI Disclose Document Workflow v5">
    <vt:lpwstr/>
  </property>
  <property fmtid="{D5CDD505-2E9C-101B-9397-08002B2CF9AE}" pid="17" name="ContentTypeId">
    <vt:lpwstr>0x0101001A458A224826124E8B45B1D613300CFC0041AF64753591D9489FDFDD5B2BC7F5AD</vt:lpwstr>
  </property>
  <property fmtid="{D5CDD505-2E9C-101B-9397-08002B2CF9AE}" pid="19" name="From:">
    <vt:lpwstr>RFIORAVANTI</vt:lpwstr>
  </property>
</Properties>
</file>