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E1340" w14:textId="08936FA1" w:rsidR="003D439F" w:rsidRPr="00344FB3" w:rsidRDefault="00A709F8" w:rsidP="003F02B9">
      <w:pPr>
        <w:rPr>
          <w:rFonts w:cstheme="minorHAnsi"/>
          <w:b/>
          <w:lang w:val="es-419"/>
        </w:rPr>
      </w:pPr>
      <w:r w:rsidRPr="00344FB3">
        <w:rPr>
          <w:rFonts w:cstheme="minorHAnsi"/>
          <w:b/>
          <w:bCs/>
          <w:lang w:val="es-419"/>
        </w:rPr>
        <w:t xml:space="preserve">Políticas de </w:t>
      </w:r>
      <w:r w:rsidR="00121987" w:rsidRPr="00344FB3">
        <w:rPr>
          <w:rFonts w:cstheme="minorHAnsi"/>
          <w:b/>
          <w:bCs/>
          <w:lang w:val="es-419"/>
        </w:rPr>
        <w:t>p</w:t>
      </w:r>
      <w:r w:rsidR="006B74FD" w:rsidRPr="00344FB3">
        <w:rPr>
          <w:rFonts w:cstheme="minorHAnsi"/>
          <w:b/>
          <w:bCs/>
          <w:lang w:val="es-419"/>
        </w:rPr>
        <w:t xml:space="preserve">rotección </w:t>
      </w:r>
      <w:r w:rsidR="00121987" w:rsidRPr="00344FB3">
        <w:rPr>
          <w:rFonts w:cstheme="minorHAnsi"/>
          <w:b/>
          <w:bCs/>
          <w:lang w:val="es-419"/>
        </w:rPr>
        <w:t xml:space="preserve">e inclusión </w:t>
      </w:r>
      <w:r w:rsidR="006B74FD" w:rsidRPr="00344FB3">
        <w:rPr>
          <w:rFonts w:cstheme="minorHAnsi"/>
          <w:b/>
          <w:bCs/>
          <w:lang w:val="es-419"/>
        </w:rPr>
        <w:t xml:space="preserve">social </w:t>
      </w:r>
      <w:r w:rsidR="003D6F03" w:rsidRPr="00344FB3">
        <w:rPr>
          <w:rFonts w:cstheme="minorHAnsi"/>
          <w:b/>
          <w:bCs/>
          <w:lang w:val="es-419"/>
        </w:rPr>
        <w:t xml:space="preserve">para enfrentar </w:t>
      </w:r>
      <w:r w:rsidR="009F25A1" w:rsidRPr="00344FB3">
        <w:rPr>
          <w:rFonts w:cstheme="minorHAnsi"/>
          <w:b/>
          <w:bCs/>
          <w:lang w:val="es-419"/>
        </w:rPr>
        <w:t xml:space="preserve">el </w:t>
      </w:r>
      <w:r w:rsidR="00A13DEB" w:rsidRPr="00344FB3">
        <w:rPr>
          <w:rFonts w:cstheme="minorHAnsi"/>
          <w:b/>
          <w:bCs/>
          <w:lang w:val="es-419"/>
        </w:rPr>
        <w:t>COVID-19</w:t>
      </w:r>
      <w:r w:rsidR="0082246B" w:rsidRPr="00344FB3">
        <w:rPr>
          <w:rStyle w:val="FootnoteReference"/>
          <w:rFonts w:cstheme="minorHAnsi"/>
          <w:b/>
          <w:bCs/>
          <w:lang w:val="es-419"/>
        </w:rPr>
        <w:footnoteReference w:id="2"/>
      </w:r>
    </w:p>
    <w:p w14:paraId="0D5FAF51" w14:textId="4646E878" w:rsidR="00B16C82" w:rsidRPr="00344FB3" w:rsidRDefault="00B16C82" w:rsidP="00253DF1">
      <w:pPr>
        <w:pStyle w:val="ListParagraph"/>
        <w:numPr>
          <w:ilvl w:val="0"/>
          <w:numId w:val="7"/>
        </w:numPr>
        <w:jc w:val="both"/>
        <w:rPr>
          <w:rFonts w:cstheme="minorHAnsi"/>
          <w:b/>
          <w:lang w:val="es-419"/>
        </w:rPr>
      </w:pPr>
      <w:r w:rsidRPr="00344FB3">
        <w:rPr>
          <w:rFonts w:cstheme="minorHAnsi"/>
          <w:b/>
          <w:lang w:val="es-419"/>
        </w:rPr>
        <w:t>Int</w:t>
      </w:r>
      <w:r w:rsidR="00D16F6E" w:rsidRPr="00344FB3">
        <w:rPr>
          <w:rFonts w:cstheme="minorHAnsi"/>
          <w:b/>
          <w:lang w:val="es-419"/>
        </w:rPr>
        <w:t>r</w:t>
      </w:r>
      <w:r w:rsidRPr="00344FB3">
        <w:rPr>
          <w:rFonts w:cstheme="minorHAnsi"/>
          <w:b/>
          <w:lang w:val="es-419"/>
        </w:rPr>
        <w:t>oducción</w:t>
      </w:r>
    </w:p>
    <w:p w14:paraId="3D9E2D06" w14:textId="77777777" w:rsidR="00E869EE" w:rsidRPr="00344FB3" w:rsidRDefault="00971ECE" w:rsidP="00C77B7D">
      <w:pPr>
        <w:jc w:val="both"/>
        <w:rPr>
          <w:rFonts w:cstheme="minorHAnsi"/>
          <w:lang w:val="es-419"/>
        </w:rPr>
      </w:pPr>
      <w:r w:rsidRPr="00344FB3">
        <w:rPr>
          <w:rFonts w:cstheme="minorHAnsi"/>
          <w:lang w:val="es-419"/>
        </w:rPr>
        <w:t xml:space="preserve">Los impactos económicos del </w:t>
      </w:r>
      <w:r w:rsidR="009A7F7B" w:rsidRPr="00344FB3">
        <w:rPr>
          <w:rFonts w:cstheme="minorHAnsi"/>
          <w:lang w:val="es-419"/>
        </w:rPr>
        <w:t>COVID-19</w:t>
      </w:r>
      <w:r w:rsidRPr="00344FB3">
        <w:rPr>
          <w:rFonts w:cstheme="minorHAnsi"/>
          <w:lang w:val="es-419"/>
        </w:rPr>
        <w:t xml:space="preserve"> </w:t>
      </w:r>
      <w:r w:rsidR="006D2F0B" w:rsidRPr="00344FB3">
        <w:rPr>
          <w:rFonts w:cstheme="minorHAnsi"/>
          <w:lang w:val="es-419"/>
        </w:rPr>
        <w:t>se</w:t>
      </w:r>
      <w:r w:rsidR="00AE3E98" w:rsidRPr="00344FB3">
        <w:rPr>
          <w:rFonts w:cstheme="minorHAnsi"/>
          <w:lang w:val="es-419"/>
        </w:rPr>
        <w:t xml:space="preserve"> presentarán por </w:t>
      </w:r>
      <w:r w:rsidR="00D16F6E" w:rsidRPr="00344FB3">
        <w:rPr>
          <w:rFonts w:cstheme="minorHAnsi"/>
          <w:lang w:val="es-419"/>
        </w:rPr>
        <w:t>varios</w:t>
      </w:r>
      <w:r w:rsidR="00AE3E98" w:rsidRPr="00344FB3">
        <w:rPr>
          <w:rFonts w:cstheme="minorHAnsi"/>
          <w:lang w:val="es-419"/>
        </w:rPr>
        <w:t xml:space="preserve"> canales</w:t>
      </w:r>
      <w:r w:rsidR="00BD2321" w:rsidRPr="00344FB3">
        <w:rPr>
          <w:rFonts w:cstheme="minorHAnsi"/>
          <w:lang w:val="es-419"/>
        </w:rPr>
        <w:t xml:space="preserve"> y en distintos momentos</w:t>
      </w:r>
      <w:r w:rsidR="00B23546" w:rsidRPr="00344FB3">
        <w:rPr>
          <w:rFonts w:cstheme="minorHAnsi"/>
          <w:lang w:val="es-419"/>
        </w:rPr>
        <w:t>. Primero, y asociado con la prioridad de salvar vidas</w:t>
      </w:r>
      <w:r w:rsidR="003C679A" w:rsidRPr="00344FB3">
        <w:rPr>
          <w:rFonts w:cstheme="minorHAnsi"/>
          <w:lang w:val="es-419"/>
        </w:rPr>
        <w:t xml:space="preserve"> en el muy corto plazo</w:t>
      </w:r>
      <w:r w:rsidR="00B23546" w:rsidRPr="00344FB3">
        <w:rPr>
          <w:rFonts w:cstheme="minorHAnsi"/>
          <w:lang w:val="es-419"/>
        </w:rPr>
        <w:t xml:space="preserve">, están </w:t>
      </w:r>
      <w:r w:rsidR="00C844EC" w:rsidRPr="00344FB3">
        <w:rPr>
          <w:rFonts w:cstheme="minorHAnsi"/>
          <w:lang w:val="es-419"/>
        </w:rPr>
        <w:t xml:space="preserve">los costos directos, </w:t>
      </w:r>
      <w:r w:rsidR="008312D9" w:rsidRPr="00344FB3">
        <w:rPr>
          <w:rFonts w:cstheme="minorHAnsi"/>
          <w:lang w:val="es-419"/>
        </w:rPr>
        <w:t xml:space="preserve">relacionados </w:t>
      </w:r>
      <w:r w:rsidR="00494DD6" w:rsidRPr="00344FB3">
        <w:rPr>
          <w:rFonts w:cstheme="minorHAnsi"/>
          <w:lang w:val="es-419"/>
        </w:rPr>
        <w:t>con</w:t>
      </w:r>
      <w:r w:rsidR="00C24146" w:rsidRPr="00344FB3">
        <w:rPr>
          <w:rFonts w:cstheme="minorHAnsi"/>
          <w:lang w:val="es-419"/>
        </w:rPr>
        <w:t xml:space="preserve"> la respuesta d</w:t>
      </w:r>
      <w:r w:rsidR="00C844EC" w:rsidRPr="00344FB3">
        <w:rPr>
          <w:rFonts w:cstheme="minorHAnsi"/>
          <w:lang w:val="es-419"/>
        </w:rPr>
        <w:t>el sector</w:t>
      </w:r>
      <w:r w:rsidR="00EA187D" w:rsidRPr="00344FB3">
        <w:rPr>
          <w:rFonts w:cstheme="minorHAnsi"/>
          <w:lang w:val="es-419"/>
        </w:rPr>
        <w:t xml:space="preserve"> salud</w:t>
      </w:r>
      <w:r w:rsidR="005F514F" w:rsidRPr="00344FB3">
        <w:rPr>
          <w:rFonts w:cstheme="minorHAnsi"/>
          <w:lang w:val="es-419"/>
        </w:rPr>
        <w:t xml:space="preserve">. En segundo </w:t>
      </w:r>
      <w:r w:rsidR="00030F5F" w:rsidRPr="00344FB3">
        <w:rPr>
          <w:rFonts w:cstheme="minorHAnsi"/>
          <w:lang w:val="es-419"/>
        </w:rPr>
        <w:t>lugar, se</w:t>
      </w:r>
      <w:r w:rsidR="005F514F" w:rsidRPr="00344FB3">
        <w:rPr>
          <w:rFonts w:cstheme="minorHAnsi"/>
          <w:lang w:val="es-419"/>
        </w:rPr>
        <w:t xml:space="preserve"> encuentran los costos </w:t>
      </w:r>
      <w:r w:rsidR="00CF2D86" w:rsidRPr="00344FB3">
        <w:rPr>
          <w:rFonts w:cstheme="minorHAnsi"/>
          <w:lang w:val="es-419"/>
        </w:rPr>
        <w:t>asociados con l</w:t>
      </w:r>
      <w:r w:rsidR="00017ADF" w:rsidRPr="00344FB3">
        <w:rPr>
          <w:rFonts w:cstheme="minorHAnsi"/>
          <w:lang w:val="es-419"/>
        </w:rPr>
        <w:t xml:space="preserve">os cambios </w:t>
      </w:r>
      <w:r w:rsidR="00763405" w:rsidRPr="00344FB3">
        <w:rPr>
          <w:rFonts w:cstheme="minorHAnsi"/>
          <w:lang w:val="es-419"/>
        </w:rPr>
        <w:t xml:space="preserve">en el comportamiento de las personas </w:t>
      </w:r>
      <w:r w:rsidR="00530E1C" w:rsidRPr="00344FB3">
        <w:rPr>
          <w:rFonts w:cstheme="minorHAnsi"/>
          <w:lang w:val="es-419"/>
        </w:rPr>
        <w:t xml:space="preserve">necesarios para “aplanar la curva” de progresión de </w:t>
      </w:r>
      <w:r w:rsidR="009A7F7B" w:rsidRPr="00344FB3">
        <w:rPr>
          <w:rFonts w:cstheme="minorHAnsi"/>
          <w:lang w:val="es-419"/>
        </w:rPr>
        <w:t>COVID-19</w:t>
      </w:r>
      <w:r w:rsidR="00530E1C" w:rsidRPr="00344FB3">
        <w:rPr>
          <w:rFonts w:cstheme="minorHAnsi"/>
          <w:lang w:val="es-419"/>
        </w:rPr>
        <w:t xml:space="preserve"> y contribuir </w:t>
      </w:r>
      <w:r w:rsidR="007E4B6C" w:rsidRPr="00344FB3">
        <w:rPr>
          <w:rFonts w:cstheme="minorHAnsi"/>
          <w:lang w:val="es-419"/>
        </w:rPr>
        <w:t>así</w:t>
      </w:r>
      <w:r w:rsidR="00530E1C" w:rsidRPr="00344FB3">
        <w:rPr>
          <w:rFonts w:cstheme="minorHAnsi"/>
          <w:lang w:val="es-419"/>
        </w:rPr>
        <w:t xml:space="preserve"> a salvar vidas. Estos comportamientos pueden deberse a mandatos gubernamentales (cierre de escuelas, </w:t>
      </w:r>
      <w:r w:rsidR="008851FB" w:rsidRPr="00344FB3">
        <w:rPr>
          <w:rFonts w:cstheme="minorHAnsi"/>
          <w:lang w:val="es-419"/>
        </w:rPr>
        <w:t>cancelación de eventos públicos, etc</w:t>
      </w:r>
      <w:r w:rsidR="00EA187D" w:rsidRPr="00344FB3">
        <w:rPr>
          <w:rFonts w:cstheme="minorHAnsi"/>
          <w:lang w:val="es-419"/>
        </w:rPr>
        <w:t>.</w:t>
      </w:r>
      <w:r w:rsidR="008851FB" w:rsidRPr="00344FB3">
        <w:rPr>
          <w:rFonts w:cstheme="minorHAnsi"/>
          <w:lang w:val="es-419"/>
        </w:rPr>
        <w:t>), a decisiones de las empresas y otras instituciones</w:t>
      </w:r>
      <w:r w:rsidR="000A51EC" w:rsidRPr="00344FB3">
        <w:rPr>
          <w:rFonts w:cstheme="minorHAnsi"/>
          <w:lang w:val="es-419"/>
        </w:rPr>
        <w:t xml:space="preserve"> (establecer teletrabajo, ajustar niveles de producción, etc</w:t>
      </w:r>
      <w:r w:rsidR="00EA187D" w:rsidRPr="00344FB3">
        <w:rPr>
          <w:rFonts w:cstheme="minorHAnsi"/>
          <w:lang w:val="es-419"/>
        </w:rPr>
        <w:t>.</w:t>
      </w:r>
      <w:r w:rsidR="000A51EC" w:rsidRPr="00344FB3">
        <w:rPr>
          <w:rFonts w:cstheme="minorHAnsi"/>
          <w:lang w:val="es-419"/>
        </w:rPr>
        <w:t>) y decisiones de consumidores</w:t>
      </w:r>
      <w:r w:rsidR="000058F4" w:rsidRPr="00344FB3">
        <w:rPr>
          <w:rFonts w:cstheme="minorHAnsi"/>
          <w:lang w:val="es-419"/>
        </w:rPr>
        <w:t xml:space="preserve"> (resultado de reducir el contacto social).</w:t>
      </w:r>
      <w:r w:rsidR="00346241" w:rsidRPr="00344FB3">
        <w:rPr>
          <w:rFonts w:cstheme="minorHAnsi"/>
          <w:lang w:val="es-419"/>
        </w:rPr>
        <w:t xml:space="preserve"> </w:t>
      </w:r>
      <w:r w:rsidR="007C08AD" w:rsidRPr="00344FB3">
        <w:rPr>
          <w:rFonts w:cstheme="minorHAnsi"/>
          <w:lang w:val="es-419"/>
        </w:rPr>
        <w:t>Esto llevará a una contracción económica muy significativa</w:t>
      </w:r>
      <w:r w:rsidR="00C44F2B" w:rsidRPr="00344FB3">
        <w:rPr>
          <w:rFonts w:cstheme="minorHAnsi"/>
          <w:lang w:val="es-419"/>
        </w:rPr>
        <w:t xml:space="preserve">, con manifestaciones inmediatas </w:t>
      </w:r>
      <w:r w:rsidR="005B0950" w:rsidRPr="00344FB3">
        <w:rPr>
          <w:rFonts w:cstheme="minorHAnsi"/>
          <w:lang w:val="es-419"/>
        </w:rPr>
        <w:t xml:space="preserve">y </w:t>
      </w:r>
      <w:r w:rsidR="009E4DBF" w:rsidRPr="00344FB3">
        <w:rPr>
          <w:rFonts w:cstheme="minorHAnsi"/>
          <w:lang w:val="es-419"/>
        </w:rPr>
        <w:t xml:space="preserve">efectos que se mantendrán por un plazo mayor, incluso cuando la emergencia sanitaria haya </w:t>
      </w:r>
      <w:r w:rsidR="00396C9E" w:rsidRPr="00344FB3">
        <w:rPr>
          <w:rFonts w:cstheme="minorHAnsi"/>
          <w:lang w:val="es-419"/>
        </w:rPr>
        <w:t>pasado</w:t>
      </w:r>
      <w:r w:rsidR="00C92A37" w:rsidRPr="00344FB3">
        <w:rPr>
          <w:rStyle w:val="FootnoteReference"/>
          <w:rFonts w:cstheme="minorHAnsi"/>
          <w:lang w:val="es-419"/>
        </w:rPr>
        <w:footnoteReference w:id="3"/>
      </w:r>
      <w:r w:rsidR="00AE47D6" w:rsidRPr="00344FB3">
        <w:rPr>
          <w:rFonts w:cstheme="minorHAnsi"/>
          <w:lang w:val="es-419"/>
        </w:rPr>
        <w:t>.</w:t>
      </w:r>
      <w:r w:rsidR="007C08AD" w:rsidRPr="00344FB3">
        <w:rPr>
          <w:rFonts w:cstheme="minorHAnsi"/>
          <w:lang w:val="es-419"/>
        </w:rPr>
        <w:t xml:space="preserve"> </w:t>
      </w:r>
      <w:r w:rsidR="00031CDC" w:rsidRPr="00344FB3">
        <w:rPr>
          <w:rFonts w:cstheme="minorHAnsi"/>
          <w:lang w:val="es-419"/>
        </w:rPr>
        <w:t>Todos estos</w:t>
      </w:r>
      <w:r w:rsidR="00740705" w:rsidRPr="00344FB3">
        <w:rPr>
          <w:rFonts w:cstheme="minorHAnsi"/>
          <w:lang w:val="es-419"/>
        </w:rPr>
        <w:t xml:space="preserve"> costos</w:t>
      </w:r>
      <w:r w:rsidR="000058F4" w:rsidRPr="00344FB3">
        <w:rPr>
          <w:rFonts w:cstheme="minorHAnsi"/>
          <w:lang w:val="es-419"/>
        </w:rPr>
        <w:t xml:space="preserve"> tendrán repercusiones importantes en los </w:t>
      </w:r>
      <w:r w:rsidR="00891061" w:rsidRPr="00344FB3">
        <w:rPr>
          <w:rFonts w:cstheme="minorHAnsi"/>
          <w:lang w:val="es-419"/>
        </w:rPr>
        <w:t xml:space="preserve">ingresos de </w:t>
      </w:r>
      <w:r w:rsidR="008E2EF4" w:rsidRPr="00344FB3">
        <w:rPr>
          <w:rFonts w:cstheme="minorHAnsi"/>
          <w:lang w:val="es-419"/>
        </w:rPr>
        <w:t xml:space="preserve">mayoría de </w:t>
      </w:r>
      <w:r w:rsidR="00891061" w:rsidRPr="00344FB3">
        <w:rPr>
          <w:rFonts w:cstheme="minorHAnsi"/>
          <w:lang w:val="es-419"/>
        </w:rPr>
        <w:t xml:space="preserve">las personas, y </w:t>
      </w:r>
      <w:r w:rsidR="002C0A75" w:rsidRPr="00344FB3">
        <w:rPr>
          <w:rFonts w:cstheme="minorHAnsi"/>
          <w:lang w:val="es-419"/>
        </w:rPr>
        <w:t>afectará</w:t>
      </w:r>
      <w:r w:rsidR="00A843A9" w:rsidRPr="00344FB3">
        <w:rPr>
          <w:rFonts w:cstheme="minorHAnsi"/>
          <w:lang w:val="es-419"/>
        </w:rPr>
        <w:t>n</w:t>
      </w:r>
      <w:r w:rsidR="000058F4" w:rsidRPr="00344FB3">
        <w:rPr>
          <w:rFonts w:cstheme="minorHAnsi"/>
          <w:lang w:val="es-419"/>
        </w:rPr>
        <w:t xml:space="preserve"> </w:t>
      </w:r>
      <w:r w:rsidR="00496B83" w:rsidRPr="00344FB3">
        <w:rPr>
          <w:rFonts w:cstheme="minorHAnsi"/>
          <w:lang w:val="es-419"/>
        </w:rPr>
        <w:t>particularmente los grupos más pobres</w:t>
      </w:r>
      <w:r w:rsidR="00EA187D" w:rsidRPr="00344FB3">
        <w:rPr>
          <w:rFonts w:cstheme="minorHAnsi"/>
          <w:lang w:val="es-419"/>
        </w:rPr>
        <w:t>,</w:t>
      </w:r>
      <w:r w:rsidR="00917D4A" w:rsidRPr="00344FB3">
        <w:rPr>
          <w:rFonts w:cstheme="minorHAnsi"/>
          <w:lang w:val="es-419"/>
        </w:rPr>
        <w:t xml:space="preserve"> que dependen de sus actividades laborales</w:t>
      </w:r>
      <w:r w:rsidR="00891061" w:rsidRPr="00344FB3">
        <w:rPr>
          <w:rFonts w:cstheme="minorHAnsi"/>
          <w:lang w:val="es-419"/>
        </w:rPr>
        <w:t>,</w:t>
      </w:r>
      <w:r w:rsidR="00917D4A" w:rsidRPr="00344FB3">
        <w:rPr>
          <w:rFonts w:cstheme="minorHAnsi"/>
          <w:lang w:val="es-419"/>
        </w:rPr>
        <w:t xml:space="preserve"> </w:t>
      </w:r>
      <w:r w:rsidR="00D94999" w:rsidRPr="00344FB3">
        <w:rPr>
          <w:rFonts w:cstheme="minorHAnsi"/>
          <w:lang w:val="es-419"/>
        </w:rPr>
        <w:t>en gran parte informales</w:t>
      </w:r>
      <w:r w:rsidR="00891061" w:rsidRPr="00344FB3">
        <w:rPr>
          <w:rFonts w:cstheme="minorHAnsi"/>
          <w:lang w:val="es-419"/>
        </w:rPr>
        <w:t>,</w:t>
      </w:r>
      <w:r w:rsidR="00D94999" w:rsidRPr="00344FB3">
        <w:rPr>
          <w:rFonts w:cstheme="minorHAnsi"/>
          <w:lang w:val="es-419"/>
        </w:rPr>
        <w:t xml:space="preserve"> para </w:t>
      </w:r>
      <w:r w:rsidR="002F64D4" w:rsidRPr="00344FB3">
        <w:rPr>
          <w:rFonts w:cstheme="minorHAnsi"/>
          <w:lang w:val="es-419"/>
        </w:rPr>
        <w:t>sustentar su</w:t>
      </w:r>
      <w:r w:rsidR="00D94999" w:rsidRPr="00344FB3">
        <w:rPr>
          <w:rFonts w:cstheme="minorHAnsi"/>
          <w:lang w:val="es-419"/>
        </w:rPr>
        <w:t xml:space="preserve"> consumo</w:t>
      </w:r>
      <w:r w:rsidR="00085288" w:rsidRPr="00344FB3">
        <w:rPr>
          <w:rFonts w:cstheme="minorHAnsi"/>
          <w:lang w:val="es-419"/>
        </w:rPr>
        <w:t>.</w:t>
      </w:r>
      <w:r w:rsidR="009C2FAD" w:rsidRPr="00344FB3">
        <w:rPr>
          <w:rFonts w:cstheme="minorHAnsi"/>
          <w:lang w:val="es-419"/>
        </w:rPr>
        <w:t xml:space="preserve"> </w:t>
      </w:r>
      <w:r w:rsidR="003D1806" w:rsidRPr="00344FB3">
        <w:rPr>
          <w:rFonts w:cstheme="minorHAnsi"/>
          <w:lang w:val="es-419"/>
        </w:rPr>
        <w:t>Dentro de estos grupos de menores ingresos se encuentran sobre</w:t>
      </w:r>
      <w:r w:rsidR="00317AC4" w:rsidRPr="00344FB3">
        <w:rPr>
          <w:rFonts w:cstheme="minorHAnsi"/>
          <w:lang w:val="es-419"/>
        </w:rPr>
        <w:t xml:space="preserve"> r</w:t>
      </w:r>
      <w:r w:rsidR="003D1806" w:rsidRPr="00344FB3">
        <w:rPr>
          <w:rFonts w:cstheme="minorHAnsi"/>
          <w:lang w:val="es-419"/>
        </w:rPr>
        <w:t>epresentadas las mujeres y ciertos colectivos de personas como las personas con discapacidad, los pueblos indígenas, los afrodescendientes</w:t>
      </w:r>
      <w:r w:rsidR="00540E0E" w:rsidRPr="00344FB3">
        <w:rPr>
          <w:rFonts w:cstheme="minorHAnsi"/>
          <w:lang w:val="es-419"/>
        </w:rPr>
        <w:t xml:space="preserve"> y las</w:t>
      </w:r>
      <w:r w:rsidR="003D1806" w:rsidRPr="00344FB3">
        <w:rPr>
          <w:rFonts w:cstheme="minorHAnsi"/>
          <w:lang w:val="es-419"/>
        </w:rPr>
        <w:t xml:space="preserve"> personas LGTBQ+ que necesitan enfoques diferenciales de cara a cualquier estrategia de servicio.</w:t>
      </w:r>
      <w:r w:rsidR="00540E0E" w:rsidRPr="00344FB3">
        <w:rPr>
          <w:rFonts w:cstheme="minorHAnsi"/>
          <w:lang w:val="es-419"/>
        </w:rPr>
        <w:t xml:space="preserve"> </w:t>
      </w:r>
      <w:r w:rsidR="00AC2BA3" w:rsidRPr="00344FB3">
        <w:rPr>
          <w:rFonts w:cstheme="minorHAnsi"/>
          <w:lang w:val="es-419"/>
        </w:rPr>
        <w:t xml:space="preserve">Los estragos </w:t>
      </w:r>
      <w:r w:rsidR="00C902CA" w:rsidRPr="00344FB3">
        <w:rPr>
          <w:rFonts w:cstheme="minorHAnsi"/>
          <w:lang w:val="es-419"/>
        </w:rPr>
        <w:t xml:space="preserve">también </w:t>
      </w:r>
      <w:r w:rsidR="00AC2BA3" w:rsidRPr="00344FB3">
        <w:rPr>
          <w:rFonts w:cstheme="minorHAnsi"/>
          <w:lang w:val="es-419"/>
        </w:rPr>
        <w:t xml:space="preserve">afectarán </w:t>
      </w:r>
      <w:r w:rsidR="00C902CA" w:rsidRPr="00344FB3">
        <w:rPr>
          <w:rFonts w:cstheme="minorHAnsi"/>
          <w:lang w:val="es-419"/>
        </w:rPr>
        <w:t>a los trabajadores de la clase media emergente o vulnerable del sector formal</w:t>
      </w:r>
      <w:r w:rsidR="00AC2BA3" w:rsidRPr="00344FB3">
        <w:rPr>
          <w:rFonts w:cstheme="minorHAnsi"/>
          <w:lang w:val="es-419"/>
        </w:rPr>
        <w:t>.</w:t>
      </w:r>
      <w:r w:rsidR="00C902CA" w:rsidRPr="00344FB3">
        <w:rPr>
          <w:rFonts w:cstheme="minorHAnsi"/>
          <w:lang w:val="es-419"/>
        </w:rPr>
        <w:t xml:space="preserve"> </w:t>
      </w:r>
    </w:p>
    <w:p w14:paraId="7ACA6083" w14:textId="165BFD5D" w:rsidR="00E869EE" w:rsidRPr="00344FB3" w:rsidRDefault="00E869EE" w:rsidP="00E869EE">
      <w:pPr>
        <w:autoSpaceDE w:val="0"/>
        <w:autoSpaceDN w:val="0"/>
        <w:adjustRightInd w:val="0"/>
        <w:jc w:val="both"/>
        <w:rPr>
          <w:rFonts w:cstheme="minorHAnsi"/>
          <w:lang w:val="es-419"/>
        </w:rPr>
      </w:pPr>
      <w:r w:rsidRPr="00344FB3">
        <w:rPr>
          <w:rFonts w:cstheme="minorHAnsi"/>
          <w:lang w:val="es-419"/>
        </w:rPr>
        <w:t>Se ha demostrado en estudios previos que las medidas de distanciamiento social en escuelas y lugar de trabajo reduce o disminuye la transmisión de virus</w:t>
      </w:r>
      <w:r w:rsidRPr="00344FB3">
        <w:rPr>
          <w:rStyle w:val="FootnoteReference"/>
          <w:rFonts w:cstheme="minorHAnsi"/>
          <w:lang w:val="es-419"/>
        </w:rPr>
        <w:footnoteReference w:id="4"/>
      </w:r>
      <w:r w:rsidRPr="00344FB3">
        <w:rPr>
          <w:rFonts w:cstheme="minorHAnsi"/>
          <w:lang w:val="es-419"/>
        </w:rPr>
        <w:t>. A esto se suma la recomendación de medidas de higiene preventivas</w:t>
      </w:r>
      <w:r w:rsidRPr="00344FB3">
        <w:rPr>
          <w:rStyle w:val="FootnoteReference"/>
          <w:rFonts w:cstheme="minorHAnsi"/>
          <w:lang w:val="es-419"/>
        </w:rPr>
        <w:footnoteReference w:id="5"/>
      </w:r>
      <w:r w:rsidRPr="00344FB3">
        <w:rPr>
          <w:rFonts w:cstheme="minorHAnsi"/>
          <w:lang w:val="es-419"/>
        </w:rPr>
        <w:t>. Un documento elaborado por Chang et al (2020)</w:t>
      </w:r>
      <w:r w:rsidRPr="0084157F">
        <w:rPr>
          <w:rFonts w:cstheme="minorHAnsi"/>
          <w:vertAlign w:val="superscript"/>
        </w:rPr>
        <w:footnoteReference w:id="6"/>
      </w:r>
      <w:r w:rsidRPr="0084157F">
        <w:rPr>
          <w:rFonts w:cstheme="minorHAnsi"/>
          <w:vertAlign w:val="superscript"/>
          <w:lang w:val="es-419"/>
        </w:rPr>
        <w:t xml:space="preserve"> </w:t>
      </w:r>
      <w:r w:rsidRPr="00344FB3">
        <w:rPr>
          <w:rFonts w:cstheme="minorHAnsi"/>
          <w:lang w:val="es-419"/>
        </w:rPr>
        <w:t>sobre evidencia en Australia sugiere que las medidas de distanciamiento social no son efectivas cuando el acatamiento es del 70% o menos ya que no contribuye al control de la epidemia. Pero si el acatamiento supera el 80% se observa una reducción en la incidencia y prevalencia del virus. Más allá de estas medias se necesita una respuesta a gran escala desde el área de protección social con el objetivo es mantener la capacidad de consumo de personas cuyo ingreso se ve disminuido, directa o indirectamente, por contraer el COVID-19, por las medidas de distanciamiento social (etapa de emergencia) y por la contracción de la economía (etapa de crisis y recuperación)</w:t>
      </w:r>
      <w:r w:rsidR="00344FB3" w:rsidRPr="00344FB3">
        <w:rPr>
          <w:rFonts w:cstheme="minorHAnsi"/>
          <w:lang w:val="es-419"/>
        </w:rPr>
        <w:t xml:space="preserve">. Estas medidas deben </w:t>
      </w:r>
      <w:r w:rsidR="0084157F" w:rsidRPr="00344FB3">
        <w:rPr>
          <w:rFonts w:cstheme="minorHAnsi"/>
          <w:lang w:val="es-419"/>
        </w:rPr>
        <w:t>considera</w:t>
      </w:r>
      <w:r w:rsidR="0084157F">
        <w:rPr>
          <w:rFonts w:cstheme="minorHAnsi"/>
          <w:lang w:val="es-419"/>
        </w:rPr>
        <w:t>r</w:t>
      </w:r>
      <w:r w:rsidRPr="00344FB3">
        <w:rPr>
          <w:rFonts w:cstheme="minorHAnsi"/>
          <w:lang w:val="es-419"/>
        </w:rPr>
        <w:t xml:space="preserve"> la necesidad de realizar ajustes razonables pertinentes grupos más vulnerables como los adultos mayores, discapacitados y seguir un enfoque diferencial para pueblos indígenas y afrodescendientes. </w:t>
      </w:r>
    </w:p>
    <w:p w14:paraId="0B9E8047" w14:textId="7D211B23" w:rsidR="00E869EE" w:rsidRPr="00344FB3" w:rsidRDefault="00C77B7D" w:rsidP="00E869EE">
      <w:pPr>
        <w:autoSpaceDE w:val="0"/>
        <w:autoSpaceDN w:val="0"/>
        <w:adjustRightInd w:val="0"/>
        <w:jc w:val="both"/>
        <w:rPr>
          <w:rFonts w:cstheme="minorHAnsi"/>
          <w:lang w:val="es-419"/>
        </w:rPr>
      </w:pPr>
      <w:r w:rsidRPr="00344FB3">
        <w:rPr>
          <w:rFonts w:cstheme="minorHAnsi"/>
          <w:lang w:val="es-419"/>
        </w:rPr>
        <w:t>Consideramos importante romper el mito sobre la imposibilidad de ampliar montos o coberturas de programas de manera temporal</w:t>
      </w:r>
      <w:r w:rsidR="00091986" w:rsidRPr="00344FB3">
        <w:rPr>
          <w:rFonts w:cstheme="minorHAnsi"/>
          <w:lang w:val="es-419"/>
        </w:rPr>
        <w:t xml:space="preserve">. </w:t>
      </w:r>
      <w:r w:rsidR="007C0566" w:rsidRPr="00344FB3">
        <w:rPr>
          <w:rFonts w:cstheme="minorHAnsi"/>
          <w:lang w:val="es-419"/>
        </w:rPr>
        <w:t xml:space="preserve">La experiencia reciente de </w:t>
      </w:r>
      <w:r w:rsidR="003A1A39" w:rsidRPr="00344FB3">
        <w:rPr>
          <w:rFonts w:cstheme="minorHAnsi"/>
          <w:lang w:val="es-419"/>
        </w:rPr>
        <w:t>en programas de transferencias</w:t>
      </w:r>
      <w:r w:rsidR="009F5DBC" w:rsidRPr="00344FB3">
        <w:rPr>
          <w:rFonts w:cstheme="minorHAnsi"/>
          <w:lang w:val="es-419"/>
        </w:rPr>
        <w:t xml:space="preserve"> sugiere que </w:t>
      </w:r>
      <w:r w:rsidRPr="00344FB3">
        <w:rPr>
          <w:rFonts w:cstheme="minorHAnsi"/>
          <w:lang w:val="es-419"/>
        </w:rPr>
        <w:lastRenderedPageBreak/>
        <w:t>es posible hacer pagos extraordinarios sin crear un precedente (siempre y cuando haya comunicación clara e hitos transparentes).</w:t>
      </w:r>
      <w:r w:rsidR="00E869EE" w:rsidRPr="00344FB3">
        <w:rPr>
          <w:rFonts w:cstheme="minorHAnsi"/>
          <w:lang w:val="es-419"/>
        </w:rPr>
        <w:t xml:space="preserve"> El instrumento más directo son las transferencias económicas extraordinarias, pero hay otras medidas complementarias como la distribución directa de productos básicos o la moratoria en el pago de hipotecas o del pago de servicios domiciliarios como agua, luz, gas y teléfono. Para la respuesta inmediata, se propone expandir las transferencias monetarias de forma extraordinaria mediante la expansión de programas existentes o la creación de programas nuevos de emergencia con pagos excepcionales debido a la pandemia. Se han identificado los siguientes grupos: 1) las personas directamente afectadas por el COVID-19 y sus familias, 2) a pobres y grupos vulnerables que pueden ser alcanzados a través de transferencias monetarias existentes; 3) a población vulnerable del sector informal o de bajos ingresos que no se encuentra en los padrones de la protección social. </w:t>
      </w:r>
    </w:p>
    <w:p w14:paraId="5402064C" w14:textId="03BA6034" w:rsidR="00E869EE" w:rsidRDefault="00E869EE" w:rsidP="00E869EE">
      <w:pPr>
        <w:jc w:val="both"/>
        <w:rPr>
          <w:rFonts w:cstheme="minorHAnsi"/>
          <w:lang w:val="es-419"/>
        </w:rPr>
      </w:pPr>
      <w:r w:rsidRPr="00344FB3">
        <w:rPr>
          <w:rFonts w:cstheme="minorHAnsi"/>
          <w:lang w:val="es-419"/>
        </w:rPr>
        <w:t>Los sistemas de protección social no han sido concebidos para gestionar los riesgos asociados a una pandemia como la de COVID-19 pero han desempeñado un rol importante en respuesta a emergencias y crisis que impactan de manera simultánea a una amplia parte de la población. Una revisión sistemática de experiencias dentro y fuera de la región encuentra que los programas de protección social no contributiva (como, transferencias monetarias y programas de empleo público) y contributiva (como seguro de desempleo y pensiones) (O’Brien, Holmes, Scott y Barca 2018</w:t>
      </w:r>
      <w:r w:rsidRPr="00344FB3">
        <w:rPr>
          <w:rFonts w:cstheme="minorHAnsi"/>
          <w:lang w:val="es-419"/>
        </w:rPr>
        <w:footnoteReference w:id="7"/>
      </w:r>
      <w:r w:rsidRPr="00344FB3">
        <w:rPr>
          <w:rFonts w:cstheme="minorHAnsi"/>
          <w:lang w:val="es-419"/>
        </w:rPr>
        <w:t>; Grosh et al 2014</w:t>
      </w:r>
      <w:r w:rsidRPr="00344FB3">
        <w:rPr>
          <w:rFonts w:cstheme="minorHAnsi"/>
          <w:lang w:val="es-419"/>
        </w:rPr>
        <w:footnoteReference w:id="8"/>
      </w:r>
      <w:r w:rsidRPr="00344FB3">
        <w:rPr>
          <w:rFonts w:cstheme="minorHAnsi"/>
          <w:lang w:val="es-419"/>
        </w:rPr>
        <w:t>) han sido utilizadas para dar respuesta a emergencias. Dichas respuestas incluyen: i) modificar el diseño para adaptarse a la situación de emergencia (por ejemplo, simplificando procedimientos), ii) utilizando la infraestructura como padrones de beneficiarios, mecanismos de focalización y medios de pago y iii) expandir los apoyos a través de diversas estrategias incluyendo aumentar los montos o adelantar pagos de programas existentes, así como incrementar la cobertura y crear nuevos programas temporales. Por ejemplo, en el caso de la crisis económica de 2008, la región de ALC entró bien dotada de programas de transferencias condicionadas y otros programas dirigidos a los pobres crónicos lo que le permitió dar respuesta de una manera rápida aumentando los montos de los beneficios; aunque no necesariamente estaban en condiciones de llegar a las personas que cayeron en pobreza como resultado de la crisis (Grosh et al 2014). Además, se ha documentado el uso de programas de protección social como transferencias condicionadas y pensiones no contributivas para situaciones de desastres que requieres respuestas inmediatas como a sismos, sequías y huracanes utilizando las estrategias de aumentar las transferencias, aprovechar los medios de pago existentes para canalizar apoyos extraordinarios, adelantando pagos y utilizando los padrones para identificar personas vulnerables (Beazley et al 2019</w:t>
      </w:r>
      <w:r w:rsidRPr="00344FB3">
        <w:rPr>
          <w:rFonts w:cstheme="minorHAnsi"/>
          <w:vertAlign w:val="superscript"/>
          <w:lang w:val="es-419"/>
        </w:rPr>
        <w:footnoteReference w:id="9"/>
      </w:r>
      <w:r w:rsidRPr="00344FB3">
        <w:rPr>
          <w:rFonts w:cstheme="minorHAnsi"/>
          <w:lang w:val="es-419"/>
        </w:rPr>
        <w:t>). </w:t>
      </w:r>
    </w:p>
    <w:p w14:paraId="40A156FA" w14:textId="77777777" w:rsidR="0046752B" w:rsidRDefault="00D00BCA" w:rsidP="0039680C">
      <w:pPr>
        <w:jc w:val="both"/>
        <w:rPr>
          <w:rFonts w:cstheme="minorHAnsi"/>
          <w:lang w:val="es-419"/>
        </w:rPr>
      </w:pPr>
      <w:r w:rsidRPr="00D00BCA">
        <w:rPr>
          <w:rFonts w:cstheme="minorHAnsi"/>
          <w:lang w:val="es-419"/>
        </w:rPr>
        <w:t xml:space="preserve">En la mayoría de los países de la región, los sistemas de protección social son totalmente inadecuados incluso en tiempos normales, con un alto porcentaje de personas descubiertas. La expansión del COVID-19 ha demostrado que más allá del riesgo en la salud, la mayoría de la población está afectada económicamente y ha experimentado cambios significativos en su estándar de vida. Incluso aquellos </w:t>
      </w:r>
      <w:r w:rsidRPr="00D00BCA">
        <w:rPr>
          <w:rFonts w:cstheme="minorHAnsi"/>
          <w:lang w:val="es-419"/>
        </w:rPr>
        <w:lastRenderedPageBreak/>
        <w:t>trabajadores formales cubiertos por el sistema de seguridad social corren el riesgo de perder su trabajo e ingreso durante el periodo de distanciamiento social o luego de la crisis.</w:t>
      </w:r>
    </w:p>
    <w:p w14:paraId="20095DEB" w14:textId="7B0BFE0A" w:rsidR="00D00BCA" w:rsidRPr="00344FB3" w:rsidRDefault="0039680C" w:rsidP="0039680C">
      <w:pPr>
        <w:jc w:val="both"/>
        <w:rPr>
          <w:rFonts w:cstheme="minorHAnsi"/>
          <w:lang w:val="es-419"/>
        </w:rPr>
      </w:pPr>
      <w:r>
        <w:rPr>
          <w:rFonts w:cstheme="minorHAnsi"/>
          <w:lang w:val="es-419"/>
        </w:rPr>
        <w:t>En e</w:t>
      </w:r>
      <w:r w:rsidR="00D00BCA" w:rsidRPr="00D00BCA">
        <w:rPr>
          <w:rFonts w:cstheme="minorHAnsi"/>
          <w:lang w:val="es-419"/>
        </w:rPr>
        <w:t xml:space="preserve">sta situación </w:t>
      </w:r>
      <w:r>
        <w:rPr>
          <w:rFonts w:cstheme="minorHAnsi"/>
          <w:lang w:val="es-419"/>
        </w:rPr>
        <w:t>algunos países se han planteado implementar</w:t>
      </w:r>
      <w:r w:rsidR="00D00BCA" w:rsidRPr="00D00BCA">
        <w:rPr>
          <w:rFonts w:cstheme="minorHAnsi"/>
          <w:lang w:val="es-419"/>
        </w:rPr>
        <w:t xml:space="preserve"> </w:t>
      </w:r>
      <w:r>
        <w:rPr>
          <w:rFonts w:cstheme="minorHAnsi"/>
          <w:lang w:val="es-419"/>
        </w:rPr>
        <w:t>programas de</w:t>
      </w:r>
      <w:r w:rsidR="00D00BCA" w:rsidRPr="00D00BCA">
        <w:rPr>
          <w:rFonts w:cstheme="minorHAnsi"/>
          <w:lang w:val="es-419"/>
        </w:rPr>
        <w:t xml:space="preserve"> ingreso básico universal (</w:t>
      </w:r>
      <w:r>
        <w:rPr>
          <w:rFonts w:cstheme="minorHAnsi"/>
          <w:lang w:val="es-419"/>
        </w:rPr>
        <w:t>IBU</w:t>
      </w:r>
      <w:r w:rsidR="00D00BCA" w:rsidRPr="00D00BCA">
        <w:rPr>
          <w:rFonts w:cstheme="minorHAnsi"/>
          <w:lang w:val="es-419"/>
        </w:rPr>
        <w:t>)</w:t>
      </w:r>
      <w:r>
        <w:rPr>
          <w:rFonts w:cstheme="minorHAnsi"/>
          <w:lang w:val="es-419"/>
        </w:rPr>
        <w:t xml:space="preserve"> como respuesta a la crisis de amplia cobertura. Para ofrecer</w:t>
      </w:r>
      <w:r w:rsidR="00D00BCA" w:rsidRPr="00D00BCA">
        <w:rPr>
          <w:rFonts w:cstheme="minorHAnsi"/>
          <w:lang w:val="es-419"/>
        </w:rPr>
        <w:t xml:space="preserve"> a cada miembro de la sociedad una transferencia regular y predecible para mantener su bienestar y actuar como un estímulo económico. </w:t>
      </w:r>
      <w:r>
        <w:rPr>
          <w:rFonts w:cstheme="minorHAnsi"/>
          <w:lang w:val="es-419"/>
        </w:rPr>
        <w:t>Gentilini et al (2020</w:t>
      </w:r>
      <w:r w:rsidR="00D00BCA">
        <w:rPr>
          <w:rStyle w:val="FootnoteReference"/>
          <w:rFonts w:cstheme="minorHAnsi"/>
          <w:lang w:val="es-419"/>
        </w:rPr>
        <w:footnoteReference w:id="10"/>
      </w:r>
      <w:r>
        <w:rPr>
          <w:rFonts w:cstheme="minorHAnsi"/>
          <w:lang w:val="es-419"/>
        </w:rPr>
        <w:t>)</w:t>
      </w:r>
      <w:r w:rsidR="00D00BCA" w:rsidRPr="00D00BCA">
        <w:rPr>
          <w:rFonts w:cstheme="minorHAnsi"/>
          <w:lang w:val="es-419"/>
        </w:rPr>
        <w:t xml:space="preserve"> destaca</w:t>
      </w:r>
      <w:r>
        <w:rPr>
          <w:rFonts w:cstheme="minorHAnsi"/>
          <w:lang w:val="es-419"/>
        </w:rPr>
        <w:t>n</w:t>
      </w:r>
      <w:r w:rsidR="00D00BCA" w:rsidRPr="00D00BCA">
        <w:rPr>
          <w:rFonts w:cstheme="minorHAnsi"/>
          <w:lang w:val="es-419"/>
        </w:rPr>
        <w:t xml:space="preserve"> que estos tipos de programas en general no son universales y siempre tienen algún criterio que limita su alcance.</w:t>
      </w:r>
      <w:r>
        <w:rPr>
          <w:rFonts w:cstheme="minorHAnsi"/>
          <w:lang w:val="es-419"/>
        </w:rPr>
        <w:t xml:space="preserve"> La edad es un ejemplo de estos criterios, en ese caso</w:t>
      </w:r>
      <w:r w:rsidR="00D00BCA" w:rsidRPr="00D00BCA">
        <w:rPr>
          <w:rFonts w:cstheme="minorHAnsi"/>
          <w:lang w:val="es-419"/>
        </w:rPr>
        <w:t xml:space="preserve"> las pensiones sociales que serían un </w:t>
      </w:r>
      <w:r>
        <w:rPr>
          <w:rFonts w:cstheme="minorHAnsi"/>
          <w:lang w:val="es-419"/>
        </w:rPr>
        <w:t xml:space="preserve">IBU </w:t>
      </w:r>
      <w:r w:rsidR="00D00BCA" w:rsidRPr="00D00BCA">
        <w:rPr>
          <w:rFonts w:cstheme="minorHAnsi"/>
          <w:lang w:val="es-419"/>
        </w:rPr>
        <w:t xml:space="preserve">para aquellos mayores de 65 años. Como respuesta a la crisis impuesta por el COVID-19 los países están pensando en una forma puntual de </w:t>
      </w:r>
      <w:r>
        <w:rPr>
          <w:rFonts w:cstheme="minorHAnsi"/>
          <w:lang w:val="es-419"/>
        </w:rPr>
        <w:t>IBU</w:t>
      </w:r>
      <w:r w:rsidRPr="00D00BCA">
        <w:rPr>
          <w:rFonts w:cstheme="minorHAnsi"/>
          <w:lang w:val="es-419"/>
        </w:rPr>
        <w:t xml:space="preserve"> </w:t>
      </w:r>
      <w:r w:rsidR="00D00BCA" w:rsidRPr="00D00BCA">
        <w:rPr>
          <w:rFonts w:cstheme="minorHAnsi"/>
          <w:lang w:val="es-419"/>
        </w:rPr>
        <w:t xml:space="preserve">a través de transferencias universales por única vez.  </w:t>
      </w:r>
      <w:r>
        <w:rPr>
          <w:rFonts w:cstheme="minorHAnsi"/>
          <w:lang w:val="es-419"/>
        </w:rPr>
        <w:t>De hecho, a</w:t>
      </w:r>
      <w:r w:rsidR="00D00BCA" w:rsidRPr="00D00BCA">
        <w:rPr>
          <w:rFonts w:cstheme="minorHAnsi"/>
          <w:lang w:val="es-419"/>
        </w:rPr>
        <w:t>lgunos países ya están implementando programas masivos de apoyo. Es el caso de Ser</w:t>
      </w:r>
      <w:r>
        <w:rPr>
          <w:rFonts w:cstheme="minorHAnsi"/>
          <w:lang w:val="es-419"/>
        </w:rPr>
        <w:t>b</w:t>
      </w:r>
      <w:r w:rsidR="00D00BCA" w:rsidRPr="00D00BCA">
        <w:rPr>
          <w:rFonts w:cstheme="minorHAnsi"/>
          <w:lang w:val="es-419"/>
        </w:rPr>
        <w:t xml:space="preserve">ia donde todos los adultos mayores de 18 años recibirán una transferencia </w:t>
      </w:r>
      <w:r>
        <w:rPr>
          <w:rFonts w:cstheme="minorHAnsi"/>
          <w:lang w:val="es-419"/>
        </w:rPr>
        <w:t xml:space="preserve">única </w:t>
      </w:r>
      <w:r w:rsidR="00D00BCA" w:rsidRPr="00D00BCA">
        <w:rPr>
          <w:rFonts w:cstheme="minorHAnsi"/>
          <w:lang w:val="es-419"/>
        </w:rPr>
        <w:t>de E</w:t>
      </w:r>
      <w:r>
        <w:rPr>
          <w:rFonts w:cstheme="minorHAnsi"/>
          <w:lang w:val="es-419"/>
        </w:rPr>
        <w:t>U$</w:t>
      </w:r>
      <w:r w:rsidR="00D00BCA" w:rsidRPr="00D00BCA">
        <w:rPr>
          <w:rFonts w:cstheme="minorHAnsi"/>
          <w:lang w:val="es-419"/>
        </w:rPr>
        <w:t>100 (US$ 108.9). En Singapur, el gobierno introdujo una transferencia de un pago en efectivo de S$ 100-300 (US$ 70.</w:t>
      </w:r>
      <w:r w:rsidR="00D00BCA">
        <w:rPr>
          <w:rFonts w:cstheme="minorHAnsi"/>
          <w:lang w:val="es-419"/>
        </w:rPr>
        <w:t>2-210.8)</w:t>
      </w:r>
      <w:r w:rsidR="00D00BCA" w:rsidRPr="00D00BCA">
        <w:rPr>
          <w:rFonts w:cstheme="minorHAnsi"/>
          <w:lang w:val="es-419"/>
        </w:rPr>
        <w:t>, dependiendo de los ingresos, para todos los residentes de 21 años o más. En Hong-Kong, se planea una transferencia única de $10,000 (US$ 1,280) para residentes permanentes mayores de 18 años. En el pasado este tipo de transferencias únicas se habían utilizado en Kuwait en 2011, mientras que Australia realizó una inyección similar en 2009.</w:t>
      </w:r>
    </w:p>
    <w:p w14:paraId="4CC6E22F" w14:textId="5DF1B746" w:rsidR="00C144DF" w:rsidRPr="00344FB3" w:rsidRDefault="000D1FAC" w:rsidP="00253DF1">
      <w:pPr>
        <w:pStyle w:val="ListParagraph"/>
        <w:numPr>
          <w:ilvl w:val="0"/>
          <w:numId w:val="7"/>
        </w:numPr>
        <w:jc w:val="both"/>
        <w:rPr>
          <w:rFonts w:cstheme="minorHAnsi"/>
          <w:b/>
          <w:lang w:val="es-419"/>
        </w:rPr>
      </w:pPr>
      <w:r w:rsidRPr="00344FB3">
        <w:rPr>
          <w:rFonts w:cstheme="minorHAnsi"/>
          <w:b/>
          <w:lang w:val="es-419"/>
        </w:rPr>
        <w:t>¿Qué están haciendo los países de América Latina y el Caribe?</w:t>
      </w:r>
    </w:p>
    <w:p w14:paraId="638442D5" w14:textId="2CEB8159" w:rsidR="000D1FAC" w:rsidRPr="00344FB3" w:rsidRDefault="00C72737" w:rsidP="00C77B7D">
      <w:pPr>
        <w:jc w:val="both"/>
        <w:rPr>
          <w:rFonts w:cstheme="minorHAnsi"/>
          <w:lang w:val="es-AR"/>
        </w:rPr>
      </w:pPr>
      <w:r w:rsidRPr="00344FB3">
        <w:rPr>
          <w:rFonts w:cstheme="minorHAnsi"/>
          <w:lang w:val="es-419"/>
        </w:rPr>
        <w:t>L</w:t>
      </w:r>
      <w:r w:rsidR="00D4764E" w:rsidRPr="00344FB3">
        <w:rPr>
          <w:rFonts w:cstheme="minorHAnsi"/>
          <w:lang w:val="es-419"/>
        </w:rPr>
        <w:t xml:space="preserve">os países de la región </w:t>
      </w:r>
      <w:r w:rsidR="00F66833" w:rsidRPr="00344FB3">
        <w:rPr>
          <w:rFonts w:cstheme="minorHAnsi"/>
          <w:lang w:val="es-419"/>
        </w:rPr>
        <w:t>han anunciado</w:t>
      </w:r>
      <w:r w:rsidR="00AF6052" w:rsidRPr="00344FB3">
        <w:rPr>
          <w:rFonts w:cstheme="minorHAnsi"/>
          <w:lang w:val="es-419"/>
        </w:rPr>
        <w:t xml:space="preserve"> y en algunos casos</w:t>
      </w:r>
      <w:r w:rsidR="00FC4025" w:rsidRPr="00344FB3">
        <w:rPr>
          <w:rFonts w:cstheme="minorHAnsi"/>
          <w:lang w:val="es-419"/>
        </w:rPr>
        <w:t xml:space="preserve"> </w:t>
      </w:r>
      <w:r w:rsidR="0032634F" w:rsidRPr="00344FB3">
        <w:rPr>
          <w:rFonts w:cstheme="minorHAnsi"/>
          <w:lang w:val="es-419"/>
        </w:rPr>
        <w:t xml:space="preserve">aprobado </w:t>
      </w:r>
      <w:r w:rsidR="00D4764E" w:rsidRPr="00344FB3">
        <w:rPr>
          <w:rFonts w:cstheme="minorHAnsi"/>
          <w:lang w:val="es-419"/>
        </w:rPr>
        <w:t xml:space="preserve">medidas </w:t>
      </w:r>
      <w:r w:rsidR="00C61E72" w:rsidRPr="00344FB3">
        <w:rPr>
          <w:rFonts w:cstheme="minorHAnsi"/>
          <w:lang w:val="es-419"/>
        </w:rPr>
        <w:t>para</w:t>
      </w:r>
      <w:r w:rsidR="007F60D8" w:rsidRPr="00344FB3">
        <w:rPr>
          <w:rFonts w:cstheme="minorHAnsi"/>
          <w:lang w:val="es-419"/>
        </w:rPr>
        <w:t xml:space="preserve"> alivianar la</w:t>
      </w:r>
      <w:r w:rsidR="00154CC6" w:rsidRPr="00344FB3">
        <w:rPr>
          <w:rFonts w:cstheme="minorHAnsi"/>
          <w:lang w:val="es-419"/>
        </w:rPr>
        <w:t>s</w:t>
      </w:r>
      <w:r w:rsidR="007F60D8" w:rsidRPr="00344FB3">
        <w:rPr>
          <w:rFonts w:cstheme="minorHAnsi"/>
          <w:lang w:val="es-419"/>
        </w:rPr>
        <w:t xml:space="preserve"> </w:t>
      </w:r>
      <w:r w:rsidR="00B30115" w:rsidRPr="00344FB3">
        <w:rPr>
          <w:rFonts w:cstheme="minorHAnsi"/>
          <w:lang w:val="es-419"/>
        </w:rPr>
        <w:t>pérdidas</w:t>
      </w:r>
      <w:r w:rsidR="007F60D8" w:rsidRPr="00344FB3">
        <w:rPr>
          <w:rFonts w:cstheme="minorHAnsi"/>
          <w:lang w:val="es-419"/>
        </w:rPr>
        <w:t xml:space="preserve"> de ingreso </w:t>
      </w:r>
      <w:r w:rsidR="000552D4" w:rsidRPr="00344FB3">
        <w:rPr>
          <w:rFonts w:cstheme="minorHAnsi"/>
          <w:lang w:val="es-419"/>
        </w:rPr>
        <w:t>debidas al distanciamiento social</w:t>
      </w:r>
      <w:r w:rsidR="00E63FD4" w:rsidRPr="00344FB3">
        <w:rPr>
          <w:rFonts w:cstheme="minorHAnsi"/>
          <w:lang w:val="es-419"/>
        </w:rPr>
        <w:t>. Por un lado</w:t>
      </w:r>
      <w:r w:rsidR="004700AB" w:rsidRPr="00344FB3">
        <w:rPr>
          <w:rFonts w:cstheme="minorHAnsi"/>
          <w:lang w:val="es-419"/>
        </w:rPr>
        <w:t>,</w:t>
      </w:r>
      <w:r w:rsidR="00E63FD4" w:rsidRPr="00344FB3">
        <w:rPr>
          <w:rFonts w:cstheme="minorHAnsi"/>
          <w:lang w:val="es-419"/>
        </w:rPr>
        <w:t xml:space="preserve"> se propone</w:t>
      </w:r>
      <w:r w:rsidR="50085329" w:rsidRPr="00344FB3">
        <w:rPr>
          <w:rFonts w:cstheme="minorHAnsi"/>
          <w:lang w:val="es-419"/>
        </w:rPr>
        <w:t xml:space="preserve"> incrementar por única vez</w:t>
      </w:r>
      <w:r w:rsidR="00E63FD4" w:rsidRPr="00344FB3">
        <w:rPr>
          <w:rFonts w:cstheme="minorHAnsi"/>
          <w:lang w:val="es-419"/>
        </w:rPr>
        <w:t xml:space="preserve"> </w:t>
      </w:r>
      <w:r w:rsidR="00C73C2E" w:rsidRPr="00344FB3">
        <w:rPr>
          <w:rFonts w:cstheme="minorHAnsi"/>
          <w:lang w:val="es-419"/>
        </w:rPr>
        <w:t xml:space="preserve">o adelantar transferencias a </w:t>
      </w:r>
      <w:r w:rsidR="00EF7384" w:rsidRPr="00344FB3">
        <w:rPr>
          <w:rFonts w:cstheme="minorHAnsi"/>
          <w:lang w:val="es-419"/>
        </w:rPr>
        <w:t xml:space="preserve">perceptores de beneficios </w:t>
      </w:r>
      <w:r w:rsidR="00F9438E" w:rsidRPr="00344FB3">
        <w:rPr>
          <w:rFonts w:cstheme="minorHAnsi"/>
          <w:lang w:val="es-419"/>
        </w:rPr>
        <w:t>sociales</w:t>
      </w:r>
      <w:r w:rsidR="00D64F28" w:rsidRPr="00344FB3">
        <w:rPr>
          <w:rFonts w:cstheme="minorHAnsi"/>
          <w:lang w:val="es-419"/>
        </w:rPr>
        <w:t xml:space="preserve"> </w:t>
      </w:r>
      <w:r w:rsidR="00001827" w:rsidRPr="00344FB3">
        <w:rPr>
          <w:rFonts w:cstheme="minorHAnsi"/>
          <w:lang w:val="es-419"/>
        </w:rPr>
        <w:t>para</w:t>
      </w:r>
      <w:r w:rsidR="00444EDE" w:rsidRPr="00344FB3">
        <w:rPr>
          <w:rFonts w:cstheme="minorHAnsi"/>
          <w:lang w:val="es-419"/>
        </w:rPr>
        <w:t xml:space="preserve"> </w:t>
      </w:r>
      <w:r w:rsidR="00C94E7A" w:rsidRPr="00344FB3">
        <w:rPr>
          <w:rFonts w:cstheme="minorHAnsi"/>
          <w:lang w:val="es-419"/>
        </w:rPr>
        <w:t xml:space="preserve">familias </w:t>
      </w:r>
      <w:r w:rsidR="00904608" w:rsidRPr="00344FB3">
        <w:rPr>
          <w:rFonts w:cstheme="minorHAnsi"/>
          <w:lang w:val="es-419"/>
        </w:rPr>
        <w:t>o individuos</w:t>
      </w:r>
      <w:r w:rsidR="00BB3518" w:rsidRPr="00344FB3">
        <w:rPr>
          <w:rFonts w:cstheme="minorHAnsi"/>
          <w:lang w:val="es-419"/>
        </w:rPr>
        <w:t xml:space="preserve"> en situación de pobreza o vulnerabilidad</w:t>
      </w:r>
      <w:r w:rsidR="003048FA" w:rsidRPr="00344FB3">
        <w:rPr>
          <w:rFonts w:cstheme="minorHAnsi"/>
          <w:lang w:val="es-419"/>
        </w:rPr>
        <w:t xml:space="preserve"> (</w:t>
      </w:r>
      <w:r w:rsidR="00DF3F4B" w:rsidRPr="00344FB3">
        <w:rPr>
          <w:rFonts w:cstheme="minorHAnsi"/>
          <w:lang w:val="es-419"/>
        </w:rPr>
        <w:t>Argentina</w:t>
      </w:r>
      <w:r w:rsidR="00AD722F" w:rsidRPr="00344FB3">
        <w:rPr>
          <w:rFonts w:cstheme="minorHAnsi"/>
          <w:lang w:val="es-419"/>
        </w:rPr>
        <w:t xml:space="preserve">, </w:t>
      </w:r>
      <w:r w:rsidR="007653D3" w:rsidRPr="00344FB3">
        <w:rPr>
          <w:rFonts w:cstheme="minorHAnsi"/>
          <w:lang w:val="es-419"/>
        </w:rPr>
        <w:t xml:space="preserve">Bolivia, Colombia, </w:t>
      </w:r>
      <w:r w:rsidR="00DD51F2" w:rsidRPr="00344FB3">
        <w:rPr>
          <w:rFonts w:cstheme="minorHAnsi"/>
          <w:lang w:val="es-419"/>
        </w:rPr>
        <w:t>República Dominicana</w:t>
      </w:r>
      <w:r w:rsidR="31DB5FC9" w:rsidRPr="00344FB3">
        <w:rPr>
          <w:rFonts w:cstheme="minorHAnsi"/>
          <w:lang w:val="es-419"/>
        </w:rPr>
        <w:t xml:space="preserve">, </w:t>
      </w:r>
      <w:r w:rsidR="007653D3" w:rsidRPr="00344FB3">
        <w:rPr>
          <w:rFonts w:cstheme="minorHAnsi"/>
          <w:lang w:val="es-419"/>
        </w:rPr>
        <w:t>Perú</w:t>
      </w:r>
      <w:r w:rsidR="004202C9" w:rsidRPr="00344FB3">
        <w:rPr>
          <w:rFonts w:cstheme="minorHAnsi"/>
          <w:lang w:val="es-419"/>
        </w:rPr>
        <w:t>)</w:t>
      </w:r>
      <w:r w:rsidR="00746FBF" w:rsidRPr="00344FB3">
        <w:rPr>
          <w:rFonts w:cstheme="minorHAnsi"/>
          <w:lang w:val="es-419"/>
        </w:rPr>
        <w:t xml:space="preserve"> o expandir la cantidad de beneficiarios (</w:t>
      </w:r>
      <w:r w:rsidR="00AD722F" w:rsidRPr="00344FB3">
        <w:rPr>
          <w:rFonts w:cstheme="minorHAnsi"/>
          <w:lang w:val="es-419"/>
        </w:rPr>
        <w:t>Brasil</w:t>
      </w:r>
      <w:r w:rsidR="00746FBF" w:rsidRPr="00344FB3">
        <w:rPr>
          <w:rFonts w:cstheme="minorHAnsi"/>
          <w:lang w:val="es-419"/>
        </w:rPr>
        <w:t>), incluso para</w:t>
      </w:r>
      <w:r w:rsidR="0022547E" w:rsidRPr="00344FB3">
        <w:rPr>
          <w:rFonts w:cstheme="minorHAnsi"/>
          <w:lang w:val="es-419"/>
        </w:rPr>
        <w:t xml:space="preserve"> receptores de beneficios de discapacidad. Por otro,</w:t>
      </w:r>
      <w:r w:rsidR="00915B37" w:rsidRPr="00344FB3">
        <w:rPr>
          <w:rFonts w:cstheme="minorHAnsi"/>
          <w:lang w:val="es-419"/>
        </w:rPr>
        <w:t xml:space="preserve"> </w:t>
      </w:r>
      <w:r w:rsidR="00DB5137" w:rsidRPr="00344FB3">
        <w:rPr>
          <w:rFonts w:cstheme="minorHAnsi"/>
          <w:lang w:val="es-419"/>
        </w:rPr>
        <w:t xml:space="preserve">se </w:t>
      </w:r>
      <w:r w:rsidR="00CE71C8" w:rsidRPr="00344FB3">
        <w:rPr>
          <w:rFonts w:cstheme="minorHAnsi"/>
          <w:lang w:val="es-419"/>
        </w:rPr>
        <w:t>ha considerado</w:t>
      </w:r>
      <w:r w:rsidR="00074F52" w:rsidRPr="00344FB3">
        <w:rPr>
          <w:rFonts w:cstheme="minorHAnsi"/>
          <w:lang w:val="es-419"/>
        </w:rPr>
        <w:t xml:space="preserve"> </w:t>
      </w:r>
      <w:r w:rsidR="00B1477A" w:rsidRPr="00344FB3">
        <w:rPr>
          <w:rFonts w:cstheme="minorHAnsi"/>
          <w:lang w:val="es-419"/>
        </w:rPr>
        <w:t xml:space="preserve">la creación de nuevos </w:t>
      </w:r>
      <w:r w:rsidR="00B25325" w:rsidRPr="00344FB3">
        <w:rPr>
          <w:rFonts w:cstheme="minorHAnsi"/>
          <w:lang w:val="es-419"/>
        </w:rPr>
        <w:t>subsidios</w:t>
      </w:r>
      <w:r w:rsidR="00B1477A" w:rsidRPr="00344FB3">
        <w:rPr>
          <w:rFonts w:cstheme="minorHAnsi"/>
          <w:lang w:val="es-419"/>
        </w:rPr>
        <w:t xml:space="preserve"> para</w:t>
      </w:r>
      <w:r w:rsidR="00915B37" w:rsidRPr="00344FB3">
        <w:rPr>
          <w:rFonts w:cstheme="minorHAnsi"/>
          <w:lang w:val="es-419"/>
        </w:rPr>
        <w:t xml:space="preserve"> trabajadores informales </w:t>
      </w:r>
      <w:r w:rsidR="0031048E" w:rsidRPr="00344FB3">
        <w:rPr>
          <w:rFonts w:cstheme="minorHAnsi"/>
          <w:lang w:val="es-419"/>
        </w:rPr>
        <w:t xml:space="preserve">vulnerables </w:t>
      </w:r>
      <w:r w:rsidR="00915B37" w:rsidRPr="00344FB3">
        <w:rPr>
          <w:rFonts w:cstheme="minorHAnsi"/>
          <w:lang w:val="es-419"/>
        </w:rPr>
        <w:t>(</w:t>
      </w:r>
      <w:r w:rsidR="00B1477A" w:rsidRPr="00344FB3">
        <w:rPr>
          <w:rFonts w:cstheme="minorHAnsi"/>
          <w:lang w:val="es-419"/>
        </w:rPr>
        <w:t>Perú</w:t>
      </w:r>
      <w:r w:rsidR="00D73482" w:rsidRPr="00344FB3">
        <w:rPr>
          <w:rFonts w:cstheme="minorHAnsi"/>
          <w:lang w:val="es-419"/>
        </w:rPr>
        <w:t>, República Dominicana</w:t>
      </w:r>
      <w:r w:rsidR="00915B37" w:rsidRPr="00344FB3">
        <w:rPr>
          <w:rFonts w:cstheme="minorHAnsi"/>
          <w:lang w:val="es-419"/>
        </w:rPr>
        <w:t>)</w:t>
      </w:r>
      <w:r w:rsidR="00280589" w:rsidRPr="00344FB3">
        <w:rPr>
          <w:rFonts w:cstheme="minorHAnsi"/>
          <w:lang w:val="es-419"/>
        </w:rPr>
        <w:t xml:space="preserve"> o trabajadores de bajos ingresos informales o independientes (Argentina)</w:t>
      </w:r>
      <w:r w:rsidR="00905FA0" w:rsidRPr="00344FB3">
        <w:rPr>
          <w:rFonts w:cstheme="minorHAnsi"/>
          <w:lang w:val="es-419"/>
        </w:rPr>
        <w:t>, personas enfermas</w:t>
      </w:r>
      <w:r w:rsidR="00B1477A" w:rsidRPr="00344FB3">
        <w:rPr>
          <w:rFonts w:cstheme="minorHAnsi"/>
          <w:lang w:val="es-419"/>
        </w:rPr>
        <w:t xml:space="preserve"> de COVID-19 (Perú</w:t>
      </w:r>
      <w:r w:rsidR="00B25325" w:rsidRPr="00344FB3">
        <w:rPr>
          <w:rFonts w:cstheme="minorHAnsi"/>
          <w:lang w:val="es-419"/>
        </w:rPr>
        <w:t>, Uruguay</w:t>
      </w:r>
      <w:r w:rsidR="00B1477A" w:rsidRPr="00344FB3">
        <w:rPr>
          <w:rFonts w:cstheme="minorHAnsi"/>
          <w:lang w:val="es-419"/>
        </w:rPr>
        <w:t>)</w:t>
      </w:r>
      <w:r w:rsidR="00074F52" w:rsidRPr="00344FB3">
        <w:rPr>
          <w:rFonts w:cstheme="minorHAnsi"/>
          <w:lang w:val="es-419"/>
        </w:rPr>
        <w:t>,</w:t>
      </w:r>
      <w:r w:rsidR="00577C42" w:rsidRPr="00344FB3">
        <w:rPr>
          <w:rFonts w:cstheme="minorHAnsi"/>
          <w:lang w:val="es-419"/>
        </w:rPr>
        <w:t xml:space="preserve"> personas con enfermedades </w:t>
      </w:r>
      <w:r w:rsidR="001346E9" w:rsidRPr="00344FB3">
        <w:rPr>
          <w:rFonts w:cstheme="minorHAnsi"/>
          <w:lang w:val="es-419"/>
        </w:rPr>
        <w:t>crónicas</w:t>
      </w:r>
      <w:r w:rsidR="00CE0554" w:rsidRPr="00344FB3">
        <w:rPr>
          <w:rFonts w:cstheme="minorHAnsi"/>
          <w:lang w:val="es-419"/>
        </w:rPr>
        <w:t xml:space="preserve"> o antecedentes de salud (Republica Dominicana)</w:t>
      </w:r>
      <w:r w:rsidR="00EA5516" w:rsidRPr="00344FB3">
        <w:rPr>
          <w:rFonts w:cstheme="minorHAnsi"/>
          <w:lang w:val="es-419"/>
        </w:rPr>
        <w:t xml:space="preserve">. Por el lado de los adultos mayores, </w:t>
      </w:r>
      <w:r w:rsidR="00986047" w:rsidRPr="00344FB3">
        <w:rPr>
          <w:rFonts w:cstheme="minorHAnsi"/>
          <w:lang w:val="es-419"/>
        </w:rPr>
        <w:t>la población de mayor riesgo a</w:t>
      </w:r>
      <w:r w:rsidR="003E48ED" w:rsidRPr="00344FB3">
        <w:rPr>
          <w:rFonts w:cstheme="minorHAnsi"/>
          <w:lang w:val="es-419"/>
        </w:rPr>
        <w:t xml:space="preserve">nte el </w:t>
      </w:r>
      <w:r w:rsidR="00A13DEB" w:rsidRPr="00344FB3">
        <w:rPr>
          <w:rFonts w:cstheme="minorHAnsi"/>
          <w:lang w:val="es-419"/>
        </w:rPr>
        <w:t>COVID-19</w:t>
      </w:r>
      <w:r w:rsidR="00986047" w:rsidRPr="00344FB3">
        <w:rPr>
          <w:rFonts w:cstheme="minorHAnsi"/>
          <w:lang w:val="es-419"/>
        </w:rPr>
        <w:t xml:space="preserve">, las medidas van desde </w:t>
      </w:r>
      <w:r w:rsidR="00DE04D1" w:rsidRPr="00344FB3">
        <w:rPr>
          <w:rFonts w:cstheme="minorHAnsi"/>
          <w:lang w:val="es-419"/>
        </w:rPr>
        <w:t>aumentos en programas no contributivos (</w:t>
      </w:r>
      <w:r w:rsidR="00EA5516" w:rsidRPr="00344FB3">
        <w:rPr>
          <w:rFonts w:cstheme="minorHAnsi"/>
          <w:lang w:val="es-419"/>
        </w:rPr>
        <w:t>Perú</w:t>
      </w:r>
      <w:r w:rsidR="72A96D4D" w:rsidRPr="00344FB3">
        <w:rPr>
          <w:rFonts w:cstheme="minorHAnsi"/>
          <w:lang w:val="es-419"/>
        </w:rPr>
        <w:t>, Colombia</w:t>
      </w:r>
      <w:r w:rsidR="7DDC3474" w:rsidRPr="00344FB3">
        <w:rPr>
          <w:rFonts w:cstheme="minorHAnsi"/>
          <w:lang w:val="es-419"/>
        </w:rPr>
        <w:t>, México</w:t>
      </w:r>
      <w:r w:rsidR="00DE04D1" w:rsidRPr="00344FB3">
        <w:rPr>
          <w:rFonts w:cstheme="minorHAnsi"/>
          <w:lang w:val="es-419"/>
        </w:rPr>
        <w:t xml:space="preserve">), adelantos o aumentos de pensiones contributivas (Brasil, </w:t>
      </w:r>
      <w:r w:rsidR="00DE04D1" w:rsidRPr="00344FB3">
        <w:rPr>
          <w:rFonts w:cstheme="minorHAnsi"/>
          <w:lang w:val="es-AR"/>
        </w:rPr>
        <w:t>Argentina)</w:t>
      </w:r>
      <w:r w:rsidR="0014141D" w:rsidRPr="00344FB3">
        <w:rPr>
          <w:rFonts w:cstheme="minorHAnsi"/>
          <w:lang w:val="es-AR"/>
        </w:rPr>
        <w:t>. Estas se complementan con</w:t>
      </w:r>
      <w:r w:rsidR="00A72ED8" w:rsidRPr="00344FB3">
        <w:rPr>
          <w:rFonts w:cstheme="minorHAnsi"/>
          <w:lang w:val="es-AR"/>
        </w:rPr>
        <w:t xml:space="preserve"> otras medidas como</w:t>
      </w:r>
      <w:r w:rsidR="0014141D" w:rsidRPr="00344FB3">
        <w:rPr>
          <w:rFonts w:cstheme="minorHAnsi"/>
          <w:lang w:val="es-AR"/>
        </w:rPr>
        <w:t xml:space="preserve"> la definición de</w:t>
      </w:r>
      <w:r w:rsidR="00A77CCA" w:rsidRPr="00344FB3">
        <w:rPr>
          <w:rFonts w:cstheme="minorHAnsi"/>
          <w:lang w:val="es-AR"/>
        </w:rPr>
        <w:t xml:space="preserve"> protocolos para la atención en residencia o centros de día (Argentina</w:t>
      </w:r>
      <w:r w:rsidR="00455746" w:rsidRPr="00344FB3">
        <w:rPr>
          <w:rFonts w:cstheme="minorHAnsi"/>
          <w:lang w:val="es-AR"/>
        </w:rPr>
        <w:t>, Barbados</w:t>
      </w:r>
      <w:r w:rsidR="007761BA" w:rsidRPr="00344FB3">
        <w:rPr>
          <w:rFonts w:cstheme="minorHAnsi"/>
          <w:lang w:val="es-AR"/>
        </w:rPr>
        <w:t>)</w:t>
      </w:r>
      <w:r w:rsidR="00A77CCA" w:rsidRPr="00344FB3">
        <w:rPr>
          <w:rFonts w:cstheme="minorHAnsi"/>
          <w:lang w:val="es-AR"/>
        </w:rPr>
        <w:t>, teletrabajo</w:t>
      </w:r>
      <w:r w:rsidR="007761BA" w:rsidRPr="00344FB3">
        <w:rPr>
          <w:rFonts w:cstheme="minorHAnsi"/>
          <w:lang w:val="es-AR"/>
        </w:rPr>
        <w:t xml:space="preserve"> o licencias</w:t>
      </w:r>
      <w:r w:rsidR="00E160DF" w:rsidRPr="00344FB3">
        <w:rPr>
          <w:rFonts w:cstheme="minorHAnsi"/>
          <w:lang w:val="es-AR"/>
        </w:rPr>
        <w:t xml:space="preserve"> para familiares cuidadores</w:t>
      </w:r>
      <w:r w:rsidR="00DC2B2C" w:rsidRPr="00344FB3">
        <w:rPr>
          <w:rFonts w:cstheme="minorHAnsi"/>
          <w:lang w:val="es-AR"/>
        </w:rPr>
        <w:t>. También se han definido</w:t>
      </w:r>
      <w:r w:rsidR="00774EDF" w:rsidRPr="00344FB3">
        <w:rPr>
          <w:rFonts w:cstheme="minorHAnsi"/>
          <w:lang w:val="es-AR"/>
        </w:rPr>
        <w:t xml:space="preserve"> horarios de atención </w:t>
      </w:r>
      <w:r w:rsidR="00A65591" w:rsidRPr="00344FB3">
        <w:rPr>
          <w:rFonts w:cstheme="minorHAnsi"/>
          <w:lang w:val="es-AR"/>
        </w:rPr>
        <w:t>específicos</w:t>
      </w:r>
      <w:r w:rsidR="00774EDF" w:rsidRPr="00344FB3">
        <w:rPr>
          <w:rFonts w:cstheme="minorHAnsi"/>
          <w:lang w:val="es-AR"/>
        </w:rPr>
        <w:t xml:space="preserve"> en centros de salud, supermercados y </w:t>
      </w:r>
      <w:r w:rsidR="00A65591" w:rsidRPr="00344FB3">
        <w:rPr>
          <w:rFonts w:cstheme="minorHAnsi"/>
          <w:lang w:val="es-AR"/>
        </w:rPr>
        <w:t>bancos</w:t>
      </w:r>
      <w:r w:rsidR="00202B05" w:rsidRPr="00344FB3">
        <w:rPr>
          <w:rFonts w:cstheme="minorHAnsi"/>
          <w:lang w:val="es-AR"/>
        </w:rPr>
        <w:t>, suspensión de pago de créditos</w:t>
      </w:r>
      <w:r w:rsidR="4387E53B" w:rsidRPr="00344FB3">
        <w:rPr>
          <w:rFonts w:cstheme="minorHAnsi"/>
          <w:lang w:val="es-AR"/>
        </w:rPr>
        <w:t>,</w:t>
      </w:r>
      <w:r w:rsidR="4B5D7EBE" w:rsidRPr="00344FB3">
        <w:rPr>
          <w:rFonts w:cstheme="minorHAnsi"/>
          <w:lang w:val="es-AR"/>
        </w:rPr>
        <w:t xml:space="preserve"> suspensión de la exigencia de prueba de vida para la recepción del beneficio (</w:t>
      </w:r>
      <w:r w:rsidR="4AD50EEB" w:rsidRPr="00344FB3">
        <w:rPr>
          <w:rFonts w:cstheme="minorHAnsi"/>
          <w:lang w:val="es-AR"/>
        </w:rPr>
        <w:t xml:space="preserve">Argentina, </w:t>
      </w:r>
      <w:r w:rsidR="4B5D7EBE" w:rsidRPr="00344FB3">
        <w:rPr>
          <w:rFonts w:cstheme="minorHAnsi"/>
          <w:lang w:val="es-AR"/>
        </w:rPr>
        <w:t>Brasil),</w:t>
      </w:r>
      <w:r w:rsidR="000059CF" w:rsidRPr="00344FB3">
        <w:rPr>
          <w:rFonts w:cstheme="minorHAnsi"/>
          <w:lang w:val="es-AR"/>
        </w:rPr>
        <w:t xml:space="preserve"> prohibición </w:t>
      </w:r>
      <w:r w:rsidR="4387E53B" w:rsidRPr="00344FB3">
        <w:rPr>
          <w:rFonts w:cstheme="minorHAnsi"/>
          <w:lang w:val="es-AR"/>
        </w:rPr>
        <w:t>o limite a</w:t>
      </w:r>
      <w:r w:rsidR="26159EA1" w:rsidRPr="00344FB3">
        <w:rPr>
          <w:rFonts w:cstheme="minorHAnsi"/>
          <w:lang w:val="es-AR"/>
        </w:rPr>
        <w:t xml:space="preserve"> </w:t>
      </w:r>
      <w:r w:rsidR="000059CF" w:rsidRPr="00344FB3">
        <w:rPr>
          <w:rFonts w:cstheme="minorHAnsi"/>
          <w:lang w:val="es-AR"/>
        </w:rPr>
        <w:t>visitas en residencias</w:t>
      </w:r>
      <w:r w:rsidR="398822BF" w:rsidRPr="00344FB3">
        <w:rPr>
          <w:rFonts w:cstheme="minorHAnsi"/>
          <w:lang w:val="es-AR"/>
        </w:rPr>
        <w:t xml:space="preserve"> (Argentina, Chile)</w:t>
      </w:r>
      <w:r w:rsidR="4387E53B" w:rsidRPr="00344FB3">
        <w:rPr>
          <w:rFonts w:cstheme="minorHAnsi"/>
          <w:lang w:val="es-AR"/>
        </w:rPr>
        <w:t xml:space="preserve"> y suspensión de centros de día (Argentina)</w:t>
      </w:r>
      <w:r w:rsidR="028174A2" w:rsidRPr="00344FB3">
        <w:rPr>
          <w:rFonts w:cstheme="minorHAnsi"/>
          <w:lang w:val="es-AR"/>
        </w:rPr>
        <w:t>.</w:t>
      </w:r>
      <w:r w:rsidR="007761BA" w:rsidRPr="00344FB3">
        <w:rPr>
          <w:rFonts w:cstheme="minorHAnsi"/>
          <w:lang w:val="es-AR"/>
        </w:rPr>
        <w:t xml:space="preserve"> </w:t>
      </w:r>
      <w:r w:rsidR="006D3B47" w:rsidRPr="00344FB3">
        <w:rPr>
          <w:rFonts w:cstheme="minorHAnsi"/>
          <w:lang w:val="es-AR"/>
        </w:rPr>
        <w:t xml:space="preserve">Perú también </w:t>
      </w:r>
      <w:r w:rsidR="004700AB" w:rsidRPr="00344FB3">
        <w:rPr>
          <w:rFonts w:cstheme="minorHAnsi"/>
          <w:lang w:val="es-AR"/>
        </w:rPr>
        <w:t>prevé</w:t>
      </w:r>
      <w:r w:rsidR="00786002" w:rsidRPr="00344FB3">
        <w:rPr>
          <w:rFonts w:cstheme="minorHAnsi"/>
          <w:lang w:val="es-AR"/>
        </w:rPr>
        <w:t xml:space="preserve"> la instauración de un servicio de visitas domiciliarias para el adulto mayor de alto riesgo y personas de discapacidad severa</w:t>
      </w:r>
      <w:r w:rsidR="002E027B" w:rsidRPr="00344FB3">
        <w:rPr>
          <w:rFonts w:cstheme="minorHAnsi"/>
          <w:lang w:val="es-AR"/>
        </w:rPr>
        <w:t xml:space="preserve"> (</w:t>
      </w:r>
      <w:r w:rsidR="002A3C1B" w:rsidRPr="00344FB3">
        <w:rPr>
          <w:rFonts w:cstheme="minorHAnsi"/>
          <w:lang w:val="es-AR"/>
        </w:rPr>
        <w:t xml:space="preserve">ambos </w:t>
      </w:r>
      <w:r w:rsidR="002E027B" w:rsidRPr="00344FB3">
        <w:rPr>
          <w:rFonts w:cstheme="minorHAnsi"/>
          <w:lang w:val="es-AR"/>
        </w:rPr>
        <w:t>receptores de beneficios)</w:t>
      </w:r>
      <w:r w:rsidR="00786002" w:rsidRPr="00344FB3">
        <w:rPr>
          <w:rFonts w:cstheme="minorHAnsi"/>
          <w:lang w:val="es-AR"/>
        </w:rPr>
        <w:t>.</w:t>
      </w:r>
      <w:r w:rsidR="00FA6C27" w:rsidRPr="00344FB3">
        <w:rPr>
          <w:rFonts w:cstheme="minorHAnsi"/>
          <w:lang w:val="es-AR"/>
        </w:rPr>
        <w:t xml:space="preserve"> </w:t>
      </w:r>
    </w:p>
    <w:p w14:paraId="019F2333" w14:textId="208763B4" w:rsidR="00E12944" w:rsidRPr="00344FB3" w:rsidRDefault="00E12944" w:rsidP="00C77B7D">
      <w:pPr>
        <w:jc w:val="both"/>
        <w:rPr>
          <w:rFonts w:cstheme="minorHAnsi"/>
          <w:lang w:val="es-419"/>
        </w:rPr>
      </w:pPr>
      <w:r w:rsidRPr="00344FB3">
        <w:rPr>
          <w:rFonts w:cstheme="minorHAnsi"/>
          <w:lang w:val="es-419"/>
        </w:rPr>
        <w:t xml:space="preserve">Hay algunos países que ante el cierre de las escuelas están manteniendo la entrega de alimentos </w:t>
      </w:r>
      <w:r w:rsidR="00D92FA5" w:rsidRPr="00344FB3">
        <w:rPr>
          <w:rFonts w:cstheme="minorHAnsi"/>
          <w:lang w:val="es-419"/>
        </w:rPr>
        <w:t>bajo programas existentes</w:t>
      </w:r>
      <w:r w:rsidRPr="00344FB3">
        <w:rPr>
          <w:rFonts w:cstheme="minorHAnsi"/>
          <w:lang w:val="es-419"/>
        </w:rPr>
        <w:t xml:space="preserve"> (</w:t>
      </w:r>
      <w:r w:rsidR="00BC0DC8" w:rsidRPr="00344FB3">
        <w:rPr>
          <w:rFonts w:cstheme="minorHAnsi"/>
          <w:lang w:val="es-419"/>
        </w:rPr>
        <w:t>Jamaica a través del PATH</w:t>
      </w:r>
      <w:r w:rsidR="002E186B" w:rsidRPr="00344FB3">
        <w:rPr>
          <w:rFonts w:cstheme="minorHAnsi"/>
          <w:lang w:val="es-419"/>
        </w:rPr>
        <w:t xml:space="preserve">, </w:t>
      </w:r>
      <w:r w:rsidR="0022547E" w:rsidRPr="00344FB3">
        <w:rPr>
          <w:rFonts w:cstheme="minorHAnsi"/>
          <w:lang w:val="es-419"/>
        </w:rPr>
        <w:t>U</w:t>
      </w:r>
      <w:r w:rsidR="002E186B" w:rsidRPr="00344FB3">
        <w:rPr>
          <w:rFonts w:cstheme="minorHAnsi"/>
          <w:lang w:val="es-419"/>
        </w:rPr>
        <w:t>ruguay</w:t>
      </w:r>
      <w:r w:rsidR="00FE7998" w:rsidRPr="00344FB3">
        <w:rPr>
          <w:rFonts w:cstheme="minorHAnsi"/>
          <w:lang w:val="es-419"/>
        </w:rPr>
        <w:t>, Argentina</w:t>
      </w:r>
      <w:r w:rsidRPr="00344FB3">
        <w:rPr>
          <w:rFonts w:cstheme="minorHAnsi"/>
          <w:lang w:val="es-419"/>
        </w:rPr>
        <w:t>)</w:t>
      </w:r>
      <w:r w:rsidR="00DB233D" w:rsidRPr="00344FB3">
        <w:rPr>
          <w:rFonts w:cstheme="minorHAnsi"/>
          <w:lang w:val="es-419"/>
        </w:rPr>
        <w:t>. Mientras que Paraguay por ejemplo plantea la</w:t>
      </w:r>
      <w:r w:rsidR="003242DA" w:rsidRPr="00344FB3">
        <w:rPr>
          <w:rFonts w:cstheme="minorHAnsi"/>
          <w:lang w:val="es-419"/>
        </w:rPr>
        <w:t xml:space="preserve"> </w:t>
      </w:r>
      <w:r w:rsidR="000723BB" w:rsidRPr="00344FB3">
        <w:rPr>
          <w:rFonts w:cstheme="minorHAnsi"/>
          <w:lang w:val="es-419"/>
        </w:rPr>
        <w:t>provisión</w:t>
      </w:r>
      <w:r w:rsidR="003242DA" w:rsidRPr="00344FB3">
        <w:rPr>
          <w:rFonts w:cstheme="minorHAnsi"/>
          <w:lang w:val="es-419"/>
        </w:rPr>
        <w:t xml:space="preserve"> de </w:t>
      </w:r>
      <w:r w:rsidR="00DB233D" w:rsidRPr="00344FB3">
        <w:rPr>
          <w:rFonts w:cstheme="minorHAnsi"/>
          <w:lang w:val="es-419"/>
        </w:rPr>
        <w:t xml:space="preserve">paquetes de alimentos </w:t>
      </w:r>
      <w:r w:rsidR="00327DCA" w:rsidRPr="00344FB3">
        <w:rPr>
          <w:rFonts w:cstheme="minorHAnsi"/>
          <w:lang w:val="es-419"/>
        </w:rPr>
        <w:t>y</w:t>
      </w:r>
      <w:r w:rsidR="003242DA" w:rsidRPr="00344FB3">
        <w:rPr>
          <w:rFonts w:cstheme="minorHAnsi"/>
          <w:lang w:val="es-419"/>
        </w:rPr>
        <w:t xml:space="preserve"> kits </w:t>
      </w:r>
      <w:r w:rsidR="000723BB" w:rsidRPr="00344FB3">
        <w:rPr>
          <w:rFonts w:cstheme="minorHAnsi"/>
          <w:lang w:val="es-419"/>
        </w:rPr>
        <w:t>de higiene</w:t>
      </w:r>
      <w:r w:rsidR="00327DCA" w:rsidRPr="00344FB3">
        <w:rPr>
          <w:rFonts w:cstheme="minorHAnsi"/>
          <w:lang w:val="es-419"/>
        </w:rPr>
        <w:t>.</w:t>
      </w:r>
    </w:p>
    <w:p w14:paraId="368CF095" w14:textId="6DD4704B" w:rsidR="00EA5516" w:rsidRPr="00344FB3" w:rsidRDefault="008D1738" w:rsidP="00C77B7D">
      <w:pPr>
        <w:jc w:val="both"/>
        <w:rPr>
          <w:rFonts w:cstheme="minorHAnsi"/>
          <w:lang w:val="es-419"/>
        </w:rPr>
      </w:pPr>
      <w:r w:rsidRPr="00344FB3">
        <w:rPr>
          <w:rFonts w:cstheme="minorHAnsi"/>
          <w:lang w:val="es-419"/>
        </w:rPr>
        <w:lastRenderedPageBreak/>
        <w:t>Otras medidas son el</w:t>
      </w:r>
      <w:r w:rsidR="000723BB" w:rsidRPr="00344FB3">
        <w:rPr>
          <w:rFonts w:cstheme="minorHAnsi"/>
          <w:lang w:val="es-419"/>
        </w:rPr>
        <w:t xml:space="preserve"> </w:t>
      </w:r>
      <w:r w:rsidR="00956FB3" w:rsidRPr="00344FB3">
        <w:rPr>
          <w:rFonts w:cstheme="minorHAnsi"/>
          <w:lang w:val="es-419"/>
        </w:rPr>
        <w:t>diferir</w:t>
      </w:r>
      <w:r w:rsidR="00B22937" w:rsidRPr="00344FB3">
        <w:rPr>
          <w:rFonts w:cstheme="minorHAnsi"/>
          <w:lang w:val="es-419"/>
        </w:rPr>
        <w:t xml:space="preserve">, </w:t>
      </w:r>
      <w:r w:rsidR="00136CF2" w:rsidRPr="00344FB3">
        <w:rPr>
          <w:rFonts w:cstheme="minorHAnsi"/>
          <w:lang w:val="es-419"/>
        </w:rPr>
        <w:t>reducir</w:t>
      </w:r>
      <w:r w:rsidR="00E24187" w:rsidRPr="00344FB3">
        <w:rPr>
          <w:rFonts w:cstheme="minorHAnsi"/>
          <w:lang w:val="es-419"/>
        </w:rPr>
        <w:t xml:space="preserve"> temporalmente</w:t>
      </w:r>
      <w:r w:rsidR="00136CF2" w:rsidRPr="00344FB3">
        <w:rPr>
          <w:rFonts w:cstheme="minorHAnsi"/>
          <w:lang w:val="es-419"/>
        </w:rPr>
        <w:t xml:space="preserve"> </w:t>
      </w:r>
      <w:r w:rsidR="00B22937" w:rsidRPr="00344FB3">
        <w:rPr>
          <w:rFonts w:cstheme="minorHAnsi"/>
          <w:lang w:val="es-419"/>
        </w:rPr>
        <w:t xml:space="preserve">o condonar </w:t>
      </w:r>
      <w:r w:rsidR="00956FB3" w:rsidRPr="00344FB3">
        <w:rPr>
          <w:rFonts w:cstheme="minorHAnsi"/>
          <w:lang w:val="es-419"/>
        </w:rPr>
        <w:t xml:space="preserve">el pago de impuestos </w:t>
      </w:r>
      <w:r w:rsidR="00915E9C" w:rsidRPr="00344FB3">
        <w:rPr>
          <w:rFonts w:cstheme="minorHAnsi"/>
          <w:lang w:val="es-419"/>
        </w:rPr>
        <w:t>(Argentina, Brasil, Beli</w:t>
      </w:r>
      <w:r w:rsidR="00E76753" w:rsidRPr="00344FB3">
        <w:rPr>
          <w:rFonts w:cstheme="minorHAnsi"/>
          <w:lang w:val="es-419"/>
        </w:rPr>
        <w:t>c</w:t>
      </w:r>
      <w:r w:rsidR="00915E9C" w:rsidRPr="00344FB3">
        <w:rPr>
          <w:rFonts w:cstheme="minorHAnsi"/>
          <w:lang w:val="es-419"/>
        </w:rPr>
        <w:t>e</w:t>
      </w:r>
      <w:r w:rsidR="00E76753" w:rsidRPr="00344FB3">
        <w:rPr>
          <w:rFonts w:cstheme="minorHAnsi"/>
          <w:lang w:val="es-419"/>
        </w:rPr>
        <w:t>, Panamá</w:t>
      </w:r>
      <w:r w:rsidR="1CF02138" w:rsidRPr="00344FB3">
        <w:rPr>
          <w:rFonts w:cstheme="minorHAnsi"/>
          <w:lang w:val="es-419"/>
        </w:rPr>
        <w:t>, Colombia</w:t>
      </w:r>
      <w:r w:rsidR="00226525" w:rsidRPr="00344FB3">
        <w:rPr>
          <w:rFonts w:cstheme="minorHAnsi"/>
          <w:lang w:val="es-419"/>
        </w:rPr>
        <w:t>)</w:t>
      </w:r>
      <w:r w:rsidR="00136CF2" w:rsidRPr="00344FB3">
        <w:rPr>
          <w:rFonts w:cstheme="minorHAnsi"/>
          <w:lang w:val="es-419"/>
        </w:rPr>
        <w:t>, servicios públicos esenciales</w:t>
      </w:r>
      <w:r w:rsidR="00D531CC" w:rsidRPr="00344FB3">
        <w:rPr>
          <w:rFonts w:cstheme="minorHAnsi"/>
          <w:lang w:val="es-419"/>
        </w:rPr>
        <w:t xml:space="preserve"> (Bolivia)</w:t>
      </w:r>
      <w:r w:rsidR="0042352C" w:rsidRPr="00344FB3">
        <w:rPr>
          <w:rFonts w:cstheme="minorHAnsi"/>
          <w:lang w:val="es-419"/>
        </w:rPr>
        <w:t xml:space="preserve">, </w:t>
      </w:r>
      <w:r w:rsidR="00192D55" w:rsidRPr="00344FB3">
        <w:rPr>
          <w:rFonts w:cstheme="minorHAnsi"/>
          <w:lang w:val="es-419"/>
        </w:rPr>
        <w:t>créditos personales</w:t>
      </w:r>
      <w:r w:rsidR="00EC3BBB" w:rsidRPr="00344FB3">
        <w:rPr>
          <w:rFonts w:cstheme="minorHAnsi"/>
          <w:lang w:val="es-419"/>
        </w:rPr>
        <w:t xml:space="preserve"> (Bolivia</w:t>
      </w:r>
      <w:r w:rsidR="092A2143" w:rsidRPr="00344FB3">
        <w:rPr>
          <w:rFonts w:cstheme="minorHAnsi"/>
          <w:lang w:val="es-419"/>
        </w:rPr>
        <w:t>, Ecuador</w:t>
      </w:r>
      <w:r w:rsidR="03032110" w:rsidRPr="00344FB3">
        <w:rPr>
          <w:rFonts w:cstheme="minorHAnsi"/>
          <w:lang w:val="es-419"/>
        </w:rPr>
        <w:t>, Guatemala</w:t>
      </w:r>
      <w:r w:rsidR="00EC3BBB" w:rsidRPr="00344FB3">
        <w:rPr>
          <w:rFonts w:cstheme="minorHAnsi"/>
          <w:lang w:val="es-419"/>
        </w:rPr>
        <w:t>)</w:t>
      </w:r>
      <w:r w:rsidR="00192D55" w:rsidRPr="00344FB3">
        <w:rPr>
          <w:rFonts w:cstheme="minorHAnsi"/>
          <w:lang w:val="es-419"/>
        </w:rPr>
        <w:t xml:space="preserve">, </w:t>
      </w:r>
      <w:r w:rsidR="007D00D1" w:rsidRPr="00344FB3">
        <w:rPr>
          <w:rFonts w:cstheme="minorHAnsi"/>
          <w:lang w:val="es-419"/>
        </w:rPr>
        <w:t>hipotecas,</w:t>
      </w:r>
      <w:r w:rsidR="00B85B06" w:rsidRPr="00344FB3">
        <w:rPr>
          <w:rFonts w:cstheme="minorHAnsi"/>
          <w:lang w:val="es-419"/>
        </w:rPr>
        <w:t xml:space="preserve"> </w:t>
      </w:r>
      <w:r w:rsidR="002915E8" w:rsidRPr="00344FB3">
        <w:rPr>
          <w:rFonts w:cstheme="minorHAnsi"/>
          <w:lang w:val="es-419"/>
        </w:rPr>
        <w:t xml:space="preserve">exoneraciones en sus intereses, recargos y multas </w:t>
      </w:r>
      <w:r w:rsidR="003A4346" w:rsidRPr="00344FB3">
        <w:rPr>
          <w:rFonts w:cstheme="minorHAnsi"/>
          <w:lang w:val="es-419"/>
        </w:rPr>
        <w:t xml:space="preserve">(Panamá) </w:t>
      </w:r>
      <w:r w:rsidR="002915E8" w:rsidRPr="00344FB3">
        <w:rPr>
          <w:rFonts w:cstheme="minorHAnsi"/>
          <w:lang w:val="es-419"/>
        </w:rPr>
        <w:t xml:space="preserve">y la </w:t>
      </w:r>
      <w:r w:rsidR="00B85B06" w:rsidRPr="00344FB3">
        <w:rPr>
          <w:rFonts w:cstheme="minorHAnsi"/>
          <w:lang w:val="es-419"/>
        </w:rPr>
        <w:t>fijación de precios de productos esenciales para evitar el desabastecimiento</w:t>
      </w:r>
      <w:r w:rsidR="00CF2EEA" w:rsidRPr="00344FB3">
        <w:rPr>
          <w:rFonts w:cstheme="minorHAnsi"/>
          <w:lang w:val="es-419"/>
        </w:rPr>
        <w:t xml:space="preserve"> (Argentina, Brasil, </w:t>
      </w:r>
      <w:r w:rsidR="003E4786" w:rsidRPr="00344FB3">
        <w:rPr>
          <w:rFonts w:cstheme="minorHAnsi"/>
          <w:lang w:val="es-419"/>
        </w:rPr>
        <w:t>Chile, Panamá</w:t>
      </w:r>
      <w:r w:rsidR="420AA90C" w:rsidRPr="00344FB3">
        <w:rPr>
          <w:rFonts w:cstheme="minorHAnsi"/>
          <w:lang w:val="es-419"/>
        </w:rPr>
        <w:t>, Paraguay</w:t>
      </w:r>
      <w:r w:rsidR="003E4786" w:rsidRPr="00344FB3">
        <w:rPr>
          <w:rFonts w:cstheme="minorHAnsi"/>
          <w:lang w:val="es-419"/>
        </w:rPr>
        <w:t xml:space="preserve"> y El Salvador)</w:t>
      </w:r>
      <w:r w:rsidR="00B85B06" w:rsidRPr="00344FB3">
        <w:rPr>
          <w:rFonts w:cstheme="minorHAnsi"/>
          <w:lang w:val="es-419"/>
        </w:rPr>
        <w:t>.</w:t>
      </w:r>
      <w:r w:rsidR="1149DFD8" w:rsidRPr="00344FB3">
        <w:rPr>
          <w:rFonts w:cstheme="minorHAnsi"/>
          <w:lang w:val="es-419"/>
        </w:rPr>
        <w:t xml:space="preserve"> </w:t>
      </w:r>
      <w:r w:rsidR="575B0A9C" w:rsidRPr="00344FB3">
        <w:rPr>
          <w:rFonts w:cstheme="minorHAnsi"/>
          <w:lang w:val="es-419"/>
        </w:rPr>
        <w:t xml:space="preserve"> </w:t>
      </w:r>
      <w:r w:rsidR="686D9252" w:rsidRPr="00344FB3">
        <w:rPr>
          <w:rFonts w:cstheme="minorHAnsi"/>
          <w:lang w:val="es-419"/>
        </w:rPr>
        <w:t xml:space="preserve">En otros </w:t>
      </w:r>
      <w:r w:rsidR="627E90A5" w:rsidRPr="00344FB3">
        <w:rPr>
          <w:rFonts w:cstheme="minorHAnsi"/>
          <w:lang w:val="es-419"/>
        </w:rPr>
        <w:t>países</w:t>
      </w:r>
      <w:r w:rsidR="686D9252" w:rsidRPr="00344FB3">
        <w:rPr>
          <w:rFonts w:cstheme="minorHAnsi"/>
          <w:lang w:val="es-419"/>
        </w:rPr>
        <w:t xml:space="preserve"> como Bolivia</w:t>
      </w:r>
      <w:r w:rsidR="32208174" w:rsidRPr="00344FB3">
        <w:rPr>
          <w:rFonts w:cstheme="minorHAnsi"/>
          <w:lang w:val="es-419"/>
        </w:rPr>
        <w:t xml:space="preserve"> o</w:t>
      </w:r>
      <w:r w:rsidR="686D9252" w:rsidRPr="00344FB3">
        <w:rPr>
          <w:rFonts w:cstheme="minorHAnsi"/>
          <w:lang w:val="es-419"/>
        </w:rPr>
        <w:t xml:space="preserve"> </w:t>
      </w:r>
      <w:r w:rsidR="575B0A9C" w:rsidRPr="00344FB3">
        <w:rPr>
          <w:rFonts w:cstheme="minorHAnsi"/>
          <w:lang w:val="es-419"/>
        </w:rPr>
        <w:t xml:space="preserve">Colombia se determinó la reconexión de servicios </w:t>
      </w:r>
      <w:r w:rsidR="0870E366" w:rsidRPr="00344FB3">
        <w:rPr>
          <w:rFonts w:cstheme="minorHAnsi"/>
          <w:lang w:val="es-419"/>
        </w:rPr>
        <w:t>básicos</w:t>
      </w:r>
      <w:r w:rsidR="629E3F3B" w:rsidRPr="00344FB3">
        <w:rPr>
          <w:rFonts w:cstheme="minorHAnsi"/>
          <w:lang w:val="es-419"/>
        </w:rPr>
        <w:t xml:space="preserve"> y</w:t>
      </w:r>
      <w:r w:rsidR="575B0A9C" w:rsidRPr="00344FB3">
        <w:rPr>
          <w:rFonts w:cstheme="minorHAnsi"/>
          <w:lang w:val="es-419"/>
        </w:rPr>
        <w:t xml:space="preserve"> el congelamiento de tarifas de</w:t>
      </w:r>
      <w:r w:rsidR="57ADDDA4" w:rsidRPr="00344FB3">
        <w:rPr>
          <w:rFonts w:cstheme="minorHAnsi"/>
          <w:lang w:val="es-419"/>
        </w:rPr>
        <w:t xml:space="preserve"> algunos</w:t>
      </w:r>
      <w:r w:rsidR="575B0A9C" w:rsidRPr="00344FB3">
        <w:rPr>
          <w:rFonts w:cstheme="minorHAnsi"/>
          <w:lang w:val="es-419"/>
        </w:rPr>
        <w:t xml:space="preserve"> servicio</w:t>
      </w:r>
      <w:r w:rsidR="5D70F07C" w:rsidRPr="00344FB3">
        <w:rPr>
          <w:rFonts w:cstheme="minorHAnsi"/>
          <w:lang w:val="es-419"/>
        </w:rPr>
        <w:t>s</w:t>
      </w:r>
      <w:r w:rsidR="575B0A9C" w:rsidRPr="00344FB3">
        <w:rPr>
          <w:rFonts w:cstheme="minorHAnsi"/>
          <w:lang w:val="es-419"/>
        </w:rPr>
        <w:t>.</w:t>
      </w:r>
      <w:r w:rsidR="7C4171BD" w:rsidRPr="00344FB3">
        <w:rPr>
          <w:rFonts w:cstheme="minorHAnsi"/>
          <w:lang w:val="es-419"/>
        </w:rPr>
        <w:t xml:space="preserve"> Mientras que en Guatemala se suspende el pago de servicios básicos por tres meses.</w:t>
      </w:r>
    </w:p>
    <w:p w14:paraId="6DA21914" w14:textId="6E027F4C" w:rsidR="796C6EE6" w:rsidRPr="00344FB3" w:rsidRDefault="796C6EE6" w:rsidP="1C958AF5">
      <w:pPr>
        <w:jc w:val="both"/>
        <w:rPr>
          <w:rFonts w:cstheme="minorHAnsi"/>
          <w:lang w:val="es-419"/>
        </w:rPr>
      </w:pPr>
      <w:r w:rsidRPr="00344FB3">
        <w:rPr>
          <w:rFonts w:cstheme="minorHAnsi"/>
          <w:lang w:val="es-419"/>
        </w:rPr>
        <w:t>El paquete de medidas general</w:t>
      </w:r>
      <w:r w:rsidR="00507C98" w:rsidRPr="00344FB3">
        <w:rPr>
          <w:rFonts w:cstheme="minorHAnsi"/>
          <w:lang w:val="es-419"/>
        </w:rPr>
        <w:t>es</w:t>
      </w:r>
      <w:r w:rsidRPr="00344FB3">
        <w:rPr>
          <w:rFonts w:cstheme="minorHAnsi"/>
          <w:lang w:val="es-419"/>
        </w:rPr>
        <w:t xml:space="preserve"> adoptado por Colombia, que incluye </w:t>
      </w:r>
      <w:r w:rsidR="00933F92" w:rsidRPr="00344FB3">
        <w:rPr>
          <w:rFonts w:cstheme="minorHAnsi"/>
          <w:lang w:val="es-419"/>
        </w:rPr>
        <w:t>transferencias</w:t>
      </w:r>
      <w:r w:rsidR="0BEEAEF1" w:rsidRPr="00344FB3">
        <w:rPr>
          <w:rFonts w:cstheme="minorHAnsi"/>
          <w:lang w:val="es-419"/>
        </w:rPr>
        <w:t xml:space="preserve"> adicionales </w:t>
      </w:r>
      <w:r w:rsidR="00132AB3" w:rsidRPr="00344FB3">
        <w:rPr>
          <w:rFonts w:cstheme="minorHAnsi"/>
          <w:lang w:val="es-419"/>
        </w:rPr>
        <w:t>en el</w:t>
      </w:r>
      <w:r w:rsidR="0BEEAEF1" w:rsidRPr="00344FB3">
        <w:rPr>
          <w:rFonts w:cstheme="minorHAnsi"/>
          <w:lang w:val="es-419"/>
        </w:rPr>
        <w:t xml:space="preserve"> programa </w:t>
      </w:r>
      <w:r w:rsidR="00132AB3" w:rsidRPr="00344FB3">
        <w:rPr>
          <w:rFonts w:cstheme="minorHAnsi"/>
          <w:lang w:val="es-419"/>
        </w:rPr>
        <w:t xml:space="preserve">Más </w:t>
      </w:r>
      <w:r w:rsidR="0BEEAEF1" w:rsidRPr="00344FB3">
        <w:rPr>
          <w:rFonts w:cstheme="minorHAnsi"/>
          <w:lang w:val="es-419"/>
        </w:rPr>
        <w:t xml:space="preserve">Familias en Acción, Jóvenes en </w:t>
      </w:r>
      <w:r w:rsidR="00132AB3" w:rsidRPr="00344FB3">
        <w:rPr>
          <w:rFonts w:cstheme="minorHAnsi"/>
          <w:lang w:val="es-419"/>
        </w:rPr>
        <w:t>A</w:t>
      </w:r>
      <w:r w:rsidR="0BEEAEF1" w:rsidRPr="00344FB3">
        <w:rPr>
          <w:rFonts w:cstheme="minorHAnsi"/>
          <w:lang w:val="es-419"/>
        </w:rPr>
        <w:t xml:space="preserve">cción y </w:t>
      </w:r>
      <w:r w:rsidR="00132AB3" w:rsidRPr="00344FB3">
        <w:rPr>
          <w:rFonts w:cstheme="minorHAnsi"/>
          <w:lang w:val="es-419"/>
        </w:rPr>
        <w:t>Colombia Mayor</w:t>
      </w:r>
      <w:r w:rsidR="0BEEAEF1" w:rsidRPr="00344FB3">
        <w:rPr>
          <w:rFonts w:cstheme="minorHAnsi"/>
          <w:lang w:val="es-419"/>
        </w:rPr>
        <w:t xml:space="preserve">, </w:t>
      </w:r>
      <w:r w:rsidR="012CDF17" w:rsidRPr="00344FB3">
        <w:rPr>
          <w:rFonts w:cstheme="minorHAnsi"/>
          <w:lang w:val="es-419"/>
        </w:rPr>
        <w:t>además</w:t>
      </w:r>
      <w:r w:rsidR="0BEEAEF1" w:rsidRPr="00344FB3">
        <w:rPr>
          <w:rFonts w:cstheme="minorHAnsi"/>
          <w:lang w:val="es-419"/>
        </w:rPr>
        <w:t xml:space="preserve"> de esquemas de </w:t>
      </w:r>
      <w:r w:rsidR="5DA48C95" w:rsidRPr="00344FB3">
        <w:rPr>
          <w:rFonts w:cstheme="minorHAnsi"/>
          <w:lang w:val="es-419"/>
        </w:rPr>
        <w:t>devolución</w:t>
      </w:r>
      <w:r w:rsidR="0BEEAEF1" w:rsidRPr="00344FB3">
        <w:rPr>
          <w:rFonts w:cstheme="minorHAnsi"/>
          <w:lang w:val="es-419"/>
        </w:rPr>
        <w:t xml:space="preserve"> de IVA a familias vulnerables, </w:t>
      </w:r>
      <w:r w:rsidR="353857DC" w:rsidRPr="00344FB3">
        <w:rPr>
          <w:rFonts w:cstheme="minorHAnsi"/>
          <w:lang w:val="es-419"/>
        </w:rPr>
        <w:t>alivio financiero a pequeñas y microempresas</w:t>
      </w:r>
      <w:r w:rsidR="009C1FDC" w:rsidRPr="00344FB3">
        <w:rPr>
          <w:rFonts w:cstheme="minorHAnsi"/>
          <w:lang w:val="es-419"/>
        </w:rPr>
        <w:t>,</w:t>
      </w:r>
      <w:r w:rsidR="353857DC" w:rsidRPr="00344FB3">
        <w:rPr>
          <w:rFonts w:cstheme="minorHAnsi"/>
          <w:lang w:val="es-419"/>
        </w:rPr>
        <w:t xml:space="preserve"> entre otros. El paquete de medidas adoptado por Brasil</w:t>
      </w:r>
      <w:r w:rsidR="5FC5BEEA" w:rsidRPr="00344FB3">
        <w:rPr>
          <w:rFonts w:cstheme="minorHAnsi"/>
          <w:lang w:val="es-419"/>
        </w:rPr>
        <w:t xml:space="preserve"> </w:t>
      </w:r>
      <w:r w:rsidR="36B554A9" w:rsidRPr="00344FB3">
        <w:rPr>
          <w:rFonts w:cstheme="minorHAnsi"/>
          <w:lang w:val="es-419"/>
        </w:rPr>
        <w:t xml:space="preserve">que incluye reducción temporal o </w:t>
      </w:r>
      <w:r w:rsidR="120C8033" w:rsidRPr="00344FB3">
        <w:rPr>
          <w:rFonts w:cstheme="minorHAnsi"/>
          <w:lang w:val="es-419"/>
        </w:rPr>
        <w:t>postergación</w:t>
      </w:r>
      <w:r w:rsidR="36B554A9" w:rsidRPr="00344FB3">
        <w:rPr>
          <w:rFonts w:cstheme="minorHAnsi"/>
          <w:lang w:val="es-419"/>
        </w:rPr>
        <w:t xml:space="preserve"> de impuestos, adelanto de aguinaldo para pensionados</w:t>
      </w:r>
      <w:r w:rsidR="6FCC9EB3" w:rsidRPr="00344FB3">
        <w:rPr>
          <w:rFonts w:cstheme="minorHAnsi"/>
          <w:lang w:val="es-419"/>
        </w:rPr>
        <w:t>, expansión de la cobertura del programa Bolsa Familia</w:t>
      </w:r>
      <w:r w:rsidR="649D3D34" w:rsidRPr="00344FB3">
        <w:rPr>
          <w:rFonts w:cstheme="minorHAnsi"/>
          <w:lang w:val="es-419"/>
        </w:rPr>
        <w:t xml:space="preserve"> a un millón de nuevos beneficiarios</w:t>
      </w:r>
      <w:r w:rsidR="00E45B40" w:rsidRPr="00344FB3">
        <w:rPr>
          <w:rFonts w:cstheme="minorHAnsi"/>
          <w:lang w:val="es-419"/>
        </w:rPr>
        <w:t xml:space="preserve"> y</w:t>
      </w:r>
      <w:r w:rsidR="6FCC9EB3" w:rsidRPr="00344FB3">
        <w:rPr>
          <w:rFonts w:cstheme="minorHAnsi"/>
          <w:lang w:val="es-419"/>
        </w:rPr>
        <w:t xml:space="preserve"> </w:t>
      </w:r>
      <w:r w:rsidR="005C3D49" w:rsidRPr="00344FB3">
        <w:rPr>
          <w:rFonts w:cstheme="minorHAnsi"/>
          <w:lang w:val="es-419"/>
        </w:rPr>
        <w:t xml:space="preserve">la entrega de R$200 a trabajadores autónomos o informales que no reciben transferencias, </w:t>
      </w:r>
      <w:r w:rsidR="0E728EC5" w:rsidRPr="00344FB3">
        <w:rPr>
          <w:rFonts w:cstheme="minorHAnsi"/>
          <w:lang w:val="es-419"/>
        </w:rPr>
        <w:t>entre otras cosas</w:t>
      </w:r>
      <w:r w:rsidR="5FC5BEEA" w:rsidRPr="00344FB3">
        <w:rPr>
          <w:rFonts w:cstheme="minorHAnsi"/>
          <w:lang w:val="es-419"/>
        </w:rPr>
        <w:t>.</w:t>
      </w:r>
      <w:r w:rsidR="00D479ED" w:rsidRPr="00344FB3">
        <w:rPr>
          <w:rFonts w:cstheme="minorHAnsi"/>
          <w:lang w:val="es-419"/>
        </w:rPr>
        <w:t xml:space="preserve"> </w:t>
      </w:r>
      <w:r w:rsidR="009C1FDC" w:rsidRPr="00344FB3">
        <w:rPr>
          <w:rFonts w:cstheme="minorHAnsi"/>
          <w:lang w:val="es-419"/>
        </w:rPr>
        <w:t>En términos de presupuesto, el paquete adoptado por Colombia representa un 1,4% del PBI y el de Brasil un 2%, aunque de este monto solo un 1,1% se destina a transferencias a los sectores más pobres y adultos mayores.</w:t>
      </w:r>
      <w:r w:rsidR="00D479ED" w:rsidRPr="00344FB3">
        <w:rPr>
          <w:rFonts w:cstheme="minorHAnsi"/>
          <w:lang w:val="es-419"/>
        </w:rPr>
        <w:t xml:space="preserve"> En Perú, se definió un </w:t>
      </w:r>
      <w:r w:rsidR="00D15138" w:rsidRPr="00344FB3">
        <w:rPr>
          <w:rFonts w:cstheme="minorHAnsi"/>
          <w:lang w:val="es-419"/>
        </w:rPr>
        <w:t>presupuesto</w:t>
      </w:r>
      <w:r w:rsidR="00D479ED" w:rsidRPr="00344FB3">
        <w:rPr>
          <w:rFonts w:cstheme="minorHAnsi"/>
          <w:lang w:val="es-419"/>
        </w:rPr>
        <w:t xml:space="preserve"> adicional para el programa de transfe</w:t>
      </w:r>
      <w:r w:rsidR="002440D9" w:rsidRPr="00344FB3">
        <w:rPr>
          <w:rFonts w:cstheme="minorHAnsi"/>
          <w:lang w:val="es-419"/>
        </w:rPr>
        <w:t>rencias condicionadas Juntos</w:t>
      </w:r>
      <w:r w:rsidR="00913A26" w:rsidRPr="00344FB3">
        <w:rPr>
          <w:rFonts w:cstheme="minorHAnsi"/>
          <w:lang w:val="es-419"/>
        </w:rPr>
        <w:t xml:space="preserve"> en 2020</w:t>
      </w:r>
      <w:r w:rsidR="00D74F58" w:rsidRPr="00344FB3">
        <w:rPr>
          <w:rFonts w:cstheme="minorHAnsi"/>
          <w:lang w:val="es-419"/>
        </w:rPr>
        <w:t>, con un costo aproximado del 0.14% del PIB</w:t>
      </w:r>
      <w:r w:rsidR="00C376F5" w:rsidRPr="00344FB3">
        <w:rPr>
          <w:rFonts w:cstheme="minorHAnsi"/>
          <w:lang w:val="es-419"/>
        </w:rPr>
        <w:t xml:space="preserve"> (superior al presupuesto original del programa)</w:t>
      </w:r>
      <w:r w:rsidR="002440D9" w:rsidRPr="00344FB3">
        <w:rPr>
          <w:rFonts w:cstheme="minorHAnsi"/>
          <w:lang w:val="es-419"/>
        </w:rPr>
        <w:t>.</w:t>
      </w:r>
    </w:p>
    <w:p w14:paraId="6120DE4F" w14:textId="4A39F691" w:rsidR="00DD51F2" w:rsidRPr="00344FB3" w:rsidRDefault="00180216" w:rsidP="00DD51F2">
      <w:pPr>
        <w:jc w:val="both"/>
        <w:rPr>
          <w:rFonts w:cstheme="minorHAnsi"/>
          <w:lang w:val="es-419"/>
        </w:rPr>
      </w:pPr>
      <w:r w:rsidRPr="00344FB3">
        <w:rPr>
          <w:rFonts w:cstheme="minorHAnsi"/>
          <w:lang w:val="es-419"/>
        </w:rPr>
        <w:t xml:space="preserve">Los desafíos para ALC son como llegar a los trabajadores informales </w:t>
      </w:r>
      <w:r w:rsidR="0022547E" w:rsidRPr="00344FB3">
        <w:rPr>
          <w:rFonts w:cstheme="minorHAnsi"/>
          <w:lang w:val="es-419"/>
        </w:rPr>
        <w:t xml:space="preserve">o independientes </w:t>
      </w:r>
      <w:r w:rsidRPr="00344FB3">
        <w:rPr>
          <w:rFonts w:cstheme="minorHAnsi"/>
          <w:lang w:val="es-419"/>
        </w:rPr>
        <w:t>no cubiertos generalmente por programas de transferencias de ingresos</w:t>
      </w:r>
      <w:r w:rsidR="00F510A6" w:rsidRPr="00344FB3">
        <w:rPr>
          <w:rFonts w:cstheme="minorHAnsi"/>
          <w:lang w:val="es-419"/>
        </w:rPr>
        <w:t xml:space="preserve">. Además, existe el reto de </w:t>
      </w:r>
      <w:r w:rsidRPr="00344FB3">
        <w:rPr>
          <w:rFonts w:cstheme="minorHAnsi"/>
          <w:lang w:val="es-419"/>
        </w:rPr>
        <w:t>evitar aglomeraciones</w:t>
      </w:r>
      <w:r w:rsidR="00F510A6" w:rsidRPr="00344FB3">
        <w:rPr>
          <w:rFonts w:cstheme="minorHAnsi"/>
          <w:lang w:val="es-419"/>
        </w:rPr>
        <w:t xml:space="preserve">, que podrían convertirse en canales de contagio, </w:t>
      </w:r>
      <w:r w:rsidRPr="00344FB3">
        <w:rPr>
          <w:rFonts w:cstheme="minorHAnsi"/>
          <w:lang w:val="es-419"/>
        </w:rPr>
        <w:t xml:space="preserve">reparto de alimentos, bienes </w:t>
      </w:r>
      <w:r w:rsidR="00DD51F2" w:rsidRPr="00344FB3">
        <w:rPr>
          <w:rFonts w:cstheme="minorHAnsi"/>
          <w:lang w:val="es-419"/>
        </w:rPr>
        <w:t>esenciales</w:t>
      </w:r>
      <w:r w:rsidRPr="00344FB3">
        <w:rPr>
          <w:rFonts w:cstheme="minorHAnsi"/>
          <w:lang w:val="es-419"/>
        </w:rPr>
        <w:t xml:space="preserve"> o pago de beneficios. </w:t>
      </w:r>
    </w:p>
    <w:p w14:paraId="2DB072C8" w14:textId="43329FCA" w:rsidR="00253DF1" w:rsidRPr="00344FB3" w:rsidRDefault="00253DF1" w:rsidP="008F4654">
      <w:pPr>
        <w:pStyle w:val="ListParagraph"/>
        <w:numPr>
          <w:ilvl w:val="0"/>
          <w:numId w:val="7"/>
        </w:numPr>
        <w:jc w:val="both"/>
        <w:rPr>
          <w:rFonts w:cstheme="minorHAnsi"/>
          <w:b/>
          <w:lang w:val="es-419"/>
        </w:rPr>
      </w:pPr>
      <w:r w:rsidRPr="00344FB3">
        <w:rPr>
          <w:rFonts w:cstheme="minorHAnsi"/>
          <w:b/>
          <w:lang w:val="es-419"/>
        </w:rPr>
        <w:t>¿Qué están haciendo otros países?</w:t>
      </w:r>
    </w:p>
    <w:p w14:paraId="65E51609" w14:textId="37AE22B3" w:rsidR="00F36270" w:rsidRPr="00344FB3" w:rsidRDefault="00EF31D3" w:rsidP="008F4654">
      <w:pPr>
        <w:jc w:val="both"/>
        <w:rPr>
          <w:rFonts w:cstheme="minorHAnsi"/>
          <w:lang w:val="es-419"/>
        </w:rPr>
      </w:pPr>
      <w:r w:rsidRPr="00344FB3">
        <w:rPr>
          <w:rFonts w:cstheme="minorHAnsi"/>
          <w:lang w:val="es-419"/>
        </w:rPr>
        <w:t>Varios p</w:t>
      </w:r>
      <w:r w:rsidR="003E593C" w:rsidRPr="00344FB3">
        <w:rPr>
          <w:rFonts w:cstheme="minorHAnsi"/>
          <w:lang w:val="es-419"/>
        </w:rPr>
        <w:t>aíses fuera de la región</w:t>
      </w:r>
      <w:r w:rsidRPr="00344FB3">
        <w:rPr>
          <w:rFonts w:cstheme="minorHAnsi"/>
          <w:lang w:val="es-419"/>
        </w:rPr>
        <w:t xml:space="preserve"> que experimentaron l</w:t>
      </w:r>
      <w:r w:rsidR="00C407EA" w:rsidRPr="00344FB3">
        <w:rPr>
          <w:rFonts w:cstheme="minorHAnsi"/>
          <w:lang w:val="es-419"/>
        </w:rPr>
        <w:t>os efectos de</w:t>
      </w:r>
      <w:r w:rsidRPr="00344FB3">
        <w:rPr>
          <w:rFonts w:cstheme="minorHAnsi"/>
          <w:lang w:val="es-419"/>
        </w:rPr>
        <w:t xml:space="preserve"> pandemia </w:t>
      </w:r>
      <w:r w:rsidR="00F36270" w:rsidRPr="00344FB3">
        <w:rPr>
          <w:rFonts w:cstheme="minorHAnsi"/>
          <w:lang w:val="es-419"/>
        </w:rPr>
        <w:t xml:space="preserve">antes que América Latina y el Caribe han </w:t>
      </w:r>
      <w:r w:rsidR="00CF4420" w:rsidRPr="00344FB3">
        <w:rPr>
          <w:rFonts w:cstheme="minorHAnsi"/>
          <w:lang w:val="es-419"/>
        </w:rPr>
        <w:t xml:space="preserve">asignado recursos muy importantes </w:t>
      </w:r>
      <w:r w:rsidR="000F7DDF" w:rsidRPr="00344FB3">
        <w:rPr>
          <w:rFonts w:cstheme="minorHAnsi"/>
          <w:lang w:val="es-419"/>
        </w:rPr>
        <w:t xml:space="preserve">a la implementación de </w:t>
      </w:r>
      <w:r w:rsidR="00F36270" w:rsidRPr="00344FB3">
        <w:rPr>
          <w:rFonts w:cstheme="minorHAnsi"/>
          <w:lang w:val="es-419"/>
        </w:rPr>
        <w:t>programas</w:t>
      </w:r>
      <w:r w:rsidR="003E593C" w:rsidRPr="00344FB3">
        <w:rPr>
          <w:rFonts w:cstheme="minorHAnsi"/>
          <w:lang w:val="es-419"/>
        </w:rPr>
        <w:t xml:space="preserve"> </w:t>
      </w:r>
      <w:r w:rsidR="00AC3E21" w:rsidRPr="00344FB3">
        <w:rPr>
          <w:rFonts w:cstheme="minorHAnsi"/>
          <w:lang w:val="es-419"/>
        </w:rPr>
        <w:t>de protección social</w:t>
      </w:r>
      <w:r w:rsidR="00DB55C3" w:rsidRPr="00344FB3">
        <w:rPr>
          <w:rFonts w:cstheme="minorHAnsi"/>
          <w:lang w:val="es-419"/>
        </w:rPr>
        <w:t xml:space="preserve">. </w:t>
      </w:r>
      <w:r w:rsidR="00616E34" w:rsidRPr="00344FB3">
        <w:rPr>
          <w:rFonts w:cstheme="minorHAnsi"/>
          <w:lang w:val="es-419"/>
        </w:rPr>
        <w:t xml:space="preserve">Destaca la entrega de transferencias </w:t>
      </w:r>
      <w:r w:rsidR="0052498D" w:rsidRPr="00344FB3">
        <w:rPr>
          <w:rFonts w:cstheme="minorHAnsi"/>
          <w:lang w:val="es-419"/>
        </w:rPr>
        <w:t>monetarias</w:t>
      </w:r>
      <w:r w:rsidR="00E866C5" w:rsidRPr="00344FB3">
        <w:rPr>
          <w:rFonts w:cstheme="minorHAnsi"/>
          <w:lang w:val="es-419"/>
        </w:rPr>
        <w:t>,</w:t>
      </w:r>
      <w:r w:rsidR="0033015A" w:rsidRPr="00344FB3">
        <w:rPr>
          <w:rFonts w:cstheme="minorHAnsi"/>
          <w:lang w:val="es-419"/>
        </w:rPr>
        <w:t xml:space="preserve"> </w:t>
      </w:r>
      <w:r w:rsidR="003F49C8" w:rsidRPr="00344FB3">
        <w:rPr>
          <w:rFonts w:cstheme="minorHAnsi"/>
          <w:lang w:val="es-419"/>
        </w:rPr>
        <w:t>aunque</w:t>
      </w:r>
      <w:r w:rsidR="0033015A" w:rsidRPr="00344FB3">
        <w:rPr>
          <w:rFonts w:cstheme="minorHAnsi"/>
          <w:lang w:val="es-419"/>
        </w:rPr>
        <w:t xml:space="preserve"> también se identificaron</w:t>
      </w:r>
      <w:r w:rsidR="003F49C8" w:rsidRPr="00344FB3">
        <w:rPr>
          <w:rFonts w:cstheme="minorHAnsi"/>
          <w:lang w:val="es-419"/>
        </w:rPr>
        <w:t xml:space="preserve"> algunos</w:t>
      </w:r>
      <w:r w:rsidR="0033015A" w:rsidRPr="00344FB3">
        <w:rPr>
          <w:rFonts w:cstheme="minorHAnsi"/>
          <w:lang w:val="es-419"/>
        </w:rPr>
        <w:t xml:space="preserve"> programas de entrega </w:t>
      </w:r>
      <w:r w:rsidR="001D4F9D" w:rsidRPr="00344FB3">
        <w:rPr>
          <w:rFonts w:cstheme="minorHAnsi"/>
          <w:lang w:val="es-419"/>
        </w:rPr>
        <w:t>de alimentos y de cuidado para niños y adultos en situación de dependencia.</w:t>
      </w:r>
    </w:p>
    <w:p w14:paraId="2E7FF5A0" w14:textId="620AFB3C" w:rsidR="00E4385C" w:rsidRPr="00344FB3" w:rsidRDefault="00AE3E40" w:rsidP="008F4654">
      <w:pPr>
        <w:jc w:val="both"/>
        <w:rPr>
          <w:rFonts w:cstheme="minorHAnsi"/>
          <w:lang w:val="es-419"/>
        </w:rPr>
      </w:pPr>
      <w:r w:rsidRPr="00344FB3">
        <w:rPr>
          <w:rFonts w:cstheme="minorHAnsi"/>
          <w:lang w:val="es-419"/>
        </w:rPr>
        <w:t>En general, p</w:t>
      </w:r>
      <w:r w:rsidR="001D4F9D" w:rsidRPr="00344FB3">
        <w:rPr>
          <w:rFonts w:cstheme="minorHAnsi"/>
          <w:lang w:val="es-419"/>
        </w:rPr>
        <w:t xml:space="preserve">ueden distinguirse dos tipos de </w:t>
      </w:r>
      <w:r w:rsidR="008F4654" w:rsidRPr="00344FB3">
        <w:rPr>
          <w:rFonts w:cstheme="minorHAnsi"/>
          <w:lang w:val="es-419"/>
        </w:rPr>
        <w:t>transferencia</w:t>
      </w:r>
      <w:r w:rsidR="0077244E" w:rsidRPr="00344FB3">
        <w:rPr>
          <w:rFonts w:cstheme="minorHAnsi"/>
          <w:lang w:val="es-419"/>
        </w:rPr>
        <w:t>s</w:t>
      </w:r>
      <w:r w:rsidR="008F4654" w:rsidRPr="00344FB3">
        <w:rPr>
          <w:rFonts w:cstheme="minorHAnsi"/>
          <w:lang w:val="es-419"/>
        </w:rPr>
        <w:t xml:space="preserve"> asociada</w:t>
      </w:r>
      <w:r w:rsidR="0077244E" w:rsidRPr="00344FB3">
        <w:rPr>
          <w:rFonts w:cstheme="minorHAnsi"/>
          <w:lang w:val="es-419"/>
        </w:rPr>
        <w:t>s</w:t>
      </w:r>
      <w:r w:rsidR="008F4654" w:rsidRPr="00344FB3">
        <w:rPr>
          <w:rFonts w:cstheme="minorHAnsi"/>
          <w:lang w:val="es-419"/>
        </w:rPr>
        <w:t xml:space="preserve"> al COVID-19: </w:t>
      </w:r>
      <w:r w:rsidR="004C6F30" w:rsidRPr="00344FB3">
        <w:rPr>
          <w:rFonts w:cstheme="minorHAnsi"/>
          <w:lang w:val="es-419"/>
        </w:rPr>
        <w:t xml:space="preserve">las que están dirigidas a los actuales beneficiarios de programas y las que están dirigidas </w:t>
      </w:r>
      <w:r w:rsidR="00371486" w:rsidRPr="00344FB3">
        <w:rPr>
          <w:rFonts w:cstheme="minorHAnsi"/>
          <w:lang w:val="es-419"/>
        </w:rPr>
        <w:t>a una población más amplia</w:t>
      </w:r>
      <w:r w:rsidR="00813431" w:rsidRPr="00344FB3">
        <w:rPr>
          <w:rFonts w:cstheme="minorHAnsi"/>
          <w:lang w:val="es-419"/>
        </w:rPr>
        <w:t xml:space="preserve">. </w:t>
      </w:r>
      <w:r w:rsidR="000252CB" w:rsidRPr="00344FB3">
        <w:rPr>
          <w:rFonts w:cstheme="minorHAnsi"/>
          <w:lang w:val="es-419"/>
        </w:rPr>
        <w:t>El gobierno de A</w:t>
      </w:r>
      <w:r w:rsidR="00813431" w:rsidRPr="00344FB3">
        <w:rPr>
          <w:rFonts w:cstheme="minorHAnsi"/>
          <w:lang w:val="es-419"/>
        </w:rPr>
        <w:t>ustralia, por ejemplo</w:t>
      </w:r>
      <w:r w:rsidR="00371486" w:rsidRPr="00344FB3">
        <w:rPr>
          <w:rFonts w:cstheme="minorHAnsi"/>
          <w:lang w:val="es-419"/>
        </w:rPr>
        <w:t>,</w:t>
      </w:r>
      <w:r w:rsidR="00186B55" w:rsidRPr="00344FB3">
        <w:rPr>
          <w:rFonts w:cstheme="minorHAnsi"/>
          <w:lang w:val="es-419"/>
        </w:rPr>
        <w:t xml:space="preserve"> implementó la entrega de un pago de apoyo económico único por 750 dólares dirigido a todas las personas que </w:t>
      </w:r>
      <w:r w:rsidR="00371486" w:rsidRPr="00344FB3">
        <w:rPr>
          <w:rFonts w:cstheme="minorHAnsi"/>
          <w:lang w:val="es-419"/>
        </w:rPr>
        <w:t xml:space="preserve">recibían </w:t>
      </w:r>
      <w:r w:rsidR="00186B55" w:rsidRPr="00344FB3">
        <w:rPr>
          <w:rFonts w:cstheme="minorHAnsi"/>
          <w:lang w:val="es-419"/>
        </w:rPr>
        <w:t xml:space="preserve">programas </w:t>
      </w:r>
      <w:r w:rsidR="009C3C06" w:rsidRPr="00344FB3">
        <w:rPr>
          <w:rFonts w:cstheme="minorHAnsi"/>
          <w:lang w:val="es-419"/>
        </w:rPr>
        <w:t xml:space="preserve">de asistencia social </w:t>
      </w:r>
      <w:r w:rsidR="00186B55" w:rsidRPr="00344FB3">
        <w:rPr>
          <w:rFonts w:cstheme="minorHAnsi"/>
          <w:lang w:val="es-419"/>
        </w:rPr>
        <w:t>incluyendo pensiones por</w:t>
      </w:r>
      <w:r w:rsidR="009C3C06" w:rsidRPr="00344FB3">
        <w:rPr>
          <w:rFonts w:cstheme="minorHAnsi"/>
          <w:lang w:val="es-419"/>
        </w:rPr>
        <w:t xml:space="preserve"> edad, pensiones por discapacidad</w:t>
      </w:r>
      <w:r w:rsidR="00EE3395" w:rsidRPr="00344FB3">
        <w:rPr>
          <w:rFonts w:cstheme="minorHAnsi"/>
          <w:lang w:val="es-419"/>
        </w:rPr>
        <w:t xml:space="preserve"> y apoyos económicos a personas que cuidan, entre otros. El apoyo será enviado a través de los mecanismos de pago existentes, sin condiciones y sin necesidad de solicitarlo.</w:t>
      </w:r>
      <w:r w:rsidR="000D7321" w:rsidRPr="00344FB3">
        <w:rPr>
          <w:rFonts w:cstheme="minorHAnsi"/>
          <w:lang w:val="es-419"/>
        </w:rPr>
        <w:t xml:space="preserve"> </w:t>
      </w:r>
      <w:r w:rsidR="000252CB" w:rsidRPr="00344FB3">
        <w:rPr>
          <w:rFonts w:cstheme="minorHAnsi"/>
          <w:lang w:val="es-419"/>
        </w:rPr>
        <w:t xml:space="preserve">El gobierno </w:t>
      </w:r>
      <w:r w:rsidR="00F16798" w:rsidRPr="00344FB3">
        <w:rPr>
          <w:rFonts w:cstheme="minorHAnsi"/>
          <w:lang w:val="es-419"/>
        </w:rPr>
        <w:t>c</w:t>
      </w:r>
      <w:r w:rsidR="000252CB" w:rsidRPr="00344FB3">
        <w:rPr>
          <w:rFonts w:cstheme="minorHAnsi"/>
          <w:lang w:val="es-419"/>
        </w:rPr>
        <w:t>hino utilizó su programa de transferencias focalizadas no condicionadas</w:t>
      </w:r>
      <w:r w:rsidR="004645DB" w:rsidRPr="00344FB3">
        <w:rPr>
          <w:rFonts w:cstheme="minorHAnsi"/>
          <w:lang w:val="es-419"/>
        </w:rPr>
        <w:t xml:space="preserve">, </w:t>
      </w:r>
      <w:r w:rsidR="000252CB" w:rsidRPr="00344FB3">
        <w:rPr>
          <w:rFonts w:cstheme="minorHAnsi"/>
          <w:i/>
          <w:iCs/>
          <w:lang w:val="es-419"/>
        </w:rPr>
        <w:t>Dib</w:t>
      </w:r>
      <w:r w:rsidR="006B4309" w:rsidRPr="00344FB3">
        <w:rPr>
          <w:rFonts w:cstheme="minorHAnsi"/>
          <w:i/>
          <w:iCs/>
          <w:lang w:val="es-419"/>
        </w:rPr>
        <w:t>ao</w:t>
      </w:r>
      <w:r w:rsidR="002E333A" w:rsidRPr="00344FB3">
        <w:rPr>
          <w:rFonts w:cstheme="minorHAnsi"/>
          <w:lang w:val="es-419"/>
        </w:rPr>
        <w:t xml:space="preserve">, </w:t>
      </w:r>
      <w:r w:rsidR="006B4309" w:rsidRPr="00344FB3">
        <w:rPr>
          <w:rFonts w:cstheme="minorHAnsi"/>
          <w:lang w:val="es-419"/>
        </w:rPr>
        <w:t xml:space="preserve">para canalizar recursos a las familias aumentando el monto de las transferencias y la cobertura. </w:t>
      </w:r>
      <w:r w:rsidR="00E4385C" w:rsidRPr="00344FB3">
        <w:rPr>
          <w:rFonts w:cstheme="minorHAnsi"/>
          <w:lang w:val="es-419"/>
        </w:rPr>
        <w:t>Hong-Kong</w:t>
      </w:r>
      <w:r w:rsidR="00EF13BB" w:rsidRPr="00344FB3">
        <w:rPr>
          <w:rFonts w:cstheme="minorHAnsi"/>
          <w:lang w:val="es-419"/>
        </w:rPr>
        <w:t xml:space="preserve"> </w:t>
      </w:r>
      <w:r w:rsidR="008B1A81" w:rsidRPr="00344FB3">
        <w:rPr>
          <w:rFonts w:cstheme="minorHAnsi"/>
          <w:lang w:val="es-419"/>
        </w:rPr>
        <w:t>ha optado</w:t>
      </w:r>
      <w:r w:rsidR="008C51C7" w:rsidRPr="00344FB3">
        <w:rPr>
          <w:rFonts w:cstheme="minorHAnsi"/>
          <w:lang w:val="es-419"/>
        </w:rPr>
        <w:t xml:space="preserve"> por una opción </w:t>
      </w:r>
      <w:r w:rsidR="004A50F6" w:rsidRPr="00344FB3">
        <w:rPr>
          <w:rFonts w:cstheme="minorHAnsi"/>
          <w:lang w:val="es-419"/>
        </w:rPr>
        <w:t xml:space="preserve">universal, </w:t>
      </w:r>
      <w:r w:rsidR="0051619E" w:rsidRPr="00344FB3">
        <w:rPr>
          <w:rFonts w:cstheme="minorHAnsi"/>
          <w:lang w:val="es-419"/>
        </w:rPr>
        <w:t>con</w:t>
      </w:r>
      <w:r w:rsidR="008B1A81" w:rsidRPr="00344FB3">
        <w:rPr>
          <w:rFonts w:cstheme="minorHAnsi"/>
          <w:lang w:val="es-419"/>
        </w:rPr>
        <w:t xml:space="preserve"> la entrega de</w:t>
      </w:r>
      <w:r w:rsidR="00C3353D" w:rsidRPr="00344FB3">
        <w:rPr>
          <w:rFonts w:cstheme="minorHAnsi"/>
          <w:lang w:val="es-419"/>
        </w:rPr>
        <w:t xml:space="preserve"> </w:t>
      </w:r>
      <w:r w:rsidR="00FC70B7" w:rsidRPr="00344FB3">
        <w:rPr>
          <w:rFonts w:cstheme="minorHAnsi"/>
          <w:lang w:val="es-419"/>
        </w:rPr>
        <w:t xml:space="preserve">una transferencia única a cada residente permanente mayor de 18 años. </w:t>
      </w:r>
    </w:p>
    <w:p w14:paraId="2805FA96" w14:textId="4BAA13B3" w:rsidR="006552D1" w:rsidRPr="00344FB3" w:rsidRDefault="006552D1" w:rsidP="008F4654">
      <w:pPr>
        <w:jc w:val="both"/>
        <w:rPr>
          <w:rFonts w:cstheme="minorHAnsi"/>
          <w:lang w:val="es-419"/>
        </w:rPr>
      </w:pPr>
      <w:r w:rsidRPr="00344FB3">
        <w:rPr>
          <w:rFonts w:cstheme="minorHAnsi"/>
          <w:lang w:val="es-419"/>
        </w:rPr>
        <w:t xml:space="preserve">Otro enfoque ha sido suspender temporalmente las condiciones para recibir algunos apoyos sociales. Por ejemplo, el gobierno de Filipinas ha suspendido el requerimiento de cumplir con las condicionalidades del programa 4P. Algo similar </w:t>
      </w:r>
      <w:r w:rsidR="00C15986" w:rsidRPr="00344FB3">
        <w:rPr>
          <w:rFonts w:cstheme="minorHAnsi"/>
          <w:lang w:val="es-419"/>
        </w:rPr>
        <w:t xml:space="preserve">a lo que ha hecho el gobierno de Reino Unido al </w:t>
      </w:r>
      <w:r w:rsidR="000F09ED" w:rsidRPr="00344FB3">
        <w:rPr>
          <w:rFonts w:cstheme="minorHAnsi"/>
          <w:lang w:val="es-419"/>
        </w:rPr>
        <w:t xml:space="preserve">suspender la necesidad de </w:t>
      </w:r>
      <w:r w:rsidR="00A70849" w:rsidRPr="00344FB3">
        <w:rPr>
          <w:rFonts w:cstheme="minorHAnsi"/>
          <w:lang w:val="es-419"/>
        </w:rPr>
        <w:t xml:space="preserve">participar en entrenamiento </w:t>
      </w:r>
      <w:r w:rsidR="00E94D3C" w:rsidRPr="00344FB3">
        <w:rPr>
          <w:rFonts w:cstheme="minorHAnsi"/>
          <w:lang w:val="es-419"/>
        </w:rPr>
        <w:t>para el</w:t>
      </w:r>
      <w:r w:rsidR="003D5E50" w:rsidRPr="00344FB3">
        <w:rPr>
          <w:rFonts w:cstheme="minorHAnsi"/>
          <w:lang w:val="es-419"/>
        </w:rPr>
        <w:t xml:space="preserve"> </w:t>
      </w:r>
      <w:r w:rsidR="003D5E50" w:rsidRPr="00344FB3">
        <w:rPr>
          <w:rFonts w:cstheme="minorHAnsi"/>
          <w:i/>
          <w:iCs/>
          <w:lang w:val="es-419"/>
        </w:rPr>
        <w:t>Universal Child Grant Program</w:t>
      </w:r>
      <w:r w:rsidR="003D5E50" w:rsidRPr="00344FB3">
        <w:rPr>
          <w:rFonts w:cstheme="minorHAnsi"/>
          <w:lang w:val="es-419"/>
        </w:rPr>
        <w:t>.</w:t>
      </w:r>
    </w:p>
    <w:p w14:paraId="1F4D57DD" w14:textId="2765CECA" w:rsidR="009A3108" w:rsidRPr="00344FB3" w:rsidRDefault="00CC3C81" w:rsidP="008F4654">
      <w:pPr>
        <w:jc w:val="both"/>
        <w:rPr>
          <w:rFonts w:cstheme="minorHAnsi"/>
          <w:lang w:val="es-419"/>
        </w:rPr>
      </w:pPr>
      <w:r w:rsidRPr="00344FB3">
        <w:rPr>
          <w:rFonts w:cstheme="minorHAnsi"/>
          <w:lang w:val="es-419"/>
        </w:rPr>
        <w:lastRenderedPageBreak/>
        <w:t>Para lograr la continuidad de los programas de alimentación en las escuelas se ha recurrido a otr</w:t>
      </w:r>
      <w:r w:rsidR="0083301D" w:rsidRPr="00344FB3">
        <w:rPr>
          <w:rFonts w:cstheme="minorHAnsi"/>
          <w:lang w:val="es-419"/>
        </w:rPr>
        <w:t>as estrategias de entrega. En</w:t>
      </w:r>
      <w:r w:rsidRPr="00344FB3">
        <w:rPr>
          <w:rFonts w:cstheme="minorHAnsi"/>
          <w:lang w:val="es-419"/>
        </w:rPr>
        <w:t xml:space="preserve"> el caso de Kerala en India los alimentos son entregados </w:t>
      </w:r>
      <w:r w:rsidR="00A40E25" w:rsidRPr="00344FB3">
        <w:rPr>
          <w:rFonts w:cstheme="minorHAnsi"/>
          <w:lang w:val="es-419"/>
        </w:rPr>
        <w:t xml:space="preserve">en las viviendas. </w:t>
      </w:r>
      <w:r w:rsidR="0083301D" w:rsidRPr="00344FB3">
        <w:rPr>
          <w:rFonts w:cstheme="minorHAnsi"/>
          <w:lang w:val="es-419"/>
        </w:rPr>
        <w:t>En</w:t>
      </w:r>
      <w:r w:rsidR="00A40E25" w:rsidRPr="00344FB3">
        <w:rPr>
          <w:rFonts w:cstheme="minorHAnsi"/>
          <w:lang w:val="es-419"/>
        </w:rPr>
        <w:t xml:space="preserve"> Estados Unidos, se h</w:t>
      </w:r>
      <w:r w:rsidR="002132AB" w:rsidRPr="00344FB3">
        <w:rPr>
          <w:rFonts w:cstheme="minorHAnsi"/>
          <w:lang w:val="es-419"/>
        </w:rPr>
        <w:t xml:space="preserve">a adaptado </w:t>
      </w:r>
      <w:r w:rsidR="000867E0" w:rsidRPr="00344FB3">
        <w:rPr>
          <w:rFonts w:cstheme="minorHAnsi"/>
          <w:lang w:val="es-419"/>
        </w:rPr>
        <w:t>la</w:t>
      </w:r>
      <w:r w:rsidR="00A40E25" w:rsidRPr="00344FB3">
        <w:rPr>
          <w:rFonts w:cstheme="minorHAnsi"/>
          <w:lang w:val="es-419"/>
        </w:rPr>
        <w:t xml:space="preserve"> entrega de alimentos </w:t>
      </w:r>
      <w:r w:rsidR="002132AB" w:rsidRPr="00344FB3">
        <w:rPr>
          <w:rFonts w:cstheme="minorHAnsi"/>
          <w:lang w:val="es-419"/>
        </w:rPr>
        <w:t xml:space="preserve">preparados </w:t>
      </w:r>
      <w:r w:rsidR="00314797" w:rsidRPr="00344FB3">
        <w:rPr>
          <w:rFonts w:cstheme="minorHAnsi"/>
          <w:lang w:val="es-419"/>
        </w:rPr>
        <w:t xml:space="preserve">en las escuelas, pero </w:t>
      </w:r>
      <w:r w:rsidR="00A40E25" w:rsidRPr="00344FB3">
        <w:rPr>
          <w:rFonts w:cstheme="minorHAnsi"/>
          <w:lang w:val="es-419"/>
        </w:rPr>
        <w:t>para llevar</w:t>
      </w:r>
      <w:r w:rsidR="002132AB" w:rsidRPr="00344FB3">
        <w:rPr>
          <w:rFonts w:cstheme="minorHAnsi"/>
          <w:lang w:val="es-419"/>
        </w:rPr>
        <w:t>.</w:t>
      </w:r>
      <w:r w:rsidR="00674C0A" w:rsidRPr="00344FB3">
        <w:rPr>
          <w:rFonts w:cstheme="minorHAnsi"/>
          <w:lang w:val="es-419"/>
        </w:rPr>
        <w:t xml:space="preserve"> </w:t>
      </w:r>
      <w:r w:rsidR="005A50FD" w:rsidRPr="00344FB3">
        <w:rPr>
          <w:rFonts w:cstheme="minorHAnsi"/>
          <w:lang w:val="es-419"/>
        </w:rPr>
        <w:t>En</w:t>
      </w:r>
      <w:r w:rsidR="00FF5BA7" w:rsidRPr="00344FB3">
        <w:rPr>
          <w:rFonts w:cstheme="minorHAnsi"/>
          <w:lang w:val="es-419"/>
        </w:rPr>
        <w:t xml:space="preserve"> España, </w:t>
      </w:r>
      <w:r w:rsidR="00314797" w:rsidRPr="00344FB3">
        <w:rPr>
          <w:rFonts w:cstheme="minorHAnsi"/>
          <w:lang w:val="es-419"/>
        </w:rPr>
        <w:t xml:space="preserve">la comunidad de Madrid ha realizado acuerdos con </w:t>
      </w:r>
      <w:r w:rsidR="00725D89" w:rsidRPr="00344FB3">
        <w:rPr>
          <w:rFonts w:cstheme="minorHAnsi"/>
          <w:lang w:val="es-419"/>
        </w:rPr>
        <w:t xml:space="preserve">algunas </w:t>
      </w:r>
      <w:r w:rsidR="00314797" w:rsidRPr="00344FB3">
        <w:rPr>
          <w:rFonts w:cstheme="minorHAnsi"/>
          <w:lang w:val="es-419"/>
        </w:rPr>
        <w:t xml:space="preserve">cadenas de comida </w:t>
      </w:r>
      <w:r w:rsidR="00436EE7" w:rsidRPr="00344FB3">
        <w:rPr>
          <w:rFonts w:cstheme="minorHAnsi"/>
          <w:lang w:val="es-419"/>
        </w:rPr>
        <w:t xml:space="preserve">rápida para </w:t>
      </w:r>
      <w:r w:rsidR="001D6784" w:rsidRPr="00344FB3">
        <w:rPr>
          <w:rFonts w:cstheme="minorHAnsi"/>
          <w:lang w:val="es-419"/>
        </w:rPr>
        <w:t>que las familias</w:t>
      </w:r>
      <w:r w:rsidR="001A7B3D" w:rsidRPr="00344FB3">
        <w:rPr>
          <w:rFonts w:cstheme="minorHAnsi"/>
          <w:lang w:val="es-419"/>
        </w:rPr>
        <w:t xml:space="preserve"> de bajos recursos que </w:t>
      </w:r>
      <w:r w:rsidR="008B2CEA" w:rsidRPr="00344FB3">
        <w:rPr>
          <w:rFonts w:cstheme="minorHAnsi"/>
          <w:lang w:val="es-419"/>
        </w:rPr>
        <w:t>reciben alimentación en las escuelas</w:t>
      </w:r>
      <w:r w:rsidR="001D6784" w:rsidRPr="00344FB3">
        <w:rPr>
          <w:rFonts w:cstheme="minorHAnsi"/>
          <w:lang w:val="es-419"/>
        </w:rPr>
        <w:t xml:space="preserve"> recojan </w:t>
      </w:r>
      <w:r w:rsidR="00DD3BA6" w:rsidRPr="00344FB3">
        <w:rPr>
          <w:rFonts w:cstheme="minorHAnsi"/>
          <w:lang w:val="es-419"/>
        </w:rPr>
        <w:t xml:space="preserve">la comida. </w:t>
      </w:r>
      <w:r w:rsidR="00674C0A" w:rsidRPr="00344FB3">
        <w:rPr>
          <w:rFonts w:cstheme="minorHAnsi"/>
          <w:lang w:val="es-419"/>
        </w:rPr>
        <w:t xml:space="preserve">En </w:t>
      </w:r>
      <w:r w:rsidR="00DD3BA6" w:rsidRPr="00344FB3">
        <w:rPr>
          <w:rFonts w:cstheme="minorHAnsi"/>
          <w:lang w:val="es-419"/>
        </w:rPr>
        <w:t>contaste, en Cataluña</w:t>
      </w:r>
      <w:r w:rsidR="00674C0A" w:rsidRPr="00344FB3">
        <w:rPr>
          <w:rFonts w:cstheme="minorHAnsi"/>
          <w:lang w:val="es-419"/>
        </w:rPr>
        <w:t xml:space="preserve"> se </w:t>
      </w:r>
      <w:r w:rsidR="00AD3DCF" w:rsidRPr="00344FB3">
        <w:rPr>
          <w:rFonts w:cstheme="minorHAnsi"/>
          <w:lang w:val="es-419"/>
        </w:rPr>
        <w:t xml:space="preserve">planea </w:t>
      </w:r>
      <w:r w:rsidR="0095168A" w:rsidRPr="00344FB3">
        <w:rPr>
          <w:rFonts w:cstheme="minorHAnsi"/>
          <w:lang w:val="es-419"/>
        </w:rPr>
        <w:t>entregar tarjetas electrónicas prepagadas</w:t>
      </w:r>
      <w:r w:rsidR="0096642D" w:rsidRPr="00344FB3">
        <w:rPr>
          <w:rFonts w:cstheme="minorHAnsi"/>
          <w:lang w:val="es-419"/>
        </w:rPr>
        <w:t xml:space="preserve"> con el monto de la prestación </w:t>
      </w:r>
      <w:r w:rsidR="007F7A66" w:rsidRPr="00344FB3">
        <w:rPr>
          <w:rFonts w:cstheme="minorHAnsi"/>
          <w:lang w:val="es-419"/>
        </w:rPr>
        <w:t>diaria de la beca por cada uno de los días que estén cerrados los colegi</w:t>
      </w:r>
      <w:r w:rsidR="00DD3BA6" w:rsidRPr="00344FB3">
        <w:rPr>
          <w:rFonts w:cstheme="minorHAnsi"/>
          <w:lang w:val="es-419"/>
        </w:rPr>
        <w:t>os.</w:t>
      </w:r>
    </w:p>
    <w:p w14:paraId="730F4E9A" w14:textId="7B5DF3DB" w:rsidR="002941BF" w:rsidRPr="00344FB3" w:rsidRDefault="00072C3A" w:rsidP="008F4654">
      <w:pPr>
        <w:jc w:val="both"/>
        <w:rPr>
          <w:rFonts w:cstheme="minorHAnsi"/>
          <w:lang w:val="es-419"/>
        </w:rPr>
      </w:pPr>
      <w:r w:rsidRPr="00344FB3">
        <w:rPr>
          <w:rFonts w:cstheme="minorHAnsi"/>
          <w:lang w:val="es-419"/>
        </w:rPr>
        <w:t>Loa gobiernos de Italia y de Corea del Sur han utilizado apoyos para facilitar el cuidado de niños. En Italia, por ejemplo, los padres pueden pedir hasta 600 euros para pagar el cuidado de sus hijos</w:t>
      </w:r>
      <w:r w:rsidR="00CA0A86" w:rsidRPr="00344FB3">
        <w:rPr>
          <w:rFonts w:cstheme="minorHAnsi"/>
          <w:lang w:val="es-419"/>
        </w:rPr>
        <w:t xml:space="preserve">. </w:t>
      </w:r>
      <w:r w:rsidR="00A40E25" w:rsidRPr="00344FB3">
        <w:rPr>
          <w:rFonts w:cstheme="minorHAnsi"/>
          <w:lang w:val="es-419"/>
        </w:rPr>
        <w:t xml:space="preserve">Una </w:t>
      </w:r>
      <w:r w:rsidR="0044346D" w:rsidRPr="00344FB3">
        <w:rPr>
          <w:rFonts w:cstheme="minorHAnsi"/>
          <w:lang w:val="es-419"/>
        </w:rPr>
        <w:t>preocupación</w:t>
      </w:r>
      <w:r w:rsidR="009A3108" w:rsidRPr="00344FB3">
        <w:rPr>
          <w:rFonts w:cstheme="minorHAnsi"/>
          <w:lang w:val="es-419"/>
        </w:rPr>
        <w:t xml:space="preserve"> común </w:t>
      </w:r>
      <w:r w:rsidR="00514935" w:rsidRPr="00344FB3">
        <w:rPr>
          <w:rFonts w:cstheme="minorHAnsi"/>
          <w:lang w:val="es-419"/>
        </w:rPr>
        <w:t xml:space="preserve">ha sido </w:t>
      </w:r>
      <w:r w:rsidR="0044346D" w:rsidRPr="00344FB3">
        <w:rPr>
          <w:rFonts w:cstheme="minorHAnsi"/>
          <w:lang w:val="es-419"/>
        </w:rPr>
        <w:t xml:space="preserve">compatibilizar la entrega de beneficios con las indicaciones de </w:t>
      </w:r>
      <w:r w:rsidR="00E606BA" w:rsidRPr="00344FB3">
        <w:rPr>
          <w:rFonts w:cstheme="minorHAnsi"/>
          <w:lang w:val="es-419"/>
        </w:rPr>
        <w:t>aislamiento social</w:t>
      </w:r>
      <w:r w:rsidR="00514935" w:rsidRPr="00344FB3">
        <w:rPr>
          <w:rFonts w:cstheme="minorHAnsi"/>
          <w:lang w:val="es-419"/>
        </w:rPr>
        <w:t xml:space="preserve"> y disminuir que las personas tengan que desplazarse para recibir apoyos.</w:t>
      </w:r>
    </w:p>
    <w:p w14:paraId="4BA9DD7C" w14:textId="77777777" w:rsidR="00280589" w:rsidRPr="00344FB3" w:rsidRDefault="00280589" w:rsidP="00280589">
      <w:pPr>
        <w:jc w:val="both"/>
        <w:rPr>
          <w:rFonts w:cstheme="minorHAnsi"/>
          <w:szCs w:val="24"/>
          <w:lang w:val="es-419"/>
        </w:rPr>
      </w:pPr>
      <w:r w:rsidRPr="00344FB3">
        <w:rPr>
          <w:rFonts w:cstheme="minorHAnsi"/>
          <w:szCs w:val="24"/>
          <w:lang w:val="es-419"/>
        </w:rPr>
        <w:t>A nivel mundial Gentilini, Almenfi y Orton (2020)</w:t>
      </w:r>
      <w:r w:rsidRPr="00344FB3">
        <w:rPr>
          <w:rFonts w:cstheme="minorHAnsi"/>
          <w:szCs w:val="24"/>
          <w:vertAlign w:val="superscript"/>
          <w:lang w:val="es-419"/>
        </w:rPr>
        <w:footnoteReference w:id="11"/>
      </w:r>
      <w:r w:rsidRPr="00344FB3">
        <w:rPr>
          <w:rFonts w:cstheme="minorHAnsi"/>
          <w:szCs w:val="24"/>
          <w:lang w:val="es-419"/>
        </w:rPr>
        <w:t xml:space="preserve"> realizaron una revisión de lo que están haciendo los países para enfrentar el coronavirus. Se observa que hasta el momento 84 países han introducido o adaptado programas de protección social y empleo en respuesta a COVID-19. Entre las clases de intervenciones, la asistencia social (transferencias no contributivas) es la más utilizada (150 programas), seguida de acciones de seguridad social (91) e intervenciones en el mercado laboral del lado de la oferta (42). Dentro de la asistencia social, los programas de transferencia de efectivo son claramente la intervención más utilizada por los gobiernos (más de un tercio del total de programas). Un total de 58 países cuentan con esos programas, y 35 de ellos representan nuevas iniciativas introducidas específicamente como respuesta COVID-19. En los países que no han introducido nuevos programas, sino que han modificado las intervenciones preexistentes, tales modificaciones se llevan a cabo a través de seis estrategias básicas, a saber i) mayor cobertura (por ejemplo, Brasil), ii) mayores niveles de beneficios (China), iii) pagos anticipados (Indonesia), iv) simplificación de los requisitos administrativos (Reino Unido, Rumania), v) conectar esquemas de respuesta COVID en plataformas de entrega existentes (Pakistán, Jordania) y vi) proporcionar innovadores diseñar soluciones, como programas de alimentación escolar que entreguen alimentos directamente a los hogares de niños o puntos de distribución cercanos (Jamaica).</w:t>
      </w:r>
    </w:p>
    <w:p w14:paraId="5EE1776A" w14:textId="77777777" w:rsidR="00F15465" w:rsidRPr="00344FB3" w:rsidRDefault="00F15465" w:rsidP="0082246B">
      <w:pPr>
        <w:pStyle w:val="ListParagraph"/>
        <w:numPr>
          <w:ilvl w:val="0"/>
          <w:numId w:val="7"/>
        </w:numPr>
        <w:spacing w:line="240" w:lineRule="auto"/>
        <w:contextualSpacing w:val="0"/>
        <w:rPr>
          <w:rFonts w:eastAsia="Times New Roman" w:cstheme="minorHAnsi"/>
          <w:b/>
          <w:lang w:val="es-ES_tradnl"/>
        </w:rPr>
      </w:pPr>
      <w:r w:rsidRPr="00344FB3">
        <w:rPr>
          <w:rFonts w:eastAsia="Times New Roman" w:cstheme="minorHAnsi"/>
          <w:b/>
          <w:lang w:val="es-ES"/>
        </w:rPr>
        <w:t>¿Qué programas se pueden poner en marcha en el corto plazo?</w:t>
      </w:r>
    </w:p>
    <w:p w14:paraId="0EF752E2" w14:textId="4643E66F" w:rsidR="00D017E9" w:rsidRPr="00344FB3" w:rsidRDefault="00A55EEC" w:rsidP="006B09E4">
      <w:pPr>
        <w:jc w:val="both"/>
        <w:rPr>
          <w:rFonts w:cstheme="minorHAnsi"/>
          <w:lang w:val="es-419"/>
        </w:rPr>
      </w:pPr>
      <w:r w:rsidRPr="00344FB3">
        <w:rPr>
          <w:rFonts w:cstheme="minorHAnsi"/>
          <w:lang w:val="es-419"/>
        </w:rPr>
        <w:t>El objetivo</w:t>
      </w:r>
      <w:r w:rsidR="00280589" w:rsidRPr="00344FB3">
        <w:rPr>
          <w:rFonts w:cstheme="minorHAnsi"/>
          <w:lang w:val="es-419"/>
        </w:rPr>
        <w:t xml:space="preserve"> desde la protección social</w:t>
      </w:r>
      <w:r w:rsidRPr="00344FB3">
        <w:rPr>
          <w:rFonts w:cstheme="minorHAnsi"/>
          <w:lang w:val="es-419"/>
        </w:rPr>
        <w:t xml:space="preserve"> es</w:t>
      </w:r>
      <w:r w:rsidR="002E1FBA" w:rsidRPr="00344FB3">
        <w:rPr>
          <w:rFonts w:cstheme="minorHAnsi"/>
          <w:lang w:val="es-419"/>
        </w:rPr>
        <w:t xml:space="preserve"> </w:t>
      </w:r>
      <w:r w:rsidR="00FD0CEC" w:rsidRPr="00344FB3">
        <w:rPr>
          <w:rFonts w:cstheme="minorHAnsi"/>
          <w:lang w:val="es-419"/>
        </w:rPr>
        <w:t>mantener la capacidad</w:t>
      </w:r>
      <w:r w:rsidR="002E1FBA" w:rsidRPr="00344FB3">
        <w:rPr>
          <w:rFonts w:cstheme="minorHAnsi"/>
          <w:lang w:val="es-419"/>
        </w:rPr>
        <w:t xml:space="preserve"> de </w:t>
      </w:r>
      <w:r w:rsidR="00FD0CEC" w:rsidRPr="00344FB3">
        <w:rPr>
          <w:rFonts w:cstheme="minorHAnsi"/>
          <w:lang w:val="es-419"/>
        </w:rPr>
        <w:t>consumo de</w:t>
      </w:r>
      <w:r w:rsidR="00185900" w:rsidRPr="00344FB3">
        <w:rPr>
          <w:rFonts w:cstheme="minorHAnsi"/>
          <w:lang w:val="es-419"/>
        </w:rPr>
        <w:t xml:space="preserve"> personas cuyo ingreso se ve disminuido</w:t>
      </w:r>
      <w:r w:rsidR="001549C4" w:rsidRPr="00344FB3">
        <w:rPr>
          <w:rFonts w:cstheme="minorHAnsi"/>
          <w:lang w:val="es-419"/>
        </w:rPr>
        <w:t>, directa o indirectamente,</w:t>
      </w:r>
      <w:r w:rsidR="00185900" w:rsidRPr="00344FB3">
        <w:rPr>
          <w:rFonts w:cstheme="minorHAnsi"/>
          <w:lang w:val="es-419"/>
        </w:rPr>
        <w:t xml:space="preserve"> </w:t>
      </w:r>
      <w:r w:rsidR="001A6C7A" w:rsidRPr="00344FB3">
        <w:rPr>
          <w:rFonts w:cstheme="minorHAnsi"/>
          <w:lang w:val="es-419"/>
        </w:rPr>
        <w:t xml:space="preserve">por contraer el </w:t>
      </w:r>
      <w:r w:rsidR="00A13DEB" w:rsidRPr="00344FB3">
        <w:rPr>
          <w:rFonts w:cstheme="minorHAnsi"/>
          <w:lang w:val="es-419"/>
        </w:rPr>
        <w:t>COVID-19</w:t>
      </w:r>
      <w:r w:rsidR="001A6C7A" w:rsidRPr="00344FB3">
        <w:rPr>
          <w:rFonts w:cstheme="minorHAnsi"/>
          <w:lang w:val="es-419"/>
        </w:rPr>
        <w:t xml:space="preserve">, </w:t>
      </w:r>
      <w:r w:rsidR="004A60B6" w:rsidRPr="00344FB3">
        <w:rPr>
          <w:rFonts w:cstheme="minorHAnsi"/>
          <w:lang w:val="es-419"/>
        </w:rPr>
        <w:t xml:space="preserve">por </w:t>
      </w:r>
      <w:r w:rsidR="00DB7CD0" w:rsidRPr="00344FB3">
        <w:rPr>
          <w:rFonts w:cstheme="minorHAnsi"/>
          <w:lang w:val="es-419"/>
        </w:rPr>
        <w:t>las medidas de distanciamiento social</w:t>
      </w:r>
      <w:r w:rsidR="001549C4" w:rsidRPr="00344FB3">
        <w:rPr>
          <w:rFonts w:cstheme="minorHAnsi"/>
          <w:lang w:val="es-419"/>
        </w:rPr>
        <w:t xml:space="preserve"> </w:t>
      </w:r>
      <w:r w:rsidR="00481EBE" w:rsidRPr="00344FB3">
        <w:rPr>
          <w:rFonts w:cstheme="minorHAnsi"/>
          <w:lang w:val="es-419"/>
        </w:rPr>
        <w:t xml:space="preserve">(etapa de emergencia) </w:t>
      </w:r>
      <w:r w:rsidR="00FD0CEC" w:rsidRPr="00344FB3">
        <w:rPr>
          <w:rFonts w:cstheme="minorHAnsi"/>
          <w:lang w:val="es-419"/>
        </w:rPr>
        <w:t xml:space="preserve">y por la contracción de la economía (etapa </w:t>
      </w:r>
      <w:r w:rsidR="000A4B6A" w:rsidRPr="00344FB3">
        <w:rPr>
          <w:rFonts w:cstheme="minorHAnsi"/>
          <w:lang w:val="es-419"/>
        </w:rPr>
        <w:t xml:space="preserve">de </w:t>
      </w:r>
      <w:r w:rsidR="00D74BAB" w:rsidRPr="00344FB3">
        <w:rPr>
          <w:rFonts w:cstheme="minorHAnsi"/>
          <w:lang w:val="es-419"/>
        </w:rPr>
        <w:t>crisis y recuperación)</w:t>
      </w:r>
      <w:r w:rsidR="00FF6B83" w:rsidRPr="00344FB3">
        <w:rPr>
          <w:rFonts w:cstheme="minorHAnsi"/>
          <w:lang w:val="es-419"/>
        </w:rPr>
        <w:t>, considerando la necesidad de realizar ajustes razonables pertinentes para las personas con discapacidad y seguir un enfoque diferencial para pueblos indígenas y afrodescendientes.</w:t>
      </w:r>
      <w:r w:rsidR="00D74BAB" w:rsidRPr="00344FB3">
        <w:rPr>
          <w:rFonts w:cstheme="minorHAnsi"/>
          <w:lang w:val="es-419"/>
        </w:rPr>
        <w:t xml:space="preserve"> </w:t>
      </w:r>
      <w:r w:rsidR="007249EF" w:rsidRPr="00344FB3">
        <w:rPr>
          <w:rFonts w:cstheme="minorHAnsi"/>
          <w:lang w:val="es-419"/>
        </w:rPr>
        <w:t xml:space="preserve">El instrumento más directo son las transferencias económicas </w:t>
      </w:r>
      <w:r w:rsidR="00E74BE4" w:rsidRPr="00344FB3">
        <w:rPr>
          <w:rFonts w:cstheme="minorHAnsi"/>
          <w:lang w:val="es-419"/>
        </w:rPr>
        <w:t>extraordinari</w:t>
      </w:r>
      <w:r w:rsidR="00684489" w:rsidRPr="00344FB3">
        <w:rPr>
          <w:rFonts w:cstheme="minorHAnsi"/>
          <w:lang w:val="es-419"/>
        </w:rPr>
        <w:t>a</w:t>
      </w:r>
      <w:r w:rsidR="00E74BE4" w:rsidRPr="00344FB3">
        <w:rPr>
          <w:rFonts w:cstheme="minorHAnsi"/>
          <w:lang w:val="es-419"/>
        </w:rPr>
        <w:t>s</w:t>
      </w:r>
      <w:r w:rsidR="007249EF" w:rsidRPr="00344FB3">
        <w:rPr>
          <w:rFonts w:cstheme="minorHAnsi"/>
          <w:lang w:val="es-419"/>
        </w:rPr>
        <w:t>, pero como vimos hay otras medidas como</w:t>
      </w:r>
      <w:r w:rsidR="00560B55" w:rsidRPr="00344FB3">
        <w:rPr>
          <w:rFonts w:cstheme="minorHAnsi"/>
          <w:lang w:val="es-419"/>
        </w:rPr>
        <w:t xml:space="preserve"> la distribución directa de productos básicos</w:t>
      </w:r>
      <w:r w:rsidR="008308F3" w:rsidRPr="00344FB3">
        <w:rPr>
          <w:rFonts w:cstheme="minorHAnsi"/>
          <w:lang w:val="es-419"/>
        </w:rPr>
        <w:t xml:space="preserve"> o la </w:t>
      </w:r>
      <w:r w:rsidR="00B61894" w:rsidRPr="00344FB3">
        <w:rPr>
          <w:rFonts w:cstheme="minorHAnsi"/>
          <w:lang w:val="es-419"/>
        </w:rPr>
        <w:t>moratoria en el pago de hip</w:t>
      </w:r>
      <w:r w:rsidR="000A51EE" w:rsidRPr="00344FB3">
        <w:rPr>
          <w:rFonts w:cstheme="minorHAnsi"/>
          <w:lang w:val="es-419"/>
        </w:rPr>
        <w:t>otecas o</w:t>
      </w:r>
      <w:r w:rsidR="008308F3" w:rsidRPr="00344FB3">
        <w:rPr>
          <w:rFonts w:cstheme="minorHAnsi"/>
          <w:lang w:val="es-419"/>
        </w:rPr>
        <w:t xml:space="preserve"> del pago de servicios domiciliarios como agua, luz</w:t>
      </w:r>
      <w:r w:rsidR="001B34EA" w:rsidRPr="00344FB3">
        <w:rPr>
          <w:rFonts w:cstheme="minorHAnsi"/>
          <w:lang w:val="es-419"/>
        </w:rPr>
        <w:t>, gas</w:t>
      </w:r>
      <w:r w:rsidR="008308F3" w:rsidRPr="00344FB3">
        <w:rPr>
          <w:rFonts w:cstheme="minorHAnsi"/>
          <w:lang w:val="es-419"/>
        </w:rPr>
        <w:t xml:space="preserve"> y teléfono.</w:t>
      </w:r>
      <w:r w:rsidR="00B77C4F" w:rsidRPr="00344FB3">
        <w:rPr>
          <w:rFonts w:cstheme="minorHAnsi"/>
          <w:lang w:val="es-419"/>
        </w:rPr>
        <w:t xml:space="preserve"> Para la respuesta inmediata, s</w:t>
      </w:r>
      <w:r w:rsidR="00CD258E" w:rsidRPr="00344FB3">
        <w:rPr>
          <w:rFonts w:cstheme="minorHAnsi"/>
          <w:lang w:val="es-419"/>
        </w:rPr>
        <w:t xml:space="preserve">e han identificado las siguientes </w:t>
      </w:r>
      <w:r w:rsidR="00530AAF" w:rsidRPr="00344FB3">
        <w:rPr>
          <w:rFonts w:cstheme="minorHAnsi"/>
          <w:lang w:val="es-419"/>
        </w:rPr>
        <w:t>opciones.</w:t>
      </w:r>
    </w:p>
    <w:p w14:paraId="088F9C57" w14:textId="3423EEE1" w:rsidR="008A0D9B" w:rsidRPr="00344FB3" w:rsidRDefault="004D7FDE" w:rsidP="008A0D9B">
      <w:pPr>
        <w:jc w:val="both"/>
        <w:rPr>
          <w:rFonts w:cstheme="minorHAnsi"/>
          <w:lang w:val="es-419"/>
        </w:rPr>
      </w:pPr>
      <w:r w:rsidRPr="00344FB3">
        <w:rPr>
          <w:rFonts w:cstheme="minorHAnsi"/>
          <w:b/>
          <w:bCs/>
          <w:lang w:val="es-419"/>
        </w:rPr>
        <w:t>P</w:t>
      </w:r>
      <w:r w:rsidR="00530AAF" w:rsidRPr="00344FB3">
        <w:rPr>
          <w:rFonts w:cstheme="minorHAnsi"/>
          <w:b/>
          <w:bCs/>
          <w:lang w:val="es-419"/>
        </w:rPr>
        <w:t>rotección a p</w:t>
      </w:r>
      <w:r w:rsidR="008A0D9B" w:rsidRPr="00344FB3">
        <w:rPr>
          <w:rFonts w:cstheme="minorHAnsi"/>
          <w:b/>
          <w:bCs/>
          <w:lang w:val="es-419"/>
        </w:rPr>
        <w:t xml:space="preserve">ersonas directamente afectadas por el </w:t>
      </w:r>
      <w:r w:rsidR="00A13DEB" w:rsidRPr="00344FB3">
        <w:rPr>
          <w:rFonts w:cstheme="minorHAnsi"/>
          <w:b/>
          <w:bCs/>
          <w:lang w:val="es-419"/>
        </w:rPr>
        <w:t>COVID-19</w:t>
      </w:r>
      <w:r w:rsidR="008A0D9B" w:rsidRPr="00344FB3">
        <w:rPr>
          <w:rFonts w:cstheme="minorHAnsi"/>
          <w:b/>
          <w:bCs/>
          <w:lang w:val="es-419"/>
        </w:rPr>
        <w:t>.</w:t>
      </w:r>
      <w:r w:rsidR="008A0D9B" w:rsidRPr="00344FB3">
        <w:rPr>
          <w:rFonts w:cstheme="minorHAnsi"/>
          <w:lang w:val="es-419"/>
        </w:rPr>
        <w:t xml:space="preserve"> Se proponen transferencias a familias de personas contagiadas por el </w:t>
      </w:r>
      <w:r w:rsidR="00A13DEB" w:rsidRPr="00344FB3">
        <w:rPr>
          <w:rFonts w:cstheme="minorHAnsi"/>
          <w:lang w:val="es-419"/>
        </w:rPr>
        <w:t>COVID-19</w:t>
      </w:r>
      <w:r w:rsidR="008A0D9B" w:rsidRPr="00344FB3">
        <w:rPr>
          <w:rFonts w:cstheme="minorHAnsi"/>
          <w:lang w:val="es-419"/>
        </w:rPr>
        <w:t xml:space="preserve"> que sean ingresadas a tratamiento hospitalario, así como a las </w:t>
      </w:r>
      <w:r w:rsidR="008A0D9B" w:rsidRPr="00344FB3">
        <w:rPr>
          <w:rFonts w:cstheme="minorHAnsi"/>
          <w:lang w:val="es-419"/>
        </w:rPr>
        <w:lastRenderedPageBreak/>
        <w:t>familias de las personas que fallezcan debido a la pandemia.</w:t>
      </w:r>
      <w:r w:rsidR="008F2537" w:rsidRPr="00344FB3">
        <w:rPr>
          <w:rFonts w:cstheme="minorHAnsi"/>
          <w:lang w:val="es-419"/>
        </w:rPr>
        <w:t xml:space="preserve"> Se considerar</w:t>
      </w:r>
      <w:r w:rsidR="00317AC4" w:rsidRPr="00344FB3">
        <w:rPr>
          <w:rFonts w:cstheme="minorHAnsi"/>
          <w:lang w:val="es-419"/>
        </w:rPr>
        <w:t>á</w:t>
      </w:r>
      <w:r w:rsidR="008F2537" w:rsidRPr="00344FB3">
        <w:rPr>
          <w:rFonts w:cstheme="minorHAnsi"/>
          <w:lang w:val="es-419"/>
        </w:rPr>
        <w:t>n diversos mecanismos de pago incluyendo alternativas para poblaciones no bancarizadas y sin acceso a servicios digitales, o cajeros.</w:t>
      </w:r>
    </w:p>
    <w:p w14:paraId="086D5CB9" w14:textId="3489E20B" w:rsidR="008A0D9B" w:rsidRPr="00344FB3" w:rsidRDefault="008A0D9B" w:rsidP="008A0D9B">
      <w:pPr>
        <w:jc w:val="both"/>
        <w:rPr>
          <w:rFonts w:cstheme="minorHAnsi"/>
          <w:lang w:val="es-419"/>
        </w:rPr>
      </w:pPr>
      <w:r w:rsidRPr="00344FB3">
        <w:rPr>
          <w:rFonts w:cstheme="minorHAnsi"/>
          <w:b/>
          <w:bCs/>
          <w:lang w:val="es-419"/>
        </w:rPr>
        <w:t>Protección a personas pobres y vulnerables a partir de los programas de transferencias monetarias existentes.</w:t>
      </w:r>
      <w:r w:rsidRPr="00344FB3">
        <w:rPr>
          <w:rFonts w:cstheme="minorHAnsi"/>
          <w:lang w:val="es-419"/>
        </w:rPr>
        <w:t xml:space="preserve"> Se plantean transferencias puntuales (uno o dos pagos extraordinarios) usando las plataformas de los programas existentes (beneficiarios actuales de programas de transferencias condicionadas, pensiones no contributivas, transferencias para personas con discapacidad y becas para niños vulnerables; y para personas registradas en los padrones y en situación de vulnerabilidad). Esto permitiría llegar muy rápidamente a 150-180 millones de personas en al menos 16 países de la región. </w:t>
      </w:r>
      <w:r w:rsidR="00AF2317" w:rsidRPr="00344FB3">
        <w:rPr>
          <w:rFonts w:cstheme="minorHAnsi"/>
          <w:lang w:val="es-419"/>
        </w:rPr>
        <w:t xml:space="preserve">En varios países hay registros de personas migrantes, que para efectos de estos esquemas </w:t>
      </w:r>
      <w:r w:rsidR="003C431F" w:rsidRPr="00344FB3">
        <w:rPr>
          <w:rFonts w:cstheme="minorHAnsi"/>
          <w:lang w:val="es-419"/>
        </w:rPr>
        <w:t>deberían ser consideradas para</w:t>
      </w:r>
      <w:r w:rsidR="00AF2317" w:rsidRPr="00344FB3">
        <w:rPr>
          <w:rFonts w:cstheme="minorHAnsi"/>
          <w:lang w:val="es-419"/>
        </w:rPr>
        <w:t xml:space="preserve"> recibir</w:t>
      </w:r>
      <w:r w:rsidR="002464C9" w:rsidRPr="00344FB3">
        <w:rPr>
          <w:rFonts w:cstheme="minorHAnsi"/>
          <w:lang w:val="es-419"/>
        </w:rPr>
        <w:t xml:space="preserve"> transferencias puntuales</w:t>
      </w:r>
      <w:r w:rsidR="00F67FD3" w:rsidRPr="00344FB3">
        <w:rPr>
          <w:rFonts w:cstheme="minorHAnsi"/>
          <w:lang w:val="es-419"/>
        </w:rPr>
        <w:t>.</w:t>
      </w:r>
      <w:r w:rsidR="002464C9" w:rsidRPr="00344FB3">
        <w:rPr>
          <w:rFonts w:cstheme="minorHAnsi"/>
          <w:lang w:val="es-419"/>
        </w:rPr>
        <w:t xml:space="preserve"> </w:t>
      </w:r>
    </w:p>
    <w:p w14:paraId="4E485DDA" w14:textId="60EBC743" w:rsidR="008A0D9B" w:rsidRPr="00344FB3" w:rsidRDefault="001F6BC7" w:rsidP="008A0D9B">
      <w:pPr>
        <w:jc w:val="both"/>
        <w:rPr>
          <w:rFonts w:cstheme="minorHAnsi"/>
          <w:lang w:val="es-419"/>
        </w:rPr>
      </w:pPr>
      <w:r w:rsidRPr="00344FB3">
        <w:rPr>
          <w:rFonts w:cstheme="minorHAnsi"/>
          <w:b/>
          <w:lang w:val="es-419"/>
        </w:rPr>
        <w:t>Protección a</w:t>
      </w:r>
      <w:r w:rsidR="008A0D9B" w:rsidRPr="00344FB3">
        <w:rPr>
          <w:rFonts w:cstheme="minorHAnsi"/>
          <w:b/>
          <w:bCs/>
          <w:lang w:val="es-419"/>
        </w:rPr>
        <w:t xml:space="preserve"> población vulnerable del sector informal que no se encuentra en los padrones de la protección social.</w:t>
      </w:r>
      <w:r w:rsidR="008A0D9B" w:rsidRPr="00344FB3">
        <w:rPr>
          <w:rFonts w:cstheme="minorHAnsi"/>
          <w:lang w:val="es-419"/>
        </w:rPr>
        <w:t xml:space="preserve"> </w:t>
      </w:r>
      <w:r w:rsidR="00865861" w:rsidRPr="00344FB3">
        <w:rPr>
          <w:rFonts w:cstheme="minorHAnsi"/>
          <w:lang w:val="es-419"/>
        </w:rPr>
        <w:t xml:space="preserve">Se plantean transferencias puntuales (uno o dos pagos) </w:t>
      </w:r>
      <w:r w:rsidR="000B77C2" w:rsidRPr="00344FB3">
        <w:rPr>
          <w:rFonts w:cstheme="minorHAnsi"/>
          <w:lang w:val="es-419"/>
        </w:rPr>
        <w:t>a personas identificadas por medio de innovativos</w:t>
      </w:r>
      <w:r w:rsidR="008A0D9B" w:rsidRPr="00344FB3">
        <w:rPr>
          <w:rFonts w:cstheme="minorHAnsi"/>
          <w:lang w:val="es-419"/>
        </w:rPr>
        <w:t xml:space="preserve"> mecanismos de identificación</w:t>
      </w:r>
      <w:r w:rsidR="000B77C2" w:rsidRPr="00344FB3">
        <w:rPr>
          <w:rFonts w:cstheme="minorHAnsi"/>
          <w:lang w:val="es-419"/>
        </w:rPr>
        <w:t xml:space="preserve">. </w:t>
      </w:r>
      <w:r w:rsidR="00157038" w:rsidRPr="00344FB3">
        <w:rPr>
          <w:rFonts w:cstheme="minorHAnsi"/>
          <w:lang w:val="es-419"/>
        </w:rPr>
        <w:t>Estos mecanismos utilizarán</w:t>
      </w:r>
      <w:r w:rsidR="008A0D9B" w:rsidRPr="00344FB3">
        <w:rPr>
          <w:rFonts w:cstheme="minorHAnsi"/>
          <w:lang w:val="es-419"/>
        </w:rPr>
        <w:t xml:space="preserve"> herramientas de </w:t>
      </w:r>
      <w:r w:rsidR="008A0D9B" w:rsidRPr="00344FB3">
        <w:rPr>
          <w:rFonts w:cstheme="minorHAnsi"/>
          <w:i/>
          <w:iCs/>
          <w:lang w:val="es-419"/>
        </w:rPr>
        <w:t>big data</w:t>
      </w:r>
      <w:r w:rsidR="008A0D9B" w:rsidRPr="00344FB3">
        <w:rPr>
          <w:rFonts w:cstheme="minorHAnsi"/>
          <w:lang w:val="es-419"/>
        </w:rPr>
        <w:t xml:space="preserve"> e inteligencia artificial, por ejemplo</w:t>
      </w:r>
      <w:r w:rsidR="004D2ACA" w:rsidRPr="00344FB3">
        <w:rPr>
          <w:rFonts w:cstheme="minorHAnsi"/>
          <w:lang w:val="es-419"/>
        </w:rPr>
        <w:t>,</w:t>
      </w:r>
      <w:r w:rsidR="00C03E49" w:rsidRPr="00344FB3">
        <w:rPr>
          <w:rFonts w:cstheme="minorHAnsi"/>
          <w:lang w:val="es-419"/>
        </w:rPr>
        <w:t xml:space="preserve"> basados en</w:t>
      </w:r>
      <w:r w:rsidR="008A0D9B" w:rsidRPr="00344FB3">
        <w:rPr>
          <w:rFonts w:cstheme="minorHAnsi"/>
          <w:lang w:val="es-419"/>
        </w:rPr>
        <w:t xml:space="preserve">: (i) </w:t>
      </w:r>
      <w:r w:rsidR="002C61AE" w:rsidRPr="00344FB3">
        <w:rPr>
          <w:rFonts w:cstheme="minorHAnsi"/>
          <w:lang w:val="es-419"/>
        </w:rPr>
        <w:t>análisis</w:t>
      </w:r>
      <w:r w:rsidR="008A0D9B" w:rsidRPr="00344FB3">
        <w:rPr>
          <w:rFonts w:cstheme="minorHAnsi"/>
          <w:lang w:val="es-419"/>
        </w:rPr>
        <w:t xml:space="preserve"> de las facturas de la electricidad o agua o teléfono; (ii)</w:t>
      </w:r>
      <w:r w:rsidR="00D57FEB" w:rsidRPr="00344FB3">
        <w:rPr>
          <w:rFonts w:cstheme="minorHAnsi"/>
          <w:lang w:val="es-419"/>
        </w:rPr>
        <w:t> </w:t>
      </w:r>
      <w:r w:rsidR="008A0D9B" w:rsidRPr="00344FB3">
        <w:rPr>
          <w:rFonts w:cstheme="minorHAnsi"/>
          <w:lang w:val="es-419"/>
        </w:rPr>
        <w:t>envío de mensajes de texto masivos para postulación y (iii) las plataformas de la “</w:t>
      </w:r>
      <w:r w:rsidR="008A0D9B" w:rsidRPr="00344FB3">
        <w:rPr>
          <w:rFonts w:cstheme="minorHAnsi"/>
          <w:i/>
          <w:iCs/>
          <w:lang w:val="es-419"/>
        </w:rPr>
        <w:t>gig economy</w:t>
      </w:r>
      <w:r w:rsidR="008A0D9B" w:rsidRPr="00344FB3">
        <w:rPr>
          <w:rFonts w:cstheme="minorHAnsi"/>
          <w:lang w:val="es-419"/>
        </w:rPr>
        <w:t>” para identificar</w:t>
      </w:r>
      <w:r w:rsidR="00857A05" w:rsidRPr="00344FB3">
        <w:rPr>
          <w:rFonts w:cstheme="minorHAnsi"/>
          <w:lang w:val="es-419"/>
        </w:rPr>
        <w:t xml:space="preserve"> y registrar</w:t>
      </w:r>
      <w:r w:rsidR="008A0D9B" w:rsidRPr="00344FB3">
        <w:rPr>
          <w:rFonts w:cstheme="minorHAnsi"/>
          <w:lang w:val="es-419"/>
        </w:rPr>
        <w:t xml:space="preserve"> a trabajadores independientes vulnerables.</w:t>
      </w:r>
      <w:r w:rsidR="0096494B" w:rsidRPr="00344FB3">
        <w:rPr>
          <w:rFonts w:cstheme="minorHAnsi"/>
          <w:lang w:val="es-419"/>
        </w:rPr>
        <w:t xml:space="preserve"> Estos esquemas </w:t>
      </w:r>
      <w:r w:rsidR="00174AED" w:rsidRPr="00344FB3">
        <w:rPr>
          <w:rFonts w:cstheme="minorHAnsi"/>
          <w:lang w:val="es-419"/>
        </w:rPr>
        <w:t>también buscarían identificar a población migrante que no está inscrita en los registros oficiales pero que también padece gran vulnerabilidad</w:t>
      </w:r>
      <w:r w:rsidR="004D2ACA" w:rsidRPr="00344FB3">
        <w:rPr>
          <w:rFonts w:cstheme="minorHAnsi"/>
          <w:lang w:val="es-419"/>
        </w:rPr>
        <w:t>,</w:t>
      </w:r>
      <w:r w:rsidR="00A758A4" w:rsidRPr="00344FB3">
        <w:rPr>
          <w:rFonts w:cstheme="minorHAnsi"/>
          <w:lang w:val="es-419"/>
        </w:rPr>
        <w:t xml:space="preserve"> así como a trabajadoras domésticas cuyo empleo no está formalizado</w:t>
      </w:r>
      <w:r w:rsidR="00174AED" w:rsidRPr="00344FB3">
        <w:rPr>
          <w:rFonts w:cstheme="minorHAnsi"/>
          <w:lang w:val="es-419"/>
        </w:rPr>
        <w:t>.</w:t>
      </w:r>
      <w:r w:rsidR="002919E7" w:rsidRPr="00344FB3">
        <w:rPr>
          <w:rFonts w:cstheme="minorHAnsi"/>
          <w:lang w:val="es-419"/>
        </w:rPr>
        <w:t xml:space="preserve"> Esta estrategia considerará enfoques diferenciados para personas con discapacidad, pueblos indígenas y afrodescendientes.</w:t>
      </w:r>
    </w:p>
    <w:p w14:paraId="44D5FB34" w14:textId="21FC9CCA" w:rsidR="001419DA" w:rsidRPr="00344FB3" w:rsidRDefault="0072488F" w:rsidP="006B09E4">
      <w:pPr>
        <w:jc w:val="both"/>
        <w:rPr>
          <w:rFonts w:cstheme="minorHAnsi"/>
          <w:lang w:val="es-419"/>
        </w:rPr>
      </w:pPr>
      <w:r w:rsidRPr="00344FB3">
        <w:rPr>
          <w:rFonts w:cstheme="minorHAnsi"/>
          <w:b/>
          <w:lang w:val="es-419"/>
        </w:rPr>
        <w:t xml:space="preserve">Como alternativa a las inversiones específicas, cuándo el marco fiscal lo permite, se </w:t>
      </w:r>
      <w:r w:rsidR="009A6E04" w:rsidRPr="00344FB3">
        <w:rPr>
          <w:rFonts w:cstheme="minorHAnsi"/>
          <w:b/>
          <w:bCs/>
          <w:lang w:val="es-419"/>
        </w:rPr>
        <w:t xml:space="preserve">plantea </w:t>
      </w:r>
      <w:r w:rsidR="002D0B90" w:rsidRPr="00344FB3">
        <w:rPr>
          <w:rFonts w:cstheme="minorHAnsi"/>
          <w:b/>
          <w:bCs/>
          <w:lang w:val="es-419"/>
        </w:rPr>
        <w:t>i</w:t>
      </w:r>
      <w:r w:rsidR="00AD481D" w:rsidRPr="00344FB3">
        <w:rPr>
          <w:rFonts w:cstheme="minorHAnsi"/>
          <w:b/>
          <w:bCs/>
          <w:lang w:val="es-419"/>
        </w:rPr>
        <w:t>mpuls</w:t>
      </w:r>
      <w:r w:rsidR="001F43A2" w:rsidRPr="00344FB3">
        <w:rPr>
          <w:rFonts w:cstheme="minorHAnsi"/>
          <w:b/>
          <w:bCs/>
          <w:lang w:val="es-419"/>
        </w:rPr>
        <w:t>ar</w:t>
      </w:r>
      <w:r w:rsidR="00AD481D" w:rsidRPr="00344FB3">
        <w:rPr>
          <w:rFonts w:cstheme="minorHAnsi"/>
          <w:b/>
          <w:bCs/>
          <w:lang w:val="es-419"/>
        </w:rPr>
        <w:t xml:space="preserve"> medidas de políticas para proteger a la población vulnerable y apoyar su recuperación. </w:t>
      </w:r>
      <w:r w:rsidR="005A7DD6" w:rsidRPr="00344FB3">
        <w:rPr>
          <w:rFonts w:cstheme="minorHAnsi"/>
          <w:lang w:val="es-419"/>
        </w:rPr>
        <w:t>Más específicamente</w:t>
      </w:r>
      <w:r w:rsidR="00AD481D" w:rsidRPr="00344FB3">
        <w:rPr>
          <w:rFonts w:cstheme="minorHAnsi"/>
          <w:lang w:val="es-419"/>
        </w:rPr>
        <w:t xml:space="preserve">, se plantea avanzar políticas como aprobación e implementación de </w:t>
      </w:r>
      <w:r w:rsidR="00E23E9C" w:rsidRPr="00344FB3">
        <w:rPr>
          <w:rFonts w:cstheme="minorHAnsi"/>
          <w:lang w:val="es-419"/>
        </w:rPr>
        <w:t xml:space="preserve">esquemas de </w:t>
      </w:r>
      <w:r w:rsidR="00AD481D" w:rsidRPr="00344FB3">
        <w:rPr>
          <w:rFonts w:cstheme="minorHAnsi"/>
          <w:lang w:val="es-419"/>
        </w:rPr>
        <w:t xml:space="preserve">transferencias puntuales a la población vulnerable y para personas directamente afectadas por emergencias sanitarias (personas enfermas o familiares de fallecidos); construcción o depuración de un registro social </w:t>
      </w:r>
      <w:r w:rsidR="00972A31" w:rsidRPr="00344FB3">
        <w:rPr>
          <w:rFonts w:cstheme="minorHAnsi"/>
          <w:lang w:val="es-419"/>
        </w:rPr>
        <w:t xml:space="preserve">(incluyendo el desarrollo de mecanismos de identificación y registro de beneficiarios que no forman parte de los registros de personas en situación de pobreza y de pobreza extrema) </w:t>
      </w:r>
      <w:r w:rsidR="00AD481D" w:rsidRPr="00344FB3">
        <w:rPr>
          <w:rFonts w:cstheme="minorHAnsi"/>
          <w:lang w:val="es-419"/>
        </w:rPr>
        <w:t xml:space="preserve">y </w:t>
      </w:r>
      <w:r w:rsidR="006148DB" w:rsidRPr="00344FB3">
        <w:rPr>
          <w:rFonts w:cstheme="minorHAnsi"/>
          <w:lang w:val="es-419"/>
        </w:rPr>
        <w:t>el</w:t>
      </w:r>
      <w:r w:rsidR="00AD481D" w:rsidRPr="00344FB3">
        <w:rPr>
          <w:rFonts w:cstheme="minorHAnsi"/>
          <w:lang w:val="es-419"/>
        </w:rPr>
        <w:t xml:space="preserve"> desarrollo e implementación de esquemas de interoperabilidad</w:t>
      </w:r>
      <w:r w:rsidR="006148DB" w:rsidRPr="00344FB3">
        <w:rPr>
          <w:rFonts w:cstheme="minorHAnsi"/>
          <w:lang w:val="es-419"/>
        </w:rPr>
        <w:t>, entre otras medidas.</w:t>
      </w:r>
      <w:r w:rsidR="003E72A9" w:rsidRPr="00344FB3">
        <w:rPr>
          <w:rFonts w:cstheme="minorHAnsi"/>
          <w:lang w:val="es-ES_tradnl"/>
        </w:rPr>
        <w:t xml:space="preserve"> </w:t>
      </w:r>
    </w:p>
    <w:p w14:paraId="4A20C2A2" w14:textId="0B429E6D" w:rsidR="006B09E4" w:rsidRPr="00344FB3" w:rsidRDefault="006B09E4" w:rsidP="006B09E4">
      <w:pPr>
        <w:pStyle w:val="ListParagraph"/>
        <w:numPr>
          <w:ilvl w:val="0"/>
          <w:numId w:val="7"/>
        </w:numPr>
        <w:jc w:val="both"/>
        <w:rPr>
          <w:rFonts w:cstheme="minorHAnsi"/>
          <w:b/>
          <w:lang w:val="es-419"/>
        </w:rPr>
      </w:pPr>
      <w:r w:rsidRPr="00344FB3">
        <w:rPr>
          <w:rFonts w:cstheme="minorHAnsi"/>
          <w:b/>
          <w:lang w:val="es-419"/>
        </w:rPr>
        <w:t>Consideraciones finales</w:t>
      </w:r>
    </w:p>
    <w:p w14:paraId="2B3F4514" w14:textId="66917F10" w:rsidR="006B09E4" w:rsidRDefault="006B09E4" w:rsidP="00FA7209">
      <w:pPr>
        <w:jc w:val="both"/>
        <w:rPr>
          <w:rFonts w:cstheme="minorHAnsi"/>
          <w:lang w:val="es-419"/>
        </w:rPr>
      </w:pPr>
      <w:r w:rsidRPr="00344FB3">
        <w:rPr>
          <w:rFonts w:cstheme="minorHAnsi"/>
          <w:lang w:val="es-419"/>
        </w:rPr>
        <w:t xml:space="preserve">En varios países </w:t>
      </w:r>
      <w:r w:rsidR="0067792B" w:rsidRPr="00344FB3">
        <w:rPr>
          <w:rFonts w:cstheme="minorHAnsi"/>
          <w:lang w:val="es-419"/>
        </w:rPr>
        <w:t xml:space="preserve">que han enfrentado el </w:t>
      </w:r>
      <w:r w:rsidR="009A7F7B" w:rsidRPr="00344FB3">
        <w:rPr>
          <w:rFonts w:cstheme="minorHAnsi"/>
          <w:lang w:val="es-419"/>
        </w:rPr>
        <w:t>COVID-19</w:t>
      </w:r>
      <w:r w:rsidR="0067792B" w:rsidRPr="00344FB3">
        <w:rPr>
          <w:rFonts w:cstheme="minorHAnsi"/>
          <w:lang w:val="es-419"/>
        </w:rPr>
        <w:t xml:space="preserve"> desde hace varias semanas, </w:t>
      </w:r>
      <w:r w:rsidR="00F957E2" w:rsidRPr="00344FB3">
        <w:rPr>
          <w:rFonts w:cstheme="minorHAnsi"/>
          <w:lang w:val="es-419"/>
        </w:rPr>
        <w:t xml:space="preserve">los presupuestos asignados </w:t>
      </w:r>
      <w:r w:rsidR="00394E99" w:rsidRPr="00344FB3">
        <w:rPr>
          <w:rFonts w:cstheme="minorHAnsi"/>
          <w:lang w:val="es-419"/>
        </w:rPr>
        <w:t xml:space="preserve">a reducir los impactos económicos han </w:t>
      </w:r>
      <w:r w:rsidR="00685494" w:rsidRPr="00344FB3">
        <w:rPr>
          <w:rFonts w:cstheme="minorHAnsi"/>
          <w:lang w:val="es-419"/>
        </w:rPr>
        <w:t xml:space="preserve">sobrepasado ampliamente los costos de la respuesta en el sector salud. </w:t>
      </w:r>
      <w:r w:rsidR="002558CC" w:rsidRPr="00344FB3">
        <w:rPr>
          <w:rFonts w:cstheme="minorHAnsi"/>
          <w:lang w:val="es-419"/>
        </w:rPr>
        <w:t xml:space="preserve">No obstante, </w:t>
      </w:r>
      <w:r w:rsidR="006D45B6" w:rsidRPr="00344FB3">
        <w:rPr>
          <w:rFonts w:cstheme="minorHAnsi"/>
          <w:lang w:val="es-419"/>
        </w:rPr>
        <w:t xml:space="preserve">es importante subrayar que muchos de estos costos de deben al fracaso inicial en </w:t>
      </w:r>
      <w:r w:rsidR="00DB645E" w:rsidRPr="00344FB3">
        <w:rPr>
          <w:rFonts w:cstheme="minorHAnsi"/>
          <w:lang w:val="es-419"/>
        </w:rPr>
        <w:t>prevenir la expansión</w:t>
      </w:r>
      <w:r w:rsidR="006D45B6" w:rsidRPr="00344FB3">
        <w:rPr>
          <w:rFonts w:cstheme="minorHAnsi"/>
          <w:lang w:val="es-419"/>
        </w:rPr>
        <w:t xml:space="preserve"> de la epidemia</w:t>
      </w:r>
      <w:r w:rsidR="00EE4E49" w:rsidRPr="00344FB3">
        <w:rPr>
          <w:rFonts w:cstheme="minorHAnsi"/>
          <w:lang w:val="es-419"/>
        </w:rPr>
        <w:t>. Es por esta razón que las intervenci</w:t>
      </w:r>
      <w:r w:rsidR="009B045B" w:rsidRPr="00344FB3">
        <w:rPr>
          <w:rFonts w:cstheme="minorHAnsi"/>
          <w:lang w:val="es-419"/>
        </w:rPr>
        <w:t>ones</w:t>
      </w:r>
      <w:r w:rsidR="00EE4E49" w:rsidRPr="00344FB3">
        <w:rPr>
          <w:rFonts w:cstheme="minorHAnsi"/>
          <w:lang w:val="es-419"/>
        </w:rPr>
        <w:t xml:space="preserve"> </w:t>
      </w:r>
      <w:r w:rsidR="00C426A2" w:rsidRPr="00344FB3">
        <w:rPr>
          <w:rFonts w:cstheme="minorHAnsi"/>
          <w:lang w:val="es-419"/>
        </w:rPr>
        <w:t>y el presupuesto del sector</w:t>
      </w:r>
      <w:r w:rsidR="00EE4E49" w:rsidRPr="00344FB3">
        <w:rPr>
          <w:rFonts w:cstheme="minorHAnsi"/>
          <w:lang w:val="es-419"/>
        </w:rPr>
        <w:t xml:space="preserve"> salud deben </w:t>
      </w:r>
      <w:r w:rsidR="00C426A2" w:rsidRPr="00344FB3">
        <w:rPr>
          <w:rFonts w:cstheme="minorHAnsi"/>
          <w:lang w:val="es-419"/>
        </w:rPr>
        <w:t>recibir prioridad absoluta</w:t>
      </w:r>
      <w:r w:rsidR="00904458" w:rsidRPr="00344FB3">
        <w:rPr>
          <w:rFonts w:cstheme="minorHAnsi"/>
          <w:lang w:val="es-419"/>
        </w:rPr>
        <w:t>.</w:t>
      </w:r>
    </w:p>
    <w:p w14:paraId="76C48125" w14:textId="6B9B5DB4" w:rsidR="0084157F" w:rsidRDefault="0084157F" w:rsidP="00FA7209">
      <w:pPr>
        <w:jc w:val="both"/>
        <w:rPr>
          <w:rFonts w:cstheme="minorHAnsi"/>
          <w:lang w:val="es-419"/>
        </w:rPr>
      </w:pPr>
    </w:p>
    <w:p w14:paraId="4266A692" w14:textId="77110355" w:rsidR="0084157F" w:rsidRDefault="0084157F" w:rsidP="00FA7209">
      <w:pPr>
        <w:jc w:val="both"/>
        <w:rPr>
          <w:rFonts w:cstheme="minorHAnsi"/>
          <w:lang w:val="es-419"/>
        </w:rPr>
      </w:pPr>
    </w:p>
    <w:p w14:paraId="62B9BAFA" w14:textId="0A4706A1" w:rsidR="0084157F" w:rsidRDefault="0084157F" w:rsidP="00FA7209">
      <w:pPr>
        <w:jc w:val="both"/>
        <w:rPr>
          <w:rFonts w:cstheme="minorHAnsi"/>
          <w:lang w:val="es-419"/>
        </w:rPr>
      </w:pPr>
    </w:p>
    <w:p w14:paraId="61D600FD" w14:textId="32DB6188" w:rsidR="0084157F" w:rsidRPr="00D00BCA" w:rsidRDefault="0084157F" w:rsidP="00FA7209">
      <w:pPr>
        <w:jc w:val="both"/>
        <w:rPr>
          <w:rFonts w:cstheme="minorHAnsi"/>
          <w:b/>
        </w:rPr>
      </w:pPr>
      <w:proofErr w:type="spellStart"/>
      <w:r w:rsidRPr="00D00BCA">
        <w:rPr>
          <w:rFonts w:cstheme="minorHAnsi"/>
          <w:b/>
        </w:rPr>
        <w:t>Referencias</w:t>
      </w:r>
      <w:proofErr w:type="spellEnd"/>
    </w:p>
    <w:p w14:paraId="5D7D09D5" w14:textId="4C6CE4B3" w:rsidR="0084157F" w:rsidRDefault="0084157F" w:rsidP="0084157F">
      <w:pPr>
        <w:pStyle w:val="FootnoteText"/>
        <w:rPr>
          <w:rFonts w:cstheme="minorHAnsi"/>
          <w:sz w:val="22"/>
          <w:szCs w:val="22"/>
        </w:rPr>
      </w:pPr>
      <w:r w:rsidRPr="0084157F">
        <w:rPr>
          <w:rFonts w:cstheme="minorHAnsi"/>
          <w:sz w:val="22"/>
          <w:szCs w:val="22"/>
        </w:rPr>
        <w:lastRenderedPageBreak/>
        <w:t xml:space="preserve">Ahmed et al. “Effectiveness of workplace social distancing measures in reducing influenza transmission: a systematic review”. BMC Public Health (2018) 18:518. Disponible </w:t>
      </w:r>
      <w:proofErr w:type="spellStart"/>
      <w:r w:rsidRPr="0084157F">
        <w:rPr>
          <w:rFonts w:cstheme="minorHAnsi"/>
          <w:sz w:val="22"/>
          <w:szCs w:val="22"/>
        </w:rPr>
        <w:t>en</w:t>
      </w:r>
      <w:proofErr w:type="spellEnd"/>
      <w:r w:rsidRPr="0084157F">
        <w:rPr>
          <w:rFonts w:cstheme="minorHAnsi"/>
          <w:sz w:val="22"/>
          <w:szCs w:val="22"/>
        </w:rPr>
        <w:t xml:space="preserve">: </w:t>
      </w:r>
      <w:hyperlink r:id="rId11" w:history="1">
        <w:r w:rsidRPr="0084157F">
          <w:rPr>
            <w:rStyle w:val="Hyperlink"/>
            <w:rFonts w:cstheme="minorHAnsi"/>
            <w:sz w:val="22"/>
            <w:szCs w:val="22"/>
          </w:rPr>
          <w:t>https://doi.org/10.1186/s12889-018-5446-1</w:t>
        </w:r>
      </w:hyperlink>
      <w:r w:rsidRPr="0084157F">
        <w:rPr>
          <w:rFonts w:cstheme="minorHAnsi"/>
          <w:sz w:val="22"/>
          <w:szCs w:val="22"/>
        </w:rPr>
        <w:t xml:space="preserve"> </w:t>
      </w:r>
    </w:p>
    <w:p w14:paraId="088E90C1" w14:textId="77777777" w:rsidR="001D213D" w:rsidRPr="0084157F" w:rsidRDefault="001D213D" w:rsidP="0084157F">
      <w:pPr>
        <w:pStyle w:val="FootnoteText"/>
        <w:rPr>
          <w:rFonts w:cstheme="minorHAnsi"/>
          <w:sz w:val="22"/>
          <w:szCs w:val="22"/>
        </w:rPr>
      </w:pPr>
    </w:p>
    <w:p w14:paraId="20EF0D4B" w14:textId="77777777" w:rsidR="0084157F" w:rsidRPr="0084157F" w:rsidRDefault="0084157F" w:rsidP="006B09E4">
      <w:pPr>
        <w:rPr>
          <w:rFonts w:cstheme="minorHAnsi"/>
          <w:color w:val="0563C1"/>
          <w:u w:val="single"/>
        </w:rPr>
      </w:pPr>
      <w:r w:rsidRPr="00D00BCA">
        <w:rPr>
          <w:rFonts w:cstheme="minorHAnsi"/>
        </w:rPr>
        <w:t xml:space="preserve">Beazley et al (2019). </w:t>
      </w:r>
      <w:r w:rsidRPr="0084157F">
        <w:rPr>
          <w:rFonts w:cstheme="minorHAnsi"/>
          <w:lang w:val="es-AR"/>
        </w:rPr>
        <w:t xml:space="preserve">“Protección social reactiva frente a emergencias en América Latina y el Caribe: Principales hallazgos y recomendaciones”. </w:t>
      </w:r>
      <w:hyperlink r:id="rId12" w:anchor="page70" w:history="1">
        <w:r w:rsidRPr="0084157F">
          <w:rPr>
            <w:rStyle w:val="Hyperlink"/>
            <w:rFonts w:cstheme="minorHAnsi"/>
          </w:rPr>
          <w:t>https://www.opml.co.uk/files/Publications/a1537-shock-responsive-social-protection-latin-america-caribbean/hallazgos-principals-y-recomendaciones.pdf?noredirect=1#page70</w:t>
        </w:r>
      </w:hyperlink>
    </w:p>
    <w:p w14:paraId="0DDDB2B7" w14:textId="77777777" w:rsidR="0084157F" w:rsidRPr="0084157F" w:rsidRDefault="0084157F" w:rsidP="00FA7209">
      <w:pPr>
        <w:jc w:val="both"/>
        <w:rPr>
          <w:rFonts w:cstheme="minorHAnsi"/>
        </w:rPr>
      </w:pPr>
      <w:r w:rsidRPr="0084157F">
        <w:rPr>
          <w:rFonts w:cstheme="minorHAnsi"/>
        </w:rPr>
        <w:t>Chang et al (2020). “Modelling transmission and control of the COVID-19 pandemic in Australia”. Centre for Complex Systems, Faculty of Engineering, University of Sydney, Sydney, NSW 2006, Australia.</w:t>
      </w:r>
    </w:p>
    <w:p w14:paraId="0D1DE05D" w14:textId="77777777" w:rsidR="0084157F" w:rsidRPr="0084157F" w:rsidRDefault="0084157F" w:rsidP="0084157F">
      <w:pPr>
        <w:pStyle w:val="FootnoteText"/>
        <w:rPr>
          <w:rFonts w:cstheme="minorHAnsi"/>
          <w:sz w:val="22"/>
          <w:szCs w:val="22"/>
          <w:lang w:val="es-AR"/>
        </w:rPr>
      </w:pPr>
      <w:r w:rsidRPr="0084157F">
        <w:rPr>
          <w:rFonts w:cstheme="minorHAnsi"/>
          <w:sz w:val="22"/>
          <w:szCs w:val="22"/>
        </w:rPr>
        <w:t xml:space="preserve">Dalton et al (2020). Pre-Emptive Low Cost Social Distancing and Enhanced Hygiene Implemented before Local COVID-19 Transmission Could Decrease the Number and Severity of Cases. </w:t>
      </w:r>
      <w:r w:rsidRPr="0084157F">
        <w:rPr>
          <w:rFonts w:cstheme="minorHAnsi"/>
          <w:sz w:val="22"/>
          <w:szCs w:val="22"/>
          <w:lang w:val="es-AR"/>
        </w:rPr>
        <w:t>Disponible en:  https://papers.ssrn.com/sol3/papers.cfm?abstract_id=3549276</w:t>
      </w:r>
    </w:p>
    <w:p w14:paraId="4E350702" w14:textId="77777777" w:rsidR="0084157F" w:rsidRPr="0084157F" w:rsidRDefault="0084157F" w:rsidP="006B09E4">
      <w:pPr>
        <w:rPr>
          <w:rFonts w:cstheme="minorHAnsi"/>
          <w:color w:val="0563C1"/>
          <w:u w:val="single"/>
        </w:rPr>
      </w:pPr>
      <w:proofErr w:type="spellStart"/>
      <w:r w:rsidRPr="0084157F">
        <w:rPr>
          <w:rFonts w:cstheme="minorHAnsi"/>
        </w:rPr>
        <w:t>Gentilini</w:t>
      </w:r>
      <w:proofErr w:type="spellEnd"/>
      <w:r w:rsidRPr="0084157F">
        <w:rPr>
          <w:rFonts w:cstheme="minorHAnsi"/>
        </w:rPr>
        <w:t xml:space="preserve">, Ugo, Mohamed </w:t>
      </w:r>
      <w:proofErr w:type="spellStart"/>
      <w:r w:rsidRPr="0084157F">
        <w:rPr>
          <w:rFonts w:cstheme="minorHAnsi"/>
        </w:rPr>
        <w:t>Almenfi</w:t>
      </w:r>
      <w:proofErr w:type="spellEnd"/>
      <w:r w:rsidRPr="0084157F">
        <w:rPr>
          <w:rFonts w:cstheme="minorHAnsi"/>
        </w:rPr>
        <w:t xml:space="preserve"> y Ian Orton, Social Protection and Jobs Responses to COVID-19: A Real-Time Review of Country Measures: A “living paper”, version 2 (2020), </w:t>
      </w:r>
      <w:proofErr w:type="spellStart"/>
      <w:r w:rsidRPr="0084157F">
        <w:rPr>
          <w:rFonts w:cstheme="minorHAnsi"/>
        </w:rPr>
        <w:t>Acutalización</w:t>
      </w:r>
      <w:proofErr w:type="spellEnd"/>
      <w:r w:rsidRPr="0084157F">
        <w:rPr>
          <w:rFonts w:cstheme="minorHAnsi"/>
        </w:rPr>
        <w:t xml:space="preserve"> del 27 de marzo 2020. </w:t>
      </w:r>
      <w:hyperlink r:id="rId13" w:history="1">
        <w:r w:rsidRPr="0084157F">
          <w:rPr>
            <w:rStyle w:val="Hyperlink"/>
            <w:rFonts w:cstheme="minorHAnsi"/>
          </w:rPr>
          <w:t>http://www.ugogentilini.net/wp-content/uploads/2020/03/global-review-of-social-protection-responses-to-COVID-19-2.pdf</w:t>
        </w:r>
      </w:hyperlink>
    </w:p>
    <w:p w14:paraId="635AAC8B" w14:textId="77777777" w:rsidR="0084157F" w:rsidRPr="0084157F" w:rsidRDefault="0084157F" w:rsidP="006B09E4">
      <w:pPr>
        <w:rPr>
          <w:rFonts w:cstheme="minorHAnsi"/>
          <w:lang w:val="es-AR"/>
        </w:rPr>
      </w:pPr>
      <w:r w:rsidRPr="0084157F">
        <w:rPr>
          <w:rFonts w:cstheme="minorHAnsi"/>
        </w:rPr>
        <w:t xml:space="preserve">Grosh et al (2014). “Understanding the Poverty Impact of the Global Financial Crisis in Latin America and the Caribbean”. </w:t>
      </w:r>
      <w:r w:rsidRPr="0084157F">
        <w:rPr>
          <w:rFonts w:cstheme="minorHAnsi"/>
          <w:lang w:val="es-AR"/>
        </w:rPr>
        <w:t xml:space="preserve">Disponible en: </w:t>
      </w:r>
      <w:hyperlink r:id="rId14" w:history="1">
        <w:r w:rsidRPr="0084157F">
          <w:rPr>
            <w:rStyle w:val="Hyperlink"/>
            <w:rFonts w:cstheme="minorHAnsi"/>
            <w:lang w:val="es-AR"/>
          </w:rPr>
          <w:t>http://documents.worldbank.org/curated/en/456681468045552129/pdf/Understanding-the-poverty-impact-of-the-global-financial-crisis-in-Latin-America-and-the-Caribbean.pdf</w:t>
        </w:r>
      </w:hyperlink>
    </w:p>
    <w:p w14:paraId="289A4204" w14:textId="44A3D0B2" w:rsidR="0084157F" w:rsidRDefault="0084157F" w:rsidP="0084157F">
      <w:pPr>
        <w:jc w:val="both"/>
        <w:rPr>
          <w:rFonts w:cstheme="minorHAnsi"/>
          <w:color w:val="0563C1"/>
          <w:u w:val="single"/>
        </w:rPr>
      </w:pPr>
      <w:r w:rsidRPr="0084157F">
        <w:rPr>
          <w:rFonts w:cstheme="minorHAnsi"/>
          <w:color w:val="000000"/>
        </w:rPr>
        <w:t>O’Brien, C., Holmes, R., Scott, Z., &amp; Barca, V. (2018). </w:t>
      </w:r>
      <w:r w:rsidRPr="0084157F">
        <w:rPr>
          <w:rFonts w:cstheme="minorHAnsi"/>
          <w:i/>
          <w:iCs/>
          <w:color w:val="000000"/>
        </w:rPr>
        <w:t>Shock-Responsive Social Protection Systems Toolkit. Appraising the use of social protection in addressing large-scale shocks</w:t>
      </w:r>
      <w:r w:rsidRPr="0084157F">
        <w:rPr>
          <w:rFonts w:cstheme="minorHAnsi"/>
          <w:color w:val="000000"/>
        </w:rPr>
        <w:t xml:space="preserve">. Oxford, </w:t>
      </w:r>
      <w:proofErr w:type="spellStart"/>
      <w:r w:rsidRPr="0084157F">
        <w:rPr>
          <w:rFonts w:cstheme="minorHAnsi"/>
          <w:color w:val="000000"/>
        </w:rPr>
        <w:t>Inglaterra</w:t>
      </w:r>
      <w:proofErr w:type="spellEnd"/>
      <w:r w:rsidRPr="0084157F">
        <w:rPr>
          <w:rFonts w:cstheme="minorHAnsi"/>
          <w:color w:val="000000"/>
        </w:rPr>
        <w:t xml:space="preserve">. </w:t>
      </w:r>
      <w:hyperlink r:id="rId15" w:history="1">
        <w:r w:rsidRPr="0084157F">
          <w:rPr>
            <w:rFonts w:cstheme="minorHAnsi"/>
            <w:color w:val="0563C1"/>
            <w:u w:val="single"/>
          </w:rPr>
          <w:t>https://www.opml.co.uk/files/Publications/a0408-shock-responsive-social-protection-systems/srsp-toolkit.pdf?noredirect=1</w:t>
        </w:r>
      </w:hyperlink>
    </w:p>
    <w:p w14:paraId="0C84B64B" w14:textId="7BF78A51" w:rsidR="00D00BCA" w:rsidRPr="0084157F" w:rsidRDefault="00D00BCA" w:rsidP="0084157F">
      <w:pPr>
        <w:jc w:val="both"/>
        <w:rPr>
          <w:rFonts w:cstheme="minorHAnsi"/>
          <w:color w:val="000000"/>
        </w:rPr>
      </w:pPr>
      <w:r>
        <w:t xml:space="preserve">Gentilini, Ugo, Margaret </w:t>
      </w:r>
      <w:proofErr w:type="spellStart"/>
      <w:r>
        <w:t>Grosh</w:t>
      </w:r>
      <w:proofErr w:type="spellEnd"/>
      <w:r>
        <w:t xml:space="preserve">, </w:t>
      </w:r>
      <w:proofErr w:type="spellStart"/>
      <w:r>
        <w:t>Jamele</w:t>
      </w:r>
      <w:proofErr w:type="spellEnd"/>
      <w:r>
        <w:t xml:space="preserve"> </w:t>
      </w:r>
      <w:proofErr w:type="spellStart"/>
      <w:r>
        <w:t>Rigolini</w:t>
      </w:r>
      <w:proofErr w:type="spellEnd"/>
      <w:r>
        <w:t xml:space="preserve">, and Ruslan </w:t>
      </w:r>
      <w:proofErr w:type="spellStart"/>
      <w:r>
        <w:t>Yemtsov</w:t>
      </w:r>
      <w:proofErr w:type="spellEnd"/>
      <w:r>
        <w:t>, eds. 2020. Exploring Universal Basic Income: A Guide to Navigating Concepts, Evidence, and Practices. Washington, DC: World Bank. doi:10.1596/978-1-4648-1458-7. License: Creative Commons Attribution CC BY 3.0 IGO</w:t>
      </w:r>
    </w:p>
    <w:p w14:paraId="61FE594B" w14:textId="77777777" w:rsidR="0084157F" w:rsidRPr="0084157F" w:rsidRDefault="0084157F" w:rsidP="006B09E4">
      <w:pPr>
        <w:rPr>
          <w:rFonts w:cstheme="minorHAnsi"/>
        </w:rPr>
      </w:pPr>
    </w:p>
    <w:sectPr w:rsidR="0084157F" w:rsidRPr="0084157F" w:rsidSect="005939B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2BD76" w14:textId="77777777" w:rsidR="00C8418B" w:rsidRDefault="00C8418B">
      <w:pPr>
        <w:spacing w:after="0" w:line="240" w:lineRule="auto"/>
      </w:pPr>
      <w:r>
        <w:separator/>
      </w:r>
    </w:p>
  </w:endnote>
  <w:endnote w:type="continuationSeparator" w:id="0">
    <w:p w14:paraId="4BC5665F" w14:textId="77777777" w:rsidR="00C8418B" w:rsidRDefault="00C8418B">
      <w:pPr>
        <w:spacing w:after="0" w:line="240" w:lineRule="auto"/>
      </w:pPr>
      <w:r>
        <w:continuationSeparator/>
      </w:r>
    </w:p>
  </w:endnote>
  <w:endnote w:type="continuationNotice" w:id="1">
    <w:p w14:paraId="4D8BE1D9" w14:textId="77777777" w:rsidR="00C8418B" w:rsidRDefault="00C841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884B3" w14:textId="77777777" w:rsidR="00C8418B" w:rsidRDefault="00C8418B">
      <w:pPr>
        <w:spacing w:after="0" w:line="240" w:lineRule="auto"/>
      </w:pPr>
      <w:r>
        <w:separator/>
      </w:r>
    </w:p>
  </w:footnote>
  <w:footnote w:type="continuationSeparator" w:id="0">
    <w:p w14:paraId="0F03CDA9" w14:textId="77777777" w:rsidR="00C8418B" w:rsidRDefault="00C8418B">
      <w:pPr>
        <w:spacing w:after="0" w:line="240" w:lineRule="auto"/>
      </w:pPr>
      <w:r>
        <w:continuationSeparator/>
      </w:r>
    </w:p>
  </w:footnote>
  <w:footnote w:type="continuationNotice" w:id="1">
    <w:p w14:paraId="2706AD65" w14:textId="77777777" w:rsidR="00C8418B" w:rsidRDefault="00C8418B">
      <w:pPr>
        <w:spacing w:after="0" w:line="240" w:lineRule="auto"/>
      </w:pPr>
    </w:p>
  </w:footnote>
  <w:footnote w:id="2">
    <w:p w14:paraId="5709AAC9" w14:textId="502F1A2F" w:rsidR="0082246B" w:rsidRPr="0084157F" w:rsidRDefault="0082246B">
      <w:pPr>
        <w:pStyle w:val="FootnoteText"/>
        <w:rPr>
          <w:sz w:val="18"/>
          <w:szCs w:val="18"/>
          <w:lang w:val="es-ES_tradnl"/>
        </w:rPr>
      </w:pPr>
      <w:r w:rsidRPr="004E3CFE">
        <w:rPr>
          <w:rStyle w:val="FootnoteReference"/>
          <w:sz w:val="18"/>
          <w:szCs w:val="18"/>
        </w:rPr>
        <w:footnoteRef/>
      </w:r>
      <w:r w:rsidRPr="004E3CFE">
        <w:rPr>
          <w:sz w:val="18"/>
          <w:szCs w:val="18"/>
          <w:lang w:val="es-ES_tradnl"/>
        </w:rPr>
        <w:t xml:space="preserve"> </w:t>
      </w:r>
      <w:r w:rsidRPr="0084157F">
        <w:rPr>
          <w:sz w:val="18"/>
          <w:szCs w:val="18"/>
          <w:lang w:val="es-ES_tradnl"/>
        </w:rPr>
        <w:t xml:space="preserve">Preparado por Pablo Ibarrarán, Maria Laura Oliveri, Nadin Medellin y Marco Stampini. Versión: </w:t>
      </w:r>
      <w:r w:rsidR="0084157F" w:rsidRPr="0084157F">
        <w:rPr>
          <w:sz w:val="18"/>
          <w:szCs w:val="18"/>
          <w:lang w:val="es-ES_tradnl"/>
        </w:rPr>
        <w:t>2</w:t>
      </w:r>
      <w:r w:rsidR="004E3CFE" w:rsidRPr="0084157F">
        <w:rPr>
          <w:sz w:val="18"/>
          <w:szCs w:val="18"/>
          <w:lang w:val="es-ES_tradnl"/>
        </w:rPr>
        <w:t>9 marzo 2020</w:t>
      </w:r>
      <w:r w:rsidRPr="0084157F">
        <w:rPr>
          <w:sz w:val="18"/>
          <w:szCs w:val="18"/>
          <w:lang w:val="es-ES_tradnl"/>
        </w:rPr>
        <w:t>.</w:t>
      </w:r>
    </w:p>
  </w:footnote>
  <w:footnote w:id="3">
    <w:p w14:paraId="481A1564" w14:textId="17415D91" w:rsidR="00C92A37" w:rsidRPr="0084157F" w:rsidRDefault="00C92A37" w:rsidP="00CC0AFC">
      <w:pPr>
        <w:pStyle w:val="FootnoteText"/>
        <w:jc w:val="both"/>
        <w:rPr>
          <w:rFonts w:cstheme="minorHAnsi"/>
          <w:sz w:val="18"/>
          <w:szCs w:val="18"/>
          <w:lang w:val="es-ES_tradnl"/>
        </w:rPr>
      </w:pPr>
      <w:r w:rsidRPr="0084157F">
        <w:rPr>
          <w:rStyle w:val="FootnoteReference"/>
          <w:sz w:val="18"/>
          <w:szCs w:val="18"/>
        </w:rPr>
        <w:footnoteRef/>
      </w:r>
      <w:r w:rsidRPr="0084157F">
        <w:rPr>
          <w:sz w:val="18"/>
          <w:szCs w:val="18"/>
          <w:lang w:val="es-ES_tradnl"/>
        </w:rPr>
        <w:t xml:space="preserve"> El FMI estima que un tercio </w:t>
      </w:r>
      <w:r w:rsidRPr="0084157F">
        <w:rPr>
          <w:rFonts w:cstheme="minorHAnsi"/>
          <w:sz w:val="18"/>
          <w:szCs w:val="18"/>
          <w:lang w:val="es-ES_tradnl"/>
        </w:rPr>
        <w:t>de las pérdidas económicas serán los costos asociad</w:t>
      </w:r>
      <w:r w:rsidR="005F27C8" w:rsidRPr="0084157F">
        <w:rPr>
          <w:rFonts w:cstheme="minorHAnsi"/>
          <w:sz w:val="18"/>
          <w:szCs w:val="18"/>
          <w:lang w:val="es-ES_tradnl"/>
        </w:rPr>
        <w:t>o</w:t>
      </w:r>
      <w:r w:rsidRPr="0084157F">
        <w:rPr>
          <w:rFonts w:cstheme="minorHAnsi"/>
          <w:sz w:val="18"/>
          <w:szCs w:val="18"/>
          <w:lang w:val="es-ES_tradnl"/>
        </w:rPr>
        <w:t xml:space="preserve">s a mortalidad, morbilidad, cuarentenas y cierre de negocios, mientras que el resto </w:t>
      </w:r>
      <w:r w:rsidR="00BF7AFB" w:rsidRPr="0084157F">
        <w:rPr>
          <w:rFonts w:cstheme="minorHAnsi"/>
          <w:sz w:val="18"/>
          <w:szCs w:val="18"/>
          <w:lang w:val="es-ES_tradnl"/>
        </w:rPr>
        <w:t xml:space="preserve">se </w:t>
      </w:r>
      <w:r w:rsidRPr="0084157F">
        <w:rPr>
          <w:rFonts w:cstheme="minorHAnsi"/>
          <w:sz w:val="18"/>
          <w:szCs w:val="18"/>
          <w:lang w:val="es-ES_tradnl"/>
        </w:rPr>
        <w:t>deberá a la contracción de la economía por la disminución de la confianza de consumidores, inversionistas y mercados financieros.</w:t>
      </w:r>
      <w:r w:rsidR="00776106" w:rsidRPr="0084157F">
        <w:rPr>
          <w:rFonts w:cstheme="minorHAnsi"/>
          <w:sz w:val="18"/>
          <w:szCs w:val="18"/>
          <w:lang w:val="es-ES_tradnl"/>
        </w:rPr>
        <w:t xml:space="preserve"> </w:t>
      </w:r>
    </w:p>
  </w:footnote>
  <w:footnote w:id="4">
    <w:p w14:paraId="20A61D27" w14:textId="77777777" w:rsidR="00E869EE" w:rsidRPr="0084157F" w:rsidRDefault="00E869EE" w:rsidP="00E869EE">
      <w:pPr>
        <w:pStyle w:val="FootnoteText"/>
        <w:rPr>
          <w:rFonts w:eastAsia="Times New Roman" w:cstheme="minorHAnsi"/>
          <w:sz w:val="18"/>
          <w:szCs w:val="18"/>
        </w:rPr>
      </w:pPr>
      <w:r w:rsidRPr="0084157F">
        <w:rPr>
          <w:rStyle w:val="FootnoteReference"/>
          <w:rFonts w:cstheme="minorHAnsi"/>
          <w:sz w:val="18"/>
          <w:szCs w:val="18"/>
        </w:rPr>
        <w:footnoteRef/>
      </w:r>
      <w:r w:rsidRPr="0084157F">
        <w:rPr>
          <w:rFonts w:cstheme="minorHAnsi"/>
          <w:sz w:val="18"/>
          <w:szCs w:val="18"/>
          <w:lang w:val="es-AR"/>
        </w:rPr>
        <w:t xml:space="preserve"> Para una revisión sistemática ver Ahmed et al. </w:t>
      </w:r>
      <w:r w:rsidRPr="0084157F">
        <w:rPr>
          <w:rFonts w:cstheme="minorHAnsi"/>
          <w:sz w:val="18"/>
          <w:szCs w:val="18"/>
        </w:rPr>
        <w:t xml:space="preserve">“Effectiveness of workplace social distancing measures in reducing influenza transmission: a systematic review”. BMC Public Health (2018) 18:518. Disponible </w:t>
      </w:r>
      <w:proofErr w:type="spellStart"/>
      <w:r w:rsidRPr="0084157F">
        <w:rPr>
          <w:rFonts w:cstheme="minorHAnsi"/>
          <w:sz w:val="18"/>
          <w:szCs w:val="18"/>
        </w:rPr>
        <w:t>en</w:t>
      </w:r>
      <w:proofErr w:type="spellEnd"/>
      <w:r w:rsidRPr="0084157F">
        <w:rPr>
          <w:rFonts w:cstheme="minorHAnsi"/>
          <w:sz w:val="18"/>
          <w:szCs w:val="18"/>
        </w:rPr>
        <w:t xml:space="preserve">: </w:t>
      </w:r>
      <w:hyperlink r:id="rId1" w:history="1">
        <w:r w:rsidRPr="0084157F">
          <w:rPr>
            <w:rStyle w:val="Hyperlink"/>
            <w:rFonts w:cstheme="minorHAnsi"/>
            <w:sz w:val="18"/>
            <w:szCs w:val="18"/>
          </w:rPr>
          <w:t>https://doi.org/10.1186/s12889-018-5446-1</w:t>
        </w:r>
      </w:hyperlink>
      <w:r w:rsidRPr="0084157F">
        <w:rPr>
          <w:rFonts w:cstheme="minorHAnsi"/>
          <w:sz w:val="18"/>
          <w:szCs w:val="18"/>
        </w:rPr>
        <w:t xml:space="preserve"> </w:t>
      </w:r>
    </w:p>
  </w:footnote>
  <w:footnote w:id="5">
    <w:p w14:paraId="1FB934CA" w14:textId="40CD7677" w:rsidR="00E869EE" w:rsidRPr="0084157F" w:rsidRDefault="00E869EE" w:rsidP="00E869EE">
      <w:pPr>
        <w:pStyle w:val="FootnoteText"/>
        <w:rPr>
          <w:rFonts w:cstheme="minorHAnsi"/>
          <w:sz w:val="18"/>
          <w:szCs w:val="18"/>
          <w:lang w:val="es-AR"/>
        </w:rPr>
      </w:pPr>
      <w:r w:rsidRPr="0084157F">
        <w:rPr>
          <w:rStyle w:val="FootnoteReference"/>
          <w:rFonts w:cstheme="minorHAnsi"/>
          <w:sz w:val="18"/>
          <w:szCs w:val="18"/>
        </w:rPr>
        <w:footnoteRef/>
      </w:r>
      <w:r w:rsidRPr="0084157F">
        <w:rPr>
          <w:rFonts w:cstheme="minorHAnsi"/>
          <w:sz w:val="18"/>
          <w:szCs w:val="18"/>
        </w:rPr>
        <w:t xml:space="preserve"> Dalton et al (2020). Pre-Emptive Low Cost Social Distancing and Enhanced Hygiene Implemented before Local COVID-19 Transmission Could Decrease the Number and Severity of Cases. </w:t>
      </w:r>
      <w:r w:rsidRPr="0084157F">
        <w:rPr>
          <w:rFonts w:cstheme="minorHAnsi"/>
          <w:sz w:val="18"/>
          <w:szCs w:val="18"/>
          <w:lang w:val="es-AR"/>
        </w:rPr>
        <w:t xml:space="preserve">Disponible en: </w:t>
      </w:r>
      <w:r w:rsidR="0084157F">
        <w:rPr>
          <w:rFonts w:cstheme="minorHAnsi"/>
          <w:sz w:val="18"/>
          <w:szCs w:val="18"/>
          <w:lang w:val="es-AR"/>
        </w:rPr>
        <w:t xml:space="preserve"> </w:t>
      </w:r>
      <w:r w:rsidRPr="0084157F">
        <w:rPr>
          <w:rFonts w:cstheme="minorHAnsi"/>
          <w:sz w:val="18"/>
          <w:szCs w:val="18"/>
          <w:lang w:val="es-AR"/>
        </w:rPr>
        <w:t>https://papers.ssrn.com/sol3/papers.cfm?abstract_id=3549276</w:t>
      </w:r>
    </w:p>
  </w:footnote>
  <w:footnote w:id="6">
    <w:p w14:paraId="1F2AF823" w14:textId="374ECB9C" w:rsidR="00E869EE" w:rsidRPr="0084157F" w:rsidRDefault="00E869EE" w:rsidP="00E869EE">
      <w:pPr>
        <w:pStyle w:val="FootnoteText"/>
        <w:rPr>
          <w:rFonts w:cstheme="minorHAnsi"/>
        </w:rPr>
      </w:pPr>
      <w:r w:rsidRPr="0084157F">
        <w:rPr>
          <w:rStyle w:val="FootnoteReference"/>
          <w:rFonts w:cstheme="minorHAnsi"/>
          <w:sz w:val="18"/>
          <w:szCs w:val="18"/>
        </w:rPr>
        <w:footnoteRef/>
      </w:r>
      <w:r w:rsidRPr="0084157F">
        <w:rPr>
          <w:rFonts w:cstheme="minorHAnsi"/>
          <w:sz w:val="18"/>
          <w:szCs w:val="18"/>
        </w:rPr>
        <w:t xml:space="preserve"> Chang et al (2020). “Modelling transmission and control of the COVID-19 pandemic in Australia”. Centre for Complex Systems, Faculty of Engineering, University of Sydney, Sydney, NSW 2006, Australia</w:t>
      </w:r>
      <w:r w:rsidR="0084157F">
        <w:rPr>
          <w:rFonts w:cstheme="minorHAnsi"/>
          <w:sz w:val="18"/>
          <w:szCs w:val="18"/>
        </w:rPr>
        <w:t>.</w:t>
      </w:r>
    </w:p>
  </w:footnote>
  <w:footnote w:id="7">
    <w:p w14:paraId="6CB8866C" w14:textId="77777777" w:rsidR="00E869EE" w:rsidRPr="00B50F37" w:rsidRDefault="00E869EE" w:rsidP="00E869EE">
      <w:pPr>
        <w:jc w:val="both"/>
        <w:rPr>
          <w:rFonts w:ascii="Arial" w:hAnsi="Arial" w:cs="Arial"/>
          <w:color w:val="000000"/>
          <w:sz w:val="16"/>
          <w:szCs w:val="16"/>
        </w:rPr>
      </w:pPr>
      <w:r w:rsidRPr="001D6D7F">
        <w:rPr>
          <w:rStyle w:val="FootnoteReference"/>
          <w:sz w:val="16"/>
          <w:szCs w:val="16"/>
        </w:rPr>
        <w:footnoteRef/>
      </w:r>
      <w:r w:rsidRPr="001D6D7F">
        <w:rPr>
          <w:sz w:val="16"/>
          <w:szCs w:val="16"/>
        </w:rPr>
        <w:t xml:space="preserve"> </w:t>
      </w:r>
      <w:r w:rsidRPr="001D6D7F">
        <w:rPr>
          <w:rFonts w:ascii="Arial" w:hAnsi="Arial" w:cs="Arial"/>
          <w:color w:val="000000"/>
          <w:sz w:val="16"/>
          <w:szCs w:val="16"/>
        </w:rPr>
        <w:t>O’Brien, C., Holmes, R., Scott, Z., &amp; Barca, V. (2018). </w:t>
      </w:r>
      <w:r w:rsidRPr="001D6D7F">
        <w:rPr>
          <w:rFonts w:ascii="Arial" w:hAnsi="Arial" w:cs="Arial"/>
          <w:i/>
          <w:iCs/>
          <w:color w:val="000000"/>
          <w:sz w:val="16"/>
          <w:szCs w:val="16"/>
        </w:rPr>
        <w:t>Shock-Responsive Social Protection Systems Toolkit. Appraising the use of social protection in addressing large-scale shocks</w:t>
      </w:r>
      <w:r w:rsidRPr="001D6D7F">
        <w:rPr>
          <w:rFonts w:ascii="Arial" w:hAnsi="Arial" w:cs="Arial"/>
          <w:color w:val="000000"/>
          <w:sz w:val="16"/>
          <w:szCs w:val="16"/>
        </w:rPr>
        <w:t xml:space="preserve">. </w:t>
      </w:r>
      <w:r w:rsidRPr="00B50F37">
        <w:rPr>
          <w:rFonts w:ascii="Arial" w:hAnsi="Arial" w:cs="Arial"/>
          <w:color w:val="000000"/>
          <w:sz w:val="16"/>
          <w:szCs w:val="16"/>
        </w:rPr>
        <w:t xml:space="preserve">Oxford, </w:t>
      </w:r>
      <w:proofErr w:type="spellStart"/>
      <w:r w:rsidRPr="00B50F37">
        <w:rPr>
          <w:rFonts w:ascii="Arial" w:hAnsi="Arial" w:cs="Arial"/>
          <w:color w:val="000000"/>
          <w:sz w:val="16"/>
          <w:szCs w:val="16"/>
        </w:rPr>
        <w:t>Inglaterra</w:t>
      </w:r>
      <w:proofErr w:type="spellEnd"/>
      <w:r w:rsidRPr="00B50F37">
        <w:rPr>
          <w:rFonts w:ascii="Arial" w:hAnsi="Arial" w:cs="Arial"/>
          <w:color w:val="000000"/>
          <w:sz w:val="16"/>
          <w:szCs w:val="16"/>
        </w:rPr>
        <w:t>.</w:t>
      </w:r>
      <w:r>
        <w:rPr>
          <w:rFonts w:ascii="Arial" w:hAnsi="Arial" w:cs="Arial"/>
          <w:color w:val="000000"/>
          <w:sz w:val="16"/>
          <w:szCs w:val="16"/>
        </w:rPr>
        <w:t xml:space="preserve"> </w:t>
      </w:r>
      <w:hyperlink r:id="rId2" w:history="1">
        <w:r w:rsidRPr="00B50F37">
          <w:rPr>
            <w:rFonts w:ascii="Arial" w:hAnsi="Arial" w:cs="Arial"/>
            <w:color w:val="0563C1"/>
            <w:sz w:val="16"/>
            <w:szCs w:val="16"/>
            <w:u w:val="single"/>
          </w:rPr>
          <w:t>https://www.opml.co.uk/files/Publications/a0408-shock-responsive-social-protection-systems/srsp-toolkit.pdf?noredirect=1</w:t>
        </w:r>
      </w:hyperlink>
    </w:p>
  </w:footnote>
  <w:footnote w:id="8">
    <w:p w14:paraId="7E09BDE3" w14:textId="25B89038" w:rsidR="00E869EE" w:rsidRPr="0084157F" w:rsidRDefault="00E869EE" w:rsidP="0084157F">
      <w:pPr>
        <w:pStyle w:val="FootnoteText"/>
        <w:rPr>
          <w:sz w:val="16"/>
          <w:szCs w:val="16"/>
          <w:lang w:val="es-AR"/>
        </w:rPr>
      </w:pPr>
      <w:r w:rsidRPr="001D6D7F">
        <w:rPr>
          <w:rStyle w:val="FootnoteReference"/>
          <w:sz w:val="16"/>
          <w:szCs w:val="16"/>
        </w:rPr>
        <w:footnoteRef/>
      </w:r>
      <w:r w:rsidRPr="00B50F37">
        <w:rPr>
          <w:sz w:val="16"/>
          <w:szCs w:val="16"/>
        </w:rPr>
        <w:t xml:space="preserve"> </w:t>
      </w:r>
      <w:r w:rsidR="0084157F">
        <w:rPr>
          <w:sz w:val="16"/>
          <w:szCs w:val="16"/>
        </w:rPr>
        <w:t>Grosh et al (2014). “</w:t>
      </w:r>
      <w:r w:rsidR="0084157F" w:rsidRPr="0084157F">
        <w:rPr>
          <w:sz w:val="16"/>
          <w:szCs w:val="16"/>
        </w:rPr>
        <w:t>Understanding the Poverty Impact</w:t>
      </w:r>
      <w:r w:rsidR="0084157F">
        <w:rPr>
          <w:sz w:val="16"/>
          <w:szCs w:val="16"/>
        </w:rPr>
        <w:t xml:space="preserve"> </w:t>
      </w:r>
      <w:r w:rsidR="0084157F" w:rsidRPr="0084157F">
        <w:rPr>
          <w:sz w:val="16"/>
          <w:szCs w:val="16"/>
        </w:rPr>
        <w:t>of the Global Financial Crisis in</w:t>
      </w:r>
      <w:r w:rsidR="0084157F">
        <w:rPr>
          <w:sz w:val="16"/>
          <w:szCs w:val="16"/>
        </w:rPr>
        <w:t xml:space="preserve"> </w:t>
      </w:r>
      <w:r w:rsidR="0084157F" w:rsidRPr="0084157F">
        <w:rPr>
          <w:sz w:val="16"/>
          <w:szCs w:val="16"/>
        </w:rPr>
        <w:t>Latin America and the Caribbean</w:t>
      </w:r>
      <w:r w:rsidR="0084157F">
        <w:rPr>
          <w:sz w:val="16"/>
          <w:szCs w:val="16"/>
        </w:rPr>
        <w:t xml:space="preserve">”. </w:t>
      </w:r>
      <w:r w:rsidR="0084157F" w:rsidRPr="0084157F">
        <w:rPr>
          <w:sz w:val="16"/>
          <w:szCs w:val="16"/>
          <w:lang w:val="es-AR"/>
        </w:rPr>
        <w:t xml:space="preserve">Disponible </w:t>
      </w:r>
      <w:r w:rsidR="0084157F">
        <w:rPr>
          <w:sz w:val="16"/>
          <w:szCs w:val="16"/>
          <w:lang w:val="es-AR"/>
        </w:rPr>
        <w:t xml:space="preserve">en: </w:t>
      </w:r>
      <w:hyperlink r:id="rId3" w:history="1">
        <w:r w:rsidR="0084157F" w:rsidRPr="00465285">
          <w:rPr>
            <w:rStyle w:val="Hyperlink"/>
            <w:sz w:val="16"/>
            <w:szCs w:val="16"/>
            <w:lang w:val="es-AR"/>
          </w:rPr>
          <w:t>http://documents.worldbank.org/curated/en/456681468045552129/pdf/Understanding-the-poverty-impact-of-the-global-financial-crisis-in-Latin-America-and-the-Caribbean.pdf</w:t>
        </w:r>
      </w:hyperlink>
      <w:r w:rsidR="0084157F">
        <w:rPr>
          <w:sz w:val="16"/>
          <w:szCs w:val="16"/>
          <w:lang w:val="es-AR"/>
        </w:rPr>
        <w:t xml:space="preserve"> </w:t>
      </w:r>
    </w:p>
  </w:footnote>
  <w:footnote w:id="9">
    <w:p w14:paraId="56C6B9F4" w14:textId="5950C80D" w:rsidR="00E869EE" w:rsidRPr="0084157F" w:rsidRDefault="00E869EE" w:rsidP="0084157F">
      <w:pPr>
        <w:pStyle w:val="FootnoteText"/>
        <w:rPr>
          <w:sz w:val="16"/>
          <w:szCs w:val="16"/>
        </w:rPr>
      </w:pPr>
      <w:r w:rsidRPr="001D6D7F">
        <w:rPr>
          <w:rStyle w:val="FootnoteReference"/>
          <w:sz w:val="16"/>
          <w:szCs w:val="16"/>
        </w:rPr>
        <w:footnoteRef/>
      </w:r>
      <w:r w:rsidRPr="0084157F">
        <w:rPr>
          <w:sz w:val="16"/>
          <w:szCs w:val="16"/>
          <w:lang w:val="es-AR"/>
        </w:rPr>
        <w:t xml:space="preserve"> </w:t>
      </w:r>
      <w:r w:rsidR="0084157F" w:rsidRPr="0084157F">
        <w:rPr>
          <w:sz w:val="16"/>
          <w:szCs w:val="16"/>
          <w:lang w:val="es-AR"/>
        </w:rPr>
        <w:t>Beazley</w:t>
      </w:r>
      <w:r w:rsidR="0084157F">
        <w:rPr>
          <w:sz w:val="16"/>
          <w:szCs w:val="16"/>
          <w:lang w:val="es-AR"/>
        </w:rPr>
        <w:t xml:space="preserve"> et al (2019). “</w:t>
      </w:r>
      <w:r w:rsidR="0084157F" w:rsidRPr="0084157F">
        <w:rPr>
          <w:sz w:val="16"/>
          <w:szCs w:val="16"/>
          <w:lang w:val="es-AR"/>
        </w:rPr>
        <w:t>Protección social reactiva</w:t>
      </w:r>
      <w:r w:rsidR="0084157F">
        <w:rPr>
          <w:sz w:val="16"/>
          <w:szCs w:val="16"/>
          <w:lang w:val="es-AR"/>
        </w:rPr>
        <w:t xml:space="preserve"> </w:t>
      </w:r>
      <w:r w:rsidR="0084157F" w:rsidRPr="0084157F">
        <w:rPr>
          <w:sz w:val="16"/>
          <w:szCs w:val="16"/>
          <w:lang w:val="es-AR"/>
        </w:rPr>
        <w:t>frente a emergencias en</w:t>
      </w:r>
      <w:r w:rsidR="0084157F">
        <w:rPr>
          <w:sz w:val="16"/>
          <w:szCs w:val="16"/>
          <w:lang w:val="es-AR"/>
        </w:rPr>
        <w:t xml:space="preserve"> </w:t>
      </w:r>
      <w:r w:rsidR="0084157F" w:rsidRPr="0084157F">
        <w:rPr>
          <w:sz w:val="16"/>
          <w:szCs w:val="16"/>
          <w:lang w:val="es-AR"/>
        </w:rPr>
        <w:t>América Latina y el Caribe</w:t>
      </w:r>
      <w:r w:rsidR="0084157F">
        <w:rPr>
          <w:sz w:val="16"/>
          <w:szCs w:val="16"/>
          <w:lang w:val="es-AR"/>
        </w:rPr>
        <w:t xml:space="preserve">: </w:t>
      </w:r>
      <w:r w:rsidR="0084157F" w:rsidRPr="0084157F">
        <w:rPr>
          <w:sz w:val="16"/>
          <w:szCs w:val="16"/>
          <w:lang w:val="es-AR"/>
        </w:rPr>
        <w:t xml:space="preserve">Principales hallazgos y </w:t>
      </w:r>
      <w:r w:rsidR="0084157F">
        <w:rPr>
          <w:sz w:val="16"/>
          <w:szCs w:val="16"/>
          <w:lang w:val="es-AR"/>
        </w:rPr>
        <w:t>r</w:t>
      </w:r>
      <w:r w:rsidR="0084157F" w:rsidRPr="0084157F">
        <w:rPr>
          <w:sz w:val="16"/>
          <w:szCs w:val="16"/>
          <w:lang w:val="es-AR"/>
        </w:rPr>
        <w:t>ecomendaciones</w:t>
      </w:r>
      <w:r w:rsidR="0084157F">
        <w:rPr>
          <w:sz w:val="16"/>
          <w:szCs w:val="16"/>
          <w:lang w:val="es-AR"/>
        </w:rPr>
        <w:t xml:space="preserve">”. </w:t>
      </w:r>
      <w:hyperlink r:id="rId4" w:anchor="page70" w:history="1">
        <w:r w:rsidR="0084157F" w:rsidRPr="00465285">
          <w:rPr>
            <w:rStyle w:val="Hyperlink"/>
            <w:rFonts w:ascii="Arial" w:hAnsi="Arial" w:cs="Arial"/>
            <w:sz w:val="16"/>
            <w:szCs w:val="16"/>
          </w:rPr>
          <w:t>https://www.opml.co.uk/files/Publications/a1537-shock-responsive-social-protection-latin-america-caribbean/hallazgos-principals-y-recomendaciones.pdf?noredirect=1#page70</w:t>
        </w:r>
      </w:hyperlink>
    </w:p>
  </w:footnote>
  <w:footnote w:id="10">
    <w:p w14:paraId="47BE415D" w14:textId="161DD25A" w:rsidR="00D00BCA" w:rsidRDefault="00D00BCA">
      <w:pPr>
        <w:pStyle w:val="FootnoteText"/>
      </w:pPr>
      <w:r>
        <w:rPr>
          <w:rStyle w:val="FootnoteReference"/>
        </w:rPr>
        <w:footnoteRef/>
      </w:r>
      <w:r>
        <w:t xml:space="preserve"> Gentilini, Ugo, Margaret </w:t>
      </w:r>
      <w:proofErr w:type="spellStart"/>
      <w:r>
        <w:t>Grosh</w:t>
      </w:r>
      <w:proofErr w:type="spellEnd"/>
      <w:r>
        <w:t xml:space="preserve">, </w:t>
      </w:r>
      <w:proofErr w:type="spellStart"/>
      <w:r>
        <w:t>Jamele</w:t>
      </w:r>
      <w:proofErr w:type="spellEnd"/>
      <w:r>
        <w:t xml:space="preserve"> </w:t>
      </w:r>
      <w:proofErr w:type="spellStart"/>
      <w:r>
        <w:t>Rigolini</w:t>
      </w:r>
      <w:proofErr w:type="spellEnd"/>
      <w:r>
        <w:t xml:space="preserve">, </w:t>
      </w:r>
      <w:r w:rsidR="0039680C">
        <w:t>y</w:t>
      </w:r>
      <w:r>
        <w:t xml:space="preserve"> Ruslan </w:t>
      </w:r>
      <w:proofErr w:type="spellStart"/>
      <w:r>
        <w:t>Yemtsov</w:t>
      </w:r>
      <w:proofErr w:type="spellEnd"/>
      <w:r>
        <w:t>, eds. 2020. Exploring Universal Basic Income: A Guide to Navigating Concepts, Evidence, and Practices. Washington, DC: World Bank. doi:10.1596/978-1-4648-1458-7. License: Creative Commons Attribution CC BY 3.0 IGO</w:t>
      </w:r>
    </w:p>
  </w:footnote>
  <w:footnote w:id="11">
    <w:p w14:paraId="56694F1F" w14:textId="77777777" w:rsidR="00280589" w:rsidRPr="001D6D7F" w:rsidRDefault="00280589" w:rsidP="00280589">
      <w:pPr>
        <w:jc w:val="both"/>
        <w:rPr>
          <w:rFonts w:ascii="Arial" w:hAnsi="Arial" w:cs="Arial"/>
          <w:sz w:val="16"/>
          <w:szCs w:val="16"/>
        </w:rPr>
      </w:pPr>
      <w:r w:rsidRPr="001D6D7F">
        <w:rPr>
          <w:rStyle w:val="FootnoteReference"/>
          <w:sz w:val="16"/>
          <w:szCs w:val="16"/>
        </w:rPr>
        <w:footnoteRef/>
      </w:r>
      <w:r w:rsidRPr="001D6D7F">
        <w:rPr>
          <w:sz w:val="16"/>
          <w:szCs w:val="16"/>
        </w:rPr>
        <w:t xml:space="preserve"> </w:t>
      </w:r>
      <w:proofErr w:type="spellStart"/>
      <w:r w:rsidRPr="001D6D7F">
        <w:rPr>
          <w:rFonts w:ascii="Arial" w:hAnsi="Arial" w:cs="Arial"/>
          <w:sz w:val="16"/>
          <w:szCs w:val="16"/>
        </w:rPr>
        <w:t>Gentilini</w:t>
      </w:r>
      <w:proofErr w:type="spellEnd"/>
      <w:r w:rsidRPr="001D6D7F">
        <w:rPr>
          <w:rFonts w:ascii="Arial" w:hAnsi="Arial" w:cs="Arial"/>
          <w:sz w:val="16"/>
          <w:szCs w:val="16"/>
        </w:rPr>
        <w:t xml:space="preserve">, Ugo, Mohamed </w:t>
      </w:r>
      <w:proofErr w:type="spellStart"/>
      <w:r w:rsidRPr="001D6D7F">
        <w:rPr>
          <w:rFonts w:ascii="Arial" w:hAnsi="Arial" w:cs="Arial"/>
          <w:sz w:val="16"/>
          <w:szCs w:val="16"/>
        </w:rPr>
        <w:t>Almenfi</w:t>
      </w:r>
      <w:proofErr w:type="spellEnd"/>
      <w:r w:rsidRPr="001D6D7F">
        <w:rPr>
          <w:rFonts w:ascii="Arial" w:hAnsi="Arial" w:cs="Arial"/>
          <w:sz w:val="16"/>
          <w:szCs w:val="16"/>
        </w:rPr>
        <w:t xml:space="preserve"> y Ian Orton, Social Protection and Jobs Responses to COVID-19: A Real-Time Review of Country Measures: A “living paper”, version 2 (2020)</w:t>
      </w:r>
      <w:r>
        <w:rPr>
          <w:rFonts w:ascii="Arial" w:hAnsi="Arial" w:cs="Arial"/>
          <w:sz w:val="16"/>
          <w:szCs w:val="16"/>
        </w:rPr>
        <w:t xml:space="preserve">, </w:t>
      </w:r>
      <w:proofErr w:type="spellStart"/>
      <w:r>
        <w:rPr>
          <w:rFonts w:ascii="Arial" w:hAnsi="Arial" w:cs="Arial"/>
          <w:sz w:val="16"/>
          <w:szCs w:val="16"/>
        </w:rPr>
        <w:t>Acutalización</w:t>
      </w:r>
      <w:proofErr w:type="spellEnd"/>
      <w:r>
        <w:rPr>
          <w:rFonts w:ascii="Arial" w:hAnsi="Arial" w:cs="Arial"/>
          <w:sz w:val="16"/>
          <w:szCs w:val="16"/>
        </w:rPr>
        <w:t xml:space="preserve"> del 27 de marzo 2020</w:t>
      </w:r>
      <w:r w:rsidRPr="001D6D7F">
        <w:rPr>
          <w:rFonts w:ascii="Arial" w:hAnsi="Arial" w:cs="Arial"/>
          <w:sz w:val="16"/>
          <w:szCs w:val="16"/>
        </w:rPr>
        <w:t xml:space="preserve">. </w:t>
      </w:r>
      <w:hyperlink r:id="rId5" w:history="1">
        <w:r w:rsidRPr="001D6D7F">
          <w:rPr>
            <w:rStyle w:val="Hyperlink"/>
            <w:rFonts w:ascii="Arial" w:hAnsi="Arial" w:cs="Arial"/>
            <w:sz w:val="16"/>
            <w:szCs w:val="16"/>
          </w:rPr>
          <w:t>http://www.ugogentilini.net/wp-content/uploads/2020/03/global-review-of-social-protection-responses-to-COVID-19-2.pdf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12ACC"/>
    <w:multiLevelType w:val="hybridMultilevel"/>
    <w:tmpl w:val="774059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6A4A56"/>
    <w:multiLevelType w:val="hybridMultilevel"/>
    <w:tmpl w:val="F74831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3B02CB"/>
    <w:multiLevelType w:val="hybridMultilevel"/>
    <w:tmpl w:val="A7FCF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95027E2"/>
    <w:multiLevelType w:val="hybridMultilevel"/>
    <w:tmpl w:val="B6AC64E4"/>
    <w:lvl w:ilvl="0" w:tplc="9788B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BF5830"/>
    <w:multiLevelType w:val="hybridMultilevel"/>
    <w:tmpl w:val="A4DE4D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550512"/>
    <w:multiLevelType w:val="multilevel"/>
    <w:tmpl w:val="52E204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D4A29FE"/>
    <w:multiLevelType w:val="hybridMultilevel"/>
    <w:tmpl w:val="6E5AD2E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A7750E"/>
    <w:multiLevelType w:val="hybridMultilevel"/>
    <w:tmpl w:val="BBE00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6"/>
  </w:num>
  <w:num w:numId="6">
    <w:abstractNumId w:val="7"/>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77D11F"/>
    <w:rsid w:val="00001827"/>
    <w:rsid w:val="00003242"/>
    <w:rsid w:val="000046DB"/>
    <w:rsid w:val="000058F4"/>
    <w:rsid w:val="000059CF"/>
    <w:rsid w:val="00005C9B"/>
    <w:rsid w:val="000071AF"/>
    <w:rsid w:val="000075E0"/>
    <w:rsid w:val="0001007C"/>
    <w:rsid w:val="000121DB"/>
    <w:rsid w:val="0001249B"/>
    <w:rsid w:val="00016052"/>
    <w:rsid w:val="000177BA"/>
    <w:rsid w:val="00017ADF"/>
    <w:rsid w:val="00017D30"/>
    <w:rsid w:val="00021BF0"/>
    <w:rsid w:val="00022007"/>
    <w:rsid w:val="0002261A"/>
    <w:rsid w:val="00022A20"/>
    <w:rsid w:val="000233AA"/>
    <w:rsid w:val="00023F95"/>
    <w:rsid w:val="000252CB"/>
    <w:rsid w:val="00026899"/>
    <w:rsid w:val="0002695D"/>
    <w:rsid w:val="00027C6D"/>
    <w:rsid w:val="00030F5F"/>
    <w:rsid w:val="00031CDC"/>
    <w:rsid w:val="00032AB2"/>
    <w:rsid w:val="00034EE2"/>
    <w:rsid w:val="00035414"/>
    <w:rsid w:val="00040DA5"/>
    <w:rsid w:val="00040E37"/>
    <w:rsid w:val="00044A89"/>
    <w:rsid w:val="00053070"/>
    <w:rsid w:val="000541D1"/>
    <w:rsid w:val="0005519F"/>
    <w:rsid w:val="000552D4"/>
    <w:rsid w:val="0005725B"/>
    <w:rsid w:val="00057D2F"/>
    <w:rsid w:val="00057EA9"/>
    <w:rsid w:val="00061F26"/>
    <w:rsid w:val="00062B5F"/>
    <w:rsid w:val="0006436D"/>
    <w:rsid w:val="00064CA8"/>
    <w:rsid w:val="00065972"/>
    <w:rsid w:val="00066290"/>
    <w:rsid w:val="00066404"/>
    <w:rsid w:val="00066BC3"/>
    <w:rsid w:val="00066E28"/>
    <w:rsid w:val="00066E6C"/>
    <w:rsid w:val="00071FA6"/>
    <w:rsid w:val="000723BB"/>
    <w:rsid w:val="00072C3A"/>
    <w:rsid w:val="000732D5"/>
    <w:rsid w:val="00074B3F"/>
    <w:rsid w:val="00074F52"/>
    <w:rsid w:val="00075AE4"/>
    <w:rsid w:val="0007606C"/>
    <w:rsid w:val="000807C8"/>
    <w:rsid w:val="0008117B"/>
    <w:rsid w:val="00082665"/>
    <w:rsid w:val="00083B23"/>
    <w:rsid w:val="00085288"/>
    <w:rsid w:val="000867E0"/>
    <w:rsid w:val="00086D49"/>
    <w:rsid w:val="00087664"/>
    <w:rsid w:val="00091986"/>
    <w:rsid w:val="00092D5D"/>
    <w:rsid w:val="00093320"/>
    <w:rsid w:val="00094074"/>
    <w:rsid w:val="00094646"/>
    <w:rsid w:val="00094D9D"/>
    <w:rsid w:val="00094FB3"/>
    <w:rsid w:val="000A23E7"/>
    <w:rsid w:val="000A332C"/>
    <w:rsid w:val="000A4B6A"/>
    <w:rsid w:val="000A51EC"/>
    <w:rsid w:val="000A51EE"/>
    <w:rsid w:val="000A7E08"/>
    <w:rsid w:val="000B1427"/>
    <w:rsid w:val="000B1EC0"/>
    <w:rsid w:val="000B2991"/>
    <w:rsid w:val="000B2CD0"/>
    <w:rsid w:val="000B77C2"/>
    <w:rsid w:val="000C2A8C"/>
    <w:rsid w:val="000C523E"/>
    <w:rsid w:val="000C5A28"/>
    <w:rsid w:val="000C7F35"/>
    <w:rsid w:val="000D09D9"/>
    <w:rsid w:val="000D1191"/>
    <w:rsid w:val="000D1BAD"/>
    <w:rsid w:val="000D1FAC"/>
    <w:rsid w:val="000D2537"/>
    <w:rsid w:val="000D2607"/>
    <w:rsid w:val="000D4B28"/>
    <w:rsid w:val="000D7321"/>
    <w:rsid w:val="000D73CF"/>
    <w:rsid w:val="000D7881"/>
    <w:rsid w:val="000E0747"/>
    <w:rsid w:val="000E10DB"/>
    <w:rsid w:val="000E1316"/>
    <w:rsid w:val="000E3F16"/>
    <w:rsid w:val="000E440D"/>
    <w:rsid w:val="000E4F9A"/>
    <w:rsid w:val="000E7626"/>
    <w:rsid w:val="000E7982"/>
    <w:rsid w:val="000F09ED"/>
    <w:rsid w:val="000F25CA"/>
    <w:rsid w:val="000F42CE"/>
    <w:rsid w:val="000F4D96"/>
    <w:rsid w:val="000F4FA2"/>
    <w:rsid w:val="000F7DDF"/>
    <w:rsid w:val="001008C5"/>
    <w:rsid w:val="00101D5D"/>
    <w:rsid w:val="00103B9C"/>
    <w:rsid w:val="00104279"/>
    <w:rsid w:val="00105862"/>
    <w:rsid w:val="001115C2"/>
    <w:rsid w:val="00111F2E"/>
    <w:rsid w:val="00114199"/>
    <w:rsid w:val="001165BB"/>
    <w:rsid w:val="00116E2C"/>
    <w:rsid w:val="0012130D"/>
    <w:rsid w:val="001218D1"/>
    <w:rsid w:val="00121987"/>
    <w:rsid w:val="00123CB3"/>
    <w:rsid w:val="0012683F"/>
    <w:rsid w:val="001275D3"/>
    <w:rsid w:val="0013028E"/>
    <w:rsid w:val="00130D09"/>
    <w:rsid w:val="00132AB3"/>
    <w:rsid w:val="0013308A"/>
    <w:rsid w:val="001346E9"/>
    <w:rsid w:val="001353D8"/>
    <w:rsid w:val="0013543E"/>
    <w:rsid w:val="00136CF2"/>
    <w:rsid w:val="001371D5"/>
    <w:rsid w:val="001408C9"/>
    <w:rsid w:val="0014141D"/>
    <w:rsid w:val="001418C5"/>
    <w:rsid w:val="001419DA"/>
    <w:rsid w:val="001427FF"/>
    <w:rsid w:val="00146300"/>
    <w:rsid w:val="0014769A"/>
    <w:rsid w:val="00150DD4"/>
    <w:rsid w:val="001517C9"/>
    <w:rsid w:val="00152179"/>
    <w:rsid w:val="00154434"/>
    <w:rsid w:val="001549C4"/>
    <w:rsid w:val="00154CC6"/>
    <w:rsid w:val="001561E7"/>
    <w:rsid w:val="00157038"/>
    <w:rsid w:val="00161921"/>
    <w:rsid w:val="001653D7"/>
    <w:rsid w:val="00170127"/>
    <w:rsid w:val="00170FDC"/>
    <w:rsid w:val="00171338"/>
    <w:rsid w:val="00172CE5"/>
    <w:rsid w:val="00172EAA"/>
    <w:rsid w:val="00174AED"/>
    <w:rsid w:val="00175F8E"/>
    <w:rsid w:val="001761AB"/>
    <w:rsid w:val="00180216"/>
    <w:rsid w:val="00181F07"/>
    <w:rsid w:val="00184020"/>
    <w:rsid w:val="00184468"/>
    <w:rsid w:val="00185900"/>
    <w:rsid w:val="00186B55"/>
    <w:rsid w:val="00190E8D"/>
    <w:rsid w:val="001915B4"/>
    <w:rsid w:val="00191ED0"/>
    <w:rsid w:val="00192D55"/>
    <w:rsid w:val="0019320F"/>
    <w:rsid w:val="00193E24"/>
    <w:rsid w:val="0019596E"/>
    <w:rsid w:val="00197F96"/>
    <w:rsid w:val="001A0E8A"/>
    <w:rsid w:val="001A373D"/>
    <w:rsid w:val="001A38DB"/>
    <w:rsid w:val="001A4B68"/>
    <w:rsid w:val="001A4E48"/>
    <w:rsid w:val="001A5A13"/>
    <w:rsid w:val="001A5AA8"/>
    <w:rsid w:val="001A6C7A"/>
    <w:rsid w:val="001A7B3D"/>
    <w:rsid w:val="001B0626"/>
    <w:rsid w:val="001B34EA"/>
    <w:rsid w:val="001B3B61"/>
    <w:rsid w:val="001B6EF1"/>
    <w:rsid w:val="001B7E25"/>
    <w:rsid w:val="001C01C3"/>
    <w:rsid w:val="001C1CBD"/>
    <w:rsid w:val="001C396C"/>
    <w:rsid w:val="001C3D69"/>
    <w:rsid w:val="001C6622"/>
    <w:rsid w:val="001C77A7"/>
    <w:rsid w:val="001D213D"/>
    <w:rsid w:val="001D4BC8"/>
    <w:rsid w:val="001D4C54"/>
    <w:rsid w:val="001D4DB5"/>
    <w:rsid w:val="001D4F9D"/>
    <w:rsid w:val="001D5959"/>
    <w:rsid w:val="001D5A09"/>
    <w:rsid w:val="001D6784"/>
    <w:rsid w:val="001E00AA"/>
    <w:rsid w:val="001E1D27"/>
    <w:rsid w:val="001E231A"/>
    <w:rsid w:val="001E3680"/>
    <w:rsid w:val="001E48B6"/>
    <w:rsid w:val="001E70BB"/>
    <w:rsid w:val="001E7B21"/>
    <w:rsid w:val="001E7B52"/>
    <w:rsid w:val="001E7BD1"/>
    <w:rsid w:val="001F2F8F"/>
    <w:rsid w:val="001F43A2"/>
    <w:rsid w:val="001F62E4"/>
    <w:rsid w:val="001F62F6"/>
    <w:rsid w:val="001F6BC7"/>
    <w:rsid w:val="001F6F69"/>
    <w:rsid w:val="00201AFF"/>
    <w:rsid w:val="0020247B"/>
    <w:rsid w:val="00202B05"/>
    <w:rsid w:val="00210090"/>
    <w:rsid w:val="00210CA2"/>
    <w:rsid w:val="00211527"/>
    <w:rsid w:val="002132AB"/>
    <w:rsid w:val="00217B18"/>
    <w:rsid w:val="00217D8E"/>
    <w:rsid w:val="00220559"/>
    <w:rsid w:val="00221047"/>
    <w:rsid w:val="00221BB8"/>
    <w:rsid w:val="00223700"/>
    <w:rsid w:val="0022547E"/>
    <w:rsid w:val="00225DBF"/>
    <w:rsid w:val="00226525"/>
    <w:rsid w:val="002279FA"/>
    <w:rsid w:val="0023134E"/>
    <w:rsid w:val="0023203C"/>
    <w:rsid w:val="00232363"/>
    <w:rsid w:val="00232BE8"/>
    <w:rsid w:val="002332AB"/>
    <w:rsid w:val="0023396C"/>
    <w:rsid w:val="0023471B"/>
    <w:rsid w:val="00235AB1"/>
    <w:rsid w:val="002371E5"/>
    <w:rsid w:val="00240CDF"/>
    <w:rsid w:val="002438D8"/>
    <w:rsid w:val="00243C95"/>
    <w:rsid w:val="002440D9"/>
    <w:rsid w:val="002459F5"/>
    <w:rsid w:val="00245A2D"/>
    <w:rsid w:val="00245A45"/>
    <w:rsid w:val="00245C76"/>
    <w:rsid w:val="002464C9"/>
    <w:rsid w:val="00246E92"/>
    <w:rsid w:val="00247B5B"/>
    <w:rsid w:val="00250746"/>
    <w:rsid w:val="002534CD"/>
    <w:rsid w:val="00253DF1"/>
    <w:rsid w:val="002558CC"/>
    <w:rsid w:val="00255B70"/>
    <w:rsid w:val="00256476"/>
    <w:rsid w:val="00256EED"/>
    <w:rsid w:val="00257485"/>
    <w:rsid w:val="00257849"/>
    <w:rsid w:val="00261BFB"/>
    <w:rsid w:val="002667D3"/>
    <w:rsid w:val="00266822"/>
    <w:rsid w:val="00266983"/>
    <w:rsid w:val="00267DAB"/>
    <w:rsid w:val="002736C1"/>
    <w:rsid w:val="0027674F"/>
    <w:rsid w:val="002772BA"/>
    <w:rsid w:val="00277BE6"/>
    <w:rsid w:val="00277CB0"/>
    <w:rsid w:val="00280589"/>
    <w:rsid w:val="0028141E"/>
    <w:rsid w:val="002820BF"/>
    <w:rsid w:val="002835CA"/>
    <w:rsid w:val="00284F2E"/>
    <w:rsid w:val="00290128"/>
    <w:rsid w:val="002915E8"/>
    <w:rsid w:val="002919E7"/>
    <w:rsid w:val="00293C45"/>
    <w:rsid w:val="0029416F"/>
    <w:rsid w:val="002941BF"/>
    <w:rsid w:val="00294AF4"/>
    <w:rsid w:val="0029534A"/>
    <w:rsid w:val="00296196"/>
    <w:rsid w:val="002A0C47"/>
    <w:rsid w:val="002A2472"/>
    <w:rsid w:val="002A32CB"/>
    <w:rsid w:val="002A3C1B"/>
    <w:rsid w:val="002B097F"/>
    <w:rsid w:val="002B1A76"/>
    <w:rsid w:val="002B4137"/>
    <w:rsid w:val="002B660F"/>
    <w:rsid w:val="002B68AD"/>
    <w:rsid w:val="002B7625"/>
    <w:rsid w:val="002C0A75"/>
    <w:rsid w:val="002C2252"/>
    <w:rsid w:val="002C42E1"/>
    <w:rsid w:val="002C4FB8"/>
    <w:rsid w:val="002C5C1D"/>
    <w:rsid w:val="002C61AE"/>
    <w:rsid w:val="002D0242"/>
    <w:rsid w:val="002D0B90"/>
    <w:rsid w:val="002D365D"/>
    <w:rsid w:val="002D59D8"/>
    <w:rsid w:val="002D6272"/>
    <w:rsid w:val="002D7E1C"/>
    <w:rsid w:val="002E027B"/>
    <w:rsid w:val="002E064B"/>
    <w:rsid w:val="002E0E1A"/>
    <w:rsid w:val="002E0FCB"/>
    <w:rsid w:val="002E1482"/>
    <w:rsid w:val="002E186B"/>
    <w:rsid w:val="002E1FBA"/>
    <w:rsid w:val="002E333A"/>
    <w:rsid w:val="002E3581"/>
    <w:rsid w:val="002E3FC5"/>
    <w:rsid w:val="002E4366"/>
    <w:rsid w:val="002E6E8E"/>
    <w:rsid w:val="002E6FDC"/>
    <w:rsid w:val="002F1EA2"/>
    <w:rsid w:val="002F24DA"/>
    <w:rsid w:val="002F42D5"/>
    <w:rsid w:val="002F63E4"/>
    <w:rsid w:val="002F64D4"/>
    <w:rsid w:val="002F7850"/>
    <w:rsid w:val="003015EB"/>
    <w:rsid w:val="00301DE6"/>
    <w:rsid w:val="0030353A"/>
    <w:rsid w:val="003048FA"/>
    <w:rsid w:val="00304BB9"/>
    <w:rsid w:val="00305880"/>
    <w:rsid w:val="003075C5"/>
    <w:rsid w:val="003077B7"/>
    <w:rsid w:val="0031009D"/>
    <w:rsid w:val="0031048E"/>
    <w:rsid w:val="003104A4"/>
    <w:rsid w:val="003109B5"/>
    <w:rsid w:val="0031103B"/>
    <w:rsid w:val="003110BE"/>
    <w:rsid w:val="00311C93"/>
    <w:rsid w:val="00312205"/>
    <w:rsid w:val="0031438D"/>
    <w:rsid w:val="00314797"/>
    <w:rsid w:val="003157E7"/>
    <w:rsid w:val="00317AC4"/>
    <w:rsid w:val="00321135"/>
    <w:rsid w:val="003242DA"/>
    <w:rsid w:val="003248D0"/>
    <w:rsid w:val="003257D0"/>
    <w:rsid w:val="0032597C"/>
    <w:rsid w:val="0032634F"/>
    <w:rsid w:val="003267F0"/>
    <w:rsid w:val="00326DEA"/>
    <w:rsid w:val="00327DCA"/>
    <w:rsid w:val="0033015A"/>
    <w:rsid w:val="0033080E"/>
    <w:rsid w:val="00330F88"/>
    <w:rsid w:val="00331D7E"/>
    <w:rsid w:val="00332256"/>
    <w:rsid w:val="00332453"/>
    <w:rsid w:val="0033577D"/>
    <w:rsid w:val="00335883"/>
    <w:rsid w:val="003364D7"/>
    <w:rsid w:val="00336AEF"/>
    <w:rsid w:val="00340357"/>
    <w:rsid w:val="00341040"/>
    <w:rsid w:val="00343372"/>
    <w:rsid w:val="003442BC"/>
    <w:rsid w:val="00344FB3"/>
    <w:rsid w:val="003459D5"/>
    <w:rsid w:val="00346241"/>
    <w:rsid w:val="00347431"/>
    <w:rsid w:val="0035033F"/>
    <w:rsid w:val="003566EA"/>
    <w:rsid w:val="00356B23"/>
    <w:rsid w:val="003571CC"/>
    <w:rsid w:val="003579A7"/>
    <w:rsid w:val="003611EE"/>
    <w:rsid w:val="0036186E"/>
    <w:rsid w:val="00371486"/>
    <w:rsid w:val="003726B1"/>
    <w:rsid w:val="00372A3C"/>
    <w:rsid w:val="00374FF5"/>
    <w:rsid w:val="00375B52"/>
    <w:rsid w:val="00376AC9"/>
    <w:rsid w:val="00377EB6"/>
    <w:rsid w:val="00381964"/>
    <w:rsid w:val="0038297D"/>
    <w:rsid w:val="00383F89"/>
    <w:rsid w:val="003845C9"/>
    <w:rsid w:val="003864AE"/>
    <w:rsid w:val="00387649"/>
    <w:rsid w:val="00387826"/>
    <w:rsid w:val="003927E9"/>
    <w:rsid w:val="003927FF"/>
    <w:rsid w:val="00394278"/>
    <w:rsid w:val="00394E99"/>
    <w:rsid w:val="0039554A"/>
    <w:rsid w:val="0039680C"/>
    <w:rsid w:val="00396C9E"/>
    <w:rsid w:val="00396E36"/>
    <w:rsid w:val="0039719C"/>
    <w:rsid w:val="003972DB"/>
    <w:rsid w:val="003A1271"/>
    <w:rsid w:val="003A1375"/>
    <w:rsid w:val="003A1A39"/>
    <w:rsid w:val="003A2ACF"/>
    <w:rsid w:val="003A3237"/>
    <w:rsid w:val="003A3DFD"/>
    <w:rsid w:val="003A4119"/>
    <w:rsid w:val="003A4346"/>
    <w:rsid w:val="003A4985"/>
    <w:rsid w:val="003A4BF6"/>
    <w:rsid w:val="003A5E12"/>
    <w:rsid w:val="003A6199"/>
    <w:rsid w:val="003A7AE8"/>
    <w:rsid w:val="003B00AC"/>
    <w:rsid w:val="003B0705"/>
    <w:rsid w:val="003B1FF0"/>
    <w:rsid w:val="003B5974"/>
    <w:rsid w:val="003B6C24"/>
    <w:rsid w:val="003C2348"/>
    <w:rsid w:val="003C24C7"/>
    <w:rsid w:val="003C431F"/>
    <w:rsid w:val="003C6326"/>
    <w:rsid w:val="003C679A"/>
    <w:rsid w:val="003D11D6"/>
    <w:rsid w:val="003D1806"/>
    <w:rsid w:val="003D1D3A"/>
    <w:rsid w:val="003D24C4"/>
    <w:rsid w:val="003D2B7A"/>
    <w:rsid w:val="003D3DD1"/>
    <w:rsid w:val="003D439F"/>
    <w:rsid w:val="003D5E50"/>
    <w:rsid w:val="003D6A6B"/>
    <w:rsid w:val="003D6ECC"/>
    <w:rsid w:val="003D6F03"/>
    <w:rsid w:val="003E00A5"/>
    <w:rsid w:val="003E108A"/>
    <w:rsid w:val="003E3F67"/>
    <w:rsid w:val="003E4285"/>
    <w:rsid w:val="003E4786"/>
    <w:rsid w:val="003E47E3"/>
    <w:rsid w:val="003E48ED"/>
    <w:rsid w:val="003E593C"/>
    <w:rsid w:val="003E5FAB"/>
    <w:rsid w:val="003E6BCB"/>
    <w:rsid w:val="003E6F2B"/>
    <w:rsid w:val="003E72A9"/>
    <w:rsid w:val="003F00C8"/>
    <w:rsid w:val="003F02B9"/>
    <w:rsid w:val="003F0D3D"/>
    <w:rsid w:val="003F106A"/>
    <w:rsid w:val="003F3011"/>
    <w:rsid w:val="003F49C8"/>
    <w:rsid w:val="003F6F1E"/>
    <w:rsid w:val="003F7F89"/>
    <w:rsid w:val="00400635"/>
    <w:rsid w:val="00400994"/>
    <w:rsid w:val="00402B76"/>
    <w:rsid w:val="00404309"/>
    <w:rsid w:val="004044E9"/>
    <w:rsid w:val="004101E8"/>
    <w:rsid w:val="004104FA"/>
    <w:rsid w:val="004120C0"/>
    <w:rsid w:val="00413E5E"/>
    <w:rsid w:val="00416F41"/>
    <w:rsid w:val="004202C9"/>
    <w:rsid w:val="004215B2"/>
    <w:rsid w:val="0042352C"/>
    <w:rsid w:val="0042409C"/>
    <w:rsid w:val="00425802"/>
    <w:rsid w:val="00425BEB"/>
    <w:rsid w:val="0042614A"/>
    <w:rsid w:val="0043059A"/>
    <w:rsid w:val="00430BD5"/>
    <w:rsid w:val="00430E7A"/>
    <w:rsid w:val="00436408"/>
    <w:rsid w:val="00436EE7"/>
    <w:rsid w:val="00442A55"/>
    <w:rsid w:val="00442DB2"/>
    <w:rsid w:val="0044346D"/>
    <w:rsid w:val="00443E65"/>
    <w:rsid w:val="00444EDE"/>
    <w:rsid w:val="00446046"/>
    <w:rsid w:val="00446F80"/>
    <w:rsid w:val="00447710"/>
    <w:rsid w:val="00452FFF"/>
    <w:rsid w:val="00453092"/>
    <w:rsid w:val="004534F6"/>
    <w:rsid w:val="00455746"/>
    <w:rsid w:val="00456C2C"/>
    <w:rsid w:val="0045784A"/>
    <w:rsid w:val="00457F8A"/>
    <w:rsid w:val="00463FD4"/>
    <w:rsid w:val="004645DB"/>
    <w:rsid w:val="00464976"/>
    <w:rsid w:val="00464D95"/>
    <w:rsid w:val="004654AB"/>
    <w:rsid w:val="0046752B"/>
    <w:rsid w:val="004700AB"/>
    <w:rsid w:val="00470DB9"/>
    <w:rsid w:val="00473D0E"/>
    <w:rsid w:val="00473E68"/>
    <w:rsid w:val="0047618A"/>
    <w:rsid w:val="0047637B"/>
    <w:rsid w:val="00477883"/>
    <w:rsid w:val="00481C2E"/>
    <w:rsid w:val="00481EBE"/>
    <w:rsid w:val="0048380F"/>
    <w:rsid w:val="00484168"/>
    <w:rsid w:val="00484D0C"/>
    <w:rsid w:val="0048580A"/>
    <w:rsid w:val="00486B44"/>
    <w:rsid w:val="00486E61"/>
    <w:rsid w:val="0048765D"/>
    <w:rsid w:val="00494DD6"/>
    <w:rsid w:val="0049503D"/>
    <w:rsid w:val="004950D7"/>
    <w:rsid w:val="0049652E"/>
    <w:rsid w:val="00496B83"/>
    <w:rsid w:val="004974AD"/>
    <w:rsid w:val="004A36FC"/>
    <w:rsid w:val="004A3D90"/>
    <w:rsid w:val="004A50F6"/>
    <w:rsid w:val="004A5324"/>
    <w:rsid w:val="004A56CB"/>
    <w:rsid w:val="004A60B6"/>
    <w:rsid w:val="004A636A"/>
    <w:rsid w:val="004B0F21"/>
    <w:rsid w:val="004B1415"/>
    <w:rsid w:val="004B2CDA"/>
    <w:rsid w:val="004B4941"/>
    <w:rsid w:val="004C08DD"/>
    <w:rsid w:val="004C0D06"/>
    <w:rsid w:val="004C14E1"/>
    <w:rsid w:val="004C210F"/>
    <w:rsid w:val="004C2A92"/>
    <w:rsid w:val="004C6853"/>
    <w:rsid w:val="004C6F30"/>
    <w:rsid w:val="004D2ACA"/>
    <w:rsid w:val="004D392B"/>
    <w:rsid w:val="004D3B7F"/>
    <w:rsid w:val="004D4590"/>
    <w:rsid w:val="004D4AB0"/>
    <w:rsid w:val="004D5B1E"/>
    <w:rsid w:val="004D613C"/>
    <w:rsid w:val="004D7CCD"/>
    <w:rsid w:val="004D7FDE"/>
    <w:rsid w:val="004E1C55"/>
    <w:rsid w:val="004E3B07"/>
    <w:rsid w:val="004E3CFE"/>
    <w:rsid w:val="004E6590"/>
    <w:rsid w:val="004E6629"/>
    <w:rsid w:val="004E698F"/>
    <w:rsid w:val="004E6B18"/>
    <w:rsid w:val="004F33AB"/>
    <w:rsid w:val="004F50DD"/>
    <w:rsid w:val="004F54DA"/>
    <w:rsid w:val="004F65E0"/>
    <w:rsid w:val="004F6B96"/>
    <w:rsid w:val="004F6E0A"/>
    <w:rsid w:val="00500EF9"/>
    <w:rsid w:val="00502660"/>
    <w:rsid w:val="00503BB3"/>
    <w:rsid w:val="00505F91"/>
    <w:rsid w:val="005072B1"/>
    <w:rsid w:val="00507944"/>
    <w:rsid w:val="00507C98"/>
    <w:rsid w:val="00507FDB"/>
    <w:rsid w:val="005103B3"/>
    <w:rsid w:val="0051214B"/>
    <w:rsid w:val="005127D9"/>
    <w:rsid w:val="00514935"/>
    <w:rsid w:val="0051619E"/>
    <w:rsid w:val="00516FAE"/>
    <w:rsid w:val="005171CD"/>
    <w:rsid w:val="00517874"/>
    <w:rsid w:val="00520CC5"/>
    <w:rsid w:val="00521815"/>
    <w:rsid w:val="00523015"/>
    <w:rsid w:val="0052364B"/>
    <w:rsid w:val="00523EC0"/>
    <w:rsid w:val="0052498D"/>
    <w:rsid w:val="00525356"/>
    <w:rsid w:val="0052706E"/>
    <w:rsid w:val="00527082"/>
    <w:rsid w:val="0053082F"/>
    <w:rsid w:val="00530AAF"/>
    <w:rsid w:val="00530E1C"/>
    <w:rsid w:val="00532636"/>
    <w:rsid w:val="00533DCC"/>
    <w:rsid w:val="00534DC8"/>
    <w:rsid w:val="00536163"/>
    <w:rsid w:val="0053728D"/>
    <w:rsid w:val="00537821"/>
    <w:rsid w:val="00540E0E"/>
    <w:rsid w:val="005473B8"/>
    <w:rsid w:val="00547D72"/>
    <w:rsid w:val="005509BC"/>
    <w:rsid w:val="00551FAC"/>
    <w:rsid w:val="005521D5"/>
    <w:rsid w:val="0055336F"/>
    <w:rsid w:val="00554903"/>
    <w:rsid w:val="0055511A"/>
    <w:rsid w:val="00556865"/>
    <w:rsid w:val="00556EDB"/>
    <w:rsid w:val="0055702C"/>
    <w:rsid w:val="00560B55"/>
    <w:rsid w:val="00561D78"/>
    <w:rsid w:val="005624F4"/>
    <w:rsid w:val="00565033"/>
    <w:rsid w:val="005663A9"/>
    <w:rsid w:val="005664C1"/>
    <w:rsid w:val="00571E3A"/>
    <w:rsid w:val="00572539"/>
    <w:rsid w:val="005730A0"/>
    <w:rsid w:val="00573567"/>
    <w:rsid w:val="00575124"/>
    <w:rsid w:val="00575BC6"/>
    <w:rsid w:val="00577C42"/>
    <w:rsid w:val="00581C6C"/>
    <w:rsid w:val="005825C8"/>
    <w:rsid w:val="00583B86"/>
    <w:rsid w:val="00586411"/>
    <w:rsid w:val="0058645F"/>
    <w:rsid w:val="00586EA8"/>
    <w:rsid w:val="00591F59"/>
    <w:rsid w:val="00592FA5"/>
    <w:rsid w:val="005939BF"/>
    <w:rsid w:val="00594029"/>
    <w:rsid w:val="00594783"/>
    <w:rsid w:val="00595C51"/>
    <w:rsid w:val="00596F38"/>
    <w:rsid w:val="00597E29"/>
    <w:rsid w:val="005A4C49"/>
    <w:rsid w:val="005A4CF2"/>
    <w:rsid w:val="005A50FD"/>
    <w:rsid w:val="005A5EF7"/>
    <w:rsid w:val="005A656E"/>
    <w:rsid w:val="005A7B9D"/>
    <w:rsid w:val="005A7C2A"/>
    <w:rsid w:val="005A7DD6"/>
    <w:rsid w:val="005B0950"/>
    <w:rsid w:val="005B345B"/>
    <w:rsid w:val="005B6542"/>
    <w:rsid w:val="005B7C35"/>
    <w:rsid w:val="005C03C5"/>
    <w:rsid w:val="005C0B79"/>
    <w:rsid w:val="005C0F97"/>
    <w:rsid w:val="005C10CA"/>
    <w:rsid w:val="005C2EC4"/>
    <w:rsid w:val="005C3C4B"/>
    <w:rsid w:val="005C3D49"/>
    <w:rsid w:val="005C43A9"/>
    <w:rsid w:val="005C577F"/>
    <w:rsid w:val="005C6CE0"/>
    <w:rsid w:val="005D1B87"/>
    <w:rsid w:val="005D44E1"/>
    <w:rsid w:val="005D5A47"/>
    <w:rsid w:val="005E3949"/>
    <w:rsid w:val="005E5F83"/>
    <w:rsid w:val="005E6386"/>
    <w:rsid w:val="005F20A6"/>
    <w:rsid w:val="005F27C8"/>
    <w:rsid w:val="005F4E3C"/>
    <w:rsid w:val="005F514F"/>
    <w:rsid w:val="005F5A0F"/>
    <w:rsid w:val="005F5B4E"/>
    <w:rsid w:val="005F739A"/>
    <w:rsid w:val="00603455"/>
    <w:rsid w:val="00604108"/>
    <w:rsid w:val="00610585"/>
    <w:rsid w:val="00610BE8"/>
    <w:rsid w:val="00611DA1"/>
    <w:rsid w:val="006124E5"/>
    <w:rsid w:val="006148DB"/>
    <w:rsid w:val="00614933"/>
    <w:rsid w:val="00616E34"/>
    <w:rsid w:val="00620B2E"/>
    <w:rsid w:val="006210AB"/>
    <w:rsid w:val="006216A1"/>
    <w:rsid w:val="00624016"/>
    <w:rsid w:val="00627B19"/>
    <w:rsid w:val="0063067E"/>
    <w:rsid w:val="00637221"/>
    <w:rsid w:val="00637AE6"/>
    <w:rsid w:val="0064296D"/>
    <w:rsid w:val="00644F46"/>
    <w:rsid w:val="00645150"/>
    <w:rsid w:val="0065406F"/>
    <w:rsid w:val="00654FE6"/>
    <w:rsid w:val="00655155"/>
    <w:rsid w:val="006552D1"/>
    <w:rsid w:val="00656ACA"/>
    <w:rsid w:val="00656AE4"/>
    <w:rsid w:val="00657C26"/>
    <w:rsid w:val="00657C52"/>
    <w:rsid w:val="0066072D"/>
    <w:rsid w:val="006634E9"/>
    <w:rsid w:val="0066400F"/>
    <w:rsid w:val="006642B3"/>
    <w:rsid w:val="006642E5"/>
    <w:rsid w:val="006644B5"/>
    <w:rsid w:val="00664F8B"/>
    <w:rsid w:val="006669E3"/>
    <w:rsid w:val="0067089B"/>
    <w:rsid w:val="0067102B"/>
    <w:rsid w:val="006713FC"/>
    <w:rsid w:val="00671A49"/>
    <w:rsid w:val="00671F58"/>
    <w:rsid w:val="00673905"/>
    <w:rsid w:val="00674C0A"/>
    <w:rsid w:val="00675B16"/>
    <w:rsid w:val="0067792B"/>
    <w:rsid w:val="00677D3D"/>
    <w:rsid w:val="006806AF"/>
    <w:rsid w:val="0068343A"/>
    <w:rsid w:val="00683F38"/>
    <w:rsid w:val="00684489"/>
    <w:rsid w:val="00685494"/>
    <w:rsid w:val="00686A79"/>
    <w:rsid w:val="00687698"/>
    <w:rsid w:val="006903C2"/>
    <w:rsid w:val="0069059A"/>
    <w:rsid w:val="00696AB5"/>
    <w:rsid w:val="00697704"/>
    <w:rsid w:val="006A1834"/>
    <w:rsid w:val="006A653C"/>
    <w:rsid w:val="006A70AA"/>
    <w:rsid w:val="006A7665"/>
    <w:rsid w:val="006B0450"/>
    <w:rsid w:val="006B09E4"/>
    <w:rsid w:val="006B21FE"/>
    <w:rsid w:val="006B3E4E"/>
    <w:rsid w:val="006B4309"/>
    <w:rsid w:val="006B4A45"/>
    <w:rsid w:val="006B74B6"/>
    <w:rsid w:val="006B74FD"/>
    <w:rsid w:val="006B7A66"/>
    <w:rsid w:val="006C1387"/>
    <w:rsid w:val="006C393A"/>
    <w:rsid w:val="006C5D2D"/>
    <w:rsid w:val="006C7B8C"/>
    <w:rsid w:val="006D0944"/>
    <w:rsid w:val="006D217A"/>
    <w:rsid w:val="006D2F0B"/>
    <w:rsid w:val="006D33E0"/>
    <w:rsid w:val="006D3B47"/>
    <w:rsid w:val="006D45B6"/>
    <w:rsid w:val="006D48E8"/>
    <w:rsid w:val="006D5F97"/>
    <w:rsid w:val="006D786A"/>
    <w:rsid w:val="006D79D4"/>
    <w:rsid w:val="006E0C00"/>
    <w:rsid w:val="006E2DA4"/>
    <w:rsid w:val="006E3DE3"/>
    <w:rsid w:val="006E4DDA"/>
    <w:rsid w:val="006E5371"/>
    <w:rsid w:val="006E799D"/>
    <w:rsid w:val="006E7EDB"/>
    <w:rsid w:val="006F0D37"/>
    <w:rsid w:val="006F2441"/>
    <w:rsid w:val="006F27D7"/>
    <w:rsid w:val="006F2FD6"/>
    <w:rsid w:val="006F4103"/>
    <w:rsid w:val="006F417A"/>
    <w:rsid w:val="006F6AED"/>
    <w:rsid w:val="006F756B"/>
    <w:rsid w:val="00700DA2"/>
    <w:rsid w:val="00702D27"/>
    <w:rsid w:val="00704F54"/>
    <w:rsid w:val="00707DF5"/>
    <w:rsid w:val="00707E09"/>
    <w:rsid w:val="00710D8B"/>
    <w:rsid w:val="00711B76"/>
    <w:rsid w:val="007135E0"/>
    <w:rsid w:val="00713E6A"/>
    <w:rsid w:val="00713F2A"/>
    <w:rsid w:val="00715C64"/>
    <w:rsid w:val="00715DA0"/>
    <w:rsid w:val="00717296"/>
    <w:rsid w:val="00721632"/>
    <w:rsid w:val="00721E7A"/>
    <w:rsid w:val="0072233A"/>
    <w:rsid w:val="0072488F"/>
    <w:rsid w:val="007249EF"/>
    <w:rsid w:val="00725AB4"/>
    <w:rsid w:val="00725D89"/>
    <w:rsid w:val="00727024"/>
    <w:rsid w:val="00734EE9"/>
    <w:rsid w:val="00736D25"/>
    <w:rsid w:val="00740705"/>
    <w:rsid w:val="00741872"/>
    <w:rsid w:val="00745089"/>
    <w:rsid w:val="00746FBF"/>
    <w:rsid w:val="00747C8F"/>
    <w:rsid w:val="007505C9"/>
    <w:rsid w:val="007513BD"/>
    <w:rsid w:val="00752882"/>
    <w:rsid w:val="0075350A"/>
    <w:rsid w:val="0075359E"/>
    <w:rsid w:val="0076155D"/>
    <w:rsid w:val="00763405"/>
    <w:rsid w:val="0076347B"/>
    <w:rsid w:val="007653D3"/>
    <w:rsid w:val="0077040B"/>
    <w:rsid w:val="007709D2"/>
    <w:rsid w:val="0077244E"/>
    <w:rsid w:val="00773AAB"/>
    <w:rsid w:val="00774DF3"/>
    <w:rsid w:val="00774EDF"/>
    <w:rsid w:val="0077533F"/>
    <w:rsid w:val="00776106"/>
    <w:rsid w:val="007761BA"/>
    <w:rsid w:val="00780307"/>
    <w:rsid w:val="00782F0F"/>
    <w:rsid w:val="00784156"/>
    <w:rsid w:val="00784A18"/>
    <w:rsid w:val="00786002"/>
    <w:rsid w:val="007864D6"/>
    <w:rsid w:val="00786BEE"/>
    <w:rsid w:val="00787E2D"/>
    <w:rsid w:val="0079009F"/>
    <w:rsid w:val="00790213"/>
    <w:rsid w:val="007917D3"/>
    <w:rsid w:val="00794360"/>
    <w:rsid w:val="007945C2"/>
    <w:rsid w:val="007947C4"/>
    <w:rsid w:val="007978BA"/>
    <w:rsid w:val="007A0EAA"/>
    <w:rsid w:val="007A1F5D"/>
    <w:rsid w:val="007A2400"/>
    <w:rsid w:val="007A37FA"/>
    <w:rsid w:val="007A469A"/>
    <w:rsid w:val="007A505B"/>
    <w:rsid w:val="007A632C"/>
    <w:rsid w:val="007A7CA1"/>
    <w:rsid w:val="007B0D45"/>
    <w:rsid w:val="007B10E7"/>
    <w:rsid w:val="007B21ED"/>
    <w:rsid w:val="007B42EB"/>
    <w:rsid w:val="007B52F6"/>
    <w:rsid w:val="007B5E05"/>
    <w:rsid w:val="007B64C8"/>
    <w:rsid w:val="007B693B"/>
    <w:rsid w:val="007B6A08"/>
    <w:rsid w:val="007C0566"/>
    <w:rsid w:val="007C08AD"/>
    <w:rsid w:val="007C0EEF"/>
    <w:rsid w:val="007C0F78"/>
    <w:rsid w:val="007C5B02"/>
    <w:rsid w:val="007C7E96"/>
    <w:rsid w:val="007D00D1"/>
    <w:rsid w:val="007D15D8"/>
    <w:rsid w:val="007D6F29"/>
    <w:rsid w:val="007D6FC1"/>
    <w:rsid w:val="007D7C19"/>
    <w:rsid w:val="007E12F6"/>
    <w:rsid w:val="007E2108"/>
    <w:rsid w:val="007E2B1A"/>
    <w:rsid w:val="007E4B6C"/>
    <w:rsid w:val="007E6982"/>
    <w:rsid w:val="007E7500"/>
    <w:rsid w:val="007F112A"/>
    <w:rsid w:val="007F1678"/>
    <w:rsid w:val="007F31F7"/>
    <w:rsid w:val="007F60D8"/>
    <w:rsid w:val="007F61B7"/>
    <w:rsid w:val="007F61E7"/>
    <w:rsid w:val="007F7A66"/>
    <w:rsid w:val="007F7D8C"/>
    <w:rsid w:val="00800AB0"/>
    <w:rsid w:val="008037E7"/>
    <w:rsid w:val="008039BD"/>
    <w:rsid w:val="00805A6B"/>
    <w:rsid w:val="00806D43"/>
    <w:rsid w:val="0080722F"/>
    <w:rsid w:val="00807293"/>
    <w:rsid w:val="00807F0E"/>
    <w:rsid w:val="008104E4"/>
    <w:rsid w:val="0081244D"/>
    <w:rsid w:val="00813431"/>
    <w:rsid w:val="008135B7"/>
    <w:rsid w:val="008138B9"/>
    <w:rsid w:val="00815171"/>
    <w:rsid w:val="00815438"/>
    <w:rsid w:val="00815EAE"/>
    <w:rsid w:val="00816DD8"/>
    <w:rsid w:val="00820325"/>
    <w:rsid w:val="0082086E"/>
    <w:rsid w:val="00821523"/>
    <w:rsid w:val="00821AB4"/>
    <w:rsid w:val="008220B2"/>
    <w:rsid w:val="0082246B"/>
    <w:rsid w:val="008259B4"/>
    <w:rsid w:val="008263D9"/>
    <w:rsid w:val="00827082"/>
    <w:rsid w:val="00830698"/>
    <w:rsid w:val="008308F3"/>
    <w:rsid w:val="008312D9"/>
    <w:rsid w:val="008313BB"/>
    <w:rsid w:val="0083284C"/>
    <w:rsid w:val="0083301D"/>
    <w:rsid w:val="008343C6"/>
    <w:rsid w:val="0083442A"/>
    <w:rsid w:val="00835567"/>
    <w:rsid w:val="00835944"/>
    <w:rsid w:val="00837A22"/>
    <w:rsid w:val="00840865"/>
    <w:rsid w:val="0084157F"/>
    <w:rsid w:val="00842E13"/>
    <w:rsid w:val="00842F68"/>
    <w:rsid w:val="00844111"/>
    <w:rsid w:val="0084432E"/>
    <w:rsid w:val="00844F9D"/>
    <w:rsid w:val="00846DB0"/>
    <w:rsid w:val="00846EF3"/>
    <w:rsid w:val="0085102F"/>
    <w:rsid w:val="00852F2C"/>
    <w:rsid w:val="0085368D"/>
    <w:rsid w:val="00853740"/>
    <w:rsid w:val="00855D36"/>
    <w:rsid w:val="00857A05"/>
    <w:rsid w:val="00860AD8"/>
    <w:rsid w:val="008630BF"/>
    <w:rsid w:val="008634E6"/>
    <w:rsid w:val="00863A27"/>
    <w:rsid w:val="00865861"/>
    <w:rsid w:val="0086611F"/>
    <w:rsid w:val="008670E8"/>
    <w:rsid w:val="00870723"/>
    <w:rsid w:val="008715CB"/>
    <w:rsid w:val="00871CEA"/>
    <w:rsid w:val="0087440C"/>
    <w:rsid w:val="00874CD4"/>
    <w:rsid w:val="00875EBA"/>
    <w:rsid w:val="00882F45"/>
    <w:rsid w:val="008851FB"/>
    <w:rsid w:val="008857AB"/>
    <w:rsid w:val="00885A65"/>
    <w:rsid w:val="008865E1"/>
    <w:rsid w:val="00886ECF"/>
    <w:rsid w:val="008871CB"/>
    <w:rsid w:val="00890C23"/>
    <w:rsid w:val="00891061"/>
    <w:rsid w:val="00892DCA"/>
    <w:rsid w:val="008943C1"/>
    <w:rsid w:val="00894CDE"/>
    <w:rsid w:val="0089571D"/>
    <w:rsid w:val="00896430"/>
    <w:rsid w:val="008A066D"/>
    <w:rsid w:val="008A0D9B"/>
    <w:rsid w:val="008A13F4"/>
    <w:rsid w:val="008A20AF"/>
    <w:rsid w:val="008A4B4D"/>
    <w:rsid w:val="008A55E0"/>
    <w:rsid w:val="008A7653"/>
    <w:rsid w:val="008B006E"/>
    <w:rsid w:val="008B1A81"/>
    <w:rsid w:val="008B2804"/>
    <w:rsid w:val="008B2CEA"/>
    <w:rsid w:val="008B3262"/>
    <w:rsid w:val="008B46D0"/>
    <w:rsid w:val="008B5CF1"/>
    <w:rsid w:val="008B6547"/>
    <w:rsid w:val="008C14F6"/>
    <w:rsid w:val="008C38A0"/>
    <w:rsid w:val="008C4052"/>
    <w:rsid w:val="008C4B96"/>
    <w:rsid w:val="008C4BF6"/>
    <w:rsid w:val="008C51C7"/>
    <w:rsid w:val="008C59A4"/>
    <w:rsid w:val="008C6613"/>
    <w:rsid w:val="008C7A17"/>
    <w:rsid w:val="008C7F2B"/>
    <w:rsid w:val="008D1493"/>
    <w:rsid w:val="008D1738"/>
    <w:rsid w:val="008D1A41"/>
    <w:rsid w:val="008D2762"/>
    <w:rsid w:val="008D53EE"/>
    <w:rsid w:val="008D6759"/>
    <w:rsid w:val="008D6D61"/>
    <w:rsid w:val="008D7C8E"/>
    <w:rsid w:val="008E0C91"/>
    <w:rsid w:val="008E164F"/>
    <w:rsid w:val="008E2EF4"/>
    <w:rsid w:val="008E56A6"/>
    <w:rsid w:val="008E6185"/>
    <w:rsid w:val="008E6CCF"/>
    <w:rsid w:val="008F0A1C"/>
    <w:rsid w:val="008F2537"/>
    <w:rsid w:val="008F2E5F"/>
    <w:rsid w:val="008F38A6"/>
    <w:rsid w:val="008F4654"/>
    <w:rsid w:val="008F6B22"/>
    <w:rsid w:val="008F773E"/>
    <w:rsid w:val="0090010C"/>
    <w:rsid w:val="00900A68"/>
    <w:rsid w:val="0090135C"/>
    <w:rsid w:val="0090442D"/>
    <w:rsid w:val="00904458"/>
    <w:rsid w:val="00904608"/>
    <w:rsid w:val="009049CC"/>
    <w:rsid w:val="00905FA0"/>
    <w:rsid w:val="009063A1"/>
    <w:rsid w:val="0090779C"/>
    <w:rsid w:val="009122D1"/>
    <w:rsid w:val="00913446"/>
    <w:rsid w:val="00913A26"/>
    <w:rsid w:val="00913CE4"/>
    <w:rsid w:val="00915B37"/>
    <w:rsid w:val="00915E9C"/>
    <w:rsid w:val="0091600B"/>
    <w:rsid w:val="00916CBD"/>
    <w:rsid w:val="009175FF"/>
    <w:rsid w:val="00917C9E"/>
    <w:rsid w:val="00917D4A"/>
    <w:rsid w:val="00920134"/>
    <w:rsid w:val="00920D71"/>
    <w:rsid w:val="009213D4"/>
    <w:rsid w:val="009216B3"/>
    <w:rsid w:val="00924012"/>
    <w:rsid w:val="0092728A"/>
    <w:rsid w:val="00932A7C"/>
    <w:rsid w:val="00933F92"/>
    <w:rsid w:val="009370C0"/>
    <w:rsid w:val="009374A0"/>
    <w:rsid w:val="00940F71"/>
    <w:rsid w:val="009467D5"/>
    <w:rsid w:val="00947295"/>
    <w:rsid w:val="009479C4"/>
    <w:rsid w:val="00947D9F"/>
    <w:rsid w:val="009512A1"/>
    <w:rsid w:val="0095168A"/>
    <w:rsid w:val="00951D00"/>
    <w:rsid w:val="009556CC"/>
    <w:rsid w:val="009557F7"/>
    <w:rsid w:val="00956FB3"/>
    <w:rsid w:val="00962904"/>
    <w:rsid w:val="00964538"/>
    <w:rsid w:val="0096494B"/>
    <w:rsid w:val="0096642D"/>
    <w:rsid w:val="00971383"/>
    <w:rsid w:val="00971ECE"/>
    <w:rsid w:val="00972A31"/>
    <w:rsid w:val="00975430"/>
    <w:rsid w:val="00976045"/>
    <w:rsid w:val="009774D0"/>
    <w:rsid w:val="00982EBA"/>
    <w:rsid w:val="00982F27"/>
    <w:rsid w:val="009843F7"/>
    <w:rsid w:val="00984496"/>
    <w:rsid w:val="00986047"/>
    <w:rsid w:val="00987810"/>
    <w:rsid w:val="00987D57"/>
    <w:rsid w:val="00990254"/>
    <w:rsid w:val="00991B05"/>
    <w:rsid w:val="00991B8A"/>
    <w:rsid w:val="00991F60"/>
    <w:rsid w:val="0099327D"/>
    <w:rsid w:val="009943E9"/>
    <w:rsid w:val="009954FA"/>
    <w:rsid w:val="00996AEE"/>
    <w:rsid w:val="00996FFB"/>
    <w:rsid w:val="009A0F19"/>
    <w:rsid w:val="009A2068"/>
    <w:rsid w:val="009A217A"/>
    <w:rsid w:val="009A3108"/>
    <w:rsid w:val="009A3174"/>
    <w:rsid w:val="009A3A51"/>
    <w:rsid w:val="009A45F3"/>
    <w:rsid w:val="009A59B2"/>
    <w:rsid w:val="009A6E04"/>
    <w:rsid w:val="009A7F7B"/>
    <w:rsid w:val="009B045B"/>
    <w:rsid w:val="009B5AA1"/>
    <w:rsid w:val="009B70E5"/>
    <w:rsid w:val="009C13F9"/>
    <w:rsid w:val="009C1FDC"/>
    <w:rsid w:val="009C2D5C"/>
    <w:rsid w:val="009C2FAD"/>
    <w:rsid w:val="009C3C06"/>
    <w:rsid w:val="009C4584"/>
    <w:rsid w:val="009C4C57"/>
    <w:rsid w:val="009C5667"/>
    <w:rsid w:val="009C638D"/>
    <w:rsid w:val="009C68FB"/>
    <w:rsid w:val="009D015D"/>
    <w:rsid w:val="009D10D3"/>
    <w:rsid w:val="009D2253"/>
    <w:rsid w:val="009D22A2"/>
    <w:rsid w:val="009D2F9F"/>
    <w:rsid w:val="009D3606"/>
    <w:rsid w:val="009D6E1B"/>
    <w:rsid w:val="009D705D"/>
    <w:rsid w:val="009D7B39"/>
    <w:rsid w:val="009E0F27"/>
    <w:rsid w:val="009E1DD1"/>
    <w:rsid w:val="009E2758"/>
    <w:rsid w:val="009E3EE4"/>
    <w:rsid w:val="009E44F4"/>
    <w:rsid w:val="009E4DBF"/>
    <w:rsid w:val="009E5150"/>
    <w:rsid w:val="009E6055"/>
    <w:rsid w:val="009E70A0"/>
    <w:rsid w:val="009E74C0"/>
    <w:rsid w:val="009E789B"/>
    <w:rsid w:val="009F25A1"/>
    <w:rsid w:val="009F2CF0"/>
    <w:rsid w:val="009F3876"/>
    <w:rsid w:val="009F44A8"/>
    <w:rsid w:val="009F5070"/>
    <w:rsid w:val="009F5DBC"/>
    <w:rsid w:val="00A00DD1"/>
    <w:rsid w:val="00A01A23"/>
    <w:rsid w:val="00A04B62"/>
    <w:rsid w:val="00A075DD"/>
    <w:rsid w:val="00A07AC6"/>
    <w:rsid w:val="00A11C10"/>
    <w:rsid w:val="00A12907"/>
    <w:rsid w:val="00A12DAD"/>
    <w:rsid w:val="00A1317A"/>
    <w:rsid w:val="00A13D3F"/>
    <w:rsid w:val="00A13DEB"/>
    <w:rsid w:val="00A15094"/>
    <w:rsid w:val="00A219E5"/>
    <w:rsid w:val="00A25231"/>
    <w:rsid w:val="00A2596A"/>
    <w:rsid w:val="00A260BB"/>
    <w:rsid w:val="00A2653E"/>
    <w:rsid w:val="00A272DE"/>
    <w:rsid w:val="00A2791D"/>
    <w:rsid w:val="00A30C35"/>
    <w:rsid w:val="00A31EC5"/>
    <w:rsid w:val="00A3268E"/>
    <w:rsid w:val="00A33BDB"/>
    <w:rsid w:val="00A34B3A"/>
    <w:rsid w:val="00A402BA"/>
    <w:rsid w:val="00A40E25"/>
    <w:rsid w:val="00A4236D"/>
    <w:rsid w:val="00A42F34"/>
    <w:rsid w:val="00A43383"/>
    <w:rsid w:val="00A4411C"/>
    <w:rsid w:val="00A447AE"/>
    <w:rsid w:val="00A4677E"/>
    <w:rsid w:val="00A527EB"/>
    <w:rsid w:val="00A53571"/>
    <w:rsid w:val="00A53A1F"/>
    <w:rsid w:val="00A55ED7"/>
    <w:rsid w:val="00A55EEC"/>
    <w:rsid w:val="00A6058B"/>
    <w:rsid w:val="00A62E22"/>
    <w:rsid w:val="00A63367"/>
    <w:rsid w:val="00A63BE1"/>
    <w:rsid w:val="00A63F5E"/>
    <w:rsid w:val="00A64494"/>
    <w:rsid w:val="00A64DA7"/>
    <w:rsid w:val="00A64F15"/>
    <w:rsid w:val="00A65591"/>
    <w:rsid w:val="00A6638F"/>
    <w:rsid w:val="00A66E5C"/>
    <w:rsid w:val="00A673F4"/>
    <w:rsid w:val="00A67C99"/>
    <w:rsid w:val="00A70849"/>
    <w:rsid w:val="00A709F8"/>
    <w:rsid w:val="00A72ED8"/>
    <w:rsid w:val="00A732EE"/>
    <w:rsid w:val="00A73EB3"/>
    <w:rsid w:val="00A742E4"/>
    <w:rsid w:val="00A74732"/>
    <w:rsid w:val="00A758A4"/>
    <w:rsid w:val="00A77CB7"/>
    <w:rsid w:val="00A77CCA"/>
    <w:rsid w:val="00A80251"/>
    <w:rsid w:val="00A81F5B"/>
    <w:rsid w:val="00A82309"/>
    <w:rsid w:val="00A82919"/>
    <w:rsid w:val="00A8412A"/>
    <w:rsid w:val="00A842BD"/>
    <w:rsid w:val="00A843A9"/>
    <w:rsid w:val="00A850DF"/>
    <w:rsid w:val="00A858B0"/>
    <w:rsid w:val="00A866D0"/>
    <w:rsid w:val="00A86873"/>
    <w:rsid w:val="00A90AAB"/>
    <w:rsid w:val="00A934F7"/>
    <w:rsid w:val="00A946F9"/>
    <w:rsid w:val="00A9512A"/>
    <w:rsid w:val="00A95214"/>
    <w:rsid w:val="00A96671"/>
    <w:rsid w:val="00A968A3"/>
    <w:rsid w:val="00AA10EC"/>
    <w:rsid w:val="00AA3989"/>
    <w:rsid w:val="00AA710C"/>
    <w:rsid w:val="00AA7BA9"/>
    <w:rsid w:val="00AA7C88"/>
    <w:rsid w:val="00AA7D5B"/>
    <w:rsid w:val="00AB0360"/>
    <w:rsid w:val="00AB22BF"/>
    <w:rsid w:val="00AB475D"/>
    <w:rsid w:val="00AB63D2"/>
    <w:rsid w:val="00AB7824"/>
    <w:rsid w:val="00AC162D"/>
    <w:rsid w:val="00AC18CA"/>
    <w:rsid w:val="00AC2BA3"/>
    <w:rsid w:val="00AC3E21"/>
    <w:rsid w:val="00AC6945"/>
    <w:rsid w:val="00AD193B"/>
    <w:rsid w:val="00AD3DCF"/>
    <w:rsid w:val="00AD4285"/>
    <w:rsid w:val="00AD481D"/>
    <w:rsid w:val="00AD5E18"/>
    <w:rsid w:val="00AD722F"/>
    <w:rsid w:val="00AD7638"/>
    <w:rsid w:val="00AE0090"/>
    <w:rsid w:val="00AE0268"/>
    <w:rsid w:val="00AE0AB2"/>
    <w:rsid w:val="00AE1515"/>
    <w:rsid w:val="00AE3E40"/>
    <w:rsid w:val="00AE3E98"/>
    <w:rsid w:val="00AE47D6"/>
    <w:rsid w:val="00AE5035"/>
    <w:rsid w:val="00AE679A"/>
    <w:rsid w:val="00AE7B70"/>
    <w:rsid w:val="00AF03D5"/>
    <w:rsid w:val="00AF1A07"/>
    <w:rsid w:val="00AF2317"/>
    <w:rsid w:val="00AF23EA"/>
    <w:rsid w:val="00AF298A"/>
    <w:rsid w:val="00AF2FA5"/>
    <w:rsid w:val="00AF6052"/>
    <w:rsid w:val="00AF6698"/>
    <w:rsid w:val="00AF7B6F"/>
    <w:rsid w:val="00B01A5C"/>
    <w:rsid w:val="00B02179"/>
    <w:rsid w:val="00B029D8"/>
    <w:rsid w:val="00B02DB9"/>
    <w:rsid w:val="00B0363E"/>
    <w:rsid w:val="00B044A7"/>
    <w:rsid w:val="00B04CC1"/>
    <w:rsid w:val="00B04E05"/>
    <w:rsid w:val="00B0518A"/>
    <w:rsid w:val="00B10B58"/>
    <w:rsid w:val="00B1477A"/>
    <w:rsid w:val="00B14C8F"/>
    <w:rsid w:val="00B16C82"/>
    <w:rsid w:val="00B22937"/>
    <w:rsid w:val="00B23546"/>
    <w:rsid w:val="00B24F72"/>
    <w:rsid w:val="00B2502B"/>
    <w:rsid w:val="00B25325"/>
    <w:rsid w:val="00B27970"/>
    <w:rsid w:val="00B27E42"/>
    <w:rsid w:val="00B30115"/>
    <w:rsid w:val="00B30B22"/>
    <w:rsid w:val="00B30FB2"/>
    <w:rsid w:val="00B3130A"/>
    <w:rsid w:val="00B32B85"/>
    <w:rsid w:val="00B32B89"/>
    <w:rsid w:val="00B349BA"/>
    <w:rsid w:val="00B34DF9"/>
    <w:rsid w:val="00B36372"/>
    <w:rsid w:val="00B37216"/>
    <w:rsid w:val="00B4234A"/>
    <w:rsid w:val="00B42E99"/>
    <w:rsid w:val="00B45555"/>
    <w:rsid w:val="00B51E97"/>
    <w:rsid w:val="00B56948"/>
    <w:rsid w:val="00B5751E"/>
    <w:rsid w:val="00B61894"/>
    <w:rsid w:val="00B6259E"/>
    <w:rsid w:val="00B66519"/>
    <w:rsid w:val="00B665C1"/>
    <w:rsid w:val="00B6770E"/>
    <w:rsid w:val="00B71D19"/>
    <w:rsid w:val="00B72126"/>
    <w:rsid w:val="00B7326E"/>
    <w:rsid w:val="00B742EA"/>
    <w:rsid w:val="00B762E3"/>
    <w:rsid w:val="00B76C94"/>
    <w:rsid w:val="00B77C4F"/>
    <w:rsid w:val="00B80AF3"/>
    <w:rsid w:val="00B81DCA"/>
    <w:rsid w:val="00B822DA"/>
    <w:rsid w:val="00B82669"/>
    <w:rsid w:val="00B82F62"/>
    <w:rsid w:val="00B83AA8"/>
    <w:rsid w:val="00B83BA9"/>
    <w:rsid w:val="00B85B06"/>
    <w:rsid w:val="00B87AF4"/>
    <w:rsid w:val="00B9088D"/>
    <w:rsid w:val="00B92676"/>
    <w:rsid w:val="00B93392"/>
    <w:rsid w:val="00B95612"/>
    <w:rsid w:val="00BA0630"/>
    <w:rsid w:val="00BA190F"/>
    <w:rsid w:val="00BA4A68"/>
    <w:rsid w:val="00BA4F81"/>
    <w:rsid w:val="00BA72B8"/>
    <w:rsid w:val="00BA7B74"/>
    <w:rsid w:val="00BB0137"/>
    <w:rsid w:val="00BB0D7D"/>
    <w:rsid w:val="00BB3004"/>
    <w:rsid w:val="00BB3518"/>
    <w:rsid w:val="00BB3848"/>
    <w:rsid w:val="00BB41F5"/>
    <w:rsid w:val="00BB4CB3"/>
    <w:rsid w:val="00BB5306"/>
    <w:rsid w:val="00BB5930"/>
    <w:rsid w:val="00BB62FD"/>
    <w:rsid w:val="00BB7331"/>
    <w:rsid w:val="00BB7A25"/>
    <w:rsid w:val="00BC0DC8"/>
    <w:rsid w:val="00BC1162"/>
    <w:rsid w:val="00BC126F"/>
    <w:rsid w:val="00BC2356"/>
    <w:rsid w:val="00BC2E1A"/>
    <w:rsid w:val="00BC3341"/>
    <w:rsid w:val="00BC36AB"/>
    <w:rsid w:val="00BC3888"/>
    <w:rsid w:val="00BC4499"/>
    <w:rsid w:val="00BC5AAB"/>
    <w:rsid w:val="00BC6701"/>
    <w:rsid w:val="00BC68B8"/>
    <w:rsid w:val="00BD115B"/>
    <w:rsid w:val="00BD2321"/>
    <w:rsid w:val="00BD2527"/>
    <w:rsid w:val="00BD315A"/>
    <w:rsid w:val="00BD36DE"/>
    <w:rsid w:val="00BD48F2"/>
    <w:rsid w:val="00BD5141"/>
    <w:rsid w:val="00BD6B4B"/>
    <w:rsid w:val="00BD79AA"/>
    <w:rsid w:val="00BE2926"/>
    <w:rsid w:val="00BE2AB0"/>
    <w:rsid w:val="00BE5CA2"/>
    <w:rsid w:val="00BE742E"/>
    <w:rsid w:val="00BF2848"/>
    <w:rsid w:val="00BF3A20"/>
    <w:rsid w:val="00BF43FC"/>
    <w:rsid w:val="00BF7AFB"/>
    <w:rsid w:val="00BF7EDA"/>
    <w:rsid w:val="00C01E6D"/>
    <w:rsid w:val="00C039D0"/>
    <w:rsid w:val="00C03A3C"/>
    <w:rsid w:val="00C03E49"/>
    <w:rsid w:val="00C06C8C"/>
    <w:rsid w:val="00C07526"/>
    <w:rsid w:val="00C1051D"/>
    <w:rsid w:val="00C144DF"/>
    <w:rsid w:val="00C148B3"/>
    <w:rsid w:val="00C14E6A"/>
    <w:rsid w:val="00C151D4"/>
    <w:rsid w:val="00C15986"/>
    <w:rsid w:val="00C15F60"/>
    <w:rsid w:val="00C20A01"/>
    <w:rsid w:val="00C23635"/>
    <w:rsid w:val="00C236C4"/>
    <w:rsid w:val="00C24146"/>
    <w:rsid w:val="00C24306"/>
    <w:rsid w:val="00C24EC8"/>
    <w:rsid w:val="00C26D34"/>
    <w:rsid w:val="00C27255"/>
    <w:rsid w:val="00C30A2C"/>
    <w:rsid w:val="00C30AC8"/>
    <w:rsid w:val="00C31474"/>
    <w:rsid w:val="00C31EDD"/>
    <w:rsid w:val="00C32644"/>
    <w:rsid w:val="00C3353D"/>
    <w:rsid w:val="00C33E6E"/>
    <w:rsid w:val="00C35075"/>
    <w:rsid w:val="00C376F5"/>
    <w:rsid w:val="00C37C92"/>
    <w:rsid w:val="00C40530"/>
    <w:rsid w:val="00C407EA"/>
    <w:rsid w:val="00C425C3"/>
    <w:rsid w:val="00C426A2"/>
    <w:rsid w:val="00C43DDB"/>
    <w:rsid w:val="00C44F2B"/>
    <w:rsid w:val="00C4662D"/>
    <w:rsid w:val="00C50974"/>
    <w:rsid w:val="00C51399"/>
    <w:rsid w:val="00C51820"/>
    <w:rsid w:val="00C526B2"/>
    <w:rsid w:val="00C549CA"/>
    <w:rsid w:val="00C555FD"/>
    <w:rsid w:val="00C55B6D"/>
    <w:rsid w:val="00C5649D"/>
    <w:rsid w:val="00C60A54"/>
    <w:rsid w:val="00C60CF2"/>
    <w:rsid w:val="00C61E72"/>
    <w:rsid w:val="00C635B7"/>
    <w:rsid w:val="00C661DE"/>
    <w:rsid w:val="00C70037"/>
    <w:rsid w:val="00C70777"/>
    <w:rsid w:val="00C71222"/>
    <w:rsid w:val="00C72737"/>
    <w:rsid w:val="00C730E7"/>
    <w:rsid w:val="00C735C3"/>
    <w:rsid w:val="00C73C2E"/>
    <w:rsid w:val="00C74A5D"/>
    <w:rsid w:val="00C76D77"/>
    <w:rsid w:val="00C77933"/>
    <w:rsid w:val="00C77B7D"/>
    <w:rsid w:val="00C8183C"/>
    <w:rsid w:val="00C832EF"/>
    <w:rsid w:val="00C839A4"/>
    <w:rsid w:val="00C8418B"/>
    <w:rsid w:val="00C844EC"/>
    <w:rsid w:val="00C84592"/>
    <w:rsid w:val="00C86A2E"/>
    <w:rsid w:val="00C8723F"/>
    <w:rsid w:val="00C87524"/>
    <w:rsid w:val="00C90080"/>
    <w:rsid w:val="00C9026B"/>
    <w:rsid w:val="00C902CA"/>
    <w:rsid w:val="00C90530"/>
    <w:rsid w:val="00C92A37"/>
    <w:rsid w:val="00C94B5A"/>
    <w:rsid w:val="00C94E7A"/>
    <w:rsid w:val="00C963D1"/>
    <w:rsid w:val="00C97BE6"/>
    <w:rsid w:val="00CA01F7"/>
    <w:rsid w:val="00CA0A86"/>
    <w:rsid w:val="00CA37E1"/>
    <w:rsid w:val="00CA5980"/>
    <w:rsid w:val="00CA5E1E"/>
    <w:rsid w:val="00CA6709"/>
    <w:rsid w:val="00CB0196"/>
    <w:rsid w:val="00CB029F"/>
    <w:rsid w:val="00CB0755"/>
    <w:rsid w:val="00CB0EF2"/>
    <w:rsid w:val="00CB4F2C"/>
    <w:rsid w:val="00CB7639"/>
    <w:rsid w:val="00CC0AFC"/>
    <w:rsid w:val="00CC299A"/>
    <w:rsid w:val="00CC3C81"/>
    <w:rsid w:val="00CC7565"/>
    <w:rsid w:val="00CD258E"/>
    <w:rsid w:val="00CD3C6B"/>
    <w:rsid w:val="00CD3E2B"/>
    <w:rsid w:val="00CD4BD4"/>
    <w:rsid w:val="00CD4E8B"/>
    <w:rsid w:val="00CD537F"/>
    <w:rsid w:val="00CE0008"/>
    <w:rsid w:val="00CE0554"/>
    <w:rsid w:val="00CE08F4"/>
    <w:rsid w:val="00CE16F7"/>
    <w:rsid w:val="00CE5FB5"/>
    <w:rsid w:val="00CE6341"/>
    <w:rsid w:val="00CE6F56"/>
    <w:rsid w:val="00CE71C8"/>
    <w:rsid w:val="00CF2D86"/>
    <w:rsid w:val="00CF2EEA"/>
    <w:rsid w:val="00CF2F28"/>
    <w:rsid w:val="00CF4420"/>
    <w:rsid w:val="00CF6E7A"/>
    <w:rsid w:val="00D00BCA"/>
    <w:rsid w:val="00D017E9"/>
    <w:rsid w:val="00D019A4"/>
    <w:rsid w:val="00D01E91"/>
    <w:rsid w:val="00D0219B"/>
    <w:rsid w:val="00D03809"/>
    <w:rsid w:val="00D03A39"/>
    <w:rsid w:val="00D060D3"/>
    <w:rsid w:val="00D06C6A"/>
    <w:rsid w:val="00D074E7"/>
    <w:rsid w:val="00D078C4"/>
    <w:rsid w:val="00D109DB"/>
    <w:rsid w:val="00D116D6"/>
    <w:rsid w:val="00D136B2"/>
    <w:rsid w:val="00D15138"/>
    <w:rsid w:val="00D151C1"/>
    <w:rsid w:val="00D16088"/>
    <w:rsid w:val="00D16904"/>
    <w:rsid w:val="00D16F6E"/>
    <w:rsid w:val="00D17388"/>
    <w:rsid w:val="00D204E5"/>
    <w:rsid w:val="00D20664"/>
    <w:rsid w:val="00D2135A"/>
    <w:rsid w:val="00D24A39"/>
    <w:rsid w:val="00D25384"/>
    <w:rsid w:val="00D25DFB"/>
    <w:rsid w:val="00D31123"/>
    <w:rsid w:val="00D31200"/>
    <w:rsid w:val="00D3511E"/>
    <w:rsid w:val="00D3688D"/>
    <w:rsid w:val="00D37CB5"/>
    <w:rsid w:val="00D4097E"/>
    <w:rsid w:val="00D40E8C"/>
    <w:rsid w:val="00D4120B"/>
    <w:rsid w:val="00D417A5"/>
    <w:rsid w:val="00D4372D"/>
    <w:rsid w:val="00D43D6E"/>
    <w:rsid w:val="00D43FFD"/>
    <w:rsid w:val="00D4407B"/>
    <w:rsid w:val="00D440DA"/>
    <w:rsid w:val="00D44C34"/>
    <w:rsid w:val="00D44E27"/>
    <w:rsid w:val="00D4764E"/>
    <w:rsid w:val="00D479ED"/>
    <w:rsid w:val="00D47B5F"/>
    <w:rsid w:val="00D500C7"/>
    <w:rsid w:val="00D50584"/>
    <w:rsid w:val="00D51F02"/>
    <w:rsid w:val="00D531CC"/>
    <w:rsid w:val="00D539E0"/>
    <w:rsid w:val="00D54A57"/>
    <w:rsid w:val="00D54C5F"/>
    <w:rsid w:val="00D54EFF"/>
    <w:rsid w:val="00D56DCA"/>
    <w:rsid w:val="00D56EC2"/>
    <w:rsid w:val="00D57A3B"/>
    <w:rsid w:val="00D57FEB"/>
    <w:rsid w:val="00D6003F"/>
    <w:rsid w:val="00D603C1"/>
    <w:rsid w:val="00D6107E"/>
    <w:rsid w:val="00D64F28"/>
    <w:rsid w:val="00D6670E"/>
    <w:rsid w:val="00D70461"/>
    <w:rsid w:val="00D708DF"/>
    <w:rsid w:val="00D73482"/>
    <w:rsid w:val="00D736CA"/>
    <w:rsid w:val="00D74BAB"/>
    <w:rsid w:val="00D74F58"/>
    <w:rsid w:val="00D76420"/>
    <w:rsid w:val="00D767B9"/>
    <w:rsid w:val="00D76850"/>
    <w:rsid w:val="00D82ACF"/>
    <w:rsid w:val="00D84377"/>
    <w:rsid w:val="00D8461F"/>
    <w:rsid w:val="00D84A73"/>
    <w:rsid w:val="00D84B2A"/>
    <w:rsid w:val="00D85FCB"/>
    <w:rsid w:val="00D87A32"/>
    <w:rsid w:val="00D929F1"/>
    <w:rsid w:val="00D92FA5"/>
    <w:rsid w:val="00D93334"/>
    <w:rsid w:val="00D935FC"/>
    <w:rsid w:val="00D93A51"/>
    <w:rsid w:val="00D9424E"/>
    <w:rsid w:val="00D943B0"/>
    <w:rsid w:val="00D94841"/>
    <w:rsid w:val="00D94999"/>
    <w:rsid w:val="00D95567"/>
    <w:rsid w:val="00D96992"/>
    <w:rsid w:val="00D96A8E"/>
    <w:rsid w:val="00D96CA5"/>
    <w:rsid w:val="00D972D1"/>
    <w:rsid w:val="00D972D6"/>
    <w:rsid w:val="00DA04C8"/>
    <w:rsid w:val="00DA0A3C"/>
    <w:rsid w:val="00DA47B8"/>
    <w:rsid w:val="00DA4B02"/>
    <w:rsid w:val="00DA6392"/>
    <w:rsid w:val="00DB082D"/>
    <w:rsid w:val="00DB0962"/>
    <w:rsid w:val="00DB0B3C"/>
    <w:rsid w:val="00DB0CE8"/>
    <w:rsid w:val="00DB22BA"/>
    <w:rsid w:val="00DB233D"/>
    <w:rsid w:val="00DB2406"/>
    <w:rsid w:val="00DB2D0C"/>
    <w:rsid w:val="00DB2E61"/>
    <w:rsid w:val="00DB3B61"/>
    <w:rsid w:val="00DB5137"/>
    <w:rsid w:val="00DB55C3"/>
    <w:rsid w:val="00DB645E"/>
    <w:rsid w:val="00DB78FE"/>
    <w:rsid w:val="00DB7CD0"/>
    <w:rsid w:val="00DC2B2C"/>
    <w:rsid w:val="00DC31E7"/>
    <w:rsid w:val="00DD16DC"/>
    <w:rsid w:val="00DD1E78"/>
    <w:rsid w:val="00DD2CB3"/>
    <w:rsid w:val="00DD3B2E"/>
    <w:rsid w:val="00DD3BA6"/>
    <w:rsid w:val="00DD51F2"/>
    <w:rsid w:val="00DD53ED"/>
    <w:rsid w:val="00DD5403"/>
    <w:rsid w:val="00DD6AAA"/>
    <w:rsid w:val="00DD7004"/>
    <w:rsid w:val="00DE04D1"/>
    <w:rsid w:val="00DE74DB"/>
    <w:rsid w:val="00DE7D5D"/>
    <w:rsid w:val="00DF16E5"/>
    <w:rsid w:val="00DF3F4B"/>
    <w:rsid w:val="00DF5937"/>
    <w:rsid w:val="00DF62AE"/>
    <w:rsid w:val="00E0056F"/>
    <w:rsid w:val="00E00B1C"/>
    <w:rsid w:val="00E01199"/>
    <w:rsid w:val="00E027C6"/>
    <w:rsid w:val="00E02BBA"/>
    <w:rsid w:val="00E04865"/>
    <w:rsid w:val="00E07F0A"/>
    <w:rsid w:val="00E12944"/>
    <w:rsid w:val="00E13443"/>
    <w:rsid w:val="00E13BCD"/>
    <w:rsid w:val="00E13E9C"/>
    <w:rsid w:val="00E16023"/>
    <w:rsid w:val="00E160DF"/>
    <w:rsid w:val="00E17202"/>
    <w:rsid w:val="00E17C0A"/>
    <w:rsid w:val="00E22548"/>
    <w:rsid w:val="00E2372E"/>
    <w:rsid w:val="00E23A80"/>
    <w:rsid w:val="00E23BB7"/>
    <w:rsid w:val="00E23E9C"/>
    <w:rsid w:val="00E24187"/>
    <w:rsid w:val="00E26207"/>
    <w:rsid w:val="00E27F3B"/>
    <w:rsid w:val="00E33ADF"/>
    <w:rsid w:val="00E35F06"/>
    <w:rsid w:val="00E3645E"/>
    <w:rsid w:val="00E36488"/>
    <w:rsid w:val="00E371CE"/>
    <w:rsid w:val="00E372F4"/>
    <w:rsid w:val="00E400F9"/>
    <w:rsid w:val="00E405AC"/>
    <w:rsid w:val="00E41372"/>
    <w:rsid w:val="00E41F24"/>
    <w:rsid w:val="00E4385C"/>
    <w:rsid w:val="00E43B6B"/>
    <w:rsid w:val="00E4411A"/>
    <w:rsid w:val="00E44C1C"/>
    <w:rsid w:val="00E44EC8"/>
    <w:rsid w:val="00E45B40"/>
    <w:rsid w:val="00E46693"/>
    <w:rsid w:val="00E474D4"/>
    <w:rsid w:val="00E47745"/>
    <w:rsid w:val="00E5128F"/>
    <w:rsid w:val="00E5134E"/>
    <w:rsid w:val="00E5224F"/>
    <w:rsid w:val="00E5505A"/>
    <w:rsid w:val="00E55B22"/>
    <w:rsid w:val="00E55C63"/>
    <w:rsid w:val="00E56717"/>
    <w:rsid w:val="00E5775B"/>
    <w:rsid w:val="00E606BA"/>
    <w:rsid w:val="00E60B96"/>
    <w:rsid w:val="00E61028"/>
    <w:rsid w:val="00E61DCF"/>
    <w:rsid w:val="00E6334B"/>
    <w:rsid w:val="00E63FD4"/>
    <w:rsid w:val="00E66455"/>
    <w:rsid w:val="00E70295"/>
    <w:rsid w:val="00E74BE4"/>
    <w:rsid w:val="00E75ED9"/>
    <w:rsid w:val="00E76753"/>
    <w:rsid w:val="00E834BC"/>
    <w:rsid w:val="00E84DDE"/>
    <w:rsid w:val="00E84E2C"/>
    <w:rsid w:val="00E8506E"/>
    <w:rsid w:val="00E866C5"/>
    <w:rsid w:val="00E869EE"/>
    <w:rsid w:val="00E870DF"/>
    <w:rsid w:val="00E92E09"/>
    <w:rsid w:val="00E942C7"/>
    <w:rsid w:val="00E94D3C"/>
    <w:rsid w:val="00E969E2"/>
    <w:rsid w:val="00E979A0"/>
    <w:rsid w:val="00EA09B6"/>
    <w:rsid w:val="00EA0E57"/>
    <w:rsid w:val="00EA10FA"/>
    <w:rsid w:val="00EA187D"/>
    <w:rsid w:val="00EA36CD"/>
    <w:rsid w:val="00EA380B"/>
    <w:rsid w:val="00EA5516"/>
    <w:rsid w:val="00EA5981"/>
    <w:rsid w:val="00EA65AB"/>
    <w:rsid w:val="00EA6F2E"/>
    <w:rsid w:val="00EA79B2"/>
    <w:rsid w:val="00EB0045"/>
    <w:rsid w:val="00EB081B"/>
    <w:rsid w:val="00EB1EDA"/>
    <w:rsid w:val="00EB3CBA"/>
    <w:rsid w:val="00EB4FD1"/>
    <w:rsid w:val="00EB5DA2"/>
    <w:rsid w:val="00EB71D8"/>
    <w:rsid w:val="00EB72AF"/>
    <w:rsid w:val="00EB78F8"/>
    <w:rsid w:val="00EC09AF"/>
    <w:rsid w:val="00EC1838"/>
    <w:rsid w:val="00EC3BBB"/>
    <w:rsid w:val="00EC4ECE"/>
    <w:rsid w:val="00EC4FF1"/>
    <w:rsid w:val="00ED21DE"/>
    <w:rsid w:val="00ED22F3"/>
    <w:rsid w:val="00ED343E"/>
    <w:rsid w:val="00ED4219"/>
    <w:rsid w:val="00EE0A2C"/>
    <w:rsid w:val="00EE293E"/>
    <w:rsid w:val="00EE3395"/>
    <w:rsid w:val="00EE4E49"/>
    <w:rsid w:val="00EE582B"/>
    <w:rsid w:val="00EE6D3F"/>
    <w:rsid w:val="00EE792B"/>
    <w:rsid w:val="00EF13BB"/>
    <w:rsid w:val="00EF2A56"/>
    <w:rsid w:val="00EF31D3"/>
    <w:rsid w:val="00EF5206"/>
    <w:rsid w:val="00EF549D"/>
    <w:rsid w:val="00EF7384"/>
    <w:rsid w:val="00EF79A4"/>
    <w:rsid w:val="00F02D54"/>
    <w:rsid w:val="00F04945"/>
    <w:rsid w:val="00F060FF"/>
    <w:rsid w:val="00F063C0"/>
    <w:rsid w:val="00F10ECD"/>
    <w:rsid w:val="00F13160"/>
    <w:rsid w:val="00F1525F"/>
    <w:rsid w:val="00F15465"/>
    <w:rsid w:val="00F16798"/>
    <w:rsid w:val="00F208C8"/>
    <w:rsid w:val="00F223EB"/>
    <w:rsid w:val="00F22A89"/>
    <w:rsid w:val="00F259A5"/>
    <w:rsid w:val="00F274E6"/>
    <w:rsid w:val="00F301DB"/>
    <w:rsid w:val="00F313D7"/>
    <w:rsid w:val="00F35D70"/>
    <w:rsid w:val="00F36270"/>
    <w:rsid w:val="00F36888"/>
    <w:rsid w:val="00F37E45"/>
    <w:rsid w:val="00F409F1"/>
    <w:rsid w:val="00F41C1C"/>
    <w:rsid w:val="00F41C49"/>
    <w:rsid w:val="00F4283D"/>
    <w:rsid w:val="00F44353"/>
    <w:rsid w:val="00F453EF"/>
    <w:rsid w:val="00F476B5"/>
    <w:rsid w:val="00F510A6"/>
    <w:rsid w:val="00F5351E"/>
    <w:rsid w:val="00F6086D"/>
    <w:rsid w:val="00F64C68"/>
    <w:rsid w:val="00F650B2"/>
    <w:rsid w:val="00F65220"/>
    <w:rsid w:val="00F656E3"/>
    <w:rsid w:val="00F66833"/>
    <w:rsid w:val="00F67FD3"/>
    <w:rsid w:val="00F7050A"/>
    <w:rsid w:val="00F70CFA"/>
    <w:rsid w:val="00F71E4E"/>
    <w:rsid w:val="00F7238F"/>
    <w:rsid w:val="00F749F4"/>
    <w:rsid w:val="00F77D4D"/>
    <w:rsid w:val="00F855C2"/>
    <w:rsid w:val="00F86589"/>
    <w:rsid w:val="00F86E2E"/>
    <w:rsid w:val="00F878E3"/>
    <w:rsid w:val="00F91D53"/>
    <w:rsid w:val="00F93219"/>
    <w:rsid w:val="00F93287"/>
    <w:rsid w:val="00F93BBC"/>
    <w:rsid w:val="00F94382"/>
    <w:rsid w:val="00F9438E"/>
    <w:rsid w:val="00F94396"/>
    <w:rsid w:val="00F957E2"/>
    <w:rsid w:val="00F970A9"/>
    <w:rsid w:val="00FA1D9C"/>
    <w:rsid w:val="00FA230E"/>
    <w:rsid w:val="00FA2A88"/>
    <w:rsid w:val="00FA5DE6"/>
    <w:rsid w:val="00FA6C27"/>
    <w:rsid w:val="00FA7209"/>
    <w:rsid w:val="00FA7618"/>
    <w:rsid w:val="00FB1431"/>
    <w:rsid w:val="00FB35EB"/>
    <w:rsid w:val="00FB363E"/>
    <w:rsid w:val="00FB4471"/>
    <w:rsid w:val="00FB4DD6"/>
    <w:rsid w:val="00FB5456"/>
    <w:rsid w:val="00FC0FC0"/>
    <w:rsid w:val="00FC4025"/>
    <w:rsid w:val="00FC4633"/>
    <w:rsid w:val="00FC4D45"/>
    <w:rsid w:val="00FC64D2"/>
    <w:rsid w:val="00FC70B7"/>
    <w:rsid w:val="00FC7C6F"/>
    <w:rsid w:val="00FD0CEC"/>
    <w:rsid w:val="00FD13DB"/>
    <w:rsid w:val="00FD1488"/>
    <w:rsid w:val="00FD255B"/>
    <w:rsid w:val="00FD33C8"/>
    <w:rsid w:val="00FD4935"/>
    <w:rsid w:val="00FD4B13"/>
    <w:rsid w:val="00FE1632"/>
    <w:rsid w:val="00FE214F"/>
    <w:rsid w:val="00FE34B8"/>
    <w:rsid w:val="00FE442F"/>
    <w:rsid w:val="00FE4AD0"/>
    <w:rsid w:val="00FE7998"/>
    <w:rsid w:val="00FF3AEC"/>
    <w:rsid w:val="00FF59F7"/>
    <w:rsid w:val="00FF5BA7"/>
    <w:rsid w:val="00FF6B83"/>
    <w:rsid w:val="00FF7F00"/>
    <w:rsid w:val="010372AE"/>
    <w:rsid w:val="012CDF17"/>
    <w:rsid w:val="028174A2"/>
    <w:rsid w:val="0297C1C5"/>
    <w:rsid w:val="03032110"/>
    <w:rsid w:val="037183C4"/>
    <w:rsid w:val="03C10BE6"/>
    <w:rsid w:val="03F0F32D"/>
    <w:rsid w:val="04215CCE"/>
    <w:rsid w:val="045798C9"/>
    <w:rsid w:val="047DF928"/>
    <w:rsid w:val="04CD1659"/>
    <w:rsid w:val="05E233BA"/>
    <w:rsid w:val="062B1E09"/>
    <w:rsid w:val="06DF6844"/>
    <w:rsid w:val="0799E1D7"/>
    <w:rsid w:val="080F8E30"/>
    <w:rsid w:val="0870E366"/>
    <w:rsid w:val="090AA7FD"/>
    <w:rsid w:val="0915E9A0"/>
    <w:rsid w:val="092A2143"/>
    <w:rsid w:val="0A3EA9B3"/>
    <w:rsid w:val="0A4D3E3C"/>
    <w:rsid w:val="0A6F0D71"/>
    <w:rsid w:val="0A8E720C"/>
    <w:rsid w:val="0BED727A"/>
    <w:rsid w:val="0BEEAEF1"/>
    <w:rsid w:val="0C7B5B6C"/>
    <w:rsid w:val="0C8E0495"/>
    <w:rsid w:val="0CEEEDDD"/>
    <w:rsid w:val="0D91B952"/>
    <w:rsid w:val="0DAA0E68"/>
    <w:rsid w:val="0E04D130"/>
    <w:rsid w:val="0E728EC5"/>
    <w:rsid w:val="0F4D733A"/>
    <w:rsid w:val="1149DFD8"/>
    <w:rsid w:val="120C8033"/>
    <w:rsid w:val="1275544B"/>
    <w:rsid w:val="134922F9"/>
    <w:rsid w:val="13578C70"/>
    <w:rsid w:val="149ECCDA"/>
    <w:rsid w:val="153FEEE2"/>
    <w:rsid w:val="1A56927D"/>
    <w:rsid w:val="1C958AF5"/>
    <w:rsid w:val="1C9D5142"/>
    <w:rsid w:val="1CF02138"/>
    <w:rsid w:val="1DD7BBC4"/>
    <w:rsid w:val="1DF43075"/>
    <w:rsid w:val="1DF5002A"/>
    <w:rsid w:val="1E14F2EE"/>
    <w:rsid w:val="1E881F04"/>
    <w:rsid w:val="1EAFC902"/>
    <w:rsid w:val="1FF7B111"/>
    <w:rsid w:val="1FFD4626"/>
    <w:rsid w:val="2019704E"/>
    <w:rsid w:val="2048F63C"/>
    <w:rsid w:val="20A66587"/>
    <w:rsid w:val="20D1226E"/>
    <w:rsid w:val="217B2E95"/>
    <w:rsid w:val="21D9F521"/>
    <w:rsid w:val="22C3B0C0"/>
    <w:rsid w:val="23AE9651"/>
    <w:rsid w:val="23B3C757"/>
    <w:rsid w:val="23E64E12"/>
    <w:rsid w:val="243B5DD7"/>
    <w:rsid w:val="24801989"/>
    <w:rsid w:val="24808411"/>
    <w:rsid w:val="2492B204"/>
    <w:rsid w:val="24ACA2E2"/>
    <w:rsid w:val="2564D26B"/>
    <w:rsid w:val="25B316D5"/>
    <w:rsid w:val="26159EA1"/>
    <w:rsid w:val="26753C5A"/>
    <w:rsid w:val="27072543"/>
    <w:rsid w:val="27737426"/>
    <w:rsid w:val="2863EC6E"/>
    <w:rsid w:val="28B486EF"/>
    <w:rsid w:val="28D05A6E"/>
    <w:rsid w:val="290A252A"/>
    <w:rsid w:val="298F3259"/>
    <w:rsid w:val="2A7BC9D5"/>
    <w:rsid w:val="2B0032CD"/>
    <w:rsid w:val="2C49B041"/>
    <w:rsid w:val="2CB0AFC8"/>
    <w:rsid w:val="2CDB6447"/>
    <w:rsid w:val="2D005E01"/>
    <w:rsid w:val="2D268453"/>
    <w:rsid w:val="2D58E663"/>
    <w:rsid w:val="2EC132D3"/>
    <w:rsid w:val="2EECFE09"/>
    <w:rsid w:val="2F9B5740"/>
    <w:rsid w:val="2FB9139B"/>
    <w:rsid w:val="2FE13226"/>
    <w:rsid w:val="2FE27AA0"/>
    <w:rsid w:val="30330C3A"/>
    <w:rsid w:val="30DF1E03"/>
    <w:rsid w:val="315005CB"/>
    <w:rsid w:val="31DB5FC9"/>
    <w:rsid w:val="32008AF6"/>
    <w:rsid w:val="32189342"/>
    <w:rsid w:val="32208174"/>
    <w:rsid w:val="32B01E46"/>
    <w:rsid w:val="332BA19E"/>
    <w:rsid w:val="33383E4B"/>
    <w:rsid w:val="333C6D0A"/>
    <w:rsid w:val="339B8081"/>
    <w:rsid w:val="3471D8D7"/>
    <w:rsid w:val="34796DE3"/>
    <w:rsid w:val="353857DC"/>
    <w:rsid w:val="358F6435"/>
    <w:rsid w:val="367018F3"/>
    <w:rsid w:val="36965044"/>
    <w:rsid w:val="36B554A9"/>
    <w:rsid w:val="36C65FBF"/>
    <w:rsid w:val="374846D5"/>
    <w:rsid w:val="375C7777"/>
    <w:rsid w:val="37D8C396"/>
    <w:rsid w:val="38700527"/>
    <w:rsid w:val="389F3B0E"/>
    <w:rsid w:val="38B3E41A"/>
    <w:rsid w:val="38EA0414"/>
    <w:rsid w:val="395E54CD"/>
    <w:rsid w:val="398822BF"/>
    <w:rsid w:val="39AD1849"/>
    <w:rsid w:val="3A2710A7"/>
    <w:rsid w:val="3A458699"/>
    <w:rsid w:val="3A923696"/>
    <w:rsid w:val="3AC22140"/>
    <w:rsid w:val="3AEBF137"/>
    <w:rsid w:val="3BC151BF"/>
    <w:rsid w:val="3CAC72A1"/>
    <w:rsid w:val="3D0E2B57"/>
    <w:rsid w:val="3DBE10A6"/>
    <w:rsid w:val="3F22F6EA"/>
    <w:rsid w:val="3F928B5A"/>
    <w:rsid w:val="3FA9EACD"/>
    <w:rsid w:val="3FC317CD"/>
    <w:rsid w:val="4033F796"/>
    <w:rsid w:val="4077CF6E"/>
    <w:rsid w:val="4144AACE"/>
    <w:rsid w:val="4166219B"/>
    <w:rsid w:val="417CD439"/>
    <w:rsid w:val="420AA90C"/>
    <w:rsid w:val="43644C4B"/>
    <w:rsid w:val="4387E53B"/>
    <w:rsid w:val="444D1271"/>
    <w:rsid w:val="451B6C92"/>
    <w:rsid w:val="45D18290"/>
    <w:rsid w:val="4678FC60"/>
    <w:rsid w:val="47DD6C4B"/>
    <w:rsid w:val="49001782"/>
    <w:rsid w:val="4977D11F"/>
    <w:rsid w:val="497A173C"/>
    <w:rsid w:val="4A1060EB"/>
    <w:rsid w:val="4AA3C841"/>
    <w:rsid w:val="4AD50EEB"/>
    <w:rsid w:val="4AD5B4D5"/>
    <w:rsid w:val="4B4F63AB"/>
    <w:rsid w:val="4B5D7EBE"/>
    <w:rsid w:val="4BA542CC"/>
    <w:rsid w:val="4BD08CA7"/>
    <w:rsid w:val="4BEFE34D"/>
    <w:rsid w:val="4C8C9302"/>
    <w:rsid w:val="4D0E80C3"/>
    <w:rsid w:val="4DB26CE6"/>
    <w:rsid w:val="4E08BA78"/>
    <w:rsid w:val="4F582550"/>
    <w:rsid w:val="50085329"/>
    <w:rsid w:val="50A021CB"/>
    <w:rsid w:val="515F8031"/>
    <w:rsid w:val="51B7A5AE"/>
    <w:rsid w:val="522576CA"/>
    <w:rsid w:val="52531C55"/>
    <w:rsid w:val="530D9885"/>
    <w:rsid w:val="5315628E"/>
    <w:rsid w:val="5349CC49"/>
    <w:rsid w:val="5410AF76"/>
    <w:rsid w:val="543B67C4"/>
    <w:rsid w:val="55268EF7"/>
    <w:rsid w:val="5576AD26"/>
    <w:rsid w:val="558349DE"/>
    <w:rsid w:val="559A91DF"/>
    <w:rsid w:val="55A22407"/>
    <w:rsid w:val="55A3DF46"/>
    <w:rsid w:val="563D2A90"/>
    <w:rsid w:val="573FCDD4"/>
    <w:rsid w:val="575B0A9C"/>
    <w:rsid w:val="575C3386"/>
    <w:rsid w:val="57720C4E"/>
    <w:rsid w:val="57AC0553"/>
    <w:rsid w:val="57ADDDA4"/>
    <w:rsid w:val="59463CF4"/>
    <w:rsid w:val="5AD8B3B9"/>
    <w:rsid w:val="5C377139"/>
    <w:rsid w:val="5D18A3C6"/>
    <w:rsid w:val="5D4BCF8B"/>
    <w:rsid w:val="5D611513"/>
    <w:rsid w:val="5D70F07C"/>
    <w:rsid w:val="5D77EDB0"/>
    <w:rsid w:val="5D9C19BC"/>
    <w:rsid w:val="5DA48C95"/>
    <w:rsid w:val="5E26F625"/>
    <w:rsid w:val="5EB52D2B"/>
    <w:rsid w:val="5EED8DAE"/>
    <w:rsid w:val="5FC5BEEA"/>
    <w:rsid w:val="603387B8"/>
    <w:rsid w:val="60F93C63"/>
    <w:rsid w:val="611F0103"/>
    <w:rsid w:val="61E38097"/>
    <w:rsid w:val="627E90A5"/>
    <w:rsid w:val="629E3F3B"/>
    <w:rsid w:val="62B56435"/>
    <w:rsid w:val="634ACA9C"/>
    <w:rsid w:val="649D3D34"/>
    <w:rsid w:val="64BF1DCD"/>
    <w:rsid w:val="64C98D45"/>
    <w:rsid w:val="6555D970"/>
    <w:rsid w:val="6573DFDD"/>
    <w:rsid w:val="65B261A8"/>
    <w:rsid w:val="65DE6D41"/>
    <w:rsid w:val="65F58045"/>
    <w:rsid w:val="66499B39"/>
    <w:rsid w:val="66791A15"/>
    <w:rsid w:val="67D4EBBD"/>
    <w:rsid w:val="67DBD069"/>
    <w:rsid w:val="6861D768"/>
    <w:rsid w:val="686D9252"/>
    <w:rsid w:val="686F0510"/>
    <w:rsid w:val="6960F3C5"/>
    <w:rsid w:val="69C3C04C"/>
    <w:rsid w:val="69E492FF"/>
    <w:rsid w:val="6B3AAC2F"/>
    <w:rsid w:val="6B3AB590"/>
    <w:rsid w:val="6B95F460"/>
    <w:rsid w:val="6C835FC7"/>
    <w:rsid w:val="6D20E484"/>
    <w:rsid w:val="6D3597A6"/>
    <w:rsid w:val="6D871F6C"/>
    <w:rsid w:val="6E7198B0"/>
    <w:rsid w:val="6EAED805"/>
    <w:rsid w:val="6F2AF58B"/>
    <w:rsid w:val="6FC66B7C"/>
    <w:rsid w:val="6FCC9EB3"/>
    <w:rsid w:val="6FCFAD65"/>
    <w:rsid w:val="6FDBEA40"/>
    <w:rsid w:val="6FF2F161"/>
    <w:rsid w:val="71FA94FE"/>
    <w:rsid w:val="72740CCE"/>
    <w:rsid w:val="72A96D4D"/>
    <w:rsid w:val="7372FEB8"/>
    <w:rsid w:val="73B689ED"/>
    <w:rsid w:val="73C6540B"/>
    <w:rsid w:val="73F44516"/>
    <w:rsid w:val="7426BFD3"/>
    <w:rsid w:val="743FA78D"/>
    <w:rsid w:val="74988744"/>
    <w:rsid w:val="758E01B8"/>
    <w:rsid w:val="75BE5FB4"/>
    <w:rsid w:val="76F1B19E"/>
    <w:rsid w:val="770707B2"/>
    <w:rsid w:val="77910C41"/>
    <w:rsid w:val="77CE027C"/>
    <w:rsid w:val="7882141E"/>
    <w:rsid w:val="78A9AA65"/>
    <w:rsid w:val="796C6EE6"/>
    <w:rsid w:val="7A93B548"/>
    <w:rsid w:val="7ADC003D"/>
    <w:rsid w:val="7BD9A1E5"/>
    <w:rsid w:val="7C4171BD"/>
    <w:rsid w:val="7C43941A"/>
    <w:rsid w:val="7CE870ED"/>
    <w:rsid w:val="7D130369"/>
    <w:rsid w:val="7DDC3474"/>
    <w:rsid w:val="7E08E04A"/>
    <w:rsid w:val="7E689DE0"/>
    <w:rsid w:val="7EAB21C0"/>
    <w:rsid w:val="7EE681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8453"/>
  <w15:chartTrackingRefBased/>
  <w15:docId w15:val="{302692FD-FEDE-406A-BDD8-14F430D7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sid w:val="00624016"/>
    <w:rPr>
      <w:color w:val="954F72" w:themeColor="followedHyperlink"/>
      <w:u w:val="single"/>
    </w:rPr>
  </w:style>
  <w:style w:type="character" w:styleId="UnresolvedMention">
    <w:name w:val="Unresolved Mention"/>
    <w:basedOn w:val="DefaultParagraphFont"/>
    <w:uiPriority w:val="99"/>
    <w:semiHidden/>
    <w:unhideWhenUsed/>
    <w:rsid w:val="003F02B9"/>
    <w:rPr>
      <w:color w:val="605E5C"/>
      <w:shd w:val="clear" w:color="auto" w:fill="E1DFDD"/>
    </w:rPr>
  </w:style>
  <w:style w:type="table" w:styleId="TableGrid">
    <w:name w:val="Table Grid"/>
    <w:basedOn w:val="TableNormal"/>
    <w:uiPriority w:val="39"/>
    <w:rsid w:val="003D4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534A"/>
    <w:pPr>
      <w:ind w:left="720"/>
      <w:contextualSpacing/>
    </w:pPr>
  </w:style>
  <w:style w:type="paragraph" w:styleId="BalloonText">
    <w:name w:val="Balloon Text"/>
    <w:basedOn w:val="Normal"/>
    <w:link w:val="BalloonTextChar"/>
    <w:uiPriority w:val="99"/>
    <w:semiHidden/>
    <w:unhideWhenUsed/>
    <w:rsid w:val="00BB4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1F5"/>
    <w:rPr>
      <w:rFonts w:ascii="Segoe UI" w:hAnsi="Segoe UI" w:cs="Segoe UI"/>
      <w:sz w:val="18"/>
      <w:szCs w:val="18"/>
    </w:rPr>
  </w:style>
  <w:style w:type="character" w:styleId="CommentReference">
    <w:name w:val="annotation reference"/>
    <w:basedOn w:val="DefaultParagraphFont"/>
    <w:uiPriority w:val="99"/>
    <w:semiHidden/>
    <w:unhideWhenUsed/>
    <w:rsid w:val="00BB41F5"/>
    <w:rPr>
      <w:sz w:val="16"/>
      <w:szCs w:val="16"/>
    </w:rPr>
  </w:style>
  <w:style w:type="paragraph" w:styleId="CommentText">
    <w:name w:val="annotation text"/>
    <w:basedOn w:val="Normal"/>
    <w:link w:val="CommentTextChar"/>
    <w:uiPriority w:val="99"/>
    <w:semiHidden/>
    <w:unhideWhenUsed/>
    <w:rsid w:val="00BB41F5"/>
    <w:pPr>
      <w:spacing w:line="240" w:lineRule="auto"/>
    </w:pPr>
    <w:rPr>
      <w:sz w:val="20"/>
      <w:szCs w:val="20"/>
    </w:rPr>
  </w:style>
  <w:style w:type="character" w:customStyle="1" w:styleId="CommentTextChar">
    <w:name w:val="Comment Text Char"/>
    <w:basedOn w:val="DefaultParagraphFont"/>
    <w:link w:val="CommentText"/>
    <w:uiPriority w:val="99"/>
    <w:semiHidden/>
    <w:rsid w:val="00BB41F5"/>
    <w:rPr>
      <w:sz w:val="20"/>
      <w:szCs w:val="20"/>
    </w:rPr>
  </w:style>
  <w:style w:type="paragraph" w:styleId="CommentSubject">
    <w:name w:val="annotation subject"/>
    <w:basedOn w:val="CommentText"/>
    <w:next w:val="CommentText"/>
    <w:link w:val="CommentSubjectChar"/>
    <w:uiPriority w:val="99"/>
    <w:semiHidden/>
    <w:unhideWhenUsed/>
    <w:rsid w:val="00BB41F5"/>
    <w:rPr>
      <w:b/>
      <w:bCs/>
    </w:rPr>
  </w:style>
  <w:style w:type="character" w:customStyle="1" w:styleId="CommentSubjectChar">
    <w:name w:val="Comment Subject Char"/>
    <w:basedOn w:val="CommentTextChar"/>
    <w:link w:val="CommentSubject"/>
    <w:uiPriority w:val="99"/>
    <w:semiHidden/>
    <w:rsid w:val="00BB41F5"/>
    <w:rPr>
      <w:b/>
      <w:bCs/>
      <w:sz w:val="20"/>
      <w:szCs w:val="20"/>
    </w:rPr>
  </w:style>
  <w:style w:type="paragraph" w:styleId="Header">
    <w:name w:val="header"/>
    <w:basedOn w:val="Normal"/>
    <w:link w:val="HeaderChar"/>
    <w:uiPriority w:val="99"/>
    <w:semiHidden/>
    <w:unhideWhenUsed/>
    <w:rsid w:val="00D01E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1E91"/>
  </w:style>
  <w:style w:type="paragraph" w:styleId="Footer">
    <w:name w:val="footer"/>
    <w:basedOn w:val="Normal"/>
    <w:link w:val="FooterChar"/>
    <w:uiPriority w:val="99"/>
    <w:semiHidden/>
    <w:unhideWhenUsed/>
    <w:rsid w:val="00D01E9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1E91"/>
  </w:style>
  <w:style w:type="paragraph" w:styleId="FootnoteText">
    <w:name w:val="footnote text"/>
    <w:basedOn w:val="Normal"/>
    <w:link w:val="FootnoteTextChar"/>
    <w:uiPriority w:val="99"/>
    <w:semiHidden/>
    <w:unhideWhenUsed/>
    <w:rsid w:val="00D01E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1E91"/>
    <w:rPr>
      <w:sz w:val="20"/>
      <w:szCs w:val="20"/>
    </w:rPr>
  </w:style>
  <w:style w:type="character" w:styleId="FootnoteReference">
    <w:name w:val="footnote reference"/>
    <w:basedOn w:val="DefaultParagraphFont"/>
    <w:uiPriority w:val="99"/>
    <w:semiHidden/>
    <w:unhideWhenUsed/>
    <w:rsid w:val="00D01E91"/>
    <w:rPr>
      <w:vertAlign w:val="superscript"/>
    </w:rPr>
  </w:style>
  <w:style w:type="paragraph" w:styleId="Revision">
    <w:name w:val="Revision"/>
    <w:hidden/>
    <w:uiPriority w:val="99"/>
    <w:semiHidden/>
    <w:rsid w:val="00644F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57838">
      <w:bodyDiv w:val="1"/>
      <w:marLeft w:val="0"/>
      <w:marRight w:val="0"/>
      <w:marTop w:val="0"/>
      <w:marBottom w:val="0"/>
      <w:divBdr>
        <w:top w:val="none" w:sz="0" w:space="0" w:color="auto"/>
        <w:left w:val="none" w:sz="0" w:space="0" w:color="auto"/>
        <w:bottom w:val="none" w:sz="0" w:space="0" w:color="auto"/>
        <w:right w:val="none" w:sz="0" w:space="0" w:color="auto"/>
      </w:divBdr>
    </w:div>
    <w:div w:id="1399938585">
      <w:bodyDiv w:val="1"/>
      <w:marLeft w:val="0"/>
      <w:marRight w:val="0"/>
      <w:marTop w:val="0"/>
      <w:marBottom w:val="0"/>
      <w:divBdr>
        <w:top w:val="none" w:sz="0" w:space="0" w:color="auto"/>
        <w:left w:val="none" w:sz="0" w:space="0" w:color="auto"/>
        <w:bottom w:val="none" w:sz="0" w:space="0" w:color="auto"/>
        <w:right w:val="none" w:sz="0" w:space="0" w:color="auto"/>
      </w:divBdr>
    </w:div>
    <w:div w:id="1454708159">
      <w:bodyDiv w:val="1"/>
      <w:marLeft w:val="0"/>
      <w:marRight w:val="0"/>
      <w:marTop w:val="0"/>
      <w:marBottom w:val="0"/>
      <w:divBdr>
        <w:top w:val="none" w:sz="0" w:space="0" w:color="auto"/>
        <w:left w:val="none" w:sz="0" w:space="0" w:color="auto"/>
        <w:bottom w:val="none" w:sz="0" w:space="0" w:color="auto"/>
        <w:right w:val="none" w:sz="0" w:space="0" w:color="auto"/>
      </w:divBdr>
    </w:div>
    <w:div w:id="200947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gogentilini.net/wp-content/uploads/2020/03/global-review-of-social-protection-responses-to-COVID-19-2.pdf" TargetMode="Externa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pml.co.uk/files/Publications/a1537-shock-responsive-social-protection-latin-america-caribbean/hallazgos-principals-y-recomendaciones.pdf?noredirect=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86/s12889-018-5446-1" TargetMode="External"/><Relationship Id="rId5" Type="http://schemas.openxmlformats.org/officeDocument/2006/relationships/numbering" Target="numbering.xml"/><Relationship Id="rId15" Type="http://schemas.openxmlformats.org/officeDocument/2006/relationships/hyperlink" Target="https://www.opml.co.uk/files/Publications/a0408-shock-responsive-social-protection-systems/srsp-toolkit.pdf?noredirect=1" TargetMode="Externa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ocuments.worldbank.org/curated/en/456681468045552129/pdf/Understanding-the-poverty-impact-of-the-global-financial-crisis-in-Latin-America-and-the-Caribbean.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ocuments.worldbank.org/curated/en/456681468045552129/pdf/Understanding-the-poverty-impact-of-the-global-financial-crisis-in-Latin-America-and-the-Caribbean.pdf" TargetMode="External"/><Relationship Id="rId2" Type="http://schemas.openxmlformats.org/officeDocument/2006/relationships/hyperlink" Target="https://www.opml.co.uk/files/Publications/a0408-shock-responsive-social-protection-systems/srsp-toolkit.pdf?noredirect=1" TargetMode="External"/><Relationship Id="rId1" Type="http://schemas.openxmlformats.org/officeDocument/2006/relationships/hyperlink" Target="https://doi.org/10.1186/s12889-018-5446-1" TargetMode="External"/><Relationship Id="rId5" Type="http://schemas.openxmlformats.org/officeDocument/2006/relationships/hyperlink" Target="http://www.ugogentilini.net/wp-content/uploads/2020/03/global-review-of-social-protection-responses-to-COVID-19-2.pdf" TargetMode="External"/><Relationship Id="rId4" Type="http://schemas.openxmlformats.org/officeDocument/2006/relationships/hyperlink" Target="https://www.opml.co.uk/files/Publications/a1537-shock-responsive-social-protection-latin-america-caribbean/hallazgos-principals-y-recomendaciones.pdf?noredirec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5050/OC-CR;5051/GR-CR;</Approval_x0020_Number>
    <Phase xmlns="cdc7663a-08f0-4737-9e8c-148ce897a09c" xsi:nil="true"/>
    <Document_x0020_Author xmlns="cdc7663a-08f0-4737-9e8c-148ce897a09c">Rosas Shady G.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96</Value>
      <Value>27</Value>
      <Value>26</Value>
      <Value>24</Value>
      <Value>172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CR-L1144;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EZSHARE-396861525-11</_dlc_DocId>
    <_dlc_DocIdUrl xmlns="cdc7663a-08f0-4737-9e8c-148ce897a09c">
      <Url>https://idbg.sharepoint.com/teams/EZ-CR-LON/CR-L1144/_layouts/15/DocIdRedir.aspx?ID=EZSHARE-396861525-11</Url>
      <Description>EZSHARE-396861525-11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F9998435D3904588D3274A9001C8B5" ma:contentTypeVersion="0" ma:contentTypeDescription="A content type to manage public (operations) IDB documents" ma:contentTypeScope="" ma:versionID="9de36959d58271336f116e7893652475">
  <xsd:schema xmlns:xsd="http://www.w3.org/2001/XMLSchema" xmlns:xs="http://www.w3.org/2001/XMLSchema" xmlns:p="http://schemas.microsoft.com/office/2006/metadata/properties" xmlns:ns2="cdc7663a-08f0-4737-9e8c-148ce897a09c" targetNamespace="http://schemas.microsoft.com/office/2006/metadata/properties" ma:root="true" ma:fieldsID="c5aeea849d9121e8ba21b1f244f2d4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AFD7E202-5A6D-4B09-AB79-15FC02D140F8}"/>
</file>

<file path=customXml/itemProps2.xml><?xml version="1.0" encoding="utf-8"?>
<ds:datastoreItem xmlns:ds="http://schemas.openxmlformats.org/officeDocument/2006/customXml" ds:itemID="{35B20C39-B80F-4638-A4C1-496E0531B498}">
  <ds:schemaRefs>
    <ds:schemaRef ds:uri="http://schemas.openxmlformats.org/package/2006/metadata/core-properties"/>
    <ds:schemaRef ds:uri="7c3a489b-8786-4b3e-b805-338f8c0de186"/>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1d02d821-6be1-43d4-95dd-ad9531677c57"/>
    <ds:schemaRef ds:uri="http://www.w3.org/XML/1998/namespace"/>
    <ds:schemaRef ds:uri="http://purl.org/dc/dcmitype/"/>
  </ds:schemaRefs>
</ds:datastoreItem>
</file>

<file path=customXml/itemProps3.xml><?xml version="1.0" encoding="utf-8"?>
<ds:datastoreItem xmlns:ds="http://schemas.openxmlformats.org/officeDocument/2006/customXml" ds:itemID="{12368CB7-27DE-4D0D-BC14-1514D288A37F}">
  <ds:schemaRefs>
    <ds:schemaRef ds:uri="http://schemas.microsoft.com/sharepoint/v3/contenttype/forms"/>
  </ds:schemaRefs>
</ds:datastoreItem>
</file>

<file path=customXml/itemProps4.xml><?xml version="1.0" encoding="utf-8"?>
<ds:datastoreItem xmlns:ds="http://schemas.openxmlformats.org/officeDocument/2006/customXml" ds:itemID="{A53AA967-A2C3-4971-A93A-FFF316F2A9E1}">
  <ds:schemaRefs>
    <ds:schemaRef ds:uri="http://schemas.openxmlformats.org/officeDocument/2006/bibliography"/>
  </ds:schemaRefs>
</ds:datastoreItem>
</file>

<file path=customXml/itemProps5.xml><?xml version="1.0" encoding="utf-8"?>
<ds:datastoreItem xmlns:ds="http://schemas.openxmlformats.org/officeDocument/2006/customXml" ds:itemID="{73D2E982-C430-4096-85D6-A1251E12B9B6}"/>
</file>

<file path=customXml/itemProps6.xml><?xml version="1.0" encoding="utf-8"?>
<ds:datastoreItem xmlns:ds="http://schemas.openxmlformats.org/officeDocument/2006/customXml" ds:itemID="{CDD4D808-3448-4909-B7F4-75B876497869}"/>
</file>

<file path=customXml/itemProps7.xml><?xml version="1.0" encoding="utf-8"?>
<ds:datastoreItem xmlns:ds="http://schemas.openxmlformats.org/officeDocument/2006/customXml" ds:itemID="{3866AA60-A28B-4AAB-A679-47EB8303F93A}"/>
</file>

<file path=docProps/app.xml><?xml version="1.0" encoding="utf-8"?>
<Properties xmlns="http://schemas.openxmlformats.org/officeDocument/2006/extended-properties" xmlns:vt="http://schemas.openxmlformats.org/officeDocument/2006/docPropsVTypes">
  <Template>Normal.dotm</Template>
  <TotalTime>1</TotalTime>
  <Pages>7</Pages>
  <Words>3534</Words>
  <Characters>20150</Characters>
  <Application>Microsoft Office Word</Application>
  <DocSecurity>4</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Ibarraran, Pablo</dc:creator>
  <cp:keywords/>
  <dc:description/>
  <cp:lastModifiedBy>Garcia Valero, Andrea Carolina</cp:lastModifiedBy>
  <cp:revision>2</cp:revision>
  <dcterms:created xsi:type="dcterms:W3CDTF">2020-05-08T19:20:00Z</dcterms:created>
  <dcterms:modified xsi:type="dcterms:W3CDTF">2020-05-08T19:20:00Z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172;#LABOR INTERMEDIATION SYSTEMS|72d0edb0-5336-43b6-bb2f-05b457738b24</vt:lpwstr>
  </property>
  <property fmtid="{D5CDD505-2E9C-101B-9397-08002B2CF9AE}" pid="7" name="Fund IDB">
    <vt:lpwstr>96;#GRF|91c131c5-8288-4ee4-8c9c-34395b8e8fd9;#24;#ORC|c028a4b2-ad8b-4cf4-9cac-a2ae6a778e23</vt:lpwstr>
  </property>
  <property fmtid="{D5CDD505-2E9C-101B-9397-08002B2CF9AE}" pid="8" name="Country">
    <vt:lpwstr>26;#Costa Rica|70401352-ba64-401d-af16-55c448a66295</vt:lpwstr>
  </property>
  <property fmtid="{D5CDD505-2E9C-101B-9397-08002B2CF9AE}" pid="9" name="Sector IDB">
    <vt:lpwstr>27;#SOCIAL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2ac2338b-fa81-4a07-b348-994a4d9e8832</vt:lpwstr>
  </property>
  <property fmtid="{D5CDD505-2E9C-101B-9397-08002B2CF9AE}" pid="12" name="ContentTypeId">
    <vt:lpwstr>0x0101001A458A224826124E8B45B1D613300CFC0026F9998435D3904588D3274A9001C8B5</vt:lpwstr>
  </property>
</Properties>
</file>