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7FA7" w14:textId="77777777" w:rsidR="007A6C11" w:rsidRPr="00C7674D" w:rsidRDefault="00880972">
      <w:pPr>
        <w:spacing w:before="200" w:after="200"/>
        <w:jc w:val="center"/>
        <w:rPr>
          <w:lang w:val="es-419"/>
        </w:rPr>
      </w:pPr>
      <w:r w:rsidRPr="00C7674D">
        <w:rPr>
          <w:rFonts w:ascii="Arial" w:hAnsi="Arial" w:cs="Arial"/>
          <w:b/>
          <w:lang w:val="es-419"/>
        </w:rPr>
        <w:t>ABSTRACTO DE COOPERACIÓN TÉCNICA</w:t>
      </w:r>
    </w:p>
    <w:p w14:paraId="71A42E83"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I.</w:t>
      </w:r>
      <w:r w:rsidRPr="005C4B61">
        <w:rPr>
          <w:rFonts w:ascii="Arial" w:hAnsi="Arial" w:cs="Arial"/>
          <w:b/>
          <w:sz w:val="24"/>
          <w:szCs w:val="24"/>
          <w:lang w:val="es-419"/>
        </w:rPr>
        <w:tab/>
        <w:t>Información Básica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1"/>
        <w:gridCol w:w="5121"/>
      </w:tblGrid>
      <w:tr w:rsidR="007A6C11" w:rsidRPr="00C7674D" w14:paraId="00A9FB4B" w14:textId="77777777" w:rsidTr="00C7674D">
        <w:trPr>
          <w:jc w:val="center"/>
        </w:trPr>
        <w:tc>
          <w:tcPr>
            <w:tcW w:w="4121" w:type="dxa"/>
          </w:tcPr>
          <w:p w14:paraId="429959BE" w14:textId="77777777" w:rsidR="007A6C11" w:rsidRPr="00C7674D" w:rsidRDefault="00880972">
            <w:pPr>
              <w:spacing w:before="40" w:after="40"/>
              <w:ind w:left="115" w:hanging="115"/>
              <w:rPr>
                <w:lang w:val="es-419"/>
              </w:rPr>
            </w:pPr>
            <w:r w:rsidRPr="00C7674D">
              <w:rPr>
                <w:rFonts w:ascii="Arial" w:hAnsi="Arial" w:cs="Arial"/>
                <w:sz w:val="18"/>
                <w:szCs w:val="18"/>
                <w:lang w:val="es-419"/>
              </w:rPr>
              <w:t>▪ País/Región:</w:t>
            </w:r>
          </w:p>
        </w:tc>
        <w:tc>
          <w:tcPr>
            <w:tcW w:w="5121" w:type="dxa"/>
          </w:tcPr>
          <w:p w14:paraId="10149522" w14:textId="77777777" w:rsidR="007A6C11" w:rsidRPr="00C7674D" w:rsidRDefault="00880972">
            <w:pPr>
              <w:spacing w:before="40" w:after="40"/>
              <w:rPr>
                <w:lang w:val="es-419"/>
              </w:rPr>
            </w:pPr>
            <w:r w:rsidRPr="00C7674D">
              <w:rPr>
                <w:rFonts w:ascii="Arial" w:hAnsi="Arial" w:cs="Arial"/>
                <w:sz w:val="18"/>
                <w:szCs w:val="18"/>
                <w:lang w:val="es-419"/>
              </w:rPr>
              <w:t>HAITI/CID - Istmo y RD</w:t>
            </w:r>
          </w:p>
        </w:tc>
      </w:tr>
      <w:tr w:rsidR="007A6C11" w:rsidRPr="00C7674D" w14:paraId="39C8FE60" w14:textId="77777777" w:rsidTr="00C7674D">
        <w:trPr>
          <w:jc w:val="center"/>
        </w:trPr>
        <w:tc>
          <w:tcPr>
            <w:tcW w:w="4121" w:type="dxa"/>
          </w:tcPr>
          <w:p w14:paraId="141A19BB" w14:textId="77777777" w:rsidR="007A6C11" w:rsidRPr="00C7674D" w:rsidRDefault="00880972">
            <w:pPr>
              <w:spacing w:before="40" w:after="40"/>
              <w:ind w:left="115" w:hanging="115"/>
              <w:rPr>
                <w:lang w:val="es-419"/>
              </w:rPr>
            </w:pPr>
            <w:r w:rsidRPr="00C7674D">
              <w:rPr>
                <w:rFonts w:ascii="Arial" w:hAnsi="Arial" w:cs="Arial"/>
                <w:sz w:val="18"/>
                <w:szCs w:val="18"/>
                <w:lang w:val="es-419"/>
              </w:rPr>
              <w:t>▪ Nombre de la CT:</w:t>
            </w:r>
          </w:p>
        </w:tc>
        <w:tc>
          <w:tcPr>
            <w:tcW w:w="5121" w:type="dxa"/>
          </w:tcPr>
          <w:p w14:paraId="4859D83A" w14:textId="77777777" w:rsidR="007A6C11" w:rsidRPr="00C7674D" w:rsidRDefault="00880972">
            <w:pPr>
              <w:spacing w:before="40" w:after="40"/>
              <w:rPr>
                <w:lang w:val="es-419"/>
              </w:rPr>
            </w:pPr>
            <w:r w:rsidRPr="00C7674D">
              <w:rPr>
                <w:rFonts w:ascii="Arial" w:hAnsi="Arial" w:cs="Arial"/>
                <w:sz w:val="18"/>
                <w:szCs w:val="18"/>
                <w:lang w:val="es-419"/>
              </w:rPr>
              <w:t>Apoyo a la ejecución de proyectos de transporte en Haití</w:t>
            </w:r>
          </w:p>
        </w:tc>
      </w:tr>
      <w:tr w:rsidR="007A6C11" w:rsidRPr="00C7674D" w14:paraId="030592E8" w14:textId="77777777" w:rsidTr="00C7674D">
        <w:trPr>
          <w:jc w:val="center"/>
        </w:trPr>
        <w:tc>
          <w:tcPr>
            <w:tcW w:w="4121" w:type="dxa"/>
          </w:tcPr>
          <w:p w14:paraId="6ED38E2D" w14:textId="77777777" w:rsidR="007A6C11" w:rsidRPr="00C7674D" w:rsidRDefault="00880972">
            <w:pPr>
              <w:spacing w:before="40" w:after="40"/>
              <w:ind w:left="115" w:hanging="115"/>
              <w:rPr>
                <w:lang w:val="es-419"/>
              </w:rPr>
            </w:pPr>
            <w:r w:rsidRPr="00C7674D">
              <w:rPr>
                <w:rFonts w:ascii="Arial" w:hAnsi="Arial" w:cs="Arial"/>
                <w:sz w:val="18"/>
                <w:szCs w:val="18"/>
                <w:lang w:val="es-419"/>
              </w:rPr>
              <w:t>▪ Número de CT:</w:t>
            </w:r>
          </w:p>
        </w:tc>
        <w:tc>
          <w:tcPr>
            <w:tcW w:w="5121" w:type="dxa"/>
          </w:tcPr>
          <w:p w14:paraId="4502445E" w14:textId="77777777" w:rsidR="007A6C11" w:rsidRPr="00C7674D" w:rsidRDefault="00880972">
            <w:pPr>
              <w:spacing w:before="40" w:after="40"/>
              <w:rPr>
                <w:lang w:val="es-419"/>
              </w:rPr>
            </w:pPr>
            <w:r w:rsidRPr="00C7674D">
              <w:rPr>
                <w:rFonts w:ascii="Arial" w:hAnsi="Arial" w:cs="Arial"/>
                <w:sz w:val="18"/>
                <w:szCs w:val="18"/>
                <w:lang w:val="es-419"/>
              </w:rPr>
              <w:t>HA-T1303</w:t>
            </w:r>
          </w:p>
        </w:tc>
      </w:tr>
      <w:tr w:rsidR="007A6C11" w:rsidRPr="00C7674D" w14:paraId="62F6C04D" w14:textId="77777777" w:rsidTr="00C7674D">
        <w:trPr>
          <w:jc w:val="center"/>
        </w:trPr>
        <w:tc>
          <w:tcPr>
            <w:tcW w:w="4121" w:type="dxa"/>
          </w:tcPr>
          <w:p w14:paraId="07E19012" w14:textId="77777777" w:rsidR="007A6C11" w:rsidRPr="00C7674D" w:rsidRDefault="00880972">
            <w:pPr>
              <w:spacing w:before="40" w:after="40"/>
              <w:ind w:left="115" w:hanging="115"/>
              <w:rPr>
                <w:lang w:val="es-419"/>
              </w:rPr>
            </w:pPr>
            <w:r w:rsidRPr="00C7674D">
              <w:rPr>
                <w:rFonts w:ascii="Arial" w:hAnsi="Arial" w:cs="Arial"/>
                <w:sz w:val="18"/>
                <w:szCs w:val="18"/>
                <w:lang w:val="es-419"/>
              </w:rPr>
              <w:t>▪ Jefe de Equipo/Miembros:</w:t>
            </w:r>
          </w:p>
        </w:tc>
        <w:tc>
          <w:tcPr>
            <w:tcW w:w="5121" w:type="dxa"/>
          </w:tcPr>
          <w:p w14:paraId="7360C872" w14:textId="77777777" w:rsidR="007A6C11" w:rsidRPr="00C7674D" w:rsidRDefault="00880972">
            <w:pPr>
              <w:spacing w:before="40" w:after="40"/>
              <w:rPr>
                <w:lang w:val="es-419"/>
              </w:rPr>
            </w:pPr>
            <w:r w:rsidRPr="00C7674D">
              <w:rPr>
                <w:rFonts w:ascii="Arial" w:hAnsi="Arial" w:cs="Arial"/>
                <w:sz w:val="18"/>
                <w:szCs w:val="18"/>
                <w:lang w:val="es-419"/>
              </w:rPr>
              <w:t>DEWEZ, RAPHAEL (INE/TSP) Líder del Equipo; RODRIGUEZ MOLINA, RAUL (INE/TSP) Jefe Alterno del Equipo de Proyecto; GILLES MORI (INE/TSP); ETIENNE SALNAVE, MARISE (VPC/FMP); DUGAS, FABRICE GHISLER (CID/CHA); MIX VIDAL, RICHARD ALEXANDER (INE/TSP); VILA SAINT-ETIENNE, SARA (LEG/SGO); MONTES CALERO, LAUREEN ELIETH (INE/TSP)</w:t>
            </w:r>
          </w:p>
        </w:tc>
      </w:tr>
      <w:tr w:rsidR="007A6C11" w:rsidRPr="00C7674D" w14:paraId="259A1F25" w14:textId="77777777" w:rsidTr="00C7674D">
        <w:trPr>
          <w:jc w:val="center"/>
        </w:trPr>
        <w:tc>
          <w:tcPr>
            <w:tcW w:w="4121" w:type="dxa"/>
          </w:tcPr>
          <w:p w14:paraId="2F3C477B" w14:textId="77777777" w:rsidR="007A6C11" w:rsidRPr="00C7674D" w:rsidRDefault="00880972">
            <w:pPr>
              <w:spacing w:before="40" w:after="40"/>
              <w:ind w:left="115" w:hanging="115"/>
              <w:rPr>
                <w:lang w:val="es-419"/>
              </w:rPr>
            </w:pPr>
            <w:r w:rsidRPr="00C7674D">
              <w:rPr>
                <w:rFonts w:ascii="Arial" w:hAnsi="Arial" w:cs="Arial"/>
                <w:sz w:val="18"/>
                <w:szCs w:val="18"/>
                <w:lang w:val="es-419"/>
              </w:rPr>
              <w:t>▪ Taxonomía:</w:t>
            </w:r>
          </w:p>
        </w:tc>
        <w:tc>
          <w:tcPr>
            <w:tcW w:w="5121" w:type="dxa"/>
          </w:tcPr>
          <w:p w14:paraId="368EF6AD" w14:textId="77777777" w:rsidR="007A6C11" w:rsidRPr="00C7674D" w:rsidRDefault="00880972">
            <w:pPr>
              <w:spacing w:before="40" w:after="40"/>
              <w:rPr>
                <w:lang w:val="es-419"/>
              </w:rPr>
            </w:pPr>
            <w:r w:rsidRPr="00C7674D">
              <w:rPr>
                <w:rFonts w:ascii="Arial" w:hAnsi="Arial" w:cs="Arial"/>
                <w:sz w:val="18"/>
                <w:szCs w:val="18"/>
                <w:lang w:val="es-419"/>
              </w:rPr>
              <w:t>Apoyo Operativo</w:t>
            </w:r>
          </w:p>
        </w:tc>
      </w:tr>
      <w:tr w:rsidR="007A6C11" w:rsidRPr="00C7674D" w14:paraId="07DA4409" w14:textId="77777777" w:rsidTr="00C7674D">
        <w:trPr>
          <w:jc w:val="center"/>
        </w:trPr>
        <w:tc>
          <w:tcPr>
            <w:tcW w:w="4121" w:type="dxa"/>
          </w:tcPr>
          <w:p w14:paraId="24A98F2E" w14:textId="77777777" w:rsidR="007A6C11" w:rsidRPr="00C7674D" w:rsidRDefault="00880972">
            <w:pPr>
              <w:spacing w:before="40" w:after="40"/>
              <w:ind w:left="115" w:hanging="115"/>
              <w:rPr>
                <w:lang w:val="es-419"/>
              </w:rPr>
            </w:pPr>
            <w:r w:rsidRPr="00C7674D">
              <w:rPr>
                <w:rFonts w:ascii="Arial" w:hAnsi="Arial" w:cs="Arial"/>
                <w:sz w:val="18"/>
                <w:szCs w:val="18"/>
                <w:lang w:val="es-419"/>
              </w:rPr>
              <w:t>▪ Número y nombre de la operación que apoyará la CT:</w:t>
            </w:r>
          </w:p>
        </w:tc>
        <w:tc>
          <w:tcPr>
            <w:tcW w:w="5121" w:type="dxa"/>
          </w:tcPr>
          <w:p w14:paraId="17E6AF28" w14:textId="1B5EDB6D" w:rsidR="007A6C11" w:rsidRPr="00C7674D" w:rsidRDefault="00880972">
            <w:pPr>
              <w:spacing w:before="40" w:after="40"/>
              <w:rPr>
                <w:lang w:val="es-419"/>
              </w:rPr>
            </w:pPr>
            <w:r w:rsidRPr="00C7674D">
              <w:rPr>
                <w:rFonts w:ascii="Arial" w:hAnsi="Arial" w:cs="Arial"/>
                <w:sz w:val="18"/>
                <w:szCs w:val="18"/>
                <w:lang w:val="es-419"/>
              </w:rPr>
              <w:t xml:space="preserve">Apoyo al Sector Transporte de </w:t>
            </w:r>
            <w:proofErr w:type="spellStart"/>
            <w:r w:rsidRPr="00C7674D">
              <w:rPr>
                <w:rFonts w:ascii="Arial" w:hAnsi="Arial" w:cs="Arial"/>
                <w:sz w:val="18"/>
                <w:szCs w:val="18"/>
                <w:lang w:val="es-419"/>
              </w:rPr>
              <w:t>Haiti</w:t>
            </w:r>
            <w:proofErr w:type="spellEnd"/>
            <w:r w:rsidRPr="00C7674D">
              <w:rPr>
                <w:rFonts w:ascii="Arial" w:hAnsi="Arial" w:cs="Arial"/>
                <w:sz w:val="18"/>
                <w:szCs w:val="18"/>
                <w:lang w:val="es-419"/>
              </w:rPr>
              <w:t xml:space="preserve"> IV - HA-L1089 </w:t>
            </w:r>
            <w:r w:rsidRPr="00C7674D">
              <w:rPr>
                <w:rFonts w:ascii="Arial" w:hAnsi="Arial" w:cs="Arial"/>
                <w:sz w:val="18"/>
                <w:szCs w:val="18"/>
                <w:lang w:val="es-419"/>
              </w:rPr>
              <w:br/>
            </w:r>
            <w:r w:rsidRPr="00C7674D">
              <w:rPr>
                <w:rFonts w:ascii="Arial" w:hAnsi="Arial" w:cs="Arial"/>
                <w:sz w:val="18"/>
                <w:szCs w:val="18"/>
                <w:lang w:val="es-419"/>
              </w:rPr>
              <w:br/>
              <w:t xml:space="preserve">Apoyo al Sector Transporte de Haití - V - HA-L1098 </w:t>
            </w:r>
            <w:r w:rsidRPr="00C7674D">
              <w:rPr>
                <w:rFonts w:ascii="Arial" w:hAnsi="Arial" w:cs="Arial"/>
                <w:sz w:val="18"/>
                <w:szCs w:val="18"/>
                <w:lang w:val="es-419"/>
              </w:rPr>
              <w:br/>
            </w:r>
            <w:r w:rsidRPr="00C7674D">
              <w:rPr>
                <w:rFonts w:ascii="Arial" w:hAnsi="Arial" w:cs="Arial"/>
                <w:sz w:val="18"/>
                <w:szCs w:val="18"/>
                <w:lang w:val="es-419"/>
              </w:rPr>
              <w:br/>
              <w:t xml:space="preserve">Transporte y Conectividad Departamental - HA-L1104 </w:t>
            </w:r>
          </w:p>
        </w:tc>
      </w:tr>
      <w:tr w:rsidR="007A6C11" w:rsidRPr="00C7674D" w14:paraId="51201201" w14:textId="77777777" w:rsidTr="00C7674D">
        <w:trPr>
          <w:jc w:val="center"/>
        </w:trPr>
        <w:tc>
          <w:tcPr>
            <w:tcW w:w="4121" w:type="dxa"/>
          </w:tcPr>
          <w:p w14:paraId="5B70D114" w14:textId="77777777" w:rsidR="007A6C11" w:rsidRPr="00C7674D" w:rsidRDefault="00880972">
            <w:pPr>
              <w:spacing w:before="40" w:after="40"/>
              <w:ind w:left="115" w:hanging="115"/>
              <w:rPr>
                <w:lang w:val="es-419"/>
              </w:rPr>
            </w:pPr>
            <w:r w:rsidRPr="00C7674D">
              <w:rPr>
                <w:rFonts w:ascii="Arial" w:hAnsi="Arial" w:cs="Arial"/>
                <w:sz w:val="18"/>
                <w:szCs w:val="18"/>
                <w:lang w:val="es-419"/>
              </w:rPr>
              <w:t>▪ Fecha del Abstracto de CT:</w:t>
            </w:r>
          </w:p>
        </w:tc>
        <w:tc>
          <w:tcPr>
            <w:tcW w:w="5121" w:type="dxa"/>
          </w:tcPr>
          <w:p w14:paraId="1211D4DE" w14:textId="77777777" w:rsidR="007A6C11" w:rsidRPr="00C7674D" w:rsidRDefault="00880972">
            <w:pPr>
              <w:spacing w:before="40" w:after="40"/>
              <w:rPr>
                <w:lang w:val="es-419"/>
              </w:rPr>
            </w:pPr>
            <w:r w:rsidRPr="00C7674D">
              <w:rPr>
                <w:rFonts w:ascii="Arial" w:hAnsi="Arial" w:cs="Arial"/>
                <w:sz w:val="18"/>
                <w:szCs w:val="18"/>
                <w:lang w:val="es-419"/>
              </w:rPr>
              <w:t>25 Feb 2022</w:t>
            </w:r>
          </w:p>
        </w:tc>
      </w:tr>
      <w:tr w:rsidR="007A6C11" w:rsidRPr="00C7674D" w14:paraId="7A31A36E" w14:textId="77777777" w:rsidTr="00C7674D">
        <w:trPr>
          <w:jc w:val="center"/>
        </w:trPr>
        <w:tc>
          <w:tcPr>
            <w:tcW w:w="4121" w:type="dxa"/>
          </w:tcPr>
          <w:p w14:paraId="565F8388" w14:textId="77777777" w:rsidR="007A6C11" w:rsidRPr="00C7674D" w:rsidRDefault="00880972">
            <w:pPr>
              <w:spacing w:before="40" w:after="40"/>
              <w:ind w:left="115" w:hanging="115"/>
              <w:rPr>
                <w:lang w:val="es-419"/>
              </w:rPr>
            </w:pPr>
            <w:r w:rsidRPr="00C7674D">
              <w:rPr>
                <w:rFonts w:ascii="Arial" w:hAnsi="Arial" w:cs="Arial"/>
                <w:sz w:val="18"/>
                <w:szCs w:val="18"/>
                <w:lang w:val="es-419"/>
              </w:rPr>
              <w:t>▪ Beneficiario:</w:t>
            </w:r>
          </w:p>
        </w:tc>
        <w:tc>
          <w:tcPr>
            <w:tcW w:w="5121" w:type="dxa"/>
          </w:tcPr>
          <w:p w14:paraId="2945EA13" w14:textId="77777777" w:rsidR="007A6C11" w:rsidRPr="00C7674D" w:rsidRDefault="00880972">
            <w:pPr>
              <w:spacing w:before="40" w:after="40"/>
              <w:rPr>
                <w:lang w:val="es-419"/>
              </w:rPr>
            </w:pPr>
            <w:r w:rsidRPr="00C7674D">
              <w:rPr>
                <w:rFonts w:ascii="Arial" w:hAnsi="Arial" w:cs="Arial"/>
                <w:sz w:val="18"/>
                <w:szCs w:val="18"/>
                <w:lang w:val="es-419"/>
              </w:rPr>
              <w:t>Haití</w:t>
            </w:r>
          </w:p>
        </w:tc>
      </w:tr>
      <w:tr w:rsidR="007A6C11" w:rsidRPr="00C7674D" w14:paraId="751AB457" w14:textId="77777777" w:rsidTr="00C7674D">
        <w:trPr>
          <w:jc w:val="center"/>
        </w:trPr>
        <w:tc>
          <w:tcPr>
            <w:tcW w:w="4121" w:type="dxa"/>
          </w:tcPr>
          <w:p w14:paraId="5D57AC91" w14:textId="77777777" w:rsidR="007A6C11" w:rsidRPr="00C7674D" w:rsidRDefault="00880972">
            <w:pPr>
              <w:spacing w:before="40" w:after="40"/>
              <w:ind w:left="115" w:hanging="115"/>
              <w:rPr>
                <w:lang w:val="es-419"/>
              </w:rPr>
            </w:pPr>
            <w:r w:rsidRPr="00C7674D">
              <w:rPr>
                <w:rFonts w:ascii="Arial" w:hAnsi="Arial" w:cs="Arial"/>
                <w:sz w:val="18"/>
                <w:szCs w:val="18"/>
                <w:lang w:val="es-419"/>
              </w:rPr>
              <w:t>▪ Agencia Ejecutora:</w:t>
            </w:r>
          </w:p>
        </w:tc>
        <w:tc>
          <w:tcPr>
            <w:tcW w:w="5121" w:type="dxa"/>
          </w:tcPr>
          <w:p w14:paraId="07842F64" w14:textId="77777777" w:rsidR="007A6C11" w:rsidRPr="00C7674D" w:rsidRDefault="00880972">
            <w:pPr>
              <w:spacing w:before="40" w:after="40"/>
              <w:rPr>
                <w:lang w:val="es-419"/>
              </w:rPr>
            </w:pPr>
            <w:r w:rsidRPr="00C7674D">
              <w:rPr>
                <w:rFonts w:ascii="Arial" w:hAnsi="Arial" w:cs="Arial"/>
                <w:sz w:val="18"/>
                <w:szCs w:val="18"/>
                <w:lang w:val="es-419"/>
              </w:rPr>
              <w:t>INTER-AMERICAN DEVELOPMENT BANK</w:t>
            </w:r>
          </w:p>
        </w:tc>
      </w:tr>
      <w:tr w:rsidR="007A6C11" w:rsidRPr="00C7674D" w14:paraId="4328625C" w14:textId="77777777" w:rsidTr="00C7674D">
        <w:trPr>
          <w:jc w:val="center"/>
        </w:trPr>
        <w:tc>
          <w:tcPr>
            <w:tcW w:w="4121" w:type="dxa"/>
          </w:tcPr>
          <w:p w14:paraId="1C856378" w14:textId="77777777" w:rsidR="007A6C11" w:rsidRPr="00C7674D" w:rsidRDefault="00880972">
            <w:pPr>
              <w:spacing w:before="40" w:after="40"/>
              <w:ind w:left="115" w:hanging="115"/>
              <w:rPr>
                <w:lang w:val="es-419"/>
              </w:rPr>
            </w:pPr>
            <w:r w:rsidRPr="00C7674D">
              <w:rPr>
                <w:rFonts w:ascii="Arial" w:hAnsi="Arial" w:cs="Arial"/>
                <w:sz w:val="18"/>
                <w:szCs w:val="18"/>
                <w:lang w:val="es-419"/>
              </w:rPr>
              <w:t>▪ Financiamiento solicitado del BID:</w:t>
            </w:r>
          </w:p>
        </w:tc>
        <w:tc>
          <w:tcPr>
            <w:tcW w:w="5121" w:type="dxa"/>
          </w:tcPr>
          <w:p w14:paraId="4445C1CB" w14:textId="77777777" w:rsidR="007A6C11" w:rsidRPr="00C7674D" w:rsidRDefault="00880972">
            <w:pPr>
              <w:bidi/>
              <w:spacing w:before="40" w:after="40"/>
              <w:rPr>
                <w:lang w:val="es-419"/>
              </w:rPr>
            </w:pPr>
            <w:r w:rsidRPr="00C7674D">
              <w:rPr>
                <w:rFonts w:ascii="Arial" w:hAnsi="Arial" w:cs="Arial"/>
                <w:sz w:val="18"/>
                <w:szCs w:val="18"/>
                <w:lang w:val="es-419"/>
              </w:rPr>
              <w:t>US$300,000.00</w:t>
            </w:r>
          </w:p>
        </w:tc>
      </w:tr>
      <w:tr w:rsidR="007A6C11" w:rsidRPr="00C7674D" w14:paraId="72B96812" w14:textId="77777777" w:rsidTr="00C7674D">
        <w:trPr>
          <w:jc w:val="center"/>
        </w:trPr>
        <w:tc>
          <w:tcPr>
            <w:tcW w:w="4121" w:type="dxa"/>
          </w:tcPr>
          <w:p w14:paraId="7F52468C" w14:textId="77777777" w:rsidR="007A6C11" w:rsidRPr="00C7674D" w:rsidRDefault="00880972">
            <w:pPr>
              <w:spacing w:before="40" w:after="40"/>
              <w:ind w:left="115" w:hanging="115"/>
              <w:rPr>
                <w:lang w:val="es-419"/>
              </w:rPr>
            </w:pPr>
            <w:r w:rsidRPr="00C7674D">
              <w:rPr>
                <w:rFonts w:ascii="Arial" w:hAnsi="Arial" w:cs="Arial"/>
                <w:sz w:val="18"/>
                <w:szCs w:val="18"/>
                <w:lang w:val="es-419"/>
              </w:rPr>
              <w:t>▪ Contrapartida Local:</w:t>
            </w:r>
          </w:p>
        </w:tc>
        <w:tc>
          <w:tcPr>
            <w:tcW w:w="5121" w:type="dxa"/>
          </w:tcPr>
          <w:p w14:paraId="126974FA" w14:textId="77777777" w:rsidR="007A6C11" w:rsidRPr="00C7674D" w:rsidRDefault="00880972">
            <w:pPr>
              <w:bidi/>
              <w:spacing w:before="40" w:after="40"/>
              <w:rPr>
                <w:lang w:val="es-419"/>
              </w:rPr>
            </w:pPr>
            <w:r w:rsidRPr="00C7674D">
              <w:rPr>
                <w:rFonts w:ascii="Arial" w:hAnsi="Arial" w:cs="Arial"/>
                <w:sz w:val="18"/>
                <w:szCs w:val="18"/>
                <w:lang w:val="es-419"/>
              </w:rPr>
              <w:t>US$0.00</w:t>
            </w:r>
          </w:p>
        </w:tc>
      </w:tr>
      <w:tr w:rsidR="007A6C11" w:rsidRPr="00C7674D" w14:paraId="602CA893" w14:textId="77777777" w:rsidTr="00C7674D">
        <w:trPr>
          <w:jc w:val="center"/>
        </w:trPr>
        <w:tc>
          <w:tcPr>
            <w:tcW w:w="4121" w:type="dxa"/>
          </w:tcPr>
          <w:p w14:paraId="4DDA5ECB" w14:textId="77777777" w:rsidR="007A6C11" w:rsidRPr="00C7674D" w:rsidRDefault="00880972">
            <w:pPr>
              <w:spacing w:before="40" w:after="40"/>
              <w:ind w:left="115" w:hanging="115"/>
              <w:rPr>
                <w:lang w:val="es-419"/>
              </w:rPr>
            </w:pPr>
            <w:r w:rsidRPr="00C7674D">
              <w:rPr>
                <w:rFonts w:ascii="Arial" w:hAnsi="Arial" w:cs="Arial"/>
                <w:sz w:val="18"/>
                <w:szCs w:val="18"/>
                <w:lang w:val="es-419"/>
              </w:rPr>
              <w:t>▪ Periodo de Desembolso:</w:t>
            </w:r>
          </w:p>
        </w:tc>
        <w:tc>
          <w:tcPr>
            <w:tcW w:w="5121" w:type="dxa"/>
          </w:tcPr>
          <w:p w14:paraId="4D736D15" w14:textId="77777777" w:rsidR="007A6C11" w:rsidRPr="00C7674D" w:rsidRDefault="00880972">
            <w:pPr>
              <w:bidi/>
              <w:spacing w:before="40" w:after="40"/>
              <w:rPr>
                <w:lang w:val="es-419"/>
              </w:rPr>
            </w:pPr>
            <w:r w:rsidRPr="00C7674D">
              <w:rPr>
                <w:rFonts w:ascii="Arial" w:hAnsi="Arial" w:cs="Arial"/>
                <w:sz w:val="18"/>
                <w:szCs w:val="18"/>
                <w:lang w:val="es-419"/>
              </w:rPr>
              <w:t>24 meses</w:t>
            </w:r>
          </w:p>
        </w:tc>
      </w:tr>
      <w:tr w:rsidR="007A6C11" w:rsidRPr="00C7674D" w14:paraId="1E29518B" w14:textId="77777777" w:rsidTr="00C7674D">
        <w:trPr>
          <w:jc w:val="center"/>
        </w:trPr>
        <w:tc>
          <w:tcPr>
            <w:tcW w:w="4121" w:type="dxa"/>
          </w:tcPr>
          <w:p w14:paraId="2C4C0976" w14:textId="77777777" w:rsidR="007A6C11" w:rsidRPr="00C7674D" w:rsidRDefault="00880972">
            <w:pPr>
              <w:spacing w:before="40" w:after="40"/>
              <w:ind w:left="115" w:hanging="115"/>
              <w:rPr>
                <w:lang w:val="es-419"/>
              </w:rPr>
            </w:pPr>
            <w:r w:rsidRPr="00C7674D">
              <w:rPr>
                <w:rFonts w:ascii="Arial" w:hAnsi="Arial" w:cs="Arial"/>
                <w:sz w:val="18"/>
                <w:szCs w:val="18"/>
                <w:lang w:val="es-419"/>
              </w:rPr>
              <w:t>▪ Tipos de consultores:</w:t>
            </w:r>
          </w:p>
        </w:tc>
        <w:tc>
          <w:tcPr>
            <w:tcW w:w="5121" w:type="dxa"/>
          </w:tcPr>
          <w:p w14:paraId="7C13C995" w14:textId="77777777" w:rsidR="007A6C11" w:rsidRPr="00C7674D" w:rsidRDefault="00880972">
            <w:pPr>
              <w:spacing w:before="40" w:after="40"/>
              <w:rPr>
                <w:lang w:val="es-419"/>
              </w:rPr>
            </w:pPr>
            <w:r w:rsidRPr="00C7674D">
              <w:rPr>
                <w:rFonts w:ascii="Arial" w:hAnsi="Arial" w:cs="Arial"/>
                <w:sz w:val="18"/>
                <w:szCs w:val="18"/>
                <w:lang w:val="es-419"/>
              </w:rPr>
              <w:t>Individuos; Empresas</w:t>
            </w:r>
          </w:p>
        </w:tc>
      </w:tr>
      <w:tr w:rsidR="007A6C11" w:rsidRPr="00C7674D" w14:paraId="6F1B3710" w14:textId="77777777" w:rsidTr="00C7674D">
        <w:trPr>
          <w:jc w:val="center"/>
        </w:trPr>
        <w:tc>
          <w:tcPr>
            <w:tcW w:w="4121" w:type="dxa"/>
          </w:tcPr>
          <w:p w14:paraId="3229F114" w14:textId="77777777" w:rsidR="007A6C11" w:rsidRPr="00C7674D" w:rsidRDefault="00880972">
            <w:pPr>
              <w:spacing w:before="40" w:after="40"/>
              <w:ind w:left="115" w:hanging="115"/>
              <w:rPr>
                <w:lang w:val="es-419"/>
              </w:rPr>
            </w:pPr>
            <w:r w:rsidRPr="00C7674D">
              <w:rPr>
                <w:rFonts w:ascii="Arial" w:hAnsi="Arial" w:cs="Arial"/>
                <w:sz w:val="18"/>
                <w:szCs w:val="18"/>
                <w:lang w:val="es-419"/>
              </w:rPr>
              <w:t>▪ Unidad Responsable de Preparación:</w:t>
            </w:r>
          </w:p>
        </w:tc>
        <w:tc>
          <w:tcPr>
            <w:tcW w:w="5121" w:type="dxa"/>
          </w:tcPr>
          <w:p w14:paraId="0E124CDB" w14:textId="77777777" w:rsidR="007A6C11" w:rsidRPr="00C7674D" w:rsidRDefault="00880972">
            <w:pPr>
              <w:spacing w:before="40" w:after="40"/>
              <w:rPr>
                <w:lang w:val="es-419"/>
              </w:rPr>
            </w:pPr>
            <w:r w:rsidRPr="00C7674D">
              <w:rPr>
                <w:rFonts w:ascii="Arial" w:hAnsi="Arial" w:cs="Arial"/>
                <w:sz w:val="18"/>
                <w:szCs w:val="18"/>
                <w:lang w:val="es-419"/>
              </w:rPr>
              <w:t>INE/TSP - Transporte</w:t>
            </w:r>
          </w:p>
        </w:tc>
      </w:tr>
      <w:tr w:rsidR="007A6C11" w:rsidRPr="00C7674D" w14:paraId="23930465" w14:textId="77777777" w:rsidTr="00C7674D">
        <w:trPr>
          <w:jc w:val="center"/>
        </w:trPr>
        <w:tc>
          <w:tcPr>
            <w:tcW w:w="4121" w:type="dxa"/>
          </w:tcPr>
          <w:p w14:paraId="021C41EC" w14:textId="77777777" w:rsidR="007A6C11" w:rsidRPr="00C7674D" w:rsidRDefault="00880972">
            <w:pPr>
              <w:spacing w:before="40" w:after="40"/>
              <w:ind w:left="115" w:hanging="115"/>
              <w:rPr>
                <w:lang w:val="es-419"/>
              </w:rPr>
            </w:pPr>
            <w:r w:rsidRPr="00C7674D">
              <w:rPr>
                <w:rFonts w:ascii="Arial" w:hAnsi="Arial" w:cs="Arial"/>
                <w:sz w:val="18"/>
                <w:szCs w:val="18"/>
                <w:lang w:val="es-419"/>
              </w:rPr>
              <w:t>▪ Unidad Responsable de Desembolso:</w:t>
            </w:r>
          </w:p>
        </w:tc>
        <w:tc>
          <w:tcPr>
            <w:tcW w:w="5121" w:type="dxa"/>
          </w:tcPr>
          <w:p w14:paraId="1119BDCC" w14:textId="758B6978" w:rsidR="007A6C11" w:rsidRPr="00C7674D" w:rsidRDefault="00880972">
            <w:pPr>
              <w:spacing w:before="40" w:after="40"/>
              <w:rPr>
                <w:lang w:val="es-419"/>
              </w:rPr>
            </w:pPr>
            <w:r w:rsidRPr="00C7674D">
              <w:rPr>
                <w:rFonts w:ascii="Arial" w:hAnsi="Arial" w:cs="Arial"/>
                <w:sz w:val="18"/>
                <w:szCs w:val="18"/>
                <w:lang w:val="es-419"/>
              </w:rPr>
              <w:t>CID/CHA - Rep</w:t>
            </w:r>
            <w:r w:rsidR="00953F88">
              <w:rPr>
                <w:rFonts w:ascii="Arial" w:hAnsi="Arial" w:cs="Arial"/>
                <w:sz w:val="18"/>
                <w:szCs w:val="18"/>
                <w:lang w:val="es-419"/>
              </w:rPr>
              <w:t>r</w:t>
            </w:r>
            <w:r w:rsidRPr="00C7674D">
              <w:rPr>
                <w:rFonts w:ascii="Arial" w:hAnsi="Arial" w:cs="Arial"/>
                <w:sz w:val="18"/>
                <w:szCs w:val="18"/>
                <w:lang w:val="es-419"/>
              </w:rPr>
              <w:t>esentaci</w:t>
            </w:r>
            <w:r w:rsidR="00953F88">
              <w:rPr>
                <w:rFonts w:ascii="Arial" w:hAnsi="Arial" w:cs="Arial"/>
                <w:sz w:val="18"/>
                <w:szCs w:val="18"/>
                <w:lang w:val="es-419"/>
              </w:rPr>
              <w:t>ó</w:t>
            </w:r>
            <w:r w:rsidRPr="00C7674D">
              <w:rPr>
                <w:rFonts w:ascii="Arial" w:hAnsi="Arial" w:cs="Arial"/>
                <w:sz w:val="18"/>
                <w:szCs w:val="18"/>
                <w:lang w:val="es-419"/>
              </w:rPr>
              <w:t>n Hait</w:t>
            </w:r>
            <w:r w:rsidR="00953F88">
              <w:rPr>
                <w:rFonts w:ascii="Arial" w:hAnsi="Arial" w:cs="Arial"/>
                <w:sz w:val="18"/>
                <w:szCs w:val="18"/>
                <w:lang w:val="es-419"/>
              </w:rPr>
              <w:t>í</w:t>
            </w:r>
          </w:p>
        </w:tc>
      </w:tr>
      <w:tr w:rsidR="007A6C11" w:rsidRPr="00C7674D" w14:paraId="7E433BF7" w14:textId="77777777" w:rsidTr="00C7674D">
        <w:trPr>
          <w:jc w:val="center"/>
        </w:trPr>
        <w:tc>
          <w:tcPr>
            <w:tcW w:w="4121" w:type="dxa"/>
          </w:tcPr>
          <w:p w14:paraId="5A1C5388" w14:textId="77777777" w:rsidR="007A6C11" w:rsidRPr="00C7674D" w:rsidRDefault="00880972">
            <w:pPr>
              <w:spacing w:before="40" w:after="40"/>
              <w:rPr>
                <w:lang w:val="es-419"/>
              </w:rPr>
            </w:pPr>
            <w:r w:rsidRPr="00C7674D">
              <w:rPr>
                <w:rFonts w:ascii="Arial" w:hAnsi="Arial" w:cs="Arial"/>
                <w:sz w:val="18"/>
                <w:szCs w:val="18"/>
                <w:lang w:val="es-419"/>
              </w:rPr>
              <w:t>▪ CT incluida en la Estrategia de País (s/n):</w:t>
            </w:r>
            <w:r w:rsidRPr="00C7674D">
              <w:rPr>
                <w:rFonts w:ascii="Arial" w:hAnsi="Arial" w:cs="Arial"/>
                <w:sz w:val="18"/>
                <w:szCs w:val="18"/>
                <w:lang w:val="es-419"/>
              </w:rPr>
              <w:br/>
            </w:r>
            <w:r w:rsidRPr="00C7674D">
              <w:rPr>
                <w:rFonts w:ascii="Arial" w:hAnsi="Arial" w:cs="Arial"/>
                <w:sz w:val="18"/>
                <w:szCs w:val="18"/>
                <w:lang w:val="es-419"/>
              </w:rPr>
              <w:br/>
              <w:t>▪ CT incluida en CPD (s/n):</w:t>
            </w:r>
          </w:p>
        </w:tc>
        <w:tc>
          <w:tcPr>
            <w:tcW w:w="5121" w:type="dxa"/>
          </w:tcPr>
          <w:p w14:paraId="0BBD7521" w14:textId="77777777" w:rsidR="007A6C11" w:rsidRPr="00C7674D" w:rsidRDefault="00880972">
            <w:pPr>
              <w:spacing w:before="40" w:after="40"/>
              <w:rPr>
                <w:lang w:val="es-419"/>
              </w:rPr>
            </w:pPr>
            <w:r w:rsidRPr="00C7674D">
              <w:rPr>
                <w:rFonts w:ascii="Arial" w:hAnsi="Arial" w:cs="Arial"/>
                <w:sz w:val="18"/>
                <w:szCs w:val="18"/>
                <w:lang w:val="es-419"/>
              </w:rPr>
              <w:t>Sí</w:t>
            </w:r>
            <w:r w:rsidRPr="00C7674D">
              <w:rPr>
                <w:rFonts w:ascii="Arial" w:hAnsi="Arial" w:cs="Arial"/>
                <w:sz w:val="18"/>
                <w:szCs w:val="18"/>
                <w:lang w:val="es-419"/>
              </w:rPr>
              <w:br/>
            </w:r>
            <w:r w:rsidRPr="00C7674D">
              <w:rPr>
                <w:rFonts w:ascii="Arial" w:hAnsi="Arial" w:cs="Arial"/>
                <w:sz w:val="18"/>
                <w:szCs w:val="18"/>
                <w:lang w:val="es-419"/>
              </w:rPr>
              <w:br/>
              <w:t>No</w:t>
            </w:r>
          </w:p>
        </w:tc>
      </w:tr>
      <w:tr w:rsidR="007A6C11" w:rsidRPr="00C7674D" w14:paraId="3E2FBE10" w14:textId="77777777" w:rsidTr="00C7674D">
        <w:trPr>
          <w:jc w:val="center"/>
        </w:trPr>
        <w:tc>
          <w:tcPr>
            <w:tcW w:w="4121" w:type="dxa"/>
          </w:tcPr>
          <w:p w14:paraId="74606FC8" w14:textId="77777777" w:rsidR="007A6C11" w:rsidRPr="00C7674D" w:rsidRDefault="00880972">
            <w:pPr>
              <w:spacing w:before="40" w:after="40"/>
              <w:ind w:left="115" w:hanging="115"/>
              <w:rPr>
                <w:lang w:val="es-419"/>
              </w:rPr>
            </w:pPr>
            <w:r w:rsidRPr="00C7674D">
              <w:rPr>
                <w:rFonts w:ascii="Arial" w:hAnsi="Arial" w:cs="Arial"/>
                <w:sz w:val="18"/>
                <w:szCs w:val="18"/>
                <w:lang w:val="es-419"/>
              </w:rPr>
              <w:t>▪ Alineación a la Actualización de la Estrategia Institucional 2010-2020:</w:t>
            </w:r>
          </w:p>
        </w:tc>
        <w:tc>
          <w:tcPr>
            <w:tcW w:w="5121" w:type="dxa"/>
          </w:tcPr>
          <w:p w14:paraId="32AD5201" w14:textId="77777777" w:rsidR="007A6C11" w:rsidRPr="00C7674D" w:rsidRDefault="00880972">
            <w:pPr>
              <w:spacing w:before="40" w:after="40"/>
              <w:rPr>
                <w:lang w:val="es-419"/>
              </w:rPr>
            </w:pPr>
            <w:r w:rsidRPr="00C7674D">
              <w:rPr>
                <w:rFonts w:ascii="Arial" w:hAnsi="Arial" w:cs="Arial"/>
                <w:sz w:val="18"/>
                <w:szCs w:val="18"/>
                <w:lang w:val="es-419"/>
              </w:rPr>
              <w:t>Productividad e innovación; Sostenibilidad ambiental; Igualdad de género</w:t>
            </w:r>
          </w:p>
        </w:tc>
      </w:tr>
    </w:tbl>
    <w:p w14:paraId="2E6B0560"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II.</w:t>
      </w:r>
      <w:r w:rsidRPr="005C4B61">
        <w:rPr>
          <w:rFonts w:ascii="Arial" w:hAnsi="Arial" w:cs="Arial"/>
          <w:b/>
          <w:sz w:val="24"/>
          <w:szCs w:val="24"/>
          <w:lang w:val="es-419"/>
        </w:rPr>
        <w:tab/>
        <w:t>Objetivos y Justificación de la CT</w:t>
      </w:r>
    </w:p>
    <w:p w14:paraId="5ABA004D" w14:textId="77777777" w:rsidR="007A6C11" w:rsidRPr="00C7674D" w:rsidRDefault="00880972" w:rsidP="00C61AC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2.1</w:t>
      </w:r>
      <w:r w:rsidRPr="00C7674D">
        <w:rPr>
          <w:rFonts w:ascii="Arial" w:eastAsia="Arial" w:hAnsi="Arial" w:cs="Arial"/>
          <w:lang w:val="es-419"/>
        </w:rPr>
        <w:tab/>
        <w:t>El objetivo de esta CT es brindar apoyo para la ejecución de proyectos del sector transporte en Haití, mitigando los riesgos asociados con su implementación e incorporando la Visión 2025 del Banco.  Los objetivos específicos de esta CT son: (i) el apoyo a los actores claves que participan en los procesos de liberación de los derechos de vía para las obras viales; (</w:t>
      </w:r>
      <w:proofErr w:type="spellStart"/>
      <w:r w:rsidRPr="00C7674D">
        <w:rPr>
          <w:rFonts w:ascii="Arial" w:eastAsia="Arial" w:hAnsi="Arial" w:cs="Arial"/>
          <w:lang w:val="es-419"/>
        </w:rPr>
        <w:t>ii</w:t>
      </w:r>
      <w:proofErr w:type="spellEnd"/>
      <w:r w:rsidRPr="00C7674D">
        <w:rPr>
          <w:rFonts w:ascii="Arial" w:eastAsia="Arial" w:hAnsi="Arial" w:cs="Arial"/>
          <w:lang w:val="es-419"/>
        </w:rPr>
        <w:t>) implementación de soluciones tecnológicas innovadoras para la gestión de los contratos de obra y de supervisión; y (</w:t>
      </w:r>
      <w:proofErr w:type="spellStart"/>
      <w:r w:rsidRPr="00C7674D">
        <w:rPr>
          <w:rFonts w:ascii="Arial" w:eastAsia="Arial" w:hAnsi="Arial" w:cs="Arial"/>
          <w:lang w:val="es-419"/>
        </w:rPr>
        <w:t>iii</w:t>
      </w:r>
      <w:proofErr w:type="spellEnd"/>
      <w:r w:rsidRPr="00C7674D">
        <w:rPr>
          <w:rFonts w:ascii="Arial" w:eastAsia="Arial" w:hAnsi="Arial" w:cs="Arial"/>
          <w:lang w:val="es-419"/>
        </w:rPr>
        <w:t>) apoyo técnico, ambiental y social para diversas operaciones del sector.</w:t>
      </w:r>
    </w:p>
    <w:p w14:paraId="2CAA6E4E" w14:textId="77777777" w:rsidR="007A6C11" w:rsidRPr="00C7674D" w:rsidRDefault="00880972" w:rsidP="00C61AC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2.2</w:t>
      </w:r>
      <w:r w:rsidRPr="00C7674D">
        <w:rPr>
          <w:rFonts w:ascii="Arial" w:eastAsia="Arial" w:hAnsi="Arial" w:cs="Arial"/>
          <w:lang w:val="es-419"/>
        </w:rPr>
        <w:tab/>
        <w:t>A nivel del Banco, la Cartera de Transporte (TSP) representa el 22% del monto aprobado actual. Debido a la magnitud de estos proyectos, existen desafíos importantes en términos de su gestión y ejecución. En este contexto, Haití representa el 4% de la cartera regional de TSP, con 4 operaciones en curso por un presupuesto global de US$390 millones. De este total, a febrero de 2022 son cerca de US$219 millones los que aún no se han desembolsado.</w:t>
      </w:r>
    </w:p>
    <w:p w14:paraId="21566222" w14:textId="77777777" w:rsidR="007A6C11" w:rsidRPr="00C7674D" w:rsidRDefault="00880972" w:rsidP="00C61AC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2.3</w:t>
      </w:r>
      <w:r w:rsidRPr="00C7674D">
        <w:rPr>
          <w:rFonts w:ascii="Arial" w:eastAsia="Arial" w:hAnsi="Arial" w:cs="Arial"/>
          <w:lang w:val="es-419"/>
        </w:rPr>
        <w:tab/>
        <w:t xml:space="preserve">Una de las etapas críticas para los proyectos viales en Haití es la liberación del derecho de vía necesario para la rehabilitación de los componentes de la red nacional y departamental. El Comité Permanente para la Adquisición Amistosa (CPA), una entidad dependiente del Ministerio de Economía y Finanzas de </w:t>
      </w:r>
      <w:proofErr w:type="gramStart"/>
      <w:r w:rsidRPr="00C7674D">
        <w:rPr>
          <w:rFonts w:ascii="Arial" w:eastAsia="Arial" w:hAnsi="Arial" w:cs="Arial"/>
          <w:lang w:val="es-419"/>
        </w:rPr>
        <w:t>Haití,</w:t>
      </w:r>
      <w:proofErr w:type="gramEnd"/>
      <w:r w:rsidRPr="00C7674D">
        <w:rPr>
          <w:rFonts w:ascii="Arial" w:eastAsia="Arial" w:hAnsi="Arial" w:cs="Arial"/>
          <w:lang w:val="es-419"/>
        </w:rPr>
        <w:t xml:space="preserve"> es el organismo </w:t>
      </w:r>
      <w:r w:rsidRPr="00C7674D">
        <w:rPr>
          <w:rFonts w:ascii="Arial" w:eastAsia="Arial" w:hAnsi="Arial" w:cs="Arial"/>
          <w:lang w:val="es-419"/>
        </w:rPr>
        <w:lastRenderedPageBreak/>
        <w:t>actualmente encargado de esta tarea. Actualmente, este organismo presenta dificultades para implementar plenamente las tareas que se le han confiado y coordinar a las diversas partes interesadas en el proceso de liberación de los derechos de vía. Esto conlleva retrasos considerables en etapas tempranas de los proyectos, causando retrasos en el inicio de las obras, así como la firma de adendas onerosos a los contratos de supervisión de las obras, o incluso la presentación de reclamaciones por parte de las empresas a cargo de la ejecución de las obras.</w:t>
      </w:r>
    </w:p>
    <w:p w14:paraId="09FF63E2" w14:textId="77777777" w:rsidR="007A6C11" w:rsidRPr="00C7674D" w:rsidRDefault="00880972" w:rsidP="00C61AC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2.4</w:t>
      </w:r>
      <w:r w:rsidRPr="00C7674D">
        <w:rPr>
          <w:rFonts w:ascii="Arial" w:eastAsia="Arial" w:hAnsi="Arial" w:cs="Arial"/>
          <w:lang w:val="es-419"/>
        </w:rPr>
        <w:tab/>
        <w:t xml:space="preserve">A medida que se mejore la gestión de los contratos de obras y de supervisión se logrará una inversión más eficiente de los recursos de la cartera de transporte en Haití. En términos de esta CT, esto se pretende lograr a través de la implementación de una herramienta de gestión dinámica que ya está parcialmente desarrollada. </w:t>
      </w:r>
    </w:p>
    <w:p w14:paraId="25A78B0D" w14:textId="1C504312" w:rsidR="007A6C11" w:rsidRPr="00C7674D" w:rsidRDefault="00880972" w:rsidP="00C61AC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2.5</w:t>
      </w:r>
      <w:r w:rsidRPr="00C7674D">
        <w:rPr>
          <w:rFonts w:ascii="Arial" w:eastAsia="Arial" w:hAnsi="Arial" w:cs="Arial"/>
          <w:lang w:val="es-419"/>
        </w:rPr>
        <w:tab/>
        <w:t xml:space="preserve">La CT es consistente con la Segunda Actualización de la Estrategia Institucional </w:t>
      </w:r>
      <w:r w:rsidR="00953F88">
        <w:rPr>
          <w:rFonts w:ascii="Arial" w:eastAsia="Arial" w:hAnsi="Arial" w:cs="Arial"/>
          <w:lang w:val="es-419"/>
        </w:rPr>
        <w:br/>
      </w:r>
      <w:r w:rsidRPr="00C7674D">
        <w:rPr>
          <w:rFonts w:ascii="Arial" w:eastAsia="Arial" w:hAnsi="Arial" w:cs="Arial"/>
          <w:lang w:val="es-419"/>
        </w:rPr>
        <w:t>2020-2024 (AB-3190-2) en: (i) el desafío de desarrollo de Productividad e Innovación; y (</w:t>
      </w:r>
      <w:proofErr w:type="spellStart"/>
      <w:r w:rsidRPr="00C7674D">
        <w:rPr>
          <w:rFonts w:ascii="Arial" w:eastAsia="Arial" w:hAnsi="Arial" w:cs="Arial"/>
          <w:lang w:val="es-419"/>
        </w:rPr>
        <w:t>ii</w:t>
      </w:r>
      <w:proofErr w:type="spellEnd"/>
      <w:r w:rsidRPr="00C7674D">
        <w:rPr>
          <w:rFonts w:ascii="Arial" w:eastAsia="Arial" w:hAnsi="Arial" w:cs="Arial"/>
          <w:lang w:val="es-419"/>
        </w:rPr>
        <w:t xml:space="preserve">) las áreas transversales de Igualdad de Género y Diversidad, así como de Cambio Climático y Sostenibilidad Ambiental. Además, se encuentra en línea con la Visión 2025 del Banco, en cuanto busca apoyar la digitalización y modernización de los procesos gubernamentales en las fases de planificación, ejecución y supervisión. Particularmente, busca asegurar la continuidad de las operaciones ante las nuevas condiciones laborales impuestas por la pandemia, pero también por las condiciones de fragilidad observadas en Haití en los últimos años. Por otra parte, esta CT seguirá avanzando en el apoyo que el Banco ha entregado desde 2011 en una serie de intervenciones orientadas a la igualdad de género, para promover el desarrollo inclusivo y equitativo en el sector del transporte de Haití. El Plan de Acción de Género y Transporte (GAP) se publicó en 2021 para guiar las inversiones del Banco en esta dirección. Los análisis realizados en el marco de este GAP han permitido identificar los principales factores sectoriales y estructurales que dificultan la Agenda de Género y Transporte, así como intervenciones para orientar la implementación del GAP y focalizar tanto las mujeres como usuarias y prestadoras de servicios de transporte. En particular, esta CT permitirá identificar específicamente las actividades que se implementarán en el marco del programa </w:t>
      </w:r>
      <w:r w:rsidR="00953F88">
        <w:rPr>
          <w:rFonts w:ascii="Arial" w:eastAsia="Arial" w:hAnsi="Arial" w:cs="Arial"/>
          <w:lang w:val="es-419"/>
        </w:rPr>
        <w:br/>
      </w:r>
      <w:r w:rsidRPr="00C7674D">
        <w:rPr>
          <w:rFonts w:ascii="Arial" w:eastAsia="Arial" w:hAnsi="Arial" w:cs="Arial"/>
          <w:lang w:val="es-419"/>
        </w:rPr>
        <w:t xml:space="preserve">HA-L1104. También está alineada con la Estrategia del Banco con Haití 2017-2021 </w:t>
      </w:r>
      <w:r w:rsidR="00953F88">
        <w:rPr>
          <w:rFonts w:ascii="Arial" w:eastAsia="Arial" w:hAnsi="Arial" w:cs="Arial"/>
          <w:lang w:val="es-419"/>
        </w:rPr>
        <w:br/>
      </w:r>
      <w:r w:rsidRPr="00C7674D">
        <w:rPr>
          <w:rFonts w:ascii="Arial" w:eastAsia="Arial" w:hAnsi="Arial" w:cs="Arial"/>
          <w:lang w:val="es-419"/>
        </w:rPr>
        <w:t>(GN-2904), a través del objetivo de mejorar la infraestructura clave de transporte.</w:t>
      </w:r>
    </w:p>
    <w:p w14:paraId="278E432C"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III.</w:t>
      </w:r>
      <w:r w:rsidRPr="005C4B61">
        <w:rPr>
          <w:rFonts w:ascii="Arial" w:hAnsi="Arial" w:cs="Arial"/>
          <w:b/>
          <w:sz w:val="24"/>
          <w:szCs w:val="24"/>
          <w:lang w:val="es-419"/>
        </w:rPr>
        <w:tab/>
        <w:t>Descripción de las Actividades y Resultados</w:t>
      </w:r>
    </w:p>
    <w:p w14:paraId="17B3B379" w14:textId="0AF11F38" w:rsidR="007A6C11" w:rsidRPr="005C4B61" w:rsidRDefault="00880972" w:rsidP="005C4B61">
      <w:pPr>
        <w:pStyle w:val="ListParagraph"/>
        <w:spacing w:before="120" w:after="120" w:line="240" w:lineRule="auto"/>
        <w:ind w:left="360" w:hanging="547"/>
        <w:contextualSpacing w:val="0"/>
        <w:jc w:val="both"/>
        <w:rPr>
          <w:rFonts w:ascii="Arial" w:eastAsia="Arial" w:hAnsi="Arial" w:cs="Arial"/>
          <w:lang w:val="es-419"/>
        </w:rPr>
      </w:pPr>
      <w:r w:rsidRPr="005C4B61">
        <w:rPr>
          <w:rFonts w:ascii="Arial" w:eastAsia="Arial" w:hAnsi="Arial" w:cs="Arial"/>
          <w:lang w:val="es-419"/>
        </w:rPr>
        <w:t>3.1</w:t>
      </w:r>
      <w:r w:rsidRPr="005C4B61">
        <w:rPr>
          <w:rFonts w:ascii="Arial" w:eastAsia="Arial" w:hAnsi="Arial" w:cs="Arial"/>
          <w:lang w:val="es-419"/>
        </w:rPr>
        <w:tab/>
      </w:r>
      <w:r w:rsidRPr="005C4B61">
        <w:rPr>
          <w:rFonts w:ascii="Arial" w:eastAsia="Arial" w:hAnsi="Arial" w:cs="Arial"/>
          <w:b/>
          <w:bCs/>
          <w:lang w:val="es-419"/>
        </w:rPr>
        <w:t>Componente I: Apoyo a los actores clave involucrados en los procesos de liberación de los derechos de vía.</w:t>
      </w:r>
      <w:r w:rsidRPr="005C4B61">
        <w:rPr>
          <w:rFonts w:ascii="Arial" w:eastAsia="Arial" w:hAnsi="Arial" w:cs="Arial"/>
          <w:lang w:val="es-419"/>
        </w:rPr>
        <w:t xml:space="preserve"> Financiará: (i) la capacitación de técnicos del CPA en temas como la valoración inmobiliaria o el uso de nuevas tecnologías de la información; (</w:t>
      </w:r>
      <w:proofErr w:type="spellStart"/>
      <w:r w:rsidRPr="005C4B61">
        <w:rPr>
          <w:rFonts w:ascii="Arial" w:eastAsia="Arial" w:hAnsi="Arial" w:cs="Arial"/>
          <w:lang w:val="es-419"/>
        </w:rPr>
        <w:t>ii</w:t>
      </w:r>
      <w:proofErr w:type="spellEnd"/>
      <w:r w:rsidRPr="005C4B61">
        <w:rPr>
          <w:rFonts w:ascii="Arial" w:eastAsia="Arial" w:hAnsi="Arial" w:cs="Arial"/>
          <w:lang w:val="es-419"/>
        </w:rPr>
        <w:t>) la elaboración de una guía para formalizar los procedimientos de expropiación; y (</w:t>
      </w:r>
      <w:proofErr w:type="spellStart"/>
      <w:r w:rsidRPr="005C4B61">
        <w:rPr>
          <w:rFonts w:ascii="Arial" w:eastAsia="Arial" w:hAnsi="Arial" w:cs="Arial"/>
          <w:lang w:val="es-419"/>
        </w:rPr>
        <w:t>iii</w:t>
      </w:r>
      <w:proofErr w:type="spellEnd"/>
      <w:r w:rsidRPr="005C4B61">
        <w:rPr>
          <w:rFonts w:ascii="Arial" w:eastAsia="Arial" w:hAnsi="Arial" w:cs="Arial"/>
          <w:lang w:val="es-419"/>
        </w:rPr>
        <w:t>) la implantación de un sistema de digitalización de los datos relativos a las expropiaciones (archivo organizado y permanente) y de un sistema de gestión de la información.</w:t>
      </w:r>
    </w:p>
    <w:p w14:paraId="63F8DD2E" w14:textId="5F4752F3" w:rsidR="007A6C11" w:rsidRPr="005C4B61" w:rsidRDefault="00880972" w:rsidP="005C4B61">
      <w:pPr>
        <w:pStyle w:val="ListParagraph"/>
        <w:spacing w:before="120" w:after="120" w:line="240" w:lineRule="auto"/>
        <w:ind w:left="360" w:hanging="547"/>
        <w:contextualSpacing w:val="0"/>
        <w:jc w:val="both"/>
        <w:rPr>
          <w:rFonts w:ascii="Arial" w:eastAsia="Arial" w:hAnsi="Arial" w:cs="Arial"/>
          <w:lang w:val="es-419"/>
        </w:rPr>
      </w:pPr>
      <w:r w:rsidRPr="005C4B61">
        <w:rPr>
          <w:rFonts w:ascii="Arial" w:eastAsia="Arial" w:hAnsi="Arial" w:cs="Arial"/>
          <w:lang w:val="es-419"/>
        </w:rPr>
        <w:t>3.2</w:t>
      </w:r>
      <w:r w:rsidRPr="005C4B61">
        <w:rPr>
          <w:rFonts w:ascii="Arial" w:eastAsia="Arial" w:hAnsi="Arial" w:cs="Arial"/>
          <w:lang w:val="es-419"/>
        </w:rPr>
        <w:tab/>
      </w:r>
      <w:r w:rsidRPr="005C4B61">
        <w:rPr>
          <w:rFonts w:ascii="Arial" w:eastAsia="Arial" w:hAnsi="Arial" w:cs="Arial"/>
          <w:b/>
          <w:bCs/>
          <w:lang w:val="es-419"/>
        </w:rPr>
        <w:t>Componente II: Implementación de soluciones y tecnologías innovadoras.</w:t>
      </w:r>
      <w:r w:rsidRPr="005C4B61">
        <w:rPr>
          <w:rFonts w:ascii="Arial" w:eastAsia="Arial" w:hAnsi="Arial" w:cs="Arial"/>
          <w:lang w:val="es-419"/>
        </w:rPr>
        <w:t xml:space="preserve"> Financiará: (i) el diseño de una herramienta dinámica para la gestión y seguimiento de los contratos de obras y de supervisión; (</w:t>
      </w:r>
      <w:proofErr w:type="spellStart"/>
      <w:r w:rsidRPr="005C4B61">
        <w:rPr>
          <w:rFonts w:ascii="Arial" w:eastAsia="Arial" w:hAnsi="Arial" w:cs="Arial"/>
          <w:lang w:val="es-419"/>
        </w:rPr>
        <w:t>ii</w:t>
      </w:r>
      <w:proofErr w:type="spellEnd"/>
      <w:r w:rsidRPr="005C4B61">
        <w:rPr>
          <w:rFonts w:ascii="Arial" w:eastAsia="Arial" w:hAnsi="Arial" w:cs="Arial"/>
          <w:lang w:val="es-419"/>
        </w:rPr>
        <w:t>) la capacitación de los equipos de los organismos de ejecución del MTPTC para el uso a largo plazo de esta herramienta y su retroalimentación continua.</w:t>
      </w:r>
    </w:p>
    <w:p w14:paraId="5D4A1EB4" w14:textId="4E29BD77" w:rsidR="007A6C11" w:rsidRPr="005C4B61" w:rsidRDefault="00880972" w:rsidP="005C4B61">
      <w:pPr>
        <w:pStyle w:val="ListParagraph"/>
        <w:spacing w:before="120" w:after="120" w:line="240" w:lineRule="auto"/>
        <w:ind w:left="360" w:hanging="547"/>
        <w:contextualSpacing w:val="0"/>
        <w:jc w:val="both"/>
        <w:rPr>
          <w:rFonts w:ascii="Arial" w:eastAsia="Arial" w:hAnsi="Arial" w:cs="Arial"/>
          <w:lang w:val="es-419"/>
        </w:rPr>
      </w:pPr>
      <w:r w:rsidRPr="005C4B61">
        <w:rPr>
          <w:rFonts w:ascii="Arial" w:eastAsia="Arial" w:hAnsi="Arial" w:cs="Arial"/>
          <w:lang w:val="es-419"/>
        </w:rPr>
        <w:t>3.3</w:t>
      </w:r>
      <w:r w:rsidRPr="005C4B61">
        <w:rPr>
          <w:rFonts w:ascii="Arial" w:eastAsia="Arial" w:hAnsi="Arial" w:cs="Arial"/>
          <w:lang w:val="es-419"/>
        </w:rPr>
        <w:tab/>
      </w:r>
      <w:r w:rsidRPr="005C4B61">
        <w:rPr>
          <w:rFonts w:ascii="Arial" w:eastAsia="Arial" w:hAnsi="Arial" w:cs="Arial"/>
          <w:b/>
          <w:bCs/>
          <w:lang w:val="es-419"/>
        </w:rPr>
        <w:t>Componente III: Apoyo técnico, ambiental y social a las agencias de ejecución.</w:t>
      </w:r>
      <w:r w:rsidRPr="005C4B61">
        <w:rPr>
          <w:rFonts w:ascii="Arial" w:eastAsia="Arial" w:hAnsi="Arial" w:cs="Arial"/>
          <w:lang w:val="es-419"/>
        </w:rPr>
        <w:t xml:space="preserve"> Financiará: (i) la contratación de consultores para apoyar a las dos agencias de ejecución (UCE y AE-MTPTC) para revisiones técnicas de proyectos y apoyo en temas ambientales y sociales; (</w:t>
      </w:r>
      <w:proofErr w:type="spellStart"/>
      <w:r w:rsidRPr="005C4B61">
        <w:rPr>
          <w:rFonts w:ascii="Arial" w:eastAsia="Arial" w:hAnsi="Arial" w:cs="Arial"/>
          <w:lang w:val="es-419"/>
        </w:rPr>
        <w:t>ii</w:t>
      </w:r>
      <w:proofErr w:type="spellEnd"/>
      <w:r w:rsidRPr="005C4B61">
        <w:rPr>
          <w:rFonts w:ascii="Arial" w:eastAsia="Arial" w:hAnsi="Arial" w:cs="Arial"/>
          <w:lang w:val="es-419"/>
        </w:rPr>
        <w:t xml:space="preserve">) la contratación de una consultoría especializada en el tema de género para priorizar las intervenciones a implementar en el marco del programa </w:t>
      </w:r>
      <w:r w:rsidR="00953F88">
        <w:rPr>
          <w:rFonts w:ascii="Arial" w:eastAsia="Arial" w:hAnsi="Arial" w:cs="Arial"/>
          <w:lang w:val="es-419"/>
        </w:rPr>
        <w:br/>
      </w:r>
      <w:r w:rsidRPr="005C4B61">
        <w:rPr>
          <w:rFonts w:ascii="Arial" w:eastAsia="Arial" w:hAnsi="Arial" w:cs="Arial"/>
          <w:lang w:val="es-419"/>
        </w:rPr>
        <w:t>HA-L1104.</w:t>
      </w:r>
    </w:p>
    <w:p w14:paraId="15DBBBB8" w14:textId="77777777" w:rsidR="00C7674D" w:rsidRPr="00C7674D" w:rsidRDefault="00C7674D">
      <w:pPr>
        <w:spacing w:before="120" w:after="120"/>
        <w:ind w:left="579" w:hanging="579"/>
        <w:jc w:val="both"/>
        <w:rPr>
          <w:lang w:val="es-419"/>
        </w:rPr>
      </w:pPr>
    </w:p>
    <w:p w14:paraId="7F88B5EE"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lastRenderedPageBreak/>
        <w:t>IV.</w:t>
      </w:r>
      <w:r w:rsidRPr="005C4B61">
        <w:rPr>
          <w:rFonts w:ascii="Arial" w:hAnsi="Arial" w:cs="Arial"/>
          <w:b/>
          <w:sz w:val="24"/>
          <w:szCs w:val="24"/>
          <w:lang w:val="es-419"/>
        </w:rPr>
        <w:tab/>
        <w:t>Presupuesto</w:t>
      </w:r>
    </w:p>
    <w:p w14:paraId="3AB863CC" w14:textId="77777777" w:rsidR="007A6C11" w:rsidRPr="00C7674D" w:rsidRDefault="00880972">
      <w:pPr>
        <w:spacing w:before="240" w:after="120"/>
        <w:jc w:val="center"/>
        <w:rPr>
          <w:lang w:val="es-419"/>
        </w:rPr>
      </w:pPr>
      <w:r w:rsidRPr="00C7674D">
        <w:rPr>
          <w:rFonts w:ascii="Arial" w:hAnsi="Arial" w:cs="Arial"/>
          <w:b/>
          <w:sz w:val="18"/>
          <w:szCs w:val="18"/>
          <w:lang w:val="es-419"/>
        </w:rPr>
        <w:t>Presupuesto Indicativo</w:t>
      </w:r>
    </w:p>
    <w:tbl>
      <w:tblPr>
        <w:tblStyle w:val="TableGrid"/>
        <w:tblW w:w="0" w:type="auto"/>
        <w:tblInd w:w="468" w:type="dxa"/>
        <w:tblLook w:val="04A0" w:firstRow="1" w:lastRow="0" w:firstColumn="1" w:lastColumn="0" w:noHBand="0" w:noVBand="1"/>
      </w:tblPr>
      <w:tblGrid>
        <w:gridCol w:w="3510"/>
        <w:gridCol w:w="1972"/>
        <w:gridCol w:w="1526"/>
        <w:gridCol w:w="1632"/>
      </w:tblGrid>
      <w:tr w:rsidR="007A6C11" w:rsidRPr="00C7674D" w14:paraId="5C04CDF3" w14:textId="77777777" w:rsidTr="005C4B61">
        <w:tc>
          <w:tcPr>
            <w:tcW w:w="3510" w:type="dxa"/>
            <w:vAlign w:val="center"/>
          </w:tcPr>
          <w:p w14:paraId="4ED95828" w14:textId="77777777" w:rsidR="007A6C11" w:rsidRPr="00C7674D" w:rsidRDefault="00880972">
            <w:pPr>
              <w:spacing w:before="40" w:after="40"/>
              <w:jc w:val="center"/>
              <w:rPr>
                <w:lang w:val="es-419"/>
              </w:rPr>
            </w:pPr>
            <w:r w:rsidRPr="00C7674D">
              <w:rPr>
                <w:rFonts w:ascii="Arial" w:hAnsi="Arial" w:cs="Arial"/>
                <w:b/>
                <w:sz w:val="18"/>
                <w:szCs w:val="18"/>
                <w:lang w:val="es-419"/>
              </w:rPr>
              <w:t>Actividad/Componente</w:t>
            </w:r>
          </w:p>
        </w:tc>
        <w:tc>
          <w:tcPr>
            <w:tcW w:w="1972" w:type="dxa"/>
          </w:tcPr>
          <w:p w14:paraId="0317E893" w14:textId="77777777" w:rsidR="007A6C11" w:rsidRPr="00C7674D" w:rsidRDefault="00880972">
            <w:pPr>
              <w:spacing w:before="40" w:after="40"/>
              <w:jc w:val="center"/>
              <w:rPr>
                <w:lang w:val="es-419"/>
              </w:rPr>
            </w:pPr>
            <w:r w:rsidRPr="00C7674D">
              <w:rPr>
                <w:rFonts w:ascii="Arial" w:hAnsi="Arial" w:cs="Arial"/>
                <w:b/>
                <w:sz w:val="18"/>
                <w:szCs w:val="18"/>
                <w:lang w:val="es-419"/>
              </w:rPr>
              <w:t>BID/Financiamiento por Fondo</w:t>
            </w:r>
          </w:p>
        </w:tc>
        <w:tc>
          <w:tcPr>
            <w:tcW w:w="1526" w:type="dxa"/>
          </w:tcPr>
          <w:p w14:paraId="47421469" w14:textId="77777777" w:rsidR="007A6C11" w:rsidRPr="00C7674D" w:rsidRDefault="00880972">
            <w:pPr>
              <w:spacing w:before="40" w:after="40"/>
              <w:jc w:val="center"/>
              <w:rPr>
                <w:lang w:val="es-419"/>
              </w:rPr>
            </w:pPr>
            <w:r w:rsidRPr="00C7674D">
              <w:rPr>
                <w:rFonts w:ascii="Arial" w:hAnsi="Arial" w:cs="Arial"/>
                <w:b/>
                <w:sz w:val="18"/>
                <w:szCs w:val="18"/>
                <w:lang w:val="es-419"/>
              </w:rPr>
              <w:t>Contrapartida Local</w:t>
            </w:r>
          </w:p>
        </w:tc>
        <w:tc>
          <w:tcPr>
            <w:tcW w:w="1632" w:type="dxa"/>
          </w:tcPr>
          <w:p w14:paraId="4D15E526" w14:textId="77777777" w:rsidR="007A6C11" w:rsidRPr="00C7674D" w:rsidRDefault="00880972">
            <w:pPr>
              <w:spacing w:before="40" w:after="40"/>
              <w:jc w:val="center"/>
              <w:rPr>
                <w:lang w:val="es-419"/>
              </w:rPr>
            </w:pPr>
            <w:r w:rsidRPr="00C7674D">
              <w:rPr>
                <w:rFonts w:ascii="Arial" w:hAnsi="Arial" w:cs="Arial"/>
                <w:b/>
                <w:sz w:val="18"/>
                <w:szCs w:val="18"/>
                <w:lang w:val="es-419"/>
              </w:rPr>
              <w:t>Financiamiento Total</w:t>
            </w:r>
          </w:p>
        </w:tc>
      </w:tr>
      <w:tr w:rsidR="007A6C11" w:rsidRPr="00C7674D" w14:paraId="79B42525" w14:textId="77777777" w:rsidTr="005C4B61">
        <w:tc>
          <w:tcPr>
            <w:tcW w:w="3510" w:type="dxa"/>
            <w:vAlign w:val="center"/>
          </w:tcPr>
          <w:p w14:paraId="3F5DD9BD" w14:textId="77777777" w:rsidR="007A6C11" w:rsidRPr="00C7674D" w:rsidRDefault="00880972">
            <w:pPr>
              <w:spacing w:before="40" w:after="40"/>
              <w:rPr>
                <w:lang w:val="es-419"/>
              </w:rPr>
            </w:pPr>
            <w:r w:rsidRPr="00C7674D">
              <w:rPr>
                <w:rFonts w:ascii="Arial" w:hAnsi="Arial" w:cs="Arial"/>
                <w:sz w:val="18"/>
                <w:szCs w:val="18"/>
                <w:lang w:val="es-419"/>
              </w:rPr>
              <w:t>Apoyo a los actores clave involucrados en los procesos de liberación de los derechos de vía.</w:t>
            </w:r>
          </w:p>
        </w:tc>
        <w:tc>
          <w:tcPr>
            <w:tcW w:w="1972" w:type="dxa"/>
            <w:vAlign w:val="center"/>
          </w:tcPr>
          <w:p w14:paraId="0E77082C" w14:textId="77777777" w:rsidR="007A6C11" w:rsidRPr="00C7674D" w:rsidRDefault="00880972">
            <w:pPr>
              <w:spacing w:before="40" w:after="40"/>
              <w:jc w:val="right"/>
              <w:rPr>
                <w:lang w:val="es-419"/>
              </w:rPr>
            </w:pPr>
            <w:r w:rsidRPr="00C7674D">
              <w:rPr>
                <w:rFonts w:ascii="Arial" w:hAnsi="Arial" w:cs="Arial"/>
                <w:sz w:val="18"/>
                <w:szCs w:val="18"/>
                <w:lang w:val="es-419"/>
              </w:rPr>
              <w:t>US$150,000.00</w:t>
            </w:r>
          </w:p>
        </w:tc>
        <w:tc>
          <w:tcPr>
            <w:tcW w:w="1526" w:type="dxa"/>
            <w:vAlign w:val="center"/>
          </w:tcPr>
          <w:p w14:paraId="078131AA" w14:textId="77777777" w:rsidR="007A6C11" w:rsidRPr="00C7674D" w:rsidRDefault="00880972">
            <w:pPr>
              <w:spacing w:before="40" w:after="40"/>
              <w:jc w:val="right"/>
              <w:rPr>
                <w:lang w:val="es-419"/>
              </w:rPr>
            </w:pPr>
            <w:r w:rsidRPr="00C7674D">
              <w:rPr>
                <w:rFonts w:ascii="Arial" w:hAnsi="Arial" w:cs="Arial"/>
                <w:sz w:val="18"/>
                <w:szCs w:val="18"/>
                <w:lang w:val="es-419"/>
              </w:rPr>
              <w:t>US$0.00</w:t>
            </w:r>
          </w:p>
        </w:tc>
        <w:tc>
          <w:tcPr>
            <w:tcW w:w="1632" w:type="dxa"/>
            <w:vAlign w:val="center"/>
          </w:tcPr>
          <w:p w14:paraId="025B0AA6" w14:textId="77777777" w:rsidR="007A6C11" w:rsidRPr="00C7674D" w:rsidRDefault="00880972">
            <w:pPr>
              <w:spacing w:before="40" w:after="40"/>
              <w:jc w:val="right"/>
              <w:rPr>
                <w:lang w:val="es-419"/>
              </w:rPr>
            </w:pPr>
            <w:r w:rsidRPr="00C7674D">
              <w:rPr>
                <w:rFonts w:ascii="Arial" w:hAnsi="Arial" w:cs="Arial"/>
                <w:sz w:val="18"/>
                <w:szCs w:val="18"/>
                <w:lang w:val="es-419"/>
              </w:rPr>
              <w:t>US$150,000.00</w:t>
            </w:r>
          </w:p>
        </w:tc>
      </w:tr>
      <w:tr w:rsidR="007A6C11" w:rsidRPr="00C7674D" w14:paraId="65C31862" w14:textId="77777777" w:rsidTr="005C4B61">
        <w:tc>
          <w:tcPr>
            <w:tcW w:w="3510" w:type="dxa"/>
            <w:vAlign w:val="center"/>
          </w:tcPr>
          <w:p w14:paraId="0F01E80B" w14:textId="77777777" w:rsidR="007A6C11" w:rsidRPr="00C7674D" w:rsidRDefault="00880972">
            <w:pPr>
              <w:spacing w:before="40" w:after="40"/>
              <w:rPr>
                <w:lang w:val="es-419"/>
              </w:rPr>
            </w:pPr>
            <w:r w:rsidRPr="00C7674D">
              <w:rPr>
                <w:rFonts w:ascii="Arial" w:hAnsi="Arial" w:cs="Arial"/>
                <w:sz w:val="18"/>
                <w:szCs w:val="18"/>
                <w:lang w:val="es-419"/>
              </w:rPr>
              <w:t>Implementación de soluciones y tecnologías innovadoras.</w:t>
            </w:r>
          </w:p>
        </w:tc>
        <w:tc>
          <w:tcPr>
            <w:tcW w:w="1972" w:type="dxa"/>
            <w:vAlign w:val="center"/>
          </w:tcPr>
          <w:p w14:paraId="572FB241" w14:textId="77777777" w:rsidR="007A6C11" w:rsidRPr="00C7674D" w:rsidRDefault="00880972">
            <w:pPr>
              <w:spacing w:before="40" w:after="40"/>
              <w:jc w:val="right"/>
              <w:rPr>
                <w:lang w:val="es-419"/>
              </w:rPr>
            </w:pPr>
            <w:r w:rsidRPr="00C7674D">
              <w:rPr>
                <w:rFonts w:ascii="Arial" w:hAnsi="Arial" w:cs="Arial"/>
                <w:sz w:val="18"/>
                <w:szCs w:val="18"/>
                <w:lang w:val="es-419"/>
              </w:rPr>
              <w:t>US$50,000.00</w:t>
            </w:r>
          </w:p>
        </w:tc>
        <w:tc>
          <w:tcPr>
            <w:tcW w:w="1526" w:type="dxa"/>
            <w:vAlign w:val="center"/>
          </w:tcPr>
          <w:p w14:paraId="5BD653A9" w14:textId="77777777" w:rsidR="007A6C11" w:rsidRPr="00C7674D" w:rsidRDefault="00880972">
            <w:pPr>
              <w:spacing w:before="40" w:after="40"/>
              <w:jc w:val="right"/>
              <w:rPr>
                <w:lang w:val="es-419"/>
              </w:rPr>
            </w:pPr>
            <w:r w:rsidRPr="00C7674D">
              <w:rPr>
                <w:rFonts w:ascii="Arial" w:hAnsi="Arial" w:cs="Arial"/>
                <w:sz w:val="18"/>
                <w:szCs w:val="18"/>
                <w:lang w:val="es-419"/>
              </w:rPr>
              <w:t>US$0.00</w:t>
            </w:r>
          </w:p>
        </w:tc>
        <w:tc>
          <w:tcPr>
            <w:tcW w:w="1632" w:type="dxa"/>
            <w:vAlign w:val="center"/>
          </w:tcPr>
          <w:p w14:paraId="48545163" w14:textId="77777777" w:rsidR="007A6C11" w:rsidRPr="00C7674D" w:rsidRDefault="00880972">
            <w:pPr>
              <w:spacing w:before="40" w:after="40"/>
              <w:jc w:val="right"/>
              <w:rPr>
                <w:lang w:val="es-419"/>
              </w:rPr>
            </w:pPr>
            <w:r w:rsidRPr="00C7674D">
              <w:rPr>
                <w:rFonts w:ascii="Arial" w:hAnsi="Arial" w:cs="Arial"/>
                <w:sz w:val="18"/>
                <w:szCs w:val="18"/>
                <w:lang w:val="es-419"/>
              </w:rPr>
              <w:t>US$50,000.00</w:t>
            </w:r>
          </w:p>
        </w:tc>
      </w:tr>
      <w:tr w:rsidR="007A6C11" w:rsidRPr="00C7674D" w14:paraId="0E977C3D" w14:textId="77777777" w:rsidTr="005C4B61">
        <w:tc>
          <w:tcPr>
            <w:tcW w:w="3510" w:type="dxa"/>
            <w:vAlign w:val="center"/>
          </w:tcPr>
          <w:p w14:paraId="088B4424" w14:textId="77777777" w:rsidR="007A6C11" w:rsidRPr="00C7674D" w:rsidRDefault="00880972">
            <w:pPr>
              <w:spacing w:before="40" w:after="40"/>
              <w:rPr>
                <w:lang w:val="es-419"/>
              </w:rPr>
            </w:pPr>
            <w:r w:rsidRPr="00C7674D">
              <w:rPr>
                <w:rFonts w:ascii="Arial" w:hAnsi="Arial" w:cs="Arial"/>
                <w:sz w:val="18"/>
                <w:szCs w:val="18"/>
                <w:lang w:val="es-419"/>
              </w:rPr>
              <w:t>Apoyo técnico, ambiental y social a las agencias de ejecución.</w:t>
            </w:r>
          </w:p>
        </w:tc>
        <w:tc>
          <w:tcPr>
            <w:tcW w:w="1972" w:type="dxa"/>
            <w:vAlign w:val="center"/>
          </w:tcPr>
          <w:p w14:paraId="61C1D911" w14:textId="77777777" w:rsidR="007A6C11" w:rsidRPr="00C7674D" w:rsidRDefault="00880972">
            <w:pPr>
              <w:spacing w:before="40" w:after="40"/>
              <w:jc w:val="right"/>
              <w:rPr>
                <w:lang w:val="es-419"/>
              </w:rPr>
            </w:pPr>
            <w:r w:rsidRPr="00C7674D">
              <w:rPr>
                <w:rFonts w:ascii="Arial" w:hAnsi="Arial" w:cs="Arial"/>
                <w:sz w:val="18"/>
                <w:szCs w:val="18"/>
                <w:lang w:val="es-419"/>
              </w:rPr>
              <w:t>US$100,000.00</w:t>
            </w:r>
          </w:p>
        </w:tc>
        <w:tc>
          <w:tcPr>
            <w:tcW w:w="1526" w:type="dxa"/>
            <w:vAlign w:val="center"/>
          </w:tcPr>
          <w:p w14:paraId="64B13FA9" w14:textId="77777777" w:rsidR="007A6C11" w:rsidRPr="00C7674D" w:rsidRDefault="00880972">
            <w:pPr>
              <w:spacing w:before="40" w:after="40"/>
              <w:jc w:val="right"/>
              <w:rPr>
                <w:lang w:val="es-419"/>
              </w:rPr>
            </w:pPr>
            <w:r w:rsidRPr="00C7674D">
              <w:rPr>
                <w:rFonts w:ascii="Arial" w:hAnsi="Arial" w:cs="Arial"/>
                <w:sz w:val="18"/>
                <w:szCs w:val="18"/>
                <w:lang w:val="es-419"/>
              </w:rPr>
              <w:t>US$0.00</w:t>
            </w:r>
          </w:p>
        </w:tc>
        <w:tc>
          <w:tcPr>
            <w:tcW w:w="1632" w:type="dxa"/>
            <w:vAlign w:val="center"/>
          </w:tcPr>
          <w:p w14:paraId="7EE4121A" w14:textId="77777777" w:rsidR="007A6C11" w:rsidRPr="00C7674D" w:rsidRDefault="00880972">
            <w:pPr>
              <w:spacing w:before="40" w:after="40"/>
              <w:jc w:val="right"/>
              <w:rPr>
                <w:lang w:val="es-419"/>
              </w:rPr>
            </w:pPr>
            <w:r w:rsidRPr="00C7674D">
              <w:rPr>
                <w:rFonts w:ascii="Arial" w:hAnsi="Arial" w:cs="Arial"/>
                <w:sz w:val="18"/>
                <w:szCs w:val="18"/>
                <w:lang w:val="es-419"/>
              </w:rPr>
              <w:t>US$100,000.00</w:t>
            </w:r>
          </w:p>
        </w:tc>
      </w:tr>
      <w:tr w:rsidR="007A6C11" w:rsidRPr="00C7674D" w14:paraId="281D04CD" w14:textId="77777777" w:rsidTr="005C4B61">
        <w:tc>
          <w:tcPr>
            <w:tcW w:w="3510" w:type="dxa"/>
            <w:vAlign w:val="center"/>
          </w:tcPr>
          <w:p w14:paraId="6485EF53" w14:textId="77777777" w:rsidR="007A6C11" w:rsidRPr="00C7674D" w:rsidRDefault="00880972">
            <w:pPr>
              <w:spacing w:before="40" w:after="40"/>
              <w:rPr>
                <w:lang w:val="es-419"/>
              </w:rPr>
            </w:pPr>
            <w:r w:rsidRPr="00C7674D">
              <w:rPr>
                <w:rFonts w:ascii="Arial" w:hAnsi="Arial" w:cs="Arial"/>
                <w:b/>
                <w:sz w:val="18"/>
                <w:szCs w:val="18"/>
                <w:lang w:val="es-419"/>
              </w:rPr>
              <w:t>Total</w:t>
            </w:r>
          </w:p>
        </w:tc>
        <w:tc>
          <w:tcPr>
            <w:tcW w:w="1972" w:type="dxa"/>
            <w:vAlign w:val="center"/>
          </w:tcPr>
          <w:p w14:paraId="013B21B7" w14:textId="77777777" w:rsidR="007A6C11" w:rsidRPr="00C7674D" w:rsidRDefault="00880972">
            <w:pPr>
              <w:spacing w:before="40" w:after="40"/>
              <w:jc w:val="right"/>
              <w:rPr>
                <w:lang w:val="es-419"/>
              </w:rPr>
            </w:pPr>
            <w:r w:rsidRPr="00C7674D">
              <w:rPr>
                <w:rFonts w:ascii="Arial" w:hAnsi="Arial" w:cs="Arial"/>
                <w:b/>
                <w:sz w:val="18"/>
                <w:szCs w:val="18"/>
                <w:lang w:val="es-419"/>
              </w:rPr>
              <w:t>US$300,000.00</w:t>
            </w:r>
          </w:p>
        </w:tc>
        <w:tc>
          <w:tcPr>
            <w:tcW w:w="1526" w:type="dxa"/>
            <w:vAlign w:val="center"/>
          </w:tcPr>
          <w:p w14:paraId="548925CC" w14:textId="77777777" w:rsidR="007A6C11" w:rsidRPr="00C7674D" w:rsidRDefault="00880972">
            <w:pPr>
              <w:spacing w:before="40" w:after="40"/>
              <w:jc w:val="right"/>
              <w:rPr>
                <w:lang w:val="es-419"/>
              </w:rPr>
            </w:pPr>
            <w:r w:rsidRPr="00C7674D">
              <w:rPr>
                <w:rFonts w:ascii="Arial" w:hAnsi="Arial" w:cs="Arial"/>
                <w:b/>
                <w:sz w:val="18"/>
                <w:szCs w:val="18"/>
                <w:lang w:val="es-419"/>
              </w:rPr>
              <w:t>US$0.00</w:t>
            </w:r>
          </w:p>
        </w:tc>
        <w:tc>
          <w:tcPr>
            <w:tcW w:w="1632" w:type="dxa"/>
            <w:vAlign w:val="center"/>
          </w:tcPr>
          <w:p w14:paraId="2C7BE56B" w14:textId="77777777" w:rsidR="007A6C11" w:rsidRPr="00C7674D" w:rsidRDefault="00880972">
            <w:pPr>
              <w:spacing w:before="40" w:after="40"/>
              <w:jc w:val="right"/>
              <w:rPr>
                <w:lang w:val="es-419"/>
              </w:rPr>
            </w:pPr>
            <w:r w:rsidRPr="00C7674D">
              <w:rPr>
                <w:rFonts w:ascii="Arial" w:hAnsi="Arial" w:cs="Arial"/>
                <w:b/>
                <w:sz w:val="18"/>
                <w:szCs w:val="18"/>
                <w:lang w:val="es-419"/>
              </w:rPr>
              <w:t>US$300,000.00</w:t>
            </w:r>
          </w:p>
        </w:tc>
      </w:tr>
    </w:tbl>
    <w:p w14:paraId="7C4DF886"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V.</w:t>
      </w:r>
      <w:r w:rsidRPr="005C4B61">
        <w:rPr>
          <w:rFonts w:ascii="Arial" w:hAnsi="Arial" w:cs="Arial"/>
          <w:b/>
          <w:sz w:val="24"/>
          <w:szCs w:val="24"/>
          <w:lang w:val="es-419"/>
        </w:rPr>
        <w:tab/>
        <w:t>Agencia Ejecutora y Estructura de Ejecución</w:t>
      </w:r>
    </w:p>
    <w:p w14:paraId="56441487" w14:textId="77777777" w:rsidR="007A6C11" w:rsidRPr="00C7674D" w:rsidRDefault="00880972" w:rsidP="00C7674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5.1</w:t>
      </w:r>
      <w:r w:rsidRPr="00C7674D">
        <w:rPr>
          <w:rFonts w:ascii="Arial" w:eastAsia="Arial" w:hAnsi="Arial" w:cs="Arial"/>
          <w:lang w:val="es-419"/>
        </w:rPr>
        <w:tab/>
        <w:t>La Agencia Ejecutora será el Banco a través de la División de Transporte del Departamento de Infraestructura y Energía (INE/TSP). El Banco realizará las contrataciones de conformidad con las Políticas para la Selección y Contratación de Consultores financiados por el BID (GN-2350-15), la Política para la Selección y Contratación de Empresas Consultoras para Trabajo Operativo Ejecutado por el Banco (GN-2765-1) y a la Política de Fuerza de Trabajo Complementaria (AM-650). El Banco contratará los servicios de consultores individuales, firmas consultoras y servicios diferentes de consultoría de conformidad con las políticas y procedimientos vigentes en el Banco.</w:t>
      </w:r>
    </w:p>
    <w:p w14:paraId="4DBDF598" w14:textId="31F59EA9" w:rsidR="007A6C11" w:rsidRPr="00C7674D" w:rsidRDefault="00880972" w:rsidP="00C7674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5.2</w:t>
      </w:r>
      <w:r w:rsidRPr="00C7674D">
        <w:rPr>
          <w:rFonts w:ascii="Arial" w:eastAsia="Arial" w:hAnsi="Arial" w:cs="Arial"/>
          <w:lang w:val="es-419"/>
        </w:rPr>
        <w:tab/>
        <w:t>La División de INE/TSP será el encargado de la preparación y la publicación de solicitudes de expresiones de interés, la elaboración de listas cortas, la preparación y distribución de solicitudes de propuestas, la evaluación y selección de los consultores conforme a los criterios establecidos en las solicitudes de propuestas, y la negociación de los contratos respectivos. Además de los componentes mencionados anteriormente, se espera que el personal del BID brinde conocimiento especializado técnico y de primera mano en las actividades que serán implementadas en los Componentes 1, 2 y 3.</w:t>
      </w:r>
      <w:r w:rsidR="00C7674D" w:rsidRPr="00C7674D">
        <w:rPr>
          <w:rFonts w:ascii="Arial" w:eastAsia="Arial" w:hAnsi="Arial" w:cs="Arial"/>
          <w:lang w:val="es-419"/>
        </w:rPr>
        <w:t xml:space="preserve"> </w:t>
      </w:r>
      <w:r w:rsidRPr="00C7674D">
        <w:rPr>
          <w:rFonts w:ascii="Arial" w:eastAsia="Arial" w:hAnsi="Arial" w:cs="Arial"/>
          <w:lang w:val="es-419"/>
        </w:rPr>
        <w:t>El Banco ejecutará esta CT por solicitud del Gobierno de Haití. La División de Transporte del Departamento de Infraestructura y Energía (INE/TSP) tiene el conocimiento especializado en la prestación de asistencia en los temas de interés relacionados con el objeto de esta CT.</w:t>
      </w:r>
    </w:p>
    <w:p w14:paraId="0B83ADE6"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VI.</w:t>
      </w:r>
      <w:r w:rsidRPr="005C4B61">
        <w:rPr>
          <w:rFonts w:ascii="Arial" w:hAnsi="Arial" w:cs="Arial"/>
          <w:b/>
          <w:sz w:val="24"/>
          <w:szCs w:val="24"/>
          <w:lang w:val="es-419"/>
        </w:rPr>
        <w:tab/>
        <w:t>Riesgos Importantes</w:t>
      </w:r>
    </w:p>
    <w:p w14:paraId="55B316B0" w14:textId="77777777" w:rsidR="007A6C11" w:rsidRPr="00C7674D" w:rsidRDefault="00880972" w:rsidP="00C7674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6.1</w:t>
      </w:r>
      <w:r w:rsidRPr="00C7674D">
        <w:rPr>
          <w:rFonts w:ascii="Arial" w:eastAsia="Arial" w:hAnsi="Arial" w:cs="Arial"/>
          <w:lang w:val="es-419"/>
        </w:rPr>
        <w:tab/>
        <w:t>El principal riesgo que podría afectar a la ejecución de las actividades previstas por esta CT está relacionado con las dificultades que podrían surgir debido al contexto de fragilidad e inseguridad observado en Haití desde 2018. Bajo el contexto actual mundial, también se puede presentar el riesgo de que los proyectos a los que esta CT apoya sufran atrasos o cambios de alcance debido a las complicaciones económicas y de seguridad sanitaria que implica el avance de la pandemia de COVID-19 en el país beneficiario. Para mitigar ambos riesgos, la mayoría de las actividades se llevarán a cabo de forma virtual o a distancia. Las únicas actividades que requerirán una ejecución presencial serán las de apoyo al personal de la CPA, pero si la situación lo requiere, también podrán llevarse a cabo de forma virtual. En cualquier caso, el Banco liderará la coordinación con las distintas instituciones gubernamentales y los consultores contratados, a fin de mitigar riesgos y facilitar la gestión para el adecuado desarrollo de los estudios propuestos.</w:t>
      </w:r>
    </w:p>
    <w:p w14:paraId="527A3860" w14:textId="77777777" w:rsidR="007A6C11" w:rsidRPr="005C4B61" w:rsidRDefault="00880972" w:rsidP="00953F88">
      <w:pPr>
        <w:spacing w:before="160" w:after="160"/>
        <w:ind w:left="360" w:hanging="540"/>
        <w:rPr>
          <w:rFonts w:ascii="Arial" w:hAnsi="Arial" w:cs="Arial"/>
          <w:b/>
          <w:sz w:val="24"/>
          <w:szCs w:val="24"/>
          <w:lang w:val="es-419"/>
        </w:rPr>
      </w:pPr>
      <w:r w:rsidRPr="005C4B61">
        <w:rPr>
          <w:rFonts w:ascii="Arial" w:hAnsi="Arial" w:cs="Arial"/>
          <w:b/>
          <w:sz w:val="24"/>
          <w:szCs w:val="24"/>
          <w:lang w:val="es-419"/>
        </w:rPr>
        <w:t>VII.</w:t>
      </w:r>
      <w:r w:rsidRPr="005C4B61">
        <w:rPr>
          <w:rFonts w:ascii="Arial" w:hAnsi="Arial" w:cs="Arial"/>
          <w:b/>
          <w:sz w:val="24"/>
          <w:szCs w:val="24"/>
          <w:lang w:val="es-419"/>
        </w:rPr>
        <w:tab/>
        <w:t>Salvaguardias Ambientales</w:t>
      </w:r>
    </w:p>
    <w:p w14:paraId="35D19DEE" w14:textId="05BC7F57" w:rsidR="007A6C11" w:rsidRPr="00C7674D" w:rsidRDefault="00880972" w:rsidP="00C7674D">
      <w:pPr>
        <w:pStyle w:val="ListParagraph"/>
        <w:spacing w:before="120" w:after="120" w:line="240" w:lineRule="auto"/>
        <w:ind w:left="360" w:hanging="547"/>
        <w:contextualSpacing w:val="0"/>
        <w:jc w:val="both"/>
        <w:rPr>
          <w:rFonts w:ascii="Arial" w:eastAsia="Arial" w:hAnsi="Arial" w:cs="Arial"/>
          <w:lang w:val="es-419"/>
        </w:rPr>
      </w:pPr>
      <w:r w:rsidRPr="00C7674D">
        <w:rPr>
          <w:rFonts w:ascii="Arial" w:eastAsia="Arial" w:hAnsi="Arial" w:cs="Arial"/>
          <w:lang w:val="es-419"/>
        </w:rPr>
        <w:t>7.1</w:t>
      </w:r>
      <w:r w:rsidRPr="00C7674D">
        <w:rPr>
          <w:rFonts w:ascii="Arial" w:eastAsia="Arial" w:hAnsi="Arial" w:cs="Arial"/>
          <w:lang w:val="es-419"/>
        </w:rPr>
        <w:tab/>
        <w:t>La clasificación ESG para esta operación es "</w:t>
      </w:r>
      <w:r w:rsidR="00C61ACD" w:rsidRPr="00C7674D">
        <w:rPr>
          <w:rFonts w:ascii="Arial" w:eastAsia="Arial" w:hAnsi="Arial" w:cs="Arial"/>
          <w:lang w:val="es-419"/>
        </w:rPr>
        <w:t>N/A</w:t>
      </w:r>
      <w:r w:rsidRPr="00C7674D">
        <w:rPr>
          <w:rFonts w:ascii="Arial" w:eastAsia="Arial" w:hAnsi="Arial" w:cs="Arial"/>
          <w:lang w:val="es-419"/>
        </w:rPr>
        <w:t>".</w:t>
      </w:r>
    </w:p>
    <w:sectPr w:rsidR="007A6C11" w:rsidRPr="00C7674D"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393E" w14:textId="77777777" w:rsidR="00EC7D09" w:rsidRDefault="00EC7D09">
      <w:r>
        <w:separator/>
      </w:r>
    </w:p>
  </w:endnote>
  <w:endnote w:type="continuationSeparator" w:id="0">
    <w:p w14:paraId="072D5E5E" w14:textId="77777777" w:rsidR="00EC7D09" w:rsidRDefault="00EC7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B861" w14:textId="77777777" w:rsidR="007A6C11" w:rsidRDefault="00880972">
    <w:pPr>
      <w:pStyle w:val="FooterStyle"/>
      <w:jc w:val="center"/>
    </w:pPr>
    <w:r>
      <w:t xml:space="preserve"> - </w:t>
    </w:r>
    <w:r>
      <w:fldChar w:fldCharType="begin"/>
    </w:r>
    <w:r>
      <w:instrText xml:space="preserve"> PAGE </w:instrText>
    </w:r>
    <w:r>
      <w:fldChar w:fldCharType="separate"/>
    </w:r>
    <w:r w:rsidR="00C61ACD">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EF847" w14:textId="77777777" w:rsidR="00EC7D09" w:rsidRDefault="00EC7D09">
      <w:r>
        <w:separator/>
      </w:r>
    </w:p>
  </w:footnote>
  <w:footnote w:type="continuationSeparator" w:id="0">
    <w:p w14:paraId="3E128A39" w14:textId="77777777" w:rsidR="00EC7D09" w:rsidRDefault="00EC7D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915A3"/>
    <w:rsid w:val="00217F62"/>
    <w:rsid w:val="005C4B61"/>
    <w:rsid w:val="007A6C11"/>
    <w:rsid w:val="00880972"/>
    <w:rsid w:val="00953F88"/>
    <w:rsid w:val="00A906D8"/>
    <w:rsid w:val="00AB5A74"/>
    <w:rsid w:val="00C61ACD"/>
    <w:rsid w:val="00C7674D"/>
    <w:rsid w:val="00EC7D09"/>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3BA8"/>
  <w15:docId w15:val="{3DD33483-180B-4EB3-8D96-2C3DC8124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ListParagraph">
    <w:name w:val="List Paragraph"/>
    <w:aliases w:val="Source,References,List Paragraph (numbered (a))"/>
    <w:basedOn w:val="Normal"/>
    <w:link w:val="ListParagraphChar"/>
    <w:uiPriority w:val="34"/>
    <w:qFormat/>
    <w:rsid w:val="00C61ACD"/>
    <w:pPr>
      <w:spacing w:after="200" w:line="276" w:lineRule="auto"/>
      <w:ind w:left="720"/>
      <w:contextualSpacing/>
    </w:pPr>
    <w:rPr>
      <w:rFonts w:eastAsiaTheme="minorEastAsia"/>
    </w:rPr>
  </w:style>
  <w:style w:type="character" w:customStyle="1" w:styleId="ListParagraphChar">
    <w:name w:val="List Paragraph Char"/>
    <w:aliases w:val="Source Char,References Char,List Paragraph (numbered (a)) Char"/>
    <w:basedOn w:val="DefaultParagraphFont"/>
    <w:link w:val="ListParagraph"/>
    <w:uiPriority w:val="34"/>
    <w:locked/>
    <w:rsid w:val="00C61AC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AF4C9090E45A6468EDE394C81EF4AB8" ma:contentTypeVersion="0" ma:contentTypeDescription="The base project type from which other project content types inherit their information." ma:contentTypeScope="" ma:versionID="84dd52897149772b35d6f0957bc03583">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INE/TSP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Mix VidalRichard Alexander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W2B</TermName>
          <TermId xmlns="http://schemas.microsoft.com/office/infopath/2007/PartnerControls">ebffcc9d-0346-4a31-99a5-243800cd90bc</TermId>
        </TermInfo>
      </Terms>
    </g511464f9e53401d84b16fa9b379a574>
    <Related_x0020_SisCor_x0020_Number xmlns="cdc7663a-08f0-4737-9e8c-148ce897a09c" xsi:nil="true"/>
    <Transaction_x0020_Type xmlns="cdc7663a-08f0-4737-9e8c-148ce897a09c" xsi:nil="true"/>
    <TaxCatchAll xmlns="cdc7663a-08f0-4737-9e8c-148ce897a09c">
      <Value>31</Value>
      <Value>77</Value>
      <Value>23</Value>
      <Value>22</Value>
      <Value>343</Value>
      <Value>342</Value>
      <Value>1</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HA-T1303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EZSHARE-400671138-6</_dlc_DocId>
    <_dlc_DocIdUrl xmlns="cdc7663a-08f0-4737-9e8c-148ce897a09c">
      <Url>https://idbg.sharepoint.com/teams/EZ-HA-TCP/HA-T1303/_layouts/15/DocIdRedir.aspx?ID=EZSHARE-400671138-6</Url>
      <Description>EZSHARE-400671138-6</Description>
    </_dlc_DocIdUrl>
  </documentManagement>
</p:properties>
</file>

<file path=customXml/itemProps1.xml><?xml version="1.0" encoding="utf-8"?>
<ds:datastoreItem xmlns:ds="http://schemas.openxmlformats.org/officeDocument/2006/customXml" ds:itemID="{E67800F3-0B40-4B31-91A2-EA28D6A471BE}"/>
</file>

<file path=customXml/itemProps2.xml><?xml version="1.0" encoding="utf-8"?>
<ds:datastoreItem xmlns:ds="http://schemas.openxmlformats.org/officeDocument/2006/customXml" ds:itemID="{4D87100A-EF75-4391-8853-C06111A5FC4E}"/>
</file>

<file path=customXml/itemProps3.xml><?xml version="1.0" encoding="utf-8"?>
<ds:datastoreItem xmlns:ds="http://schemas.openxmlformats.org/officeDocument/2006/customXml" ds:itemID="{C3AD41DA-2458-4F28-80A7-BFA7A1982751}"/>
</file>

<file path=customXml/itemProps4.xml><?xml version="1.0" encoding="utf-8"?>
<ds:datastoreItem xmlns:ds="http://schemas.openxmlformats.org/officeDocument/2006/customXml" ds:itemID="{0C5B7D3D-B4DC-4306-A3DD-3DB166ACD7BA}"/>
</file>

<file path=customXml/itemProps5.xml><?xml version="1.0" encoding="utf-8"?>
<ds:datastoreItem xmlns:ds="http://schemas.openxmlformats.org/officeDocument/2006/customXml" ds:itemID="{84EF6431-FDDF-4270-8CC8-1853F4F6733E}"/>
</file>

<file path=customXml/itemProps6.xml><?xml version="1.0" encoding="utf-8"?>
<ds:datastoreItem xmlns:ds="http://schemas.openxmlformats.org/officeDocument/2006/customXml" ds:itemID="{B3A6609D-403F-4C5E-9ACC-5439FC0E261E}"/>
</file>

<file path=docProps/app.xml><?xml version="1.0" encoding="utf-8"?>
<Properties xmlns="http://schemas.openxmlformats.org/officeDocument/2006/extended-properties" xmlns:vt="http://schemas.openxmlformats.org/officeDocument/2006/docPropsVTypes">
  <Template>Normal</Template>
  <TotalTime>17</TotalTime>
  <Pages>3</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TC Abstract</cp:keywords>
  <cp:lastModifiedBy>Mix Vidal, Richard Alexander</cp:lastModifiedBy>
  <cp:revision>2</cp:revision>
  <dcterms:created xsi:type="dcterms:W3CDTF">2022-04-07T21:35:00Z</dcterms:created>
  <dcterms:modified xsi:type="dcterms:W3CDTF">2022-04-07T22:07:00Z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0x010100ACF722E9F6B0B149B0CD8BE2560A667200FAF4C9090E45A6468EDE394C81EF4AB8</vt:lpwstr>
  </property>
  <property fmtid="{D5CDD505-2E9C-101B-9397-08002B2CF9AE}" pid="3" name="TaxKeyword">
    <vt:lpwstr>343;#TC Abstract|5aaf4f01-1e04-4972-90ce-d5c4f8217e8d</vt:lpwstr>
  </property>
  <property fmtid="{D5CDD505-2E9C-101B-9397-08002B2CF9AE}" pid="4" name="Sub_x002d_Sector">
    <vt:lpwstr/>
  </property>
  <property fmtid="{D5CDD505-2E9C-101B-9397-08002B2CF9AE}" pid="5" name="TaxKeywordTaxHTField">
    <vt:lpwstr>TC Abstract|5aaf4f01-1e04-4972-90ce-d5c4f8217e8d</vt:lpwstr>
  </property>
  <property fmtid="{D5CDD505-2E9C-101B-9397-08002B2CF9AE}" pid="6" name="Country">
    <vt:lpwstr>23;#Haiti|77a11ace-c854-4e9c-9e19-c924bca0dd43</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77;#MAJOR HIGHWAYS|59b49cf2-c4cd-4316-ac14-b3a0ffc7d51d</vt:lpwstr>
  </property>
  <property fmtid="{D5CDD505-2E9C-101B-9397-08002B2CF9AE}" pid="12" name="Series Operations IDB">
    <vt:lpwstr>22;#TC Abstract|7d12d2c9-3b07-4a95-a4b4-99c2881b0472</vt:lpwstr>
  </property>
  <property fmtid="{D5CDD505-2E9C-101B-9397-08002B2CF9AE}" pid="13" name="Fund IDB">
    <vt:lpwstr>342;#W2B|ebffcc9d-0346-4a31-99a5-243800cd90bc</vt:lpwstr>
  </property>
  <property fmtid="{D5CDD505-2E9C-101B-9397-08002B2CF9AE}" pid="14" name="Sector IDB">
    <vt:lpwstr>31;#TRANSPORT|5a25d1a8-4baf-41a8-9e3b-e167accda6ea</vt:lpwstr>
  </property>
  <property fmtid="{D5CDD505-2E9C-101B-9397-08002B2CF9AE}" pid="15" name="_dlc_DocIdItemGuid">
    <vt:lpwstr>c87159d8-3242-4670-841b-5145468dd7b6</vt:lpwstr>
  </property>
  <property fmtid="{D5CDD505-2E9C-101B-9397-08002B2CF9AE}" pid="16" name="Disclosure Activity">
    <vt:lpwstr>TC Abstract</vt:lpwstr>
  </property>
  <property fmtid="{D5CDD505-2E9C-101B-9397-08002B2CF9AE}" pid="17" name="Webtopic">
    <vt:lpwstr/>
  </property>
</Properties>
</file>