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A03FC" w14:textId="77777777" w:rsidR="00F10D9A" w:rsidRPr="00D03701" w:rsidRDefault="00F10D9A">
      <w:pPr>
        <w:spacing w:before="120" w:after="120" w:line="240" w:lineRule="auto"/>
        <w:jc w:val="center"/>
        <w:rPr>
          <w:rFonts w:ascii="Arial" w:hAnsi="Arial" w:cs="Arial"/>
          <w:lang w:val="es-ES_tradnl"/>
        </w:rPr>
      </w:pPr>
    </w:p>
    <w:p w14:paraId="3AE7C339" w14:textId="77777777" w:rsidR="00F10D9A" w:rsidRPr="00D03701" w:rsidRDefault="00F10D9A">
      <w:pPr>
        <w:spacing w:before="120" w:after="120" w:line="240" w:lineRule="auto"/>
        <w:jc w:val="center"/>
        <w:rPr>
          <w:rFonts w:ascii="Arial" w:hAnsi="Arial" w:cs="Arial"/>
          <w:lang w:val="es-ES_tradnl"/>
        </w:rPr>
      </w:pPr>
    </w:p>
    <w:p w14:paraId="68393207" w14:textId="77777777" w:rsidR="00F10D9A" w:rsidRPr="00D03701" w:rsidRDefault="00F10D9A">
      <w:pPr>
        <w:spacing w:before="120" w:after="120" w:line="240" w:lineRule="auto"/>
        <w:jc w:val="center"/>
        <w:rPr>
          <w:rFonts w:ascii="Arial" w:hAnsi="Arial" w:cs="Arial"/>
          <w:b/>
          <w:lang w:val="es-ES_tradnl"/>
        </w:rPr>
      </w:pPr>
    </w:p>
    <w:p w14:paraId="75412BF4" w14:textId="77492B86" w:rsidR="00F10D9A" w:rsidRPr="00440233" w:rsidRDefault="00440233">
      <w:pPr>
        <w:pStyle w:val="SubSubPar"/>
        <w:tabs>
          <w:tab w:val="clear" w:pos="1152"/>
        </w:tabs>
        <w:jc w:val="center"/>
        <w:outlineLvl w:val="9"/>
        <w:rPr>
          <w:rFonts w:ascii="Arial" w:hAnsi="Arial" w:cs="Arial"/>
          <w:smallCaps/>
          <w:sz w:val="28"/>
          <w:szCs w:val="22"/>
          <w:lang w:val="es-ES_tradnl"/>
        </w:rPr>
      </w:pPr>
      <w:r w:rsidRPr="00440233">
        <w:rPr>
          <w:rFonts w:ascii="Arial" w:hAnsi="Arial" w:cs="Arial"/>
          <w:smallCaps/>
          <w:sz w:val="28"/>
          <w:szCs w:val="22"/>
          <w:lang w:val="es-ES_tradnl"/>
        </w:rPr>
        <w:t>Documento del Banco Interamericano de Desarrollo</w:t>
      </w:r>
    </w:p>
    <w:p w14:paraId="604021AE" w14:textId="77777777" w:rsidR="00F10D9A" w:rsidRPr="00440233" w:rsidRDefault="00F10D9A">
      <w:pPr>
        <w:spacing w:before="120" w:after="120" w:line="240" w:lineRule="auto"/>
        <w:jc w:val="center"/>
        <w:rPr>
          <w:rFonts w:ascii="Arial" w:hAnsi="Arial" w:cs="Arial"/>
          <w:b/>
          <w:sz w:val="28"/>
          <w:lang w:val="es-ES_tradnl"/>
        </w:rPr>
      </w:pPr>
    </w:p>
    <w:p w14:paraId="1758FBBC" w14:textId="77777777" w:rsidR="00F10D9A" w:rsidRPr="00D03701" w:rsidRDefault="00F10D9A">
      <w:pPr>
        <w:spacing w:before="120" w:after="120" w:line="240" w:lineRule="auto"/>
        <w:jc w:val="center"/>
        <w:rPr>
          <w:rFonts w:ascii="Arial" w:hAnsi="Arial" w:cs="Arial"/>
          <w:b/>
          <w:lang w:val="es-ES_tradnl"/>
        </w:rPr>
      </w:pPr>
    </w:p>
    <w:p w14:paraId="4BBE27E0" w14:textId="77777777" w:rsidR="00F10D9A" w:rsidRPr="00D03701" w:rsidRDefault="00F10D9A">
      <w:pPr>
        <w:spacing w:before="120" w:after="120" w:line="240" w:lineRule="auto"/>
        <w:jc w:val="center"/>
        <w:rPr>
          <w:rFonts w:ascii="Arial" w:hAnsi="Arial" w:cs="Arial"/>
          <w:b/>
          <w:lang w:val="es-ES_tradnl"/>
        </w:rPr>
      </w:pPr>
    </w:p>
    <w:p w14:paraId="590C8847" w14:textId="77777777" w:rsidR="00F10D9A" w:rsidRPr="00D03701" w:rsidRDefault="00F10D9A">
      <w:pPr>
        <w:spacing w:before="120" w:after="120" w:line="240" w:lineRule="auto"/>
        <w:jc w:val="center"/>
        <w:rPr>
          <w:rFonts w:ascii="Arial" w:hAnsi="Arial" w:cs="Arial"/>
          <w:b/>
          <w:lang w:val="es-ES_tradnl"/>
        </w:rPr>
      </w:pPr>
    </w:p>
    <w:p w14:paraId="66A9DCF5" w14:textId="77777777" w:rsidR="00F10D9A" w:rsidRPr="00D03701" w:rsidRDefault="00F10D9A">
      <w:pPr>
        <w:spacing w:before="120" w:after="120" w:line="240" w:lineRule="auto"/>
        <w:jc w:val="center"/>
        <w:rPr>
          <w:rFonts w:ascii="Arial" w:hAnsi="Arial" w:cs="Arial"/>
          <w:b/>
          <w:lang w:val="es-ES_tradnl"/>
        </w:rPr>
      </w:pPr>
    </w:p>
    <w:p w14:paraId="1D8E97F8" w14:textId="77777777" w:rsidR="00F10D9A" w:rsidRPr="00D03701" w:rsidRDefault="00F10D9A">
      <w:pPr>
        <w:spacing w:before="120" w:after="120" w:line="240" w:lineRule="auto"/>
        <w:jc w:val="center"/>
        <w:rPr>
          <w:rFonts w:ascii="Arial" w:hAnsi="Arial" w:cs="Arial"/>
          <w:b/>
          <w:lang w:val="es-ES_tradnl"/>
        </w:rPr>
      </w:pPr>
    </w:p>
    <w:p w14:paraId="0268CD54" w14:textId="77777777" w:rsidR="00F10D9A" w:rsidRPr="00440233" w:rsidRDefault="0069601C">
      <w:pPr>
        <w:spacing w:before="120" w:after="120" w:line="240" w:lineRule="auto"/>
        <w:jc w:val="center"/>
        <w:rPr>
          <w:rFonts w:ascii="Arial" w:hAnsi="Arial" w:cs="Arial"/>
          <w:b/>
          <w:smallCaps/>
          <w:sz w:val="28"/>
          <w:lang w:val="es-ES_tradnl"/>
        </w:rPr>
      </w:pPr>
      <w:r w:rsidRPr="00440233">
        <w:rPr>
          <w:rFonts w:ascii="Arial" w:hAnsi="Arial" w:cs="Arial"/>
          <w:b/>
          <w:smallCaps/>
          <w:sz w:val="28"/>
          <w:lang w:val="es-ES_tradnl"/>
        </w:rPr>
        <w:t>Perú</w:t>
      </w:r>
    </w:p>
    <w:p w14:paraId="0999C6E4" w14:textId="77777777" w:rsidR="00F10D9A" w:rsidRPr="00440233" w:rsidRDefault="00F10D9A">
      <w:pPr>
        <w:spacing w:before="120" w:after="120" w:line="240" w:lineRule="auto"/>
        <w:jc w:val="center"/>
        <w:rPr>
          <w:rFonts w:ascii="Arial" w:hAnsi="Arial" w:cs="Arial"/>
          <w:b/>
          <w:smallCaps/>
          <w:sz w:val="28"/>
          <w:lang w:val="es-ES_tradnl"/>
        </w:rPr>
      </w:pPr>
    </w:p>
    <w:p w14:paraId="6B6FD538" w14:textId="77777777" w:rsidR="00F10D9A" w:rsidRPr="00440233" w:rsidRDefault="00F10D9A">
      <w:pPr>
        <w:spacing w:before="120" w:after="120" w:line="240" w:lineRule="auto"/>
        <w:jc w:val="center"/>
        <w:rPr>
          <w:rFonts w:ascii="Arial" w:hAnsi="Arial" w:cs="Arial"/>
          <w:b/>
          <w:smallCaps/>
          <w:sz w:val="28"/>
          <w:lang w:val="es-ES_tradnl"/>
        </w:rPr>
      </w:pPr>
    </w:p>
    <w:p w14:paraId="74D0E189" w14:textId="77777777" w:rsidR="00F10D9A" w:rsidRPr="00440233" w:rsidRDefault="00F10D9A">
      <w:pPr>
        <w:spacing w:before="120" w:after="120" w:line="240" w:lineRule="auto"/>
        <w:jc w:val="center"/>
        <w:rPr>
          <w:rFonts w:ascii="Arial" w:hAnsi="Arial" w:cs="Arial"/>
          <w:b/>
          <w:smallCaps/>
          <w:sz w:val="28"/>
          <w:lang w:val="es-ES_tradnl"/>
        </w:rPr>
      </w:pPr>
    </w:p>
    <w:p w14:paraId="0C694C3E" w14:textId="77777777" w:rsidR="008A274A" w:rsidRPr="00440233" w:rsidRDefault="008A274A" w:rsidP="008A274A">
      <w:pPr>
        <w:spacing w:before="120" w:after="120" w:line="240" w:lineRule="auto"/>
        <w:jc w:val="center"/>
        <w:rPr>
          <w:rFonts w:ascii="Arial" w:hAnsi="Arial" w:cs="Arial"/>
          <w:b/>
          <w:smallCaps/>
          <w:sz w:val="28"/>
          <w:lang w:val="es-ES_tradnl"/>
        </w:rPr>
      </w:pPr>
    </w:p>
    <w:p w14:paraId="3E9EA996" w14:textId="77777777" w:rsidR="004B006B" w:rsidRPr="00440233" w:rsidRDefault="004B006B" w:rsidP="004B006B">
      <w:pPr>
        <w:spacing w:before="120" w:after="120" w:line="240" w:lineRule="auto"/>
        <w:jc w:val="center"/>
        <w:rPr>
          <w:rFonts w:ascii="Arial" w:hAnsi="Arial" w:cs="Arial"/>
          <w:b/>
          <w:smallCaps/>
          <w:sz w:val="28"/>
          <w:lang w:val="es-ES_tradnl"/>
        </w:rPr>
      </w:pPr>
    </w:p>
    <w:p w14:paraId="67DCA8C5" w14:textId="2BB36905" w:rsidR="004B006B" w:rsidRPr="00440233" w:rsidRDefault="00440233" w:rsidP="004B006B">
      <w:pPr>
        <w:spacing w:before="120" w:after="120" w:line="240" w:lineRule="auto"/>
        <w:jc w:val="center"/>
        <w:rPr>
          <w:rFonts w:ascii="Arial" w:hAnsi="Arial" w:cs="Arial"/>
          <w:b/>
          <w:smallCaps/>
          <w:sz w:val="28"/>
          <w:lang w:val="es-ES_tradnl"/>
        </w:rPr>
      </w:pPr>
      <w:r w:rsidRPr="00440233">
        <w:rPr>
          <w:rFonts w:ascii="Arial" w:hAnsi="Arial" w:cs="Arial"/>
          <w:b/>
          <w:smallCaps/>
          <w:sz w:val="28"/>
          <w:lang w:val="es-ES_tradnl"/>
        </w:rPr>
        <w:t>Proyecto de Mejoramiento de l</w:t>
      </w:r>
      <w:r w:rsidR="00084E2C">
        <w:rPr>
          <w:rFonts w:ascii="Arial" w:hAnsi="Arial" w:cs="Arial"/>
          <w:b/>
          <w:smallCaps/>
          <w:sz w:val="28"/>
          <w:lang w:val="es-ES_tradnl"/>
        </w:rPr>
        <w:t xml:space="preserve">os Servicios de Recaudación </w:t>
      </w:r>
      <w:r w:rsidRPr="00440233">
        <w:rPr>
          <w:rFonts w:ascii="Arial" w:hAnsi="Arial" w:cs="Arial"/>
          <w:b/>
          <w:smallCaps/>
          <w:sz w:val="28"/>
          <w:lang w:val="es-ES_tradnl"/>
        </w:rPr>
        <w:t xml:space="preserve">Tributaria y Aduanera a </w:t>
      </w:r>
      <w:r w:rsidR="00084E2C">
        <w:rPr>
          <w:rFonts w:ascii="Arial" w:hAnsi="Arial" w:cs="Arial"/>
          <w:b/>
          <w:smallCaps/>
          <w:sz w:val="28"/>
          <w:lang w:val="es-ES_tradnl"/>
        </w:rPr>
        <w:t>t</w:t>
      </w:r>
      <w:bookmarkStart w:id="0" w:name="_GoBack"/>
      <w:bookmarkEnd w:id="0"/>
      <w:r w:rsidRPr="00440233">
        <w:rPr>
          <w:rFonts w:ascii="Arial" w:hAnsi="Arial" w:cs="Arial"/>
          <w:b/>
          <w:smallCaps/>
          <w:sz w:val="28"/>
          <w:lang w:val="es-ES_tradnl"/>
        </w:rPr>
        <w:t>ravés de la Transformación Digital</w:t>
      </w:r>
    </w:p>
    <w:p w14:paraId="17438022" w14:textId="77777777" w:rsidR="004B006B" w:rsidRPr="00440233" w:rsidRDefault="004B006B" w:rsidP="004B006B">
      <w:pPr>
        <w:spacing w:before="120" w:after="120" w:line="240" w:lineRule="auto"/>
        <w:jc w:val="center"/>
        <w:rPr>
          <w:rFonts w:ascii="Arial" w:hAnsi="Arial" w:cs="Arial"/>
          <w:b/>
          <w:smallCaps/>
          <w:sz w:val="28"/>
          <w:lang w:val="es-ES_tradnl"/>
        </w:rPr>
      </w:pPr>
    </w:p>
    <w:p w14:paraId="139767C7" w14:textId="13E5B7CB" w:rsidR="00F10D9A" w:rsidRPr="00440233" w:rsidRDefault="004B006B" w:rsidP="004B006B">
      <w:pPr>
        <w:spacing w:before="120" w:after="120" w:line="240" w:lineRule="auto"/>
        <w:jc w:val="center"/>
        <w:rPr>
          <w:rFonts w:ascii="Arial" w:hAnsi="Arial" w:cs="Arial"/>
          <w:sz w:val="28"/>
          <w:lang w:val="es-ES_tradnl"/>
        </w:rPr>
      </w:pPr>
      <w:r w:rsidRPr="00440233">
        <w:rPr>
          <w:rFonts w:ascii="Arial" w:hAnsi="Arial" w:cs="Arial"/>
          <w:b/>
          <w:smallCaps/>
          <w:sz w:val="28"/>
          <w:lang w:val="es-ES_tradnl"/>
        </w:rPr>
        <w:t>(PE-L1</w:t>
      </w:r>
      <w:r w:rsidR="00CA233C" w:rsidRPr="00440233">
        <w:rPr>
          <w:rFonts w:ascii="Arial" w:hAnsi="Arial" w:cs="Arial"/>
          <w:b/>
          <w:smallCaps/>
          <w:sz w:val="28"/>
          <w:lang w:val="es-ES_tradnl"/>
        </w:rPr>
        <w:t>2</w:t>
      </w:r>
      <w:r w:rsidRPr="00440233">
        <w:rPr>
          <w:rFonts w:ascii="Arial" w:hAnsi="Arial" w:cs="Arial"/>
          <w:b/>
          <w:smallCaps/>
          <w:sz w:val="28"/>
          <w:lang w:val="es-ES_tradnl"/>
        </w:rPr>
        <w:t>39)</w:t>
      </w:r>
    </w:p>
    <w:p w14:paraId="32750573" w14:textId="77777777" w:rsidR="00F10D9A" w:rsidRPr="00440233" w:rsidRDefault="00F10D9A">
      <w:pPr>
        <w:spacing w:before="120" w:after="120" w:line="240" w:lineRule="auto"/>
        <w:jc w:val="center"/>
        <w:rPr>
          <w:rFonts w:ascii="Arial" w:hAnsi="Arial" w:cs="Arial"/>
          <w:sz w:val="28"/>
          <w:lang w:val="es-ES_tradnl"/>
        </w:rPr>
      </w:pPr>
    </w:p>
    <w:p w14:paraId="4E5EE38B" w14:textId="77777777" w:rsidR="00F10D9A" w:rsidRPr="00440233" w:rsidRDefault="00F10D9A">
      <w:pPr>
        <w:spacing w:before="120" w:after="120" w:line="240" w:lineRule="auto"/>
        <w:jc w:val="center"/>
        <w:rPr>
          <w:rFonts w:ascii="Arial" w:hAnsi="Arial" w:cs="Arial"/>
          <w:sz w:val="28"/>
          <w:lang w:val="es-ES_tradnl"/>
        </w:rPr>
      </w:pPr>
    </w:p>
    <w:p w14:paraId="294C3260" w14:textId="77777777" w:rsidR="00F10D9A" w:rsidRPr="00440233" w:rsidRDefault="007E781F">
      <w:pPr>
        <w:tabs>
          <w:tab w:val="left" w:pos="1440"/>
          <w:tab w:val="left" w:pos="3060"/>
        </w:tabs>
        <w:spacing w:before="120" w:after="120" w:line="240" w:lineRule="auto"/>
        <w:jc w:val="center"/>
        <w:rPr>
          <w:rFonts w:ascii="Arial" w:hAnsi="Arial" w:cs="Arial"/>
          <w:b/>
          <w:smallCaps/>
          <w:sz w:val="28"/>
          <w:lang w:val="es-ES_tradnl"/>
        </w:rPr>
      </w:pPr>
      <w:r w:rsidRPr="00440233">
        <w:rPr>
          <w:rFonts w:ascii="Arial" w:hAnsi="Arial" w:cs="Arial"/>
          <w:b/>
          <w:smallCaps/>
          <w:sz w:val="28"/>
          <w:lang w:val="es-ES_tradnl"/>
        </w:rPr>
        <w:t xml:space="preserve">Análisis Económico </w:t>
      </w:r>
    </w:p>
    <w:p w14:paraId="6B354F69" w14:textId="77777777" w:rsidR="00F10D9A" w:rsidRPr="00D03701" w:rsidRDefault="00F10D9A">
      <w:pPr>
        <w:spacing w:before="120" w:after="120" w:line="240" w:lineRule="auto"/>
        <w:jc w:val="center"/>
        <w:rPr>
          <w:rFonts w:ascii="Arial" w:hAnsi="Arial" w:cs="Arial"/>
          <w:lang w:val="es-ES_tradnl"/>
        </w:rPr>
      </w:pPr>
    </w:p>
    <w:p w14:paraId="7734545F" w14:textId="77777777" w:rsidR="00F10D9A" w:rsidRPr="00D03701" w:rsidRDefault="00F10D9A">
      <w:pPr>
        <w:spacing w:before="120" w:after="120" w:line="240" w:lineRule="auto"/>
        <w:jc w:val="center"/>
        <w:rPr>
          <w:rFonts w:ascii="Arial" w:hAnsi="Arial" w:cs="Arial"/>
          <w:lang w:val="es-ES_tradnl"/>
        </w:rPr>
      </w:pPr>
    </w:p>
    <w:p w14:paraId="3C4977A7" w14:textId="77777777" w:rsidR="00F10D9A" w:rsidRPr="00D03701" w:rsidRDefault="00F10D9A">
      <w:pPr>
        <w:spacing w:before="120" w:after="120" w:line="240" w:lineRule="auto"/>
        <w:jc w:val="center"/>
        <w:rPr>
          <w:rFonts w:ascii="Arial" w:hAnsi="Arial" w:cs="Arial"/>
          <w:lang w:val="es-ES_tradnl"/>
        </w:rPr>
      </w:pPr>
    </w:p>
    <w:p w14:paraId="69801A9B" w14:textId="77777777" w:rsidR="00F10D9A" w:rsidRPr="00D03701" w:rsidRDefault="00F10D9A">
      <w:pPr>
        <w:spacing w:before="120" w:after="120" w:line="240" w:lineRule="auto"/>
        <w:jc w:val="center"/>
        <w:rPr>
          <w:rFonts w:ascii="Arial" w:hAnsi="Arial" w:cs="Arial"/>
          <w:lang w:val="es-ES_tradnl"/>
        </w:rPr>
      </w:pPr>
    </w:p>
    <w:tbl>
      <w:tblPr>
        <w:tblStyle w:val="TableGrid"/>
        <w:tblW w:w="0" w:type="auto"/>
        <w:tblLook w:val="04A0" w:firstRow="1" w:lastRow="0" w:firstColumn="1" w:lastColumn="0" w:noHBand="0" w:noVBand="1"/>
      </w:tblPr>
      <w:tblGrid>
        <w:gridCol w:w="8630"/>
      </w:tblGrid>
      <w:tr w:rsidR="00F10D9A" w:rsidRPr="00BE7955" w14:paraId="246A2942" w14:textId="77777777">
        <w:tc>
          <w:tcPr>
            <w:tcW w:w="9242" w:type="dxa"/>
          </w:tcPr>
          <w:p w14:paraId="72899D73" w14:textId="77777777" w:rsidR="00F10D9A" w:rsidRPr="00D03701" w:rsidRDefault="007E781F">
            <w:pPr>
              <w:spacing w:before="120" w:after="120"/>
              <w:ind w:left="-90"/>
              <w:jc w:val="both"/>
              <w:rPr>
                <w:rFonts w:ascii="Arial" w:hAnsi="Arial" w:cs="Arial"/>
                <w:lang w:val="es-ES_tradnl"/>
              </w:rPr>
            </w:pPr>
            <w:r w:rsidRPr="00D03701">
              <w:rPr>
                <w:rFonts w:ascii="Arial" w:hAnsi="Arial" w:cs="Arial"/>
                <w:color w:val="000000"/>
                <w:lang w:val="es-ES_tradnl"/>
              </w:rPr>
              <w:t>Este documento fue preparado por el equipo de proyecto compuesto por: Marcio Cracel (Consultor independiente</w:t>
            </w:r>
            <w:r w:rsidR="001214C6" w:rsidRPr="00D03701">
              <w:rPr>
                <w:rFonts w:ascii="Arial" w:hAnsi="Arial" w:cs="Arial"/>
                <w:color w:val="000000"/>
                <w:lang w:val="es-ES_tradnl"/>
              </w:rPr>
              <w:t>)</w:t>
            </w:r>
            <w:r w:rsidRPr="00D03701">
              <w:rPr>
                <w:rFonts w:ascii="Arial" w:hAnsi="Arial" w:cs="Arial"/>
                <w:color w:val="000000"/>
                <w:lang w:val="es-ES_tradnl"/>
              </w:rPr>
              <w:t xml:space="preserve"> en cooperación con </w:t>
            </w:r>
            <w:r w:rsidR="0069601C" w:rsidRPr="00D03701">
              <w:rPr>
                <w:rFonts w:ascii="Arial" w:hAnsi="Arial" w:cs="Arial"/>
                <w:color w:val="000000"/>
                <w:lang w:val="es-ES_tradnl"/>
              </w:rPr>
              <w:t xml:space="preserve">Agnes Rojas y </w:t>
            </w:r>
            <w:r w:rsidR="00A55FE8" w:rsidRPr="00D03701">
              <w:rPr>
                <w:rFonts w:ascii="Arial" w:hAnsi="Arial" w:cs="Arial"/>
                <w:color w:val="000000"/>
                <w:lang w:val="es-ES_tradnl"/>
              </w:rPr>
              <w:t>José Larios</w:t>
            </w:r>
            <w:r w:rsidRPr="00D03701">
              <w:rPr>
                <w:rFonts w:ascii="Arial" w:hAnsi="Arial" w:cs="Arial"/>
                <w:color w:val="000000"/>
                <w:lang w:val="es-ES_tradnl"/>
              </w:rPr>
              <w:t xml:space="preserve"> (FMM/C</w:t>
            </w:r>
            <w:r w:rsidR="00A55FE8" w:rsidRPr="00D03701">
              <w:rPr>
                <w:rFonts w:ascii="Arial" w:hAnsi="Arial" w:cs="Arial"/>
                <w:color w:val="000000"/>
                <w:lang w:val="es-ES_tradnl"/>
              </w:rPr>
              <w:t>PE</w:t>
            </w:r>
            <w:r w:rsidRPr="00D03701">
              <w:rPr>
                <w:rFonts w:ascii="Arial" w:hAnsi="Arial" w:cs="Arial"/>
                <w:color w:val="000000"/>
                <w:lang w:val="es-ES_tradnl"/>
              </w:rPr>
              <w:t xml:space="preserve">). </w:t>
            </w:r>
          </w:p>
        </w:tc>
      </w:tr>
    </w:tbl>
    <w:p w14:paraId="17BD92C9" w14:textId="77777777" w:rsidR="00F10D9A" w:rsidRPr="00D03701" w:rsidRDefault="00F10D9A">
      <w:pPr>
        <w:rPr>
          <w:rFonts w:ascii="Arial" w:hAnsi="Arial" w:cs="Arial"/>
          <w:lang w:val="es-ES_tradnl"/>
        </w:rPr>
      </w:pPr>
    </w:p>
    <w:p w14:paraId="5EB4D946" w14:textId="77777777" w:rsidR="00F10D9A" w:rsidRPr="00D03701" w:rsidRDefault="007E781F">
      <w:pPr>
        <w:rPr>
          <w:rFonts w:ascii="Arial" w:hAnsi="Arial" w:cs="Arial"/>
          <w:lang w:val="es-ES_tradnl"/>
        </w:rPr>
        <w:sectPr w:rsidR="00F10D9A" w:rsidRPr="00D03701" w:rsidSect="00440233">
          <w:headerReference w:type="default" r:id="rId13"/>
          <w:pgSz w:w="12240" w:h="15840" w:code="1"/>
          <w:pgMar w:top="1440" w:right="1800" w:bottom="1440" w:left="1800" w:header="720" w:footer="720" w:gutter="0"/>
          <w:pgNumType w:start="1"/>
          <w:cols w:space="720"/>
          <w:titlePg/>
          <w:docGrid w:linePitch="360"/>
        </w:sectPr>
      </w:pPr>
      <w:r w:rsidRPr="00D03701">
        <w:rPr>
          <w:rFonts w:ascii="Arial" w:hAnsi="Arial" w:cs="Arial"/>
          <w:lang w:val="es-ES_tradnl"/>
        </w:rPr>
        <w:br w:type="page"/>
      </w:r>
    </w:p>
    <w:p w14:paraId="5B002B5E" w14:textId="77777777" w:rsidR="00F10D9A" w:rsidRPr="00D03701" w:rsidRDefault="00F10D9A">
      <w:pPr>
        <w:rPr>
          <w:rFonts w:ascii="Arial" w:hAnsi="Arial" w:cs="Arial"/>
          <w:lang w:val="es-ES_tradnl"/>
        </w:rPr>
      </w:pPr>
    </w:p>
    <w:p w14:paraId="308CA64B" w14:textId="77777777" w:rsidR="00F10D9A" w:rsidRPr="00D03701" w:rsidRDefault="00F10D9A">
      <w:pPr>
        <w:rPr>
          <w:rFonts w:ascii="Arial" w:hAnsi="Arial" w:cs="Arial"/>
          <w:lang w:val="es-ES_tradnl"/>
        </w:rPr>
      </w:pPr>
    </w:p>
    <w:sdt>
      <w:sdtPr>
        <w:rPr>
          <w:rFonts w:ascii="Arial" w:hAnsi="Arial" w:cs="Arial"/>
          <w:lang w:val="es-ES_tradnl"/>
        </w:rPr>
        <w:id w:val="2121254010"/>
        <w:docPartObj>
          <w:docPartGallery w:val="Table of Contents"/>
          <w:docPartUnique/>
        </w:docPartObj>
      </w:sdtPr>
      <w:sdtEndPr>
        <w:rPr>
          <w:b/>
          <w:bCs/>
        </w:rPr>
      </w:sdtEndPr>
      <w:sdtContent>
        <w:p w14:paraId="1ED4495D" w14:textId="77777777" w:rsidR="00F10D9A" w:rsidRPr="00D03701" w:rsidRDefault="007E781F">
          <w:pPr>
            <w:rPr>
              <w:rFonts w:ascii="Arial" w:hAnsi="Arial" w:cs="Arial"/>
              <w:b/>
              <w:smallCaps/>
              <w:lang w:val="es-ES_tradnl"/>
            </w:rPr>
          </w:pPr>
          <w:r w:rsidRPr="00D03701">
            <w:rPr>
              <w:rFonts w:ascii="Arial" w:hAnsi="Arial" w:cs="Arial"/>
              <w:b/>
              <w:lang w:val="es-ES_tradnl"/>
            </w:rPr>
            <w:t>Contenidos</w:t>
          </w:r>
        </w:p>
        <w:p w14:paraId="510F3E84" w14:textId="77777777" w:rsidR="0069601C" w:rsidRPr="00D03701" w:rsidRDefault="007E781F">
          <w:pPr>
            <w:pStyle w:val="TOC1"/>
            <w:rPr>
              <w:rFonts w:ascii="Arial" w:hAnsi="Arial" w:cs="Arial"/>
              <w:lang w:val="es-ES_tradnl"/>
            </w:rPr>
          </w:pPr>
          <w:r w:rsidRPr="00D03701">
            <w:rPr>
              <w:rFonts w:ascii="Arial" w:hAnsi="Arial" w:cs="Arial"/>
              <w:lang w:val="es-ES_tradnl"/>
            </w:rPr>
            <w:fldChar w:fldCharType="begin"/>
          </w:r>
          <w:r w:rsidRPr="00D03701">
            <w:rPr>
              <w:rFonts w:ascii="Arial" w:hAnsi="Arial" w:cs="Arial"/>
              <w:lang w:val="es-ES_tradnl"/>
            </w:rPr>
            <w:instrText xml:space="preserve"> TOC \o "1-3" \h \z \u </w:instrText>
          </w:r>
          <w:r w:rsidRPr="00D03701">
            <w:rPr>
              <w:rFonts w:ascii="Arial" w:hAnsi="Arial" w:cs="Arial"/>
              <w:lang w:val="es-ES_tradnl"/>
            </w:rPr>
            <w:fldChar w:fldCharType="separate"/>
          </w:r>
          <w:hyperlink w:anchor="_Toc522741991" w:history="1">
            <w:r w:rsidR="0069601C" w:rsidRPr="00D03701">
              <w:rPr>
                <w:rStyle w:val="Hyperlink"/>
                <w:rFonts w:ascii="Arial" w:hAnsi="Arial" w:cs="Arial"/>
                <w:lang w:val="es-ES_tradnl"/>
              </w:rPr>
              <w:t>I.</w:t>
            </w:r>
            <w:r w:rsidR="0069601C" w:rsidRPr="00D03701">
              <w:rPr>
                <w:rFonts w:ascii="Arial" w:hAnsi="Arial" w:cs="Arial"/>
                <w:lang w:val="es-ES_tradnl"/>
              </w:rPr>
              <w:tab/>
            </w:r>
            <w:r w:rsidR="0069601C" w:rsidRPr="00D03701">
              <w:rPr>
                <w:rStyle w:val="Hyperlink"/>
                <w:rFonts w:ascii="Arial" w:hAnsi="Arial" w:cs="Arial"/>
                <w:lang w:val="es-ES_tradnl"/>
              </w:rPr>
              <w:t>Resumen Ejecutivo</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_Toc522741991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3</w:t>
            </w:r>
            <w:r w:rsidR="0069601C" w:rsidRPr="00D03701">
              <w:rPr>
                <w:rFonts w:ascii="Arial" w:hAnsi="Arial" w:cs="Arial"/>
                <w:webHidden/>
                <w:lang w:val="es-ES_tradnl"/>
              </w:rPr>
              <w:fldChar w:fldCharType="end"/>
            </w:r>
          </w:hyperlink>
        </w:p>
        <w:p w14:paraId="50DE1D9A" w14:textId="77777777" w:rsidR="0069601C" w:rsidRPr="00D03701" w:rsidRDefault="00084E2C">
          <w:pPr>
            <w:pStyle w:val="TOC1"/>
            <w:rPr>
              <w:rFonts w:ascii="Arial" w:hAnsi="Arial" w:cs="Arial"/>
              <w:lang w:val="es-ES_tradnl"/>
            </w:rPr>
          </w:pPr>
          <w:hyperlink w:anchor="_Toc522741992" w:history="1">
            <w:r w:rsidR="0069601C" w:rsidRPr="00D03701">
              <w:rPr>
                <w:rStyle w:val="Hyperlink"/>
                <w:rFonts w:ascii="Arial" w:hAnsi="Arial" w:cs="Arial"/>
                <w:bCs/>
                <w:lang w:val="es-ES_tradnl"/>
              </w:rPr>
              <w:t>II.</w:t>
            </w:r>
            <w:r w:rsidR="0069601C" w:rsidRPr="00D03701">
              <w:rPr>
                <w:rFonts w:ascii="Arial" w:hAnsi="Arial" w:cs="Arial"/>
                <w:lang w:val="es-ES_tradnl"/>
              </w:rPr>
              <w:tab/>
            </w:r>
            <w:r w:rsidR="0069601C" w:rsidRPr="00D03701">
              <w:rPr>
                <w:rStyle w:val="Hyperlink"/>
                <w:rFonts w:ascii="Arial" w:hAnsi="Arial" w:cs="Arial"/>
                <w:lang w:val="es-ES_tradnl"/>
              </w:rPr>
              <w:t>Antecedentes.</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_Toc522741992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3</w:t>
            </w:r>
            <w:r w:rsidR="0069601C" w:rsidRPr="00D03701">
              <w:rPr>
                <w:rFonts w:ascii="Arial" w:hAnsi="Arial" w:cs="Arial"/>
                <w:webHidden/>
                <w:lang w:val="es-ES_tradnl"/>
              </w:rPr>
              <w:fldChar w:fldCharType="end"/>
            </w:r>
          </w:hyperlink>
        </w:p>
        <w:p w14:paraId="74227A01" w14:textId="77777777" w:rsidR="0069601C" w:rsidRPr="00D03701" w:rsidRDefault="00084E2C">
          <w:pPr>
            <w:pStyle w:val="TOC1"/>
            <w:rPr>
              <w:rFonts w:ascii="Arial" w:hAnsi="Arial" w:cs="Arial"/>
              <w:lang w:val="es-ES_tradnl"/>
            </w:rPr>
          </w:pPr>
          <w:hyperlink w:anchor="_Toc522741993" w:history="1">
            <w:r w:rsidR="0069601C" w:rsidRPr="00D03701">
              <w:rPr>
                <w:rStyle w:val="Hyperlink"/>
                <w:rFonts w:ascii="Arial" w:hAnsi="Arial" w:cs="Arial"/>
                <w:lang w:val="es-ES_tradnl"/>
              </w:rPr>
              <w:t>III.</w:t>
            </w:r>
            <w:r w:rsidR="0069601C" w:rsidRPr="00D03701">
              <w:rPr>
                <w:rFonts w:ascii="Arial" w:hAnsi="Arial" w:cs="Arial"/>
                <w:lang w:val="es-ES_tradnl"/>
              </w:rPr>
              <w:tab/>
            </w:r>
            <w:r w:rsidR="0069601C" w:rsidRPr="00D03701">
              <w:rPr>
                <w:rStyle w:val="Hyperlink"/>
                <w:rFonts w:ascii="Arial" w:hAnsi="Arial" w:cs="Arial"/>
                <w:lang w:val="es-ES_tradnl"/>
              </w:rPr>
              <w:t>Problemas Específicos Por Solucionar y sus Causas específicas</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_Toc522741993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4</w:t>
            </w:r>
            <w:r w:rsidR="0069601C" w:rsidRPr="00D03701">
              <w:rPr>
                <w:rFonts w:ascii="Arial" w:hAnsi="Arial" w:cs="Arial"/>
                <w:webHidden/>
                <w:lang w:val="es-ES_tradnl"/>
              </w:rPr>
              <w:fldChar w:fldCharType="end"/>
            </w:r>
          </w:hyperlink>
        </w:p>
        <w:p w14:paraId="69AF6921" w14:textId="77777777" w:rsidR="0069601C" w:rsidRPr="00D03701" w:rsidRDefault="00084E2C">
          <w:pPr>
            <w:pStyle w:val="TOC1"/>
            <w:rPr>
              <w:rFonts w:ascii="Arial" w:hAnsi="Arial" w:cs="Arial"/>
              <w:lang w:val="es-ES_tradnl"/>
            </w:rPr>
          </w:pPr>
          <w:hyperlink w:anchor="_Toc522741994" w:history="1">
            <w:r w:rsidR="0069601C" w:rsidRPr="00D03701">
              <w:rPr>
                <w:rStyle w:val="Hyperlink"/>
                <w:rFonts w:ascii="Arial" w:hAnsi="Arial" w:cs="Arial"/>
                <w:lang w:val="es-ES_tradnl"/>
              </w:rPr>
              <w:t>IV.</w:t>
            </w:r>
            <w:r w:rsidR="0069601C" w:rsidRPr="00D03701">
              <w:rPr>
                <w:rFonts w:ascii="Arial" w:hAnsi="Arial" w:cs="Arial"/>
                <w:lang w:val="es-ES_tradnl"/>
              </w:rPr>
              <w:tab/>
            </w:r>
            <w:r w:rsidR="0069601C" w:rsidRPr="00D03701">
              <w:rPr>
                <w:rStyle w:val="Hyperlink"/>
                <w:rFonts w:ascii="Arial" w:hAnsi="Arial" w:cs="Arial"/>
                <w:lang w:val="es-ES_tradnl"/>
              </w:rPr>
              <w:t>Calculo del beneficio generado con Instituciones fiscales más eficientes.</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_Toc522741994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8</w:t>
            </w:r>
            <w:r w:rsidR="0069601C" w:rsidRPr="00D03701">
              <w:rPr>
                <w:rFonts w:ascii="Arial" w:hAnsi="Arial" w:cs="Arial"/>
                <w:webHidden/>
                <w:lang w:val="es-ES_tradnl"/>
              </w:rPr>
              <w:fldChar w:fldCharType="end"/>
            </w:r>
          </w:hyperlink>
        </w:p>
        <w:p w14:paraId="0960FF11" w14:textId="77777777" w:rsidR="0069601C" w:rsidRPr="00D03701" w:rsidRDefault="00084E2C">
          <w:pPr>
            <w:pStyle w:val="TOC2"/>
            <w:rPr>
              <w:rFonts w:ascii="Arial" w:hAnsi="Arial" w:cs="Arial"/>
              <w:lang w:val="es-ES_tradnl"/>
            </w:rPr>
          </w:pPr>
          <w:hyperlink w:anchor="_Toc522741995" w:history="1">
            <w:r w:rsidR="0069601C" w:rsidRPr="00D03701">
              <w:rPr>
                <w:rStyle w:val="Hyperlink"/>
                <w:rFonts w:ascii="Arial" w:hAnsi="Arial" w:cs="Arial"/>
                <w:lang w:val="es-ES_tradnl"/>
              </w:rPr>
              <w:t>A.</w:t>
            </w:r>
            <w:r w:rsidR="0069601C" w:rsidRPr="00D03701">
              <w:rPr>
                <w:rFonts w:ascii="Arial" w:hAnsi="Arial" w:cs="Arial"/>
                <w:lang w:val="es-ES_tradnl"/>
              </w:rPr>
              <w:tab/>
            </w:r>
            <w:r w:rsidR="0069601C" w:rsidRPr="00D03701">
              <w:rPr>
                <w:rStyle w:val="Hyperlink"/>
                <w:rFonts w:ascii="Arial" w:hAnsi="Arial" w:cs="Arial"/>
                <w:lang w:val="es-ES_tradnl"/>
              </w:rPr>
              <w:t>Supuesto I – Reducción del costo para recaudar.</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_Toc522741995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9</w:t>
            </w:r>
            <w:r w:rsidR="0069601C" w:rsidRPr="00D03701">
              <w:rPr>
                <w:rFonts w:ascii="Arial" w:hAnsi="Arial" w:cs="Arial"/>
                <w:webHidden/>
                <w:lang w:val="es-ES_tradnl"/>
              </w:rPr>
              <w:fldChar w:fldCharType="end"/>
            </w:r>
          </w:hyperlink>
        </w:p>
        <w:p w14:paraId="6925EE1D" w14:textId="77777777" w:rsidR="0069601C" w:rsidRPr="00D03701" w:rsidRDefault="00084E2C">
          <w:pPr>
            <w:pStyle w:val="TOC2"/>
            <w:rPr>
              <w:rFonts w:ascii="Arial" w:hAnsi="Arial" w:cs="Arial"/>
              <w:lang w:val="es-ES_tradnl"/>
            </w:rPr>
          </w:pPr>
          <w:hyperlink w:anchor="_Toc522741996" w:history="1">
            <w:r w:rsidR="0069601C" w:rsidRPr="00D03701">
              <w:rPr>
                <w:rStyle w:val="Hyperlink"/>
                <w:rFonts w:ascii="Arial" w:hAnsi="Arial" w:cs="Arial"/>
                <w:lang w:val="es-ES_tradnl"/>
              </w:rPr>
              <w:t>B.</w:t>
            </w:r>
            <w:r w:rsidR="0069601C" w:rsidRPr="00D03701">
              <w:rPr>
                <w:rFonts w:ascii="Arial" w:hAnsi="Arial" w:cs="Arial"/>
                <w:lang w:val="es-ES_tradnl"/>
              </w:rPr>
              <w:tab/>
            </w:r>
            <w:r w:rsidR="0069601C" w:rsidRPr="00D03701">
              <w:rPr>
                <w:rStyle w:val="Hyperlink"/>
                <w:rFonts w:ascii="Arial" w:hAnsi="Arial" w:cs="Arial"/>
                <w:lang w:val="es-ES_tradnl"/>
              </w:rPr>
              <w:t>Supuesto 2 - Aumento de la eficiencia de la fiscalización de la recaudación.</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_Toc522741996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12</w:t>
            </w:r>
            <w:r w:rsidR="0069601C" w:rsidRPr="00D03701">
              <w:rPr>
                <w:rFonts w:ascii="Arial" w:hAnsi="Arial" w:cs="Arial"/>
                <w:webHidden/>
                <w:lang w:val="es-ES_tradnl"/>
              </w:rPr>
              <w:fldChar w:fldCharType="end"/>
            </w:r>
          </w:hyperlink>
        </w:p>
        <w:p w14:paraId="6F2CBE8D" w14:textId="77777777" w:rsidR="0069601C" w:rsidRPr="00D03701" w:rsidRDefault="00084E2C">
          <w:pPr>
            <w:pStyle w:val="TOC2"/>
            <w:rPr>
              <w:rFonts w:ascii="Arial" w:hAnsi="Arial" w:cs="Arial"/>
              <w:lang w:val="es-ES_tradnl"/>
            </w:rPr>
          </w:pPr>
          <w:hyperlink w:anchor="_Toc522741997" w:history="1">
            <w:r w:rsidR="0069601C" w:rsidRPr="00D03701">
              <w:rPr>
                <w:rStyle w:val="Hyperlink"/>
                <w:rFonts w:ascii="Arial" w:hAnsi="Arial" w:cs="Arial"/>
                <w:lang w:val="es-ES_tradnl"/>
              </w:rPr>
              <w:t>C.</w:t>
            </w:r>
            <w:r w:rsidR="0069601C" w:rsidRPr="00D03701">
              <w:rPr>
                <w:rFonts w:ascii="Arial" w:hAnsi="Arial" w:cs="Arial"/>
                <w:lang w:val="es-ES_tradnl"/>
              </w:rPr>
              <w:tab/>
            </w:r>
            <w:r w:rsidR="0069601C" w:rsidRPr="00D03701">
              <w:rPr>
                <w:rStyle w:val="Hyperlink"/>
                <w:rFonts w:ascii="Arial" w:hAnsi="Arial" w:cs="Arial"/>
                <w:lang w:val="es-ES_tradnl"/>
              </w:rPr>
              <w:t>Supuesto 3 – Disminución del tiempo del despacho aduanero.</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_Toc522741997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14</w:t>
            </w:r>
            <w:r w:rsidR="0069601C" w:rsidRPr="00D03701">
              <w:rPr>
                <w:rFonts w:ascii="Arial" w:hAnsi="Arial" w:cs="Arial"/>
                <w:webHidden/>
                <w:lang w:val="es-ES_tradnl"/>
              </w:rPr>
              <w:fldChar w:fldCharType="end"/>
            </w:r>
          </w:hyperlink>
        </w:p>
        <w:p w14:paraId="22971645" w14:textId="77777777" w:rsidR="0069601C" w:rsidRPr="00D03701" w:rsidRDefault="00084E2C">
          <w:pPr>
            <w:pStyle w:val="TOC1"/>
            <w:rPr>
              <w:rFonts w:ascii="Arial" w:hAnsi="Arial" w:cs="Arial"/>
              <w:lang w:val="es-ES_tradnl"/>
            </w:rPr>
          </w:pPr>
          <w:hyperlink w:anchor="_Toc522741998" w:history="1">
            <w:r w:rsidR="0069601C" w:rsidRPr="00D03701">
              <w:rPr>
                <w:rStyle w:val="Hyperlink"/>
                <w:rFonts w:ascii="Arial" w:hAnsi="Arial" w:cs="Arial"/>
                <w:lang w:val="es-ES_tradnl"/>
              </w:rPr>
              <w:t>V.</w:t>
            </w:r>
            <w:r w:rsidR="0069601C" w:rsidRPr="00D03701">
              <w:rPr>
                <w:rFonts w:ascii="Arial" w:hAnsi="Arial" w:cs="Arial"/>
                <w:lang w:val="es-ES_tradnl"/>
              </w:rPr>
              <w:tab/>
            </w:r>
            <w:r w:rsidR="0069601C" w:rsidRPr="00D03701">
              <w:rPr>
                <w:rStyle w:val="Hyperlink"/>
                <w:rFonts w:ascii="Arial" w:hAnsi="Arial" w:cs="Arial"/>
                <w:lang w:val="es-ES_tradnl"/>
              </w:rPr>
              <w:t>Costos del Proyecto</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_Toc522741998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16</w:t>
            </w:r>
            <w:r w:rsidR="0069601C" w:rsidRPr="00D03701">
              <w:rPr>
                <w:rFonts w:ascii="Arial" w:hAnsi="Arial" w:cs="Arial"/>
                <w:webHidden/>
                <w:lang w:val="es-ES_tradnl"/>
              </w:rPr>
              <w:fldChar w:fldCharType="end"/>
            </w:r>
          </w:hyperlink>
        </w:p>
        <w:p w14:paraId="193E100A" w14:textId="77777777" w:rsidR="0069601C" w:rsidRPr="00D03701" w:rsidRDefault="00084E2C">
          <w:pPr>
            <w:pStyle w:val="TOC1"/>
            <w:rPr>
              <w:rFonts w:ascii="Arial" w:hAnsi="Arial" w:cs="Arial"/>
              <w:lang w:val="es-ES_tradnl"/>
            </w:rPr>
          </w:pPr>
          <w:hyperlink w:anchor="_Toc522741999" w:history="1">
            <w:r w:rsidR="0069601C" w:rsidRPr="00D03701">
              <w:rPr>
                <w:rStyle w:val="Hyperlink"/>
                <w:rFonts w:ascii="Arial" w:hAnsi="Arial" w:cs="Arial"/>
                <w:lang w:val="es-ES_tradnl"/>
              </w:rPr>
              <w:t>VI.</w:t>
            </w:r>
            <w:r w:rsidR="0069601C" w:rsidRPr="00D03701">
              <w:rPr>
                <w:rFonts w:ascii="Arial" w:hAnsi="Arial" w:cs="Arial"/>
                <w:lang w:val="es-ES_tradnl"/>
              </w:rPr>
              <w:tab/>
            </w:r>
            <w:r w:rsidR="0069601C" w:rsidRPr="00D03701">
              <w:rPr>
                <w:rStyle w:val="Hyperlink"/>
                <w:rFonts w:ascii="Arial" w:hAnsi="Arial" w:cs="Arial"/>
                <w:lang w:val="es-ES_tradnl"/>
              </w:rPr>
              <w:t>Estimación del Beneficio Económico en Valor Presente</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_Toc522741999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16</w:t>
            </w:r>
            <w:r w:rsidR="0069601C" w:rsidRPr="00D03701">
              <w:rPr>
                <w:rFonts w:ascii="Arial" w:hAnsi="Arial" w:cs="Arial"/>
                <w:webHidden/>
                <w:lang w:val="es-ES_tradnl"/>
              </w:rPr>
              <w:fldChar w:fldCharType="end"/>
            </w:r>
          </w:hyperlink>
        </w:p>
        <w:p w14:paraId="7CFA013B" w14:textId="77777777" w:rsidR="0069601C" w:rsidRPr="00D03701" w:rsidRDefault="00084E2C">
          <w:pPr>
            <w:pStyle w:val="TOC1"/>
            <w:rPr>
              <w:rFonts w:ascii="Arial" w:hAnsi="Arial" w:cs="Arial"/>
              <w:lang w:val="es-ES_tradnl"/>
            </w:rPr>
          </w:pPr>
          <w:hyperlink w:anchor="_Toc522742000" w:history="1">
            <w:r w:rsidR="0069601C" w:rsidRPr="00D03701">
              <w:rPr>
                <w:rStyle w:val="Hyperlink"/>
                <w:rFonts w:ascii="Arial" w:hAnsi="Arial" w:cs="Arial"/>
                <w:lang w:val="es-ES_tradnl"/>
              </w:rPr>
              <w:t>VII.</w:t>
            </w:r>
            <w:r w:rsidR="0069601C" w:rsidRPr="00D03701">
              <w:rPr>
                <w:rFonts w:ascii="Arial" w:hAnsi="Arial" w:cs="Arial"/>
                <w:lang w:val="es-ES_tradnl"/>
              </w:rPr>
              <w:tab/>
            </w:r>
            <w:r w:rsidR="0069601C" w:rsidRPr="00D03701">
              <w:rPr>
                <w:rStyle w:val="Hyperlink"/>
                <w:rFonts w:ascii="Arial" w:hAnsi="Arial" w:cs="Arial"/>
                <w:lang w:val="es-ES_tradnl"/>
              </w:rPr>
              <w:t>Análisis de Sensibilidad</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_Toc522742000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17</w:t>
            </w:r>
            <w:r w:rsidR="0069601C" w:rsidRPr="00D03701">
              <w:rPr>
                <w:rFonts w:ascii="Arial" w:hAnsi="Arial" w:cs="Arial"/>
                <w:webHidden/>
                <w:lang w:val="es-ES_tradnl"/>
              </w:rPr>
              <w:fldChar w:fldCharType="end"/>
            </w:r>
          </w:hyperlink>
        </w:p>
        <w:p w14:paraId="1E0E3E14" w14:textId="77777777" w:rsidR="0069601C" w:rsidRPr="00D03701" w:rsidRDefault="00084E2C">
          <w:pPr>
            <w:pStyle w:val="TOC1"/>
            <w:rPr>
              <w:rFonts w:ascii="Arial" w:hAnsi="Arial" w:cs="Arial"/>
              <w:lang w:val="es-ES_tradnl"/>
            </w:rPr>
          </w:pPr>
          <w:hyperlink w:anchor="_Toc522742001" w:history="1">
            <w:r w:rsidR="0069601C" w:rsidRPr="00D03701">
              <w:rPr>
                <w:rStyle w:val="Hyperlink"/>
                <w:rFonts w:ascii="Arial" w:hAnsi="Arial" w:cs="Arial"/>
                <w:lang w:val="es-ES_tradnl"/>
              </w:rPr>
              <w:t>ANEXO I – Precios Sombra - Estimación de los Costos Económicos de Inversión y Mantenimiento</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_Toc522742001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21</w:t>
            </w:r>
            <w:r w:rsidR="0069601C" w:rsidRPr="00D03701">
              <w:rPr>
                <w:rFonts w:ascii="Arial" w:hAnsi="Arial" w:cs="Arial"/>
                <w:webHidden/>
                <w:lang w:val="es-ES_tradnl"/>
              </w:rPr>
              <w:fldChar w:fldCharType="end"/>
            </w:r>
          </w:hyperlink>
        </w:p>
        <w:p w14:paraId="237052AB" w14:textId="77777777" w:rsidR="0069601C" w:rsidRPr="00D03701" w:rsidRDefault="00084E2C">
          <w:pPr>
            <w:pStyle w:val="TOC2"/>
            <w:rPr>
              <w:rFonts w:ascii="Arial" w:hAnsi="Arial" w:cs="Arial"/>
              <w:lang w:val="es-ES_tradnl"/>
            </w:rPr>
          </w:pPr>
          <w:hyperlink w:anchor="_Toc522742002" w:history="1">
            <w:r w:rsidR="0069601C" w:rsidRPr="00D03701">
              <w:rPr>
                <w:rStyle w:val="Hyperlink"/>
                <w:rFonts w:ascii="Arial" w:hAnsi="Arial" w:cs="Arial"/>
                <w:lang w:val="es-ES_tradnl"/>
              </w:rPr>
              <w:t>A.</w:t>
            </w:r>
            <w:r w:rsidR="0069601C" w:rsidRPr="00D03701">
              <w:rPr>
                <w:rFonts w:ascii="Arial" w:hAnsi="Arial" w:cs="Arial"/>
                <w:lang w:val="es-ES_tradnl"/>
              </w:rPr>
              <w:tab/>
            </w:r>
            <w:r w:rsidR="0069601C" w:rsidRPr="00D03701">
              <w:rPr>
                <w:rStyle w:val="Hyperlink"/>
                <w:rFonts w:ascii="Arial" w:hAnsi="Arial" w:cs="Arial"/>
                <w:lang w:val="es-ES_tradnl"/>
              </w:rPr>
              <w:t>Costos</w:t>
            </w:r>
            <w:r w:rsidR="0069601C" w:rsidRPr="00D03701">
              <w:rPr>
                <w:rStyle w:val="Hyperlink"/>
                <w:rFonts w:ascii="Arial" w:hAnsi="Arial" w:cs="Arial"/>
                <w:spacing w:val="-4"/>
                <w:lang w:val="es-ES_tradnl"/>
              </w:rPr>
              <w:t xml:space="preserve"> </w:t>
            </w:r>
            <w:r w:rsidR="0069601C" w:rsidRPr="00D03701">
              <w:rPr>
                <w:rStyle w:val="Hyperlink"/>
                <w:rFonts w:ascii="Arial" w:hAnsi="Arial" w:cs="Arial"/>
                <w:lang w:val="es-ES_tradnl"/>
              </w:rPr>
              <w:t>de</w:t>
            </w:r>
            <w:r w:rsidR="0069601C" w:rsidRPr="00D03701">
              <w:rPr>
                <w:rStyle w:val="Hyperlink"/>
                <w:rFonts w:ascii="Arial" w:hAnsi="Arial" w:cs="Arial"/>
                <w:spacing w:val="-4"/>
                <w:lang w:val="es-ES_tradnl"/>
              </w:rPr>
              <w:t xml:space="preserve"> </w:t>
            </w:r>
            <w:r w:rsidR="0069601C" w:rsidRPr="00D03701">
              <w:rPr>
                <w:rStyle w:val="Hyperlink"/>
                <w:rFonts w:ascii="Arial" w:hAnsi="Arial" w:cs="Arial"/>
                <w:spacing w:val="-1"/>
                <w:lang w:val="es-ES_tradnl"/>
              </w:rPr>
              <w:t>Inversión</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_Toc522742002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21</w:t>
            </w:r>
            <w:r w:rsidR="0069601C" w:rsidRPr="00D03701">
              <w:rPr>
                <w:rFonts w:ascii="Arial" w:hAnsi="Arial" w:cs="Arial"/>
                <w:webHidden/>
                <w:lang w:val="es-ES_tradnl"/>
              </w:rPr>
              <w:fldChar w:fldCharType="end"/>
            </w:r>
          </w:hyperlink>
        </w:p>
        <w:p w14:paraId="272035F3" w14:textId="77777777" w:rsidR="0069601C" w:rsidRPr="00D03701" w:rsidRDefault="00084E2C">
          <w:pPr>
            <w:pStyle w:val="TOC2"/>
            <w:rPr>
              <w:rFonts w:ascii="Arial" w:hAnsi="Arial" w:cs="Arial"/>
              <w:lang w:val="es-ES_tradnl"/>
            </w:rPr>
          </w:pPr>
          <w:hyperlink w:anchor="_Toc522742003" w:history="1">
            <w:r w:rsidR="0069601C" w:rsidRPr="00D03701">
              <w:rPr>
                <w:rStyle w:val="Hyperlink"/>
                <w:rFonts w:ascii="Arial" w:hAnsi="Arial" w:cs="Arial"/>
                <w:lang w:val="es-ES_tradnl"/>
              </w:rPr>
              <w:t>B.</w:t>
            </w:r>
            <w:r w:rsidR="0069601C" w:rsidRPr="00D03701">
              <w:rPr>
                <w:rFonts w:ascii="Arial" w:hAnsi="Arial" w:cs="Arial"/>
                <w:lang w:val="es-ES_tradnl"/>
              </w:rPr>
              <w:tab/>
            </w:r>
            <w:r w:rsidR="0069601C" w:rsidRPr="00D03701">
              <w:rPr>
                <w:rStyle w:val="Hyperlink"/>
                <w:rFonts w:ascii="Arial" w:hAnsi="Arial" w:cs="Arial"/>
                <w:lang w:val="es-ES_tradnl"/>
              </w:rPr>
              <w:t>Costos de Mantenimiento</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_Toc522742003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24</w:t>
            </w:r>
            <w:r w:rsidR="0069601C" w:rsidRPr="00D03701">
              <w:rPr>
                <w:rFonts w:ascii="Arial" w:hAnsi="Arial" w:cs="Arial"/>
                <w:webHidden/>
                <w:lang w:val="es-ES_tradnl"/>
              </w:rPr>
              <w:fldChar w:fldCharType="end"/>
            </w:r>
          </w:hyperlink>
        </w:p>
        <w:p w14:paraId="19C27E3A" w14:textId="77777777" w:rsidR="0069601C" w:rsidRPr="00D03701" w:rsidRDefault="00084E2C">
          <w:pPr>
            <w:pStyle w:val="TOC1"/>
            <w:rPr>
              <w:rFonts w:ascii="Arial" w:hAnsi="Arial" w:cs="Arial"/>
              <w:lang w:val="es-ES_tradnl"/>
            </w:rPr>
          </w:pPr>
          <w:hyperlink w:anchor="_Toc522742004" w:history="1">
            <w:r w:rsidR="0069601C" w:rsidRPr="00D03701">
              <w:rPr>
                <w:rStyle w:val="Hyperlink"/>
                <w:rFonts w:ascii="Arial" w:hAnsi="Arial" w:cs="Arial"/>
                <w:b/>
                <w:spacing w:val="-2"/>
                <w:lang w:val="es-ES_tradnl"/>
              </w:rPr>
              <w:t>Bibliografía</w:t>
            </w:r>
            <w:r w:rsidR="0069601C" w:rsidRPr="00D03701">
              <w:rPr>
                <w:rFonts w:ascii="Arial" w:hAnsi="Arial" w:cs="Arial"/>
                <w:webHidden/>
                <w:lang w:val="es-ES_tradnl"/>
              </w:rPr>
              <w:tab/>
            </w:r>
            <w:r w:rsidR="0069601C" w:rsidRPr="00D03701">
              <w:rPr>
                <w:rFonts w:ascii="Arial" w:hAnsi="Arial" w:cs="Arial"/>
                <w:webHidden/>
                <w:lang w:val="es-ES_tradnl"/>
              </w:rPr>
              <w:fldChar w:fldCharType="begin"/>
            </w:r>
            <w:r w:rsidR="0069601C" w:rsidRPr="00D03701">
              <w:rPr>
                <w:rFonts w:ascii="Arial" w:hAnsi="Arial" w:cs="Arial"/>
                <w:webHidden/>
                <w:lang w:val="es-ES_tradnl"/>
              </w:rPr>
              <w:instrText xml:space="preserve"> PAGEREF _Toc522742004 \h </w:instrText>
            </w:r>
            <w:r w:rsidR="0069601C" w:rsidRPr="00D03701">
              <w:rPr>
                <w:rFonts w:ascii="Arial" w:hAnsi="Arial" w:cs="Arial"/>
                <w:webHidden/>
                <w:lang w:val="es-ES_tradnl"/>
              </w:rPr>
            </w:r>
            <w:r w:rsidR="0069601C" w:rsidRPr="00D03701">
              <w:rPr>
                <w:rFonts w:ascii="Arial" w:hAnsi="Arial" w:cs="Arial"/>
                <w:webHidden/>
                <w:lang w:val="es-ES_tradnl"/>
              </w:rPr>
              <w:fldChar w:fldCharType="separate"/>
            </w:r>
            <w:r w:rsidR="0069601C" w:rsidRPr="00D03701">
              <w:rPr>
                <w:rFonts w:ascii="Arial" w:hAnsi="Arial" w:cs="Arial"/>
                <w:webHidden/>
                <w:lang w:val="es-ES_tradnl"/>
              </w:rPr>
              <w:t>25</w:t>
            </w:r>
            <w:r w:rsidR="0069601C" w:rsidRPr="00D03701">
              <w:rPr>
                <w:rFonts w:ascii="Arial" w:hAnsi="Arial" w:cs="Arial"/>
                <w:webHidden/>
                <w:lang w:val="es-ES_tradnl"/>
              </w:rPr>
              <w:fldChar w:fldCharType="end"/>
            </w:r>
          </w:hyperlink>
        </w:p>
        <w:p w14:paraId="55712D78" w14:textId="77777777" w:rsidR="00F10D9A" w:rsidRPr="00D03701" w:rsidRDefault="007E781F">
          <w:pPr>
            <w:rPr>
              <w:rFonts w:ascii="Arial" w:hAnsi="Arial" w:cs="Arial"/>
              <w:lang w:val="es-ES_tradnl"/>
            </w:rPr>
          </w:pPr>
          <w:r w:rsidRPr="00D03701">
            <w:rPr>
              <w:rFonts w:ascii="Arial" w:hAnsi="Arial" w:cs="Arial"/>
              <w:b/>
              <w:bCs/>
              <w:lang w:val="es-ES_tradnl"/>
            </w:rPr>
            <w:fldChar w:fldCharType="end"/>
          </w:r>
        </w:p>
      </w:sdtContent>
    </w:sdt>
    <w:p w14:paraId="71EA297C" w14:textId="77777777" w:rsidR="00F10D9A" w:rsidRPr="00D03701" w:rsidRDefault="007E781F">
      <w:pPr>
        <w:rPr>
          <w:rFonts w:ascii="Arial" w:hAnsi="Arial" w:cs="Arial"/>
          <w:b/>
          <w:smallCaps/>
          <w:lang w:val="es-ES_tradnl"/>
        </w:rPr>
      </w:pPr>
      <w:r w:rsidRPr="00D03701">
        <w:rPr>
          <w:rFonts w:ascii="Arial" w:hAnsi="Arial" w:cs="Arial"/>
          <w:b/>
          <w:smallCaps/>
          <w:lang w:val="es-ES_tradnl"/>
        </w:rPr>
        <w:br w:type="page"/>
      </w:r>
    </w:p>
    <w:p w14:paraId="3F467288" w14:textId="77777777" w:rsidR="00F10D9A" w:rsidRPr="00D03701" w:rsidRDefault="007E781F" w:rsidP="00984CBA">
      <w:pPr>
        <w:pStyle w:val="Chapter"/>
        <w:numPr>
          <w:ilvl w:val="0"/>
          <w:numId w:val="2"/>
        </w:numPr>
        <w:spacing w:before="120" w:after="120"/>
        <w:ind w:left="720" w:hanging="612"/>
        <w:jc w:val="left"/>
        <w:outlineLvl w:val="0"/>
        <w:rPr>
          <w:rFonts w:ascii="Arial" w:hAnsi="Arial" w:cs="Arial"/>
          <w:sz w:val="22"/>
          <w:szCs w:val="22"/>
          <w:lang w:val="es-ES_tradnl"/>
        </w:rPr>
      </w:pPr>
      <w:bookmarkStart w:id="1" w:name="_Toc522741991"/>
      <w:r w:rsidRPr="00D03701">
        <w:rPr>
          <w:rFonts w:ascii="Arial" w:hAnsi="Arial" w:cs="Arial"/>
          <w:sz w:val="22"/>
          <w:szCs w:val="22"/>
          <w:lang w:val="es-ES_tradnl"/>
        </w:rPr>
        <w:lastRenderedPageBreak/>
        <w:t>Resumen Ejecutivo</w:t>
      </w:r>
      <w:bookmarkEnd w:id="1"/>
    </w:p>
    <w:p w14:paraId="0CA4A83F" w14:textId="4A0285FF" w:rsidR="00F10D9A" w:rsidRPr="00D03701" w:rsidRDefault="007E781F" w:rsidP="005D66F5">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D03701">
        <w:rPr>
          <w:rFonts w:ascii="Arial" w:hAnsi="Arial" w:cs="Arial"/>
          <w:sz w:val="22"/>
          <w:szCs w:val="22"/>
          <w:lang w:val="es-ES_tradnl"/>
        </w:rPr>
        <w:t xml:space="preserve">El objetivo de este estudio es demostrar el beneficio económico generado a partir de un conjunto de acciones que promuevan la mejora de la </w:t>
      </w:r>
      <w:r w:rsidR="00845081" w:rsidRPr="00D03701">
        <w:rPr>
          <w:rFonts w:ascii="Arial" w:hAnsi="Arial" w:cs="Arial"/>
          <w:sz w:val="22"/>
          <w:szCs w:val="22"/>
          <w:lang w:val="es-ES_tradnl"/>
        </w:rPr>
        <w:t xml:space="preserve">eficiencia de la </w:t>
      </w:r>
      <w:r w:rsidR="00806837" w:rsidRPr="00D03701">
        <w:rPr>
          <w:rFonts w:ascii="Arial" w:hAnsi="Arial" w:cs="Arial"/>
          <w:sz w:val="22"/>
          <w:szCs w:val="22"/>
          <w:lang w:val="es-ES_tradnl"/>
        </w:rPr>
        <w:t>administración tributaria</w:t>
      </w:r>
      <w:r w:rsidR="00CC5DD5" w:rsidRPr="00D03701">
        <w:rPr>
          <w:rFonts w:ascii="Arial" w:hAnsi="Arial" w:cs="Arial"/>
          <w:sz w:val="22"/>
          <w:szCs w:val="22"/>
          <w:lang w:val="es-ES_tradnl"/>
        </w:rPr>
        <w:t xml:space="preserve"> y aduanera</w:t>
      </w:r>
      <w:r w:rsidR="00806837" w:rsidRPr="00D03701">
        <w:rPr>
          <w:rFonts w:ascii="Arial" w:hAnsi="Arial" w:cs="Arial"/>
          <w:sz w:val="22"/>
          <w:szCs w:val="22"/>
          <w:lang w:val="es-ES_tradnl"/>
        </w:rPr>
        <w:t xml:space="preserve"> de Perú</w:t>
      </w:r>
      <w:r w:rsidRPr="00D03701">
        <w:rPr>
          <w:rFonts w:ascii="Arial" w:hAnsi="Arial" w:cs="Arial"/>
          <w:sz w:val="22"/>
          <w:szCs w:val="22"/>
          <w:lang w:val="es-ES_tradnl"/>
        </w:rPr>
        <w:t xml:space="preserve">. </w:t>
      </w:r>
      <w:r w:rsidR="002C7DF4" w:rsidRPr="00D03701">
        <w:rPr>
          <w:rFonts w:ascii="Arial" w:hAnsi="Arial" w:cs="Arial"/>
          <w:sz w:val="22"/>
          <w:szCs w:val="22"/>
          <w:lang w:val="es-ES_tradnl"/>
        </w:rPr>
        <w:t>Para este propósito, s</w:t>
      </w:r>
      <w:r w:rsidRPr="00D03701">
        <w:rPr>
          <w:rFonts w:ascii="Arial" w:hAnsi="Arial" w:cs="Arial"/>
          <w:sz w:val="22"/>
          <w:szCs w:val="22"/>
          <w:lang w:val="es-ES_tradnl"/>
        </w:rPr>
        <w:t>e realizó un análisis comparativo entre los costos y beneficios económicos</w:t>
      </w:r>
      <w:r w:rsidR="007B2607" w:rsidRPr="00D03701">
        <w:rPr>
          <w:rFonts w:ascii="Arial" w:hAnsi="Arial" w:cs="Arial"/>
          <w:sz w:val="22"/>
          <w:szCs w:val="22"/>
          <w:lang w:val="es-ES_tradnl"/>
        </w:rPr>
        <w:t>,</w:t>
      </w:r>
      <w:r w:rsidRPr="00D03701">
        <w:rPr>
          <w:rFonts w:ascii="Arial" w:hAnsi="Arial" w:cs="Arial"/>
          <w:sz w:val="22"/>
          <w:szCs w:val="22"/>
          <w:lang w:val="es-ES_tradnl"/>
        </w:rPr>
        <w:t xml:space="preserve"> con y sin el </w:t>
      </w:r>
      <w:r w:rsidR="00CC5DD5" w:rsidRPr="00D03701">
        <w:rPr>
          <w:rFonts w:ascii="Arial" w:hAnsi="Arial" w:cs="Arial"/>
          <w:sz w:val="22"/>
          <w:szCs w:val="22"/>
          <w:lang w:val="es-ES_tradnl"/>
        </w:rPr>
        <w:t>Proyecto de Mejoramiento de la Eficiencia de la Gestión Tributaria y Aduanera</w:t>
      </w:r>
      <w:r w:rsidR="00366303" w:rsidRPr="00D03701">
        <w:rPr>
          <w:rFonts w:ascii="Arial" w:hAnsi="Arial" w:cs="Arial"/>
          <w:sz w:val="22"/>
          <w:szCs w:val="22"/>
          <w:lang w:val="es-ES_tradnl"/>
        </w:rPr>
        <w:t xml:space="preserve"> a través de la Transformación Digital</w:t>
      </w:r>
      <w:r w:rsidR="003F2E62" w:rsidRPr="00D03701">
        <w:rPr>
          <w:rFonts w:ascii="Arial" w:hAnsi="Arial" w:cs="Arial"/>
          <w:sz w:val="22"/>
          <w:szCs w:val="22"/>
          <w:lang w:val="es-ES_tradnl"/>
        </w:rPr>
        <w:t xml:space="preserve"> (</w:t>
      </w:r>
      <w:r w:rsidR="00CC5DD5" w:rsidRPr="00D03701">
        <w:rPr>
          <w:rFonts w:ascii="Arial" w:hAnsi="Arial" w:cs="Arial"/>
          <w:sz w:val="22"/>
          <w:szCs w:val="22"/>
          <w:lang w:val="es-ES_tradnl"/>
        </w:rPr>
        <w:t>PE-</w:t>
      </w:r>
      <w:r w:rsidR="00845081" w:rsidRPr="00D03701">
        <w:rPr>
          <w:rFonts w:ascii="Arial" w:hAnsi="Arial" w:cs="Arial"/>
          <w:sz w:val="22"/>
          <w:szCs w:val="22"/>
          <w:lang w:val="es-ES_tradnl"/>
        </w:rPr>
        <w:t>L</w:t>
      </w:r>
      <w:r w:rsidR="00CC5DD5" w:rsidRPr="00D03701">
        <w:rPr>
          <w:rFonts w:ascii="Arial" w:hAnsi="Arial" w:cs="Arial"/>
          <w:sz w:val="22"/>
          <w:szCs w:val="22"/>
          <w:lang w:val="es-ES_tradnl"/>
        </w:rPr>
        <w:t>1</w:t>
      </w:r>
      <w:r w:rsidR="00845081" w:rsidRPr="00D03701">
        <w:rPr>
          <w:rFonts w:ascii="Arial" w:hAnsi="Arial" w:cs="Arial"/>
          <w:sz w:val="22"/>
          <w:szCs w:val="22"/>
          <w:lang w:val="es-ES_tradnl"/>
        </w:rPr>
        <w:t>2</w:t>
      </w:r>
      <w:r w:rsidR="00CC5DD5" w:rsidRPr="00D03701">
        <w:rPr>
          <w:rFonts w:ascii="Arial" w:hAnsi="Arial" w:cs="Arial"/>
          <w:sz w:val="22"/>
          <w:szCs w:val="22"/>
          <w:lang w:val="es-ES_tradnl"/>
        </w:rPr>
        <w:t>39</w:t>
      </w:r>
      <w:r w:rsidR="003F2E62" w:rsidRPr="00D03701">
        <w:rPr>
          <w:rFonts w:ascii="Arial" w:hAnsi="Arial" w:cs="Arial"/>
          <w:sz w:val="22"/>
          <w:szCs w:val="22"/>
          <w:lang w:val="es-ES_tradnl"/>
        </w:rPr>
        <w:t>)</w:t>
      </w:r>
      <w:r w:rsidRPr="00D03701">
        <w:rPr>
          <w:rFonts w:ascii="Arial" w:hAnsi="Arial" w:cs="Arial"/>
          <w:sz w:val="22"/>
          <w:szCs w:val="22"/>
          <w:lang w:val="es-ES_tradnl"/>
        </w:rPr>
        <w:t>, considerando que con el Programa se espera mejorar una serie de indicadores de eficiencia en la gestión</w:t>
      </w:r>
      <w:r w:rsidR="00555ED6" w:rsidRPr="00D03701">
        <w:rPr>
          <w:rFonts w:ascii="Arial" w:hAnsi="Arial" w:cs="Arial"/>
          <w:sz w:val="22"/>
          <w:szCs w:val="22"/>
          <w:lang w:val="es-ES_tradnl"/>
        </w:rPr>
        <w:t xml:space="preserve"> de ingresos </w:t>
      </w:r>
      <w:r w:rsidR="00905D64" w:rsidRPr="00D03701">
        <w:rPr>
          <w:rFonts w:ascii="Arial" w:hAnsi="Arial" w:cs="Arial"/>
          <w:sz w:val="22"/>
          <w:szCs w:val="22"/>
          <w:lang w:val="es-ES_tradnl"/>
        </w:rPr>
        <w:t>tributarios y aduaneros</w:t>
      </w:r>
      <w:r w:rsidR="0063588A" w:rsidRPr="00D03701">
        <w:rPr>
          <w:rFonts w:ascii="Arial" w:hAnsi="Arial" w:cs="Arial"/>
          <w:sz w:val="22"/>
          <w:szCs w:val="22"/>
          <w:lang w:val="es-ES_tradnl"/>
        </w:rPr>
        <w:t>: (i)</w:t>
      </w:r>
      <w:r w:rsidR="003F2E62" w:rsidRPr="00D03701">
        <w:rPr>
          <w:rFonts w:ascii="Arial" w:hAnsi="Arial" w:cs="Arial"/>
          <w:sz w:val="22"/>
          <w:szCs w:val="22"/>
          <w:lang w:val="es-ES_tradnl"/>
        </w:rPr>
        <w:t xml:space="preserve"> </w:t>
      </w:r>
      <w:r w:rsidR="00484672" w:rsidRPr="00D03701">
        <w:rPr>
          <w:rFonts w:ascii="Arial" w:hAnsi="Arial" w:cs="Arial"/>
          <w:sz w:val="22"/>
          <w:szCs w:val="22"/>
          <w:lang w:val="es-ES_tradnl"/>
        </w:rPr>
        <w:t>reducción</w:t>
      </w:r>
      <w:r w:rsidR="00AB5B0C" w:rsidRPr="00D03701">
        <w:rPr>
          <w:rFonts w:ascii="Arial" w:hAnsi="Arial" w:cs="Arial"/>
          <w:sz w:val="22"/>
          <w:szCs w:val="22"/>
          <w:lang w:val="es-ES_tradnl"/>
        </w:rPr>
        <w:t xml:space="preserve"> </w:t>
      </w:r>
      <w:r w:rsidR="003E5D36" w:rsidRPr="00D03701">
        <w:rPr>
          <w:rFonts w:ascii="Arial" w:hAnsi="Arial" w:cs="Arial"/>
          <w:sz w:val="22"/>
          <w:szCs w:val="22"/>
          <w:lang w:val="es-ES_tradnl"/>
        </w:rPr>
        <w:t>d</w:t>
      </w:r>
      <w:r w:rsidR="00AB5B0C" w:rsidRPr="00D03701">
        <w:rPr>
          <w:rFonts w:ascii="Arial" w:hAnsi="Arial" w:cs="Arial"/>
          <w:sz w:val="22"/>
          <w:szCs w:val="22"/>
          <w:lang w:val="es-ES_tradnl"/>
        </w:rPr>
        <w:t>el costo para recaudar</w:t>
      </w:r>
      <w:r w:rsidR="00905D64" w:rsidRPr="00D03701">
        <w:rPr>
          <w:rFonts w:ascii="Arial" w:hAnsi="Arial" w:cs="Arial"/>
          <w:sz w:val="22"/>
          <w:szCs w:val="22"/>
          <w:lang w:val="es-ES_tradnl"/>
        </w:rPr>
        <w:t xml:space="preserve"> (lo que significa una mejora en la eficiencia de la SUNAT)</w:t>
      </w:r>
      <w:r w:rsidR="0063588A" w:rsidRPr="00D03701">
        <w:rPr>
          <w:rFonts w:ascii="Arial" w:hAnsi="Arial" w:cs="Arial"/>
          <w:sz w:val="22"/>
          <w:szCs w:val="22"/>
          <w:lang w:val="es-ES_tradnl"/>
        </w:rPr>
        <w:t xml:space="preserve">; (ii) </w:t>
      </w:r>
      <w:r w:rsidR="006956D2" w:rsidRPr="00D03701">
        <w:rPr>
          <w:rFonts w:ascii="Arial" w:hAnsi="Arial" w:cs="Arial"/>
          <w:sz w:val="22"/>
          <w:szCs w:val="22"/>
          <w:lang w:val="es-ES_tradnl"/>
        </w:rPr>
        <w:t>disminución del costo para fiscalizar  US$</w:t>
      </w:r>
      <w:r w:rsidR="00C10224" w:rsidRPr="00D03701">
        <w:rPr>
          <w:rFonts w:ascii="Arial" w:hAnsi="Arial" w:cs="Arial"/>
          <w:sz w:val="22"/>
          <w:szCs w:val="22"/>
          <w:lang w:val="es-ES_tradnl"/>
        </w:rPr>
        <w:t>1 (un dólar)</w:t>
      </w:r>
      <w:r w:rsidR="006956D2" w:rsidRPr="00D03701">
        <w:rPr>
          <w:rFonts w:ascii="Arial" w:hAnsi="Arial" w:cs="Arial"/>
          <w:sz w:val="22"/>
          <w:szCs w:val="22"/>
          <w:lang w:val="es-ES_tradnl"/>
        </w:rPr>
        <w:t xml:space="preserve"> recaudado</w:t>
      </w:r>
      <w:r w:rsidR="00D67D24" w:rsidRPr="00D03701">
        <w:rPr>
          <w:rFonts w:ascii="Arial" w:hAnsi="Arial" w:cs="Arial"/>
          <w:sz w:val="22"/>
          <w:szCs w:val="22"/>
          <w:lang w:val="es-ES_tradnl"/>
        </w:rPr>
        <w:t xml:space="preserve"> (lo que significa </w:t>
      </w:r>
      <w:r w:rsidR="00905D64" w:rsidRPr="00D03701">
        <w:rPr>
          <w:rFonts w:ascii="Arial" w:hAnsi="Arial" w:cs="Arial"/>
          <w:sz w:val="22"/>
          <w:szCs w:val="22"/>
          <w:lang w:val="es-ES_tradnl"/>
        </w:rPr>
        <w:t xml:space="preserve">un </w:t>
      </w:r>
      <w:r w:rsidR="00D67D24" w:rsidRPr="00D03701">
        <w:rPr>
          <w:rFonts w:ascii="Arial" w:hAnsi="Arial" w:cs="Arial"/>
          <w:sz w:val="22"/>
          <w:szCs w:val="22"/>
          <w:lang w:val="es-ES_tradnl"/>
        </w:rPr>
        <w:t>aumento de la productividad de la fiscalización)</w:t>
      </w:r>
      <w:r w:rsidR="006956D2" w:rsidRPr="00D03701">
        <w:rPr>
          <w:rFonts w:ascii="Arial" w:hAnsi="Arial" w:cs="Arial"/>
          <w:sz w:val="22"/>
          <w:szCs w:val="22"/>
          <w:lang w:val="es-ES_tradnl"/>
        </w:rPr>
        <w:t xml:space="preserve">; y (iii) </w:t>
      </w:r>
      <w:r w:rsidR="00CC5DD5" w:rsidRPr="00D03701">
        <w:rPr>
          <w:rFonts w:ascii="Arial" w:hAnsi="Arial" w:cs="Arial"/>
          <w:sz w:val="22"/>
          <w:szCs w:val="22"/>
          <w:lang w:val="es-ES_tradnl"/>
        </w:rPr>
        <w:t>disminución de los tiempos del despacho aduanero</w:t>
      </w:r>
      <w:r w:rsidR="00C10224" w:rsidRPr="00D03701">
        <w:rPr>
          <w:rFonts w:ascii="Arial" w:hAnsi="Arial" w:cs="Arial"/>
          <w:sz w:val="22"/>
          <w:szCs w:val="22"/>
          <w:lang w:val="es-ES_tradnl"/>
        </w:rPr>
        <w:t xml:space="preserve"> de importación y exportación</w:t>
      </w:r>
      <w:r w:rsidR="00CC5DD5" w:rsidRPr="00D03701">
        <w:rPr>
          <w:rFonts w:ascii="Arial" w:hAnsi="Arial" w:cs="Arial"/>
          <w:sz w:val="22"/>
          <w:szCs w:val="22"/>
          <w:lang w:val="es-ES_tradnl"/>
        </w:rPr>
        <w:t xml:space="preserve"> (lo que significa un beneficio económico para los importadores y exportadores).</w:t>
      </w:r>
    </w:p>
    <w:p w14:paraId="23D72E63" w14:textId="1717189E" w:rsidR="007B42AF" w:rsidRPr="00D03701" w:rsidRDefault="007B42AF" w:rsidP="005D66F5">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D03701">
        <w:rPr>
          <w:rFonts w:ascii="Arial" w:hAnsi="Arial" w:cs="Arial"/>
          <w:sz w:val="22"/>
          <w:szCs w:val="22"/>
          <w:lang w:val="es-ES_tradnl"/>
        </w:rPr>
        <w:t>Al final del año 202</w:t>
      </w:r>
      <w:r w:rsidR="006956D2" w:rsidRPr="00D03701">
        <w:rPr>
          <w:rFonts w:ascii="Arial" w:hAnsi="Arial" w:cs="Arial"/>
          <w:sz w:val="22"/>
          <w:szCs w:val="22"/>
          <w:lang w:val="es-ES_tradnl"/>
        </w:rPr>
        <w:t>8</w:t>
      </w:r>
      <w:r w:rsidRPr="00D03701">
        <w:rPr>
          <w:rFonts w:ascii="Arial" w:hAnsi="Arial" w:cs="Arial"/>
          <w:sz w:val="22"/>
          <w:szCs w:val="22"/>
          <w:lang w:val="es-ES_tradnl"/>
        </w:rPr>
        <w:t xml:space="preserve"> (</w:t>
      </w:r>
      <w:r w:rsidR="006956D2" w:rsidRPr="00D03701">
        <w:rPr>
          <w:rFonts w:ascii="Arial" w:hAnsi="Arial" w:cs="Arial"/>
          <w:sz w:val="22"/>
          <w:szCs w:val="22"/>
          <w:lang w:val="es-ES_tradnl"/>
        </w:rPr>
        <w:t>10</w:t>
      </w:r>
      <w:r w:rsidRPr="00D03701">
        <w:rPr>
          <w:rFonts w:ascii="Arial" w:hAnsi="Arial" w:cs="Arial"/>
          <w:sz w:val="22"/>
          <w:szCs w:val="22"/>
          <w:lang w:val="es-ES_tradnl"/>
        </w:rPr>
        <w:t xml:space="preserve"> años desde el inicio de la ejecución de las actividades del Programa) </w:t>
      </w:r>
      <w:r w:rsidR="00D67D24" w:rsidRPr="00D03701">
        <w:rPr>
          <w:rFonts w:ascii="Arial" w:hAnsi="Arial" w:cs="Arial"/>
          <w:sz w:val="22"/>
          <w:szCs w:val="22"/>
          <w:lang w:val="es-ES_tradnl"/>
        </w:rPr>
        <w:t xml:space="preserve">se estima que </w:t>
      </w:r>
      <w:r w:rsidRPr="00D03701">
        <w:rPr>
          <w:rFonts w:ascii="Arial" w:hAnsi="Arial" w:cs="Arial"/>
          <w:sz w:val="22"/>
          <w:szCs w:val="22"/>
          <w:lang w:val="es-ES_tradnl"/>
        </w:rPr>
        <w:t>las inversiones</w:t>
      </w:r>
      <w:r w:rsidR="00905D64" w:rsidRPr="00D03701">
        <w:rPr>
          <w:rFonts w:ascii="Arial" w:hAnsi="Arial" w:cs="Arial"/>
          <w:sz w:val="22"/>
          <w:szCs w:val="22"/>
          <w:lang w:val="es-ES_tradnl"/>
        </w:rPr>
        <w:t xml:space="preserve"> sociales</w:t>
      </w:r>
      <w:r w:rsidRPr="00D03701">
        <w:rPr>
          <w:rFonts w:ascii="Arial" w:hAnsi="Arial" w:cs="Arial"/>
          <w:sz w:val="22"/>
          <w:szCs w:val="22"/>
          <w:lang w:val="es-ES_tradnl"/>
        </w:rPr>
        <w:t xml:space="preserve"> del Programa estarán generando un V</w:t>
      </w:r>
      <w:r w:rsidR="00D67D24" w:rsidRPr="00D03701">
        <w:rPr>
          <w:rFonts w:ascii="Arial" w:hAnsi="Arial" w:cs="Arial"/>
          <w:sz w:val="22"/>
          <w:szCs w:val="22"/>
          <w:lang w:val="es-ES_tradnl"/>
        </w:rPr>
        <w:t>alor Presente Neto (VPN)</w:t>
      </w:r>
      <w:r w:rsidRPr="00D03701">
        <w:rPr>
          <w:rFonts w:ascii="Arial" w:hAnsi="Arial" w:cs="Arial"/>
          <w:sz w:val="22"/>
          <w:szCs w:val="22"/>
          <w:lang w:val="es-ES_tradnl"/>
        </w:rPr>
        <w:t xml:space="preserve"> de US$</w:t>
      </w:r>
      <w:r w:rsidR="0063588A" w:rsidRPr="00D03701">
        <w:rPr>
          <w:rFonts w:ascii="Arial" w:hAnsi="Arial" w:cs="Arial"/>
          <w:sz w:val="22"/>
          <w:szCs w:val="22"/>
          <w:lang w:val="es-ES_tradnl"/>
        </w:rPr>
        <w:t xml:space="preserve"> </w:t>
      </w:r>
      <w:r w:rsidR="0014064A" w:rsidRPr="00D03701">
        <w:rPr>
          <w:rFonts w:ascii="Arial" w:hAnsi="Arial" w:cs="Arial"/>
          <w:sz w:val="22"/>
          <w:szCs w:val="22"/>
          <w:lang w:val="es-ES_tradnl"/>
        </w:rPr>
        <w:t>54,</w:t>
      </w:r>
      <w:r w:rsidR="007164E4" w:rsidRPr="00D03701">
        <w:rPr>
          <w:rFonts w:ascii="Arial" w:hAnsi="Arial" w:cs="Arial"/>
          <w:sz w:val="22"/>
          <w:szCs w:val="22"/>
          <w:lang w:val="es-ES_tradnl"/>
        </w:rPr>
        <w:t>9</w:t>
      </w:r>
      <w:r w:rsidR="006956D2" w:rsidRPr="00D03701">
        <w:rPr>
          <w:rFonts w:ascii="Arial" w:hAnsi="Arial" w:cs="Arial"/>
          <w:sz w:val="22"/>
          <w:szCs w:val="22"/>
          <w:lang w:val="es-ES_tradnl"/>
        </w:rPr>
        <w:t xml:space="preserve"> </w:t>
      </w:r>
      <w:r w:rsidRPr="00D03701">
        <w:rPr>
          <w:rFonts w:ascii="Arial" w:hAnsi="Arial" w:cs="Arial"/>
          <w:sz w:val="22"/>
          <w:szCs w:val="22"/>
          <w:lang w:val="es-ES_tradnl"/>
        </w:rPr>
        <w:t>millones</w:t>
      </w:r>
      <w:r w:rsidR="006F4293" w:rsidRPr="00D03701">
        <w:rPr>
          <w:rFonts w:ascii="Arial" w:hAnsi="Arial" w:cs="Arial"/>
          <w:sz w:val="22"/>
          <w:szCs w:val="22"/>
          <w:lang w:val="es-ES_tradnl"/>
        </w:rPr>
        <w:t>,</w:t>
      </w:r>
      <w:r w:rsidRPr="00D03701">
        <w:rPr>
          <w:rFonts w:ascii="Arial" w:hAnsi="Arial" w:cs="Arial"/>
          <w:sz w:val="22"/>
          <w:szCs w:val="22"/>
          <w:lang w:val="es-ES_tradnl"/>
        </w:rPr>
        <w:t xml:space="preserve"> con una Tasa Interna de Retorno</w:t>
      </w:r>
      <w:r w:rsidR="00D67D24" w:rsidRPr="00D03701">
        <w:rPr>
          <w:rFonts w:ascii="Arial" w:hAnsi="Arial" w:cs="Arial"/>
          <w:sz w:val="22"/>
          <w:szCs w:val="22"/>
          <w:lang w:val="es-ES_tradnl"/>
        </w:rPr>
        <w:t xml:space="preserve"> (TIR)</w:t>
      </w:r>
      <w:r w:rsidRPr="00D03701">
        <w:rPr>
          <w:rFonts w:ascii="Arial" w:hAnsi="Arial" w:cs="Arial"/>
          <w:sz w:val="22"/>
          <w:szCs w:val="22"/>
          <w:lang w:val="es-ES_tradnl"/>
        </w:rPr>
        <w:t xml:space="preserve"> de </w:t>
      </w:r>
      <w:r w:rsidR="00E0309D" w:rsidRPr="00D03701">
        <w:rPr>
          <w:rFonts w:ascii="Arial" w:hAnsi="Arial" w:cs="Arial"/>
          <w:sz w:val="22"/>
          <w:szCs w:val="22"/>
          <w:lang w:val="es-ES_tradnl"/>
        </w:rPr>
        <w:t>3</w:t>
      </w:r>
      <w:r w:rsidR="007164E4" w:rsidRPr="00D03701">
        <w:rPr>
          <w:rFonts w:ascii="Arial" w:hAnsi="Arial" w:cs="Arial"/>
          <w:sz w:val="22"/>
          <w:szCs w:val="22"/>
          <w:lang w:val="es-ES_tradnl"/>
        </w:rPr>
        <w:t>1</w:t>
      </w:r>
      <w:r w:rsidRPr="00D03701">
        <w:rPr>
          <w:rFonts w:ascii="Arial" w:hAnsi="Arial" w:cs="Arial"/>
          <w:sz w:val="22"/>
          <w:szCs w:val="22"/>
          <w:lang w:val="es-ES_tradnl"/>
        </w:rPr>
        <w:t xml:space="preserve">%. El análisis de sensibilidad </w:t>
      </w:r>
      <w:r w:rsidR="00D67D24" w:rsidRPr="00D03701">
        <w:rPr>
          <w:rFonts w:ascii="Arial" w:hAnsi="Arial" w:cs="Arial"/>
          <w:sz w:val="22"/>
          <w:szCs w:val="22"/>
          <w:lang w:val="es-ES_tradnl"/>
        </w:rPr>
        <w:t>estim</w:t>
      </w:r>
      <w:r w:rsidR="00905D64" w:rsidRPr="00D03701">
        <w:rPr>
          <w:rFonts w:ascii="Arial" w:hAnsi="Arial" w:cs="Arial"/>
          <w:sz w:val="22"/>
          <w:szCs w:val="22"/>
          <w:lang w:val="es-ES_tradnl"/>
        </w:rPr>
        <w:t>ó</w:t>
      </w:r>
      <w:r w:rsidRPr="00D03701">
        <w:rPr>
          <w:rFonts w:ascii="Arial" w:hAnsi="Arial" w:cs="Arial"/>
          <w:sz w:val="22"/>
          <w:szCs w:val="22"/>
          <w:lang w:val="es-ES_tradnl"/>
        </w:rPr>
        <w:t xml:space="preserve"> cuál sería </w:t>
      </w:r>
      <w:r w:rsidR="00066C15" w:rsidRPr="00D03701">
        <w:rPr>
          <w:rFonts w:ascii="Arial" w:hAnsi="Arial" w:cs="Arial"/>
          <w:sz w:val="22"/>
          <w:szCs w:val="22"/>
          <w:lang w:val="es-ES_tradnl"/>
        </w:rPr>
        <w:t>e</w:t>
      </w:r>
      <w:r w:rsidR="006956D2" w:rsidRPr="00D03701">
        <w:rPr>
          <w:rFonts w:ascii="Arial" w:hAnsi="Arial" w:cs="Arial"/>
          <w:sz w:val="22"/>
          <w:szCs w:val="22"/>
          <w:lang w:val="es-ES_tradnl"/>
        </w:rPr>
        <w:t>l</w:t>
      </w:r>
      <w:r w:rsidR="00D67D24" w:rsidRPr="00D03701">
        <w:rPr>
          <w:rFonts w:ascii="Arial" w:hAnsi="Arial" w:cs="Arial"/>
          <w:sz w:val="22"/>
          <w:szCs w:val="22"/>
          <w:lang w:val="es-ES_tradnl"/>
        </w:rPr>
        <w:t xml:space="preserve"> peor </w:t>
      </w:r>
      <w:r w:rsidR="00066C15" w:rsidRPr="00D03701">
        <w:rPr>
          <w:rFonts w:ascii="Arial" w:hAnsi="Arial" w:cs="Arial"/>
          <w:sz w:val="22"/>
          <w:szCs w:val="22"/>
          <w:lang w:val="es-ES_tradnl"/>
        </w:rPr>
        <w:t>escenario</w:t>
      </w:r>
      <w:r w:rsidR="00D67D24" w:rsidRPr="00D03701">
        <w:rPr>
          <w:rFonts w:ascii="Arial" w:hAnsi="Arial" w:cs="Arial"/>
          <w:sz w:val="22"/>
          <w:szCs w:val="22"/>
          <w:lang w:val="es-ES_tradnl"/>
        </w:rPr>
        <w:t xml:space="preserve"> </w:t>
      </w:r>
      <w:r w:rsidR="009B642E" w:rsidRPr="00D03701">
        <w:rPr>
          <w:rFonts w:ascii="Arial" w:hAnsi="Arial" w:cs="Arial"/>
          <w:sz w:val="22"/>
          <w:szCs w:val="22"/>
          <w:lang w:val="es-ES_tradnl"/>
        </w:rPr>
        <w:t xml:space="preserve">para el año </w:t>
      </w:r>
      <w:r w:rsidR="006956D2" w:rsidRPr="00D03701">
        <w:rPr>
          <w:rFonts w:ascii="Arial" w:hAnsi="Arial" w:cs="Arial"/>
          <w:sz w:val="22"/>
          <w:szCs w:val="22"/>
          <w:lang w:val="es-ES_tradnl"/>
        </w:rPr>
        <w:t xml:space="preserve">en </w:t>
      </w:r>
      <w:r w:rsidR="00066C15" w:rsidRPr="00D03701">
        <w:rPr>
          <w:rFonts w:ascii="Arial" w:hAnsi="Arial" w:cs="Arial"/>
          <w:sz w:val="22"/>
          <w:szCs w:val="22"/>
          <w:lang w:val="es-ES_tradnl"/>
        </w:rPr>
        <w:t>el</w:t>
      </w:r>
      <w:r w:rsidR="00D67D24" w:rsidRPr="00D03701">
        <w:rPr>
          <w:rFonts w:ascii="Arial" w:hAnsi="Arial" w:cs="Arial"/>
          <w:sz w:val="22"/>
          <w:szCs w:val="22"/>
          <w:lang w:val="es-ES_tradnl"/>
        </w:rPr>
        <w:t xml:space="preserve"> cual</w:t>
      </w:r>
      <w:r w:rsidR="006956D2" w:rsidRPr="00D03701">
        <w:rPr>
          <w:rFonts w:ascii="Arial" w:hAnsi="Arial" w:cs="Arial"/>
          <w:sz w:val="22"/>
          <w:szCs w:val="22"/>
          <w:lang w:val="es-ES_tradnl"/>
        </w:rPr>
        <w:t xml:space="preserve"> </w:t>
      </w:r>
      <w:r w:rsidR="009B642E" w:rsidRPr="00D03701">
        <w:rPr>
          <w:rFonts w:ascii="Arial" w:hAnsi="Arial" w:cs="Arial"/>
          <w:sz w:val="22"/>
          <w:szCs w:val="22"/>
          <w:lang w:val="es-ES_tradnl"/>
        </w:rPr>
        <w:t>se</w:t>
      </w:r>
      <w:r w:rsidR="006956D2" w:rsidRPr="00D03701">
        <w:rPr>
          <w:rFonts w:ascii="Arial" w:hAnsi="Arial" w:cs="Arial"/>
          <w:sz w:val="22"/>
          <w:szCs w:val="22"/>
          <w:lang w:val="es-ES_tradnl"/>
        </w:rPr>
        <w:t xml:space="preserve"> </w:t>
      </w:r>
      <w:r w:rsidR="00D67D24" w:rsidRPr="00D03701">
        <w:rPr>
          <w:rFonts w:ascii="Arial" w:hAnsi="Arial" w:cs="Arial"/>
          <w:sz w:val="22"/>
          <w:szCs w:val="22"/>
          <w:lang w:val="es-ES_tradnl"/>
        </w:rPr>
        <w:t>emp</w:t>
      </w:r>
      <w:r w:rsidR="009B642E" w:rsidRPr="00D03701">
        <w:rPr>
          <w:rFonts w:ascii="Arial" w:hAnsi="Arial" w:cs="Arial"/>
          <w:sz w:val="22"/>
          <w:szCs w:val="22"/>
          <w:lang w:val="es-ES_tradnl"/>
        </w:rPr>
        <w:t>iezan</w:t>
      </w:r>
      <w:r w:rsidR="00D67D24" w:rsidRPr="00D03701">
        <w:rPr>
          <w:rFonts w:ascii="Arial" w:hAnsi="Arial" w:cs="Arial"/>
          <w:sz w:val="22"/>
          <w:szCs w:val="22"/>
          <w:lang w:val="es-ES_tradnl"/>
        </w:rPr>
        <w:t xml:space="preserve"> a</w:t>
      </w:r>
      <w:r w:rsidR="006956D2" w:rsidRPr="00D03701">
        <w:rPr>
          <w:rFonts w:ascii="Arial" w:hAnsi="Arial" w:cs="Arial"/>
          <w:sz w:val="22"/>
          <w:szCs w:val="22"/>
          <w:lang w:val="es-ES_tradnl"/>
        </w:rPr>
        <w:t xml:space="preserve"> generar beneficios</w:t>
      </w:r>
      <w:r w:rsidR="009B642E" w:rsidRPr="00D03701">
        <w:rPr>
          <w:rFonts w:ascii="Arial" w:hAnsi="Arial" w:cs="Arial"/>
          <w:sz w:val="22"/>
          <w:szCs w:val="22"/>
          <w:lang w:val="es-ES_tradnl"/>
        </w:rPr>
        <w:t xml:space="preserve"> suficientes</w:t>
      </w:r>
      <w:r w:rsidR="006956D2" w:rsidRPr="00D03701">
        <w:rPr>
          <w:rFonts w:ascii="Arial" w:hAnsi="Arial" w:cs="Arial"/>
          <w:sz w:val="22"/>
          <w:szCs w:val="22"/>
          <w:lang w:val="es-ES_tradnl"/>
        </w:rPr>
        <w:t xml:space="preserve"> </w:t>
      </w:r>
      <w:r w:rsidR="00D67D24" w:rsidRPr="00D03701">
        <w:rPr>
          <w:rFonts w:ascii="Arial" w:hAnsi="Arial" w:cs="Arial"/>
          <w:sz w:val="22"/>
          <w:szCs w:val="22"/>
          <w:lang w:val="es-ES_tradnl"/>
        </w:rPr>
        <w:t>para producir una TIR</w:t>
      </w:r>
      <w:r w:rsidR="00066C15" w:rsidRPr="00D03701">
        <w:rPr>
          <w:rFonts w:ascii="Arial" w:hAnsi="Arial" w:cs="Arial"/>
          <w:sz w:val="22"/>
          <w:szCs w:val="22"/>
          <w:lang w:val="es-ES_tradnl"/>
        </w:rPr>
        <w:t xml:space="preserve"> </w:t>
      </w:r>
      <w:r w:rsidR="007164E4" w:rsidRPr="00D03701">
        <w:rPr>
          <w:rFonts w:ascii="Arial" w:hAnsi="Arial" w:cs="Arial"/>
          <w:sz w:val="22"/>
          <w:szCs w:val="22"/>
          <w:lang w:val="es-ES_tradnl"/>
        </w:rPr>
        <w:t>más cercana</w:t>
      </w:r>
      <w:r w:rsidR="006956D2" w:rsidRPr="00D03701">
        <w:rPr>
          <w:rFonts w:ascii="Arial" w:hAnsi="Arial" w:cs="Arial"/>
          <w:sz w:val="22"/>
          <w:szCs w:val="22"/>
          <w:lang w:val="es-ES_tradnl"/>
        </w:rPr>
        <w:t xml:space="preserve"> de 12</w:t>
      </w:r>
      <w:r w:rsidR="00D67D24" w:rsidRPr="00D03701">
        <w:rPr>
          <w:rFonts w:ascii="Arial" w:hAnsi="Arial" w:cs="Arial"/>
          <w:sz w:val="22"/>
          <w:szCs w:val="22"/>
          <w:lang w:val="es-ES_tradnl"/>
        </w:rPr>
        <w:t>%</w:t>
      </w:r>
      <w:r w:rsidRPr="00D03701">
        <w:rPr>
          <w:rFonts w:ascii="Arial" w:hAnsi="Arial" w:cs="Arial"/>
          <w:sz w:val="22"/>
          <w:szCs w:val="22"/>
          <w:lang w:val="es-ES_tradnl"/>
        </w:rPr>
        <w:t xml:space="preserve">. En este escenario, </w:t>
      </w:r>
      <w:r w:rsidR="00905D64" w:rsidRPr="00D03701">
        <w:rPr>
          <w:rFonts w:ascii="Arial" w:hAnsi="Arial" w:cs="Arial"/>
          <w:sz w:val="22"/>
          <w:szCs w:val="22"/>
          <w:lang w:val="es-ES_tradnl"/>
        </w:rPr>
        <w:t>los beneficios empeza</w:t>
      </w:r>
      <w:r w:rsidR="009B642E" w:rsidRPr="00D03701">
        <w:rPr>
          <w:rFonts w:ascii="Arial" w:hAnsi="Arial" w:cs="Arial"/>
          <w:sz w:val="22"/>
          <w:szCs w:val="22"/>
          <w:lang w:val="es-ES_tradnl"/>
        </w:rPr>
        <w:t>rían</w:t>
      </w:r>
      <w:r w:rsidR="00905D64" w:rsidRPr="00D03701">
        <w:rPr>
          <w:rFonts w:ascii="Arial" w:hAnsi="Arial" w:cs="Arial"/>
          <w:sz w:val="22"/>
          <w:szCs w:val="22"/>
          <w:lang w:val="es-ES_tradnl"/>
        </w:rPr>
        <w:t xml:space="preserve"> a ser generados en el quinto año de ejecución del proyecto, </w:t>
      </w:r>
      <w:r w:rsidR="009B642E" w:rsidRPr="00D03701">
        <w:rPr>
          <w:rFonts w:ascii="Arial" w:hAnsi="Arial" w:cs="Arial"/>
          <w:sz w:val="22"/>
          <w:szCs w:val="22"/>
          <w:lang w:val="es-ES_tradnl"/>
        </w:rPr>
        <w:t xml:space="preserve">con </w:t>
      </w:r>
      <w:r w:rsidR="00905D64" w:rsidRPr="00D03701">
        <w:rPr>
          <w:rFonts w:ascii="Arial" w:hAnsi="Arial" w:cs="Arial"/>
          <w:sz w:val="22"/>
          <w:szCs w:val="22"/>
          <w:lang w:val="es-ES_tradnl"/>
        </w:rPr>
        <w:t>una TIR de 1</w:t>
      </w:r>
      <w:r w:rsidR="007164E4" w:rsidRPr="00D03701">
        <w:rPr>
          <w:rFonts w:ascii="Arial" w:hAnsi="Arial" w:cs="Arial"/>
          <w:sz w:val="22"/>
          <w:szCs w:val="22"/>
          <w:lang w:val="es-ES_tradnl"/>
        </w:rPr>
        <w:t>8</w:t>
      </w:r>
      <w:r w:rsidR="00905D64" w:rsidRPr="00D03701">
        <w:rPr>
          <w:rFonts w:ascii="Arial" w:hAnsi="Arial" w:cs="Arial"/>
          <w:sz w:val="22"/>
          <w:szCs w:val="22"/>
          <w:lang w:val="es-ES_tradnl"/>
        </w:rPr>
        <w:t xml:space="preserve">% </w:t>
      </w:r>
      <w:r w:rsidR="009B642E" w:rsidRPr="00D03701">
        <w:rPr>
          <w:rFonts w:ascii="Arial" w:hAnsi="Arial" w:cs="Arial"/>
          <w:sz w:val="22"/>
          <w:szCs w:val="22"/>
          <w:lang w:val="es-ES_tradnl"/>
        </w:rPr>
        <w:t>y</w:t>
      </w:r>
      <w:r w:rsidR="00905D64" w:rsidRPr="00D03701">
        <w:rPr>
          <w:rFonts w:ascii="Arial" w:hAnsi="Arial" w:cs="Arial"/>
          <w:sz w:val="22"/>
          <w:szCs w:val="22"/>
          <w:lang w:val="es-ES_tradnl"/>
        </w:rPr>
        <w:t xml:space="preserve"> un VPN de US$</w:t>
      </w:r>
      <w:r w:rsidR="007164E4" w:rsidRPr="00D03701">
        <w:rPr>
          <w:rFonts w:ascii="Arial" w:hAnsi="Arial" w:cs="Arial"/>
          <w:sz w:val="22"/>
          <w:szCs w:val="22"/>
          <w:lang w:val="es-ES_tradnl"/>
        </w:rPr>
        <w:t>18,1</w:t>
      </w:r>
      <w:r w:rsidR="009B642E" w:rsidRPr="00D03701">
        <w:rPr>
          <w:rFonts w:ascii="Arial" w:hAnsi="Arial" w:cs="Arial"/>
          <w:sz w:val="22"/>
          <w:szCs w:val="22"/>
          <w:lang w:val="es-ES_tradnl"/>
        </w:rPr>
        <w:t xml:space="preserve"> millones</w:t>
      </w:r>
      <w:r w:rsidR="00905D64" w:rsidRPr="00D03701">
        <w:rPr>
          <w:rFonts w:ascii="Arial" w:hAnsi="Arial" w:cs="Arial"/>
          <w:sz w:val="22"/>
          <w:szCs w:val="22"/>
          <w:lang w:val="es-ES_tradnl"/>
        </w:rPr>
        <w:t>.</w:t>
      </w:r>
    </w:p>
    <w:p w14:paraId="111B59F8" w14:textId="77777777" w:rsidR="00F10D9A" w:rsidRPr="00D03701" w:rsidRDefault="007E781F" w:rsidP="00984CBA">
      <w:pPr>
        <w:pStyle w:val="Chapter"/>
        <w:numPr>
          <w:ilvl w:val="0"/>
          <w:numId w:val="2"/>
        </w:numPr>
        <w:spacing w:before="120" w:after="120"/>
        <w:ind w:left="720" w:hanging="612"/>
        <w:jc w:val="left"/>
        <w:outlineLvl w:val="0"/>
        <w:rPr>
          <w:rFonts w:ascii="Arial" w:hAnsi="Arial" w:cs="Arial"/>
          <w:bCs/>
          <w:sz w:val="22"/>
          <w:szCs w:val="22"/>
          <w:lang w:val="es-ES_tradnl"/>
        </w:rPr>
      </w:pPr>
      <w:bookmarkStart w:id="2" w:name="_Toc522741992"/>
      <w:r w:rsidRPr="00D03701">
        <w:rPr>
          <w:rFonts w:ascii="Arial" w:hAnsi="Arial" w:cs="Arial"/>
          <w:sz w:val="22"/>
          <w:szCs w:val="22"/>
          <w:lang w:val="es-ES_tradnl"/>
        </w:rPr>
        <w:t>Antecedentes</w:t>
      </w:r>
      <w:r w:rsidRPr="00D03701">
        <w:rPr>
          <w:rFonts w:ascii="Arial" w:hAnsi="Arial" w:cs="Arial"/>
          <w:b w:val="0"/>
          <w:sz w:val="22"/>
          <w:szCs w:val="22"/>
          <w:lang w:val="es-ES_tradnl"/>
        </w:rPr>
        <w:t>.</w:t>
      </w:r>
      <w:bookmarkEnd w:id="2"/>
      <w:r w:rsidRPr="00D03701">
        <w:rPr>
          <w:rFonts w:ascii="Arial" w:hAnsi="Arial" w:cs="Arial"/>
          <w:sz w:val="22"/>
          <w:szCs w:val="22"/>
          <w:lang w:val="es-ES_tradnl"/>
        </w:rPr>
        <w:t xml:space="preserve"> </w:t>
      </w:r>
    </w:p>
    <w:p w14:paraId="152FB40F" w14:textId="77777777" w:rsidR="00BE7955" w:rsidRPr="00BE7955" w:rsidRDefault="003E5D36" w:rsidP="00BE7955">
      <w:pPr>
        <w:pStyle w:val="Paragraph"/>
        <w:numPr>
          <w:ilvl w:val="1"/>
          <w:numId w:val="11"/>
        </w:numPr>
        <w:tabs>
          <w:tab w:val="num" w:pos="720"/>
        </w:tabs>
        <w:ind w:left="720" w:hanging="720"/>
        <w:outlineLvl w:val="9"/>
        <w:rPr>
          <w:rFonts w:ascii="Arial" w:hAnsi="Arial" w:cs="Arial"/>
          <w:sz w:val="22"/>
          <w:szCs w:val="22"/>
        </w:rPr>
      </w:pPr>
      <w:bookmarkStart w:id="3" w:name="_Hlk505625564"/>
      <w:r w:rsidRPr="00D03701">
        <w:rPr>
          <w:rFonts w:ascii="Arial" w:hAnsi="Arial" w:cs="Arial"/>
          <w:b/>
          <w:sz w:val="22"/>
          <w:szCs w:val="22"/>
          <w:lang w:val="es-ES_tradnl"/>
        </w:rPr>
        <w:t xml:space="preserve">Situación </w:t>
      </w:r>
      <w:r w:rsidR="00CC5DD5" w:rsidRPr="00D03701">
        <w:rPr>
          <w:rFonts w:ascii="Arial" w:hAnsi="Arial" w:cs="Arial"/>
          <w:b/>
          <w:sz w:val="22"/>
          <w:szCs w:val="22"/>
          <w:lang w:val="es-ES_tradnl"/>
        </w:rPr>
        <w:t xml:space="preserve">económica y </w:t>
      </w:r>
      <w:r w:rsidRPr="00D03701">
        <w:rPr>
          <w:rFonts w:ascii="Arial" w:hAnsi="Arial" w:cs="Arial"/>
          <w:b/>
          <w:sz w:val="22"/>
          <w:szCs w:val="22"/>
          <w:lang w:val="es-ES_tradnl"/>
        </w:rPr>
        <w:t xml:space="preserve">Fiscal de </w:t>
      </w:r>
      <w:r w:rsidR="00CC5DD5" w:rsidRPr="00D03701">
        <w:rPr>
          <w:rFonts w:ascii="Arial" w:hAnsi="Arial" w:cs="Arial"/>
          <w:b/>
          <w:sz w:val="22"/>
          <w:szCs w:val="22"/>
          <w:lang w:val="es-ES_tradnl"/>
        </w:rPr>
        <w:t>Perú.</w:t>
      </w:r>
      <w:r w:rsidRPr="00D03701">
        <w:rPr>
          <w:rFonts w:ascii="Arial" w:hAnsi="Arial" w:cs="Arial"/>
          <w:sz w:val="22"/>
          <w:szCs w:val="22"/>
          <w:lang w:val="es-ES_tradnl"/>
        </w:rPr>
        <w:t xml:space="preserve"> </w:t>
      </w:r>
      <w:r w:rsidR="00BE7955" w:rsidRPr="00BE7955">
        <w:rPr>
          <w:rFonts w:ascii="Arial" w:hAnsi="Arial" w:cs="Arial"/>
          <w:sz w:val="22"/>
          <w:szCs w:val="22"/>
          <w:lang w:val="es-ES_tradnl"/>
        </w:rPr>
        <w:t xml:space="preserve">Durante el periodo 2002-2012 – como resultado del aumento de los precios de los </w:t>
      </w:r>
      <w:r w:rsidR="00BE7955" w:rsidRPr="00BE7955">
        <w:rPr>
          <w:rFonts w:ascii="Arial" w:hAnsi="Arial" w:cs="Arial"/>
          <w:i/>
          <w:sz w:val="22"/>
          <w:szCs w:val="22"/>
          <w:lang w:val="es-ES_tradnl"/>
        </w:rPr>
        <w:t>commodities</w:t>
      </w:r>
      <w:r w:rsidR="00BE7955" w:rsidRPr="00BE7955">
        <w:rPr>
          <w:rFonts w:ascii="Arial" w:hAnsi="Arial" w:cs="Arial"/>
          <w:sz w:val="22"/>
          <w:szCs w:val="22"/>
          <w:lang w:val="es-ES_tradnl"/>
        </w:rPr>
        <w:t xml:space="preserve">, de una gestión </w:t>
      </w:r>
      <w:r w:rsidR="00BE7955" w:rsidRPr="00BE7955">
        <w:rPr>
          <w:rFonts w:ascii="Arial" w:hAnsi="Arial" w:cs="Arial"/>
          <w:sz w:val="22"/>
          <w:szCs w:val="22"/>
        </w:rPr>
        <w:t>fiscal</w:t>
      </w:r>
      <w:r w:rsidR="00BE7955" w:rsidRPr="00BE7955">
        <w:rPr>
          <w:rFonts w:ascii="Arial" w:hAnsi="Arial" w:cs="Arial"/>
          <w:sz w:val="22"/>
          <w:szCs w:val="22"/>
          <w:lang w:val="es-ES_tradnl"/>
        </w:rPr>
        <w:t>/monetaria y un entorno favorable para la inversión - la economía de Perú creció un promedio anual de 6,2%, lo cual a su vez incrementó los ingresos tributarios del Gobierno Central (GC) de 12,7% a 16,9% del Producto Interno Bruto (PIB)</w:t>
      </w:r>
      <w:r w:rsidR="00BE7955" w:rsidRPr="00BE7955">
        <w:rPr>
          <w:rStyle w:val="FootnoteReference"/>
          <w:rFonts w:ascii="Arial" w:hAnsi="Arial" w:cs="Arial"/>
          <w:sz w:val="22"/>
          <w:szCs w:val="22"/>
          <w:lang w:val="es-ES_tradnl"/>
        </w:rPr>
        <w:footnoteReference w:id="2"/>
      </w:r>
      <w:r w:rsidR="00BE7955" w:rsidRPr="00BE7955">
        <w:rPr>
          <w:rFonts w:ascii="Arial" w:hAnsi="Arial" w:cs="Arial"/>
          <w:sz w:val="22"/>
          <w:szCs w:val="22"/>
          <w:lang w:val="es-ES_tradnl"/>
        </w:rPr>
        <w:t xml:space="preserve">. </w:t>
      </w:r>
    </w:p>
    <w:p w14:paraId="621B6D67" w14:textId="77777777" w:rsidR="00BE7955" w:rsidRPr="00BE7955" w:rsidRDefault="00BE7955" w:rsidP="00BE7955">
      <w:pPr>
        <w:pStyle w:val="Paragraph"/>
        <w:numPr>
          <w:ilvl w:val="1"/>
          <w:numId w:val="11"/>
        </w:numPr>
        <w:tabs>
          <w:tab w:val="num" w:pos="720"/>
        </w:tabs>
        <w:ind w:left="720" w:hanging="720"/>
        <w:outlineLvl w:val="9"/>
        <w:rPr>
          <w:rFonts w:ascii="Arial" w:hAnsi="Arial" w:cs="Arial"/>
          <w:sz w:val="22"/>
          <w:szCs w:val="22"/>
        </w:rPr>
      </w:pPr>
      <w:r w:rsidRPr="00BE7955">
        <w:rPr>
          <w:rFonts w:ascii="Arial" w:hAnsi="Arial" w:cs="Arial"/>
          <w:sz w:val="22"/>
          <w:szCs w:val="22"/>
        </w:rPr>
        <w:t>Las condiciones externas menos favorables desde 2013 redujeron el dinamismo de la economía peruana. Las tasas de crecimiento del PIB en 2015 y 2016 fueron de 3.3% y 3.9% respectivamente. La caída del precio de las commodities, sumado al choque climático de El Niño Costero, impactó el crecimiento del PIB en el 2017, el cual sólo creció en 2.5% en 2017.El menor dinamismo económico se vio acompañado de una caída drástica de los ingresos tributarios, los cuales cayeron hasta 12,9% en 2017</w:t>
      </w:r>
      <w:r w:rsidRPr="00BE7955">
        <w:rPr>
          <w:rStyle w:val="FootnoteReference"/>
          <w:rFonts w:ascii="Arial" w:hAnsi="Arial" w:cs="Arial"/>
          <w:sz w:val="22"/>
          <w:szCs w:val="22"/>
          <w:lang w:val="es-ES_tradnl"/>
        </w:rPr>
        <w:footnoteReference w:id="3"/>
      </w:r>
      <w:r w:rsidRPr="00BE7955">
        <w:rPr>
          <w:rFonts w:ascii="Arial" w:hAnsi="Arial" w:cs="Arial"/>
          <w:sz w:val="22"/>
          <w:szCs w:val="22"/>
          <w:lang w:val="es-ES_tradnl"/>
        </w:rPr>
        <w:t xml:space="preserve">, el nivel más bajo desde 2002. </w:t>
      </w:r>
    </w:p>
    <w:p w14:paraId="5140ECF9" w14:textId="784283BC" w:rsidR="00BE7955" w:rsidRPr="00BE7955" w:rsidRDefault="00BE7955" w:rsidP="00BE7955">
      <w:pPr>
        <w:pStyle w:val="Paragraph"/>
        <w:numPr>
          <w:ilvl w:val="1"/>
          <w:numId w:val="11"/>
        </w:numPr>
        <w:tabs>
          <w:tab w:val="num" w:pos="720"/>
        </w:tabs>
        <w:ind w:left="720" w:hanging="720"/>
        <w:outlineLvl w:val="9"/>
        <w:rPr>
          <w:rFonts w:ascii="Arial" w:hAnsi="Arial" w:cs="Arial"/>
          <w:sz w:val="22"/>
          <w:szCs w:val="22"/>
        </w:rPr>
      </w:pPr>
      <w:r w:rsidRPr="00BE7955">
        <w:rPr>
          <w:rFonts w:ascii="Arial" w:hAnsi="Arial" w:cs="Arial"/>
          <w:sz w:val="22"/>
          <w:szCs w:val="22"/>
          <w:lang w:val="es-ES_tradnl"/>
        </w:rPr>
        <w:t xml:space="preserve">La presión tributaria mostro una tendencia procíclica durante el periodo 2000 – 2017, lo cual ha impedido construir un pilar fiscal solido que permita mantener estable la gestión financiera del Estado. </w:t>
      </w:r>
      <w:bookmarkStart w:id="4" w:name="_Hlk523343398"/>
      <w:r w:rsidRPr="00BE7955">
        <w:rPr>
          <w:rFonts w:ascii="Arial" w:hAnsi="Arial" w:cs="Arial"/>
          <w:sz w:val="22"/>
          <w:szCs w:val="22"/>
          <w:lang w:val="es-ES_tradnl"/>
        </w:rPr>
        <w:t xml:space="preserve">Según </w:t>
      </w:r>
      <w:r w:rsidRPr="00BE7955">
        <w:rPr>
          <w:rFonts w:ascii="Arial" w:hAnsi="Arial" w:cs="Arial"/>
          <w:sz w:val="22"/>
          <w:szCs w:val="22"/>
        </w:rPr>
        <w:t xml:space="preserve">el Ministerio de Economía y Finanzas (MEF, 2018) la caída drástica de la recaudación, de 4 puntos porcentuales (pp) del PIB, entre 2012-2017 se debe a: un insuficiente control por parte de la administración tributaria y aduanera (-1,4pp); menores precios de minerales (-1,3pp); políticas de reducción de la carga tributaria (-0,7pp); mayores devoluciones de impuestos (-0,3pp); y el efecto del ciclo económico (-0,3pp). </w:t>
      </w:r>
      <w:bookmarkEnd w:id="4"/>
    </w:p>
    <w:p w14:paraId="42CFDD28" w14:textId="77777777" w:rsidR="00BE7955" w:rsidRPr="00BE7955" w:rsidRDefault="00BE7955" w:rsidP="00BE7955">
      <w:pPr>
        <w:pStyle w:val="Paragraph"/>
        <w:numPr>
          <w:ilvl w:val="1"/>
          <w:numId w:val="11"/>
        </w:numPr>
        <w:tabs>
          <w:tab w:val="num" w:pos="720"/>
        </w:tabs>
        <w:ind w:left="720" w:hanging="720"/>
        <w:outlineLvl w:val="9"/>
        <w:rPr>
          <w:rFonts w:ascii="Arial" w:hAnsi="Arial" w:cs="Arial"/>
          <w:sz w:val="22"/>
          <w:szCs w:val="22"/>
        </w:rPr>
      </w:pPr>
      <w:r w:rsidRPr="00BE7955">
        <w:rPr>
          <w:rFonts w:ascii="Arial" w:hAnsi="Arial" w:cs="Arial"/>
          <w:sz w:val="22"/>
          <w:szCs w:val="22"/>
          <w:lang w:val="es-ES_tradnl"/>
        </w:rPr>
        <w:t>Por otra parte, independientemente del ciclo económico, la recaudación de Perú es relativamente baja en comparación con sus pares en la región y con los países miembros de la OCDE: en promedio 22,7% del PIB y 35,5% del PIB</w:t>
      </w:r>
      <w:r w:rsidRPr="00BE7955">
        <w:rPr>
          <w:rStyle w:val="FootnoteReference"/>
          <w:rFonts w:ascii="Arial" w:hAnsi="Arial" w:cs="Arial"/>
          <w:sz w:val="22"/>
          <w:szCs w:val="22"/>
        </w:rPr>
        <w:footnoteReference w:id="4"/>
      </w:r>
      <w:r w:rsidRPr="00BE7955">
        <w:rPr>
          <w:rFonts w:ascii="Arial" w:hAnsi="Arial" w:cs="Arial"/>
          <w:sz w:val="22"/>
          <w:szCs w:val="22"/>
        </w:rPr>
        <w:t xml:space="preserve">. </w:t>
      </w:r>
      <w:r w:rsidRPr="00BE7955">
        <w:rPr>
          <w:rFonts w:ascii="Arial" w:hAnsi="Arial" w:cs="Arial"/>
          <w:sz w:val="22"/>
          <w:szCs w:val="22"/>
          <w:lang w:val="es-ES_tradnl"/>
        </w:rPr>
        <w:t>S</w:t>
      </w:r>
      <w:proofErr w:type="spellStart"/>
      <w:r w:rsidRPr="00BE7955">
        <w:rPr>
          <w:rFonts w:ascii="Arial" w:hAnsi="Arial" w:cs="Arial"/>
          <w:sz w:val="22"/>
          <w:szCs w:val="22"/>
        </w:rPr>
        <w:t>egún</w:t>
      </w:r>
      <w:proofErr w:type="spellEnd"/>
      <w:r w:rsidRPr="00BE7955">
        <w:rPr>
          <w:rFonts w:ascii="Arial" w:hAnsi="Arial" w:cs="Arial"/>
          <w:sz w:val="22"/>
          <w:szCs w:val="22"/>
        </w:rPr>
        <w:t xml:space="preserve"> Pessino y Fenochietto (2013) la recaudación potencial en Perú alcanzaría el 29,5% del PIB. Sin embargo, este potencial es erosionado porque el sistema tributario no cubre a toda la economía. La informalidad es particularmente elevada ya que representa 59% de las </w:t>
      </w:r>
      <w:r w:rsidRPr="00BE7955">
        <w:rPr>
          <w:rFonts w:ascii="Arial" w:hAnsi="Arial" w:cs="Arial"/>
          <w:sz w:val="22"/>
          <w:szCs w:val="22"/>
        </w:rPr>
        <w:lastRenderedPageBreak/>
        <w:t>empresas y 73% de los trabajadores (INEI, 2017)</w:t>
      </w:r>
      <w:r w:rsidRPr="00BE7955">
        <w:rPr>
          <w:rStyle w:val="FootnoteReference"/>
          <w:rFonts w:ascii="Arial" w:hAnsi="Arial" w:cs="Arial"/>
          <w:sz w:val="22"/>
          <w:szCs w:val="22"/>
        </w:rPr>
        <w:footnoteReference w:id="5"/>
      </w:r>
      <w:r w:rsidRPr="00BE7955">
        <w:rPr>
          <w:rFonts w:ascii="Arial" w:hAnsi="Arial" w:cs="Arial"/>
          <w:sz w:val="22"/>
          <w:szCs w:val="22"/>
        </w:rPr>
        <w:t>. Este problema facilita una elevada evasión</w:t>
      </w:r>
      <w:r w:rsidRPr="00BE7955">
        <w:rPr>
          <w:rStyle w:val="FootnoteReference"/>
          <w:rFonts w:ascii="Arial" w:hAnsi="Arial" w:cs="Arial"/>
          <w:sz w:val="22"/>
          <w:szCs w:val="22"/>
        </w:rPr>
        <w:footnoteReference w:id="6"/>
      </w:r>
      <w:r w:rsidRPr="00BE7955">
        <w:rPr>
          <w:rFonts w:ascii="Arial" w:hAnsi="Arial" w:cs="Arial"/>
          <w:sz w:val="22"/>
          <w:szCs w:val="22"/>
        </w:rPr>
        <w:t xml:space="preserve"> en los principales impuestos y en el Impuesto General a las Ventas (IGV)</w:t>
      </w:r>
      <w:r w:rsidRPr="00BE7955">
        <w:rPr>
          <w:rStyle w:val="FootnoteReference"/>
          <w:rFonts w:ascii="Arial" w:hAnsi="Arial" w:cs="Arial"/>
          <w:sz w:val="22"/>
          <w:szCs w:val="22"/>
        </w:rPr>
        <w:footnoteReference w:id="7"/>
      </w:r>
      <w:r w:rsidRPr="00BE7955">
        <w:rPr>
          <w:rFonts w:ascii="Arial" w:hAnsi="Arial" w:cs="Arial"/>
          <w:sz w:val="22"/>
          <w:szCs w:val="22"/>
        </w:rPr>
        <w:t>, para la cual alcanza un 36%. Cabe destacar que el IGV representa 60% de la recaudación total, 7,8% del PIB, y el 3,2% del PIB corresponde a importaciones</w:t>
      </w:r>
      <w:r w:rsidRPr="00BE7955">
        <w:rPr>
          <w:rStyle w:val="FootnoteReference"/>
          <w:rFonts w:ascii="Arial" w:hAnsi="Arial" w:cs="Arial"/>
          <w:sz w:val="22"/>
          <w:szCs w:val="22"/>
        </w:rPr>
        <w:footnoteReference w:id="8"/>
      </w:r>
      <w:r w:rsidRPr="00BE7955">
        <w:rPr>
          <w:rFonts w:ascii="Arial" w:hAnsi="Arial" w:cs="Arial"/>
          <w:sz w:val="22"/>
          <w:szCs w:val="22"/>
        </w:rPr>
        <w:t xml:space="preserve">. </w:t>
      </w:r>
    </w:p>
    <w:p w14:paraId="3B64130F" w14:textId="77777777" w:rsidR="00BE7955" w:rsidRPr="00BE7955" w:rsidRDefault="00BE7955" w:rsidP="00BE7955">
      <w:pPr>
        <w:pStyle w:val="Paragraph"/>
        <w:numPr>
          <w:ilvl w:val="1"/>
          <w:numId w:val="11"/>
        </w:numPr>
        <w:tabs>
          <w:tab w:val="num" w:pos="720"/>
        </w:tabs>
        <w:ind w:left="720" w:hanging="720"/>
        <w:outlineLvl w:val="9"/>
        <w:rPr>
          <w:rFonts w:ascii="Arial" w:hAnsi="Arial" w:cs="Arial"/>
          <w:sz w:val="22"/>
          <w:szCs w:val="22"/>
        </w:rPr>
      </w:pPr>
      <w:r w:rsidRPr="00BE7955">
        <w:rPr>
          <w:rFonts w:ascii="Arial" w:hAnsi="Arial" w:cs="Arial"/>
          <w:sz w:val="22"/>
          <w:szCs w:val="22"/>
        </w:rPr>
        <w:t>A estos problemas se suman que, a pesar de que Perú es una economía abierta con un grado de apertura comercial del 39% del PIB</w:t>
      </w:r>
      <w:r w:rsidRPr="00BE7955">
        <w:rPr>
          <w:rStyle w:val="FootnoteReference"/>
          <w:rFonts w:ascii="Arial" w:hAnsi="Arial" w:cs="Arial"/>
          <w:sz w:val="22"/>
          <w:szCs w:val="22"/>
        </w:rPr>
        <w:footnoteReference w:id="9"/>
      </w:r>
      <w:r w:rsidRPr="00BE7955">
        <w:rPr>
          <w:rFonts w:ascii="Arial" w:hAnsi="Arial" w:cs="Arial"/>
          <w:sz w:val="22"/>
          <w:szCs w:val="22"/>
        </w:rPr>
        <w:t xml:space="preserve">, los tiempos de despacho aduanero son aún elevados. De un total de 136 países reportados por el </w:t>
      </w:r>
      <w:proofErr w:type="spellStart"/>
      <w:r w:rsidRPr="00BE7955">
        <w:rPr>
          <w:rFonts w:ascii="Arial" w:hAnsi="Arial" w:cs="Arial"/>
          <w:i/>
          <w:sz w:val="22"/>
          <w:szCs w:val="22"/>
        </w:rPr>
        <w:t>Enabling</w:t>
      </w:r>
      <w:proofErr w:type="spellEnd"/>
      <w:r w:rsidRPr="00BE7955">
        <w:rPr>
          <w:rFonts w:ascii="Arial" w:hAnsi="Arial" w:cs="Arial"/>
          <w:i/>
          <w:sz w:val="22"/>
          <w:szCs w:val="22"/>
        </w:rPr>
        <w:t xml:space="preserve"> </w:t>
      </w:r>
      <w:proofErr w:type="spellStart"/>
      <w:r w:rsidRPr="00BE7955">
        <w:rPr>
          <w:rFonts w:ascii="Arial" w:hAnsi="Arial" w:cs="Arial"/>
          <w:i/>
          <w:sz w:val="22"/>
          <w:szCs w:val="22"/>
        </w:rPr>
        <w:t>Trade</w:t>
      </w:r>
      <w:proofErr w:type="spellEnd"/>
      <w:r w:rsidRPr="00BE7955">
        <w:rPr>
          <w:rFonts w:ascii="Arial" w:hAnsi="Arial" w:cs="Arial"/>
          <w:i/>
          <w:sz w:val="22"/>
          <w:szCs w:val="22"/>
        </w:rPr>
        <w:t xml:space="preserve"> Report</w:t>
      </w:r>
      <w:r w:rsidRPr="00BE7955">
        <w:rPr>
          <w:rFonts w:ascii="Arial" w:hAnsi="Arial" w:cs="Arial"/>
          <w:sz w:val="22"/>
          <w:szCs w:val="22"/>
        </w:rPr>
        <w:t xml:space="preserve"> de 2016</w:t>
      </w:r>
      <w:r w:rsidRPr="00BE7955">
        <w:rPr>
          <w:rStyle w:val="FootnoteReference"/>
          <w:rFonts w:ascii="Arial" w:hAnsi="Arial" w:cs="Arial"/>
          <w:sz w:val="22"/>
          <w:szCs w:val="22"/>
        </w:rPr>
        <w:footnoteReference w:id="10"/>
      </w:r>
      <w:r w:rsidRPr="00BE7955">
        <w:rPr>
          <w:rFonts w:ascii="Arial" w:hAnsi="Arial" w:cs="Arial"/>
          <w:sz w:val="22"/>
          <w:szCs w:val="22"/>
        </w:rPr>
        <w:t>, Perú se situó en el puesto 89 para importación con un promedio de 100 horas y en el puesto 86 para exportación con 24 horas, en los tiempos para el despacho de mercancías. Estas demoras, sumados a casos de contaminación de exportaciones, afectan negativamente los niveles de competitividad del país y constituyen un impacto negativo de segundo orden en la recaudación de los impuestos en las diferentes Aduanas del país.</w:t>
      </w:r>
      <w:r w:rsidRPr="00BE7955">
        <w:rPr>
          <w:rStyle w:val="FootnoteReference"/>
          <w:rFonts w:ascii="Arial" w:hAnsi="Arial" w:cs="Arial"/>
          <w:sz w:val="22"/>
          <w:szCs w:val="22"/>
        </w:rPr>
        <w:footnoteReference w:id="11"/>
      </w:r>
    </w:p>
    <w:bookmarkEnd w:id="3"/>
    <w:p w14:paraId="7F942256" w14:textId="77777777" w:rsidR="00185D09" w:rsidRPr="00185D09" w:rsidRDefault="00185D09" w:rsidP="00185D09">
      <w:pPr>
        <w:pStyle w:val="Paragraph"/>
        <w:numPr>
          <w:ilvl w:val="1"/>
          <w:numId w:val="11"/>
        </w:numPr>
        <w:tabs>
          <w:tab w:val="num" w:pos="720"/>
        </w:tabs>
        <w:ind w:left="720" w:hanging="720"/>
        <w:outlineLvl w:val="9"/>
        <w:rPr>
          <w:rFonts w:ascii="Arial" w:hAnsi="Arial" w:cs="Arial"/>
          <w:sz w:val="22"/>
          <w:szCs w:val="22"/>
        </w:rPr>
      </w:pPr>
      <w:r w:rsidRPr="00185D09">
        <w:rPr>
          <w:rFonts w:ascii="Arial" w:hAnsi="Arial" w:cs="Arial"/>
          <w:b/>
          <w:sz w:val="22"/>
          <w:szCs w:val="22"/>
          <w:lang w:val="es-ES_tradnl"/>
        </w:rPr>
        <w:t xml:space="preserve">La Superintendencia </w:t>
      </w:r>
      <w:r w:rsidRPr="00185D09">
        <w:rPr>
          <w:rFonts w:ascii="Arial" w:hAnsi="Arial" w:cs="Arial"/>
          <w:b/>
          <w:sz w:val="22"/>
          <w:szCs w:val="22"/>
        </w:rPr>
        <w:t>Nacional</w:t>
      </w:r>
      <w:r w:rsidRPr="00185D09">
        <w:rPr>
          <w:rFonts w:ascii="Arial" w:hAnsi="Arial" w:cs="Arial"/>
          <w:b/>
          <w:sz w:val="22"/>
          <w:szCs w:val="22"/>
          <w:lang w:val="es-ES_tradnl"/>
        </w:rPr>
        <w:t xml:space="preserve"> de Aduanas y Administración (SUNAT) es la entidad responsable de la recaudación tributaria y aduanera, y la facilitación del comercio internacional. </w:t>
      </w:r>
      <w:r w:rsidRPr="00185D09">
        <w:rPr>
          <w:rFonts w:ascii="Arial" w:hAnsi="Arial" w:cs="Arial"/>
          <w:sz w:val="22"/>
          <w:szCs w:val="22"/>
        </w:rPr>
        <w:t xml:space="preserve">Desde su creación en 1988, la SUNAT se ha caracterizado por un proceso de innovaciones constantes. Durante sus primeros años, la SUNAT llevó a cabo reformas tributarias que le permitieron simplificar los impuestos con tasas moderadas y bases amplias, y profesionalizar a su personal. Esos esfuerzos se reflejaron en que durante la década de los 90’s del siglo pasado, la recaudación aumentó de 10.8% del PIB en 1990 a 12.8% del PIB en el 2000. </w:t>
      </w:r>
    </w:p>
    <w:p w14:paraId="70F62B02" w14:textId="77777777" w:rsidR="00185D09" w:rsidRPr="00185D09" w:rsidRDefault="00185D09" w:rsidP="00185D09">
      <w:pPr>
        <w:pStyle w:val="Paragraph"/>
        <w:numPr>
          <w:ilvl w:val="1"/>
          <w:numId w:val="11"/>
        </w:numPr>
        <w:tabs>
          <w:tab w:val="num" w:pos="720"/>
        </w:tabs>
        <w:ind w:left="720" w:hanging="720"/>
        <w:outlineLvl w:val="9"/>
        <w:rPr>
          <w:rFonts w:ascii="Arial" w:hAnsi="Arial" w:cs="Arial"/>
          <w:sz w:val="22"/>
          <w:szCs w:val="22"/>
        </w:rPr>
      </w:pPr>
      <w:r w:rsidRPr="00185D09">
        <w:rPr>
          <w:rFonts w:ascii="Arial" w:hAnsi="Arial" w:cs="Arial"/>
          <w:sz w:val="22"/>
          <w:szCs w:val="22"/>
        </w:rPr>
        <w:t>Siguiendo la ruta de cambios constantes, en los primeros años del 2000, SUNAT emprendió un proceso de integración funcional de la administración tributaria y aduanera</w:t>
      </w:r>
      <w:r w:rsidRPr="00185D09">
        <w:rPr>
          <w:rStyle w:val="FootnoteReference"/>
          <w:rFonts w:ascii="Arial" w:hAnsi="Arial" w:cs="Arial"/>
          <w:sz w:val="22"/>
          <w:szCs w:val="22"/>
        </w:rPr>
        <w:footnoteReference w:id="12"/>
      </w:r>
      <w:r w:rsidRPr="00185D09">
        <w:rPr>
          <w:rFonts w:ascii="Arial" w:hAnsi="Arial" w:cs="Arial"/>
          <w:sz w:val="22"/>
          <w:szCs w:val="22"/>
        </w:rPr>
        <w:t xml:space="preserve">, y consolidó reformas de fortalecimiento de la gestión institucional y de autonomía de la SUNAT. Posteriormente, a partir del 2012 ha invertido en infraestructura tecnológica y aduanera y se ha buscado construir una plataforma tecnológica que permita gestionar de forma transversal los principales procesos tributarios y aduaneros. Los elementos que destacan en esta intervención son la implementación de la cuenta única del contribuyente y usuario del comercio exterior, y la adquisición de equipamiento de alto nivel para la mejora del control no intrusivo aduanero. </w:t>
      </w:r>
    </w:p>
    <w:p w14:paraId="2EDCEFFA" w14:textId="77777777" w:rsidR="00185D09" w:rsidRPr="00185D09" w:rsidRDefault="00185D09" w:rsidP="00185D09">
      <w:pPr>
        <w:pStyle w:val="Paragraph"/>
        <w:numPr>
          <w:ilvl w:val="1"/>
          <w:numId w:val="11"/>
        </w:numPr>
        <w:tabs>
          <w:tab w:val="num" w:pos="720"/>
        </w:tabs>
        <w:ind w:left="720" w:hanging="720"/>
        <w:outlineLvl w:val="9"/>
        <w:rPr>
          <w:rFonts w:ascii="Arial" w:hAnsi="Arial" w:cs="Arial"/>
          <w:sz w:val="22"/>
          <w:szCs w:val="22"/>
        </w:rPr>
      </w:pPr>
      <w:r w:rsidRPr="00185D09">
        <w:rPr>
          <w:rFonts w:ascii="Arial" w:hAnsi="Arial" w:cs="Arial"/>
          <w:sz w:val="22"/>
          <w:szCs w:val="22"/>
        </w:rPr>
        <w:t>A pesar de estas mejoras progresivas que la SUNAT ha venido realizando desde su creación, la institución se enfrenta a los retos generados por el crecimiento económico de la última década y las características de la economía peruana que explican los problemas de volatilidad y baja recaudación. Entre otros se puede identificar: (i) una mayor inversión y explotación minería que obliga a la administración tributaria a mejorar rápidamente la capacidad de control tributario; (ii) que en 2008 el país pasara a ser considerado de renta media alta (en base a la clasificación del Banco Mundial) y que la pobreza se redujera a un 20,7% en 2016; (ii) un sector informal elevado y que no se redujo sustancialmente a pesar del crecimiento económico, lo cual facilita la evasión; e (iii) irrupción de la nueva economía digital, como pueden ser UBER y RBNB, para citar ejemplos.</w:t>
      </w:r>
    </w:p>
    <w:p w14:paraId="6CEF1439" w14:textId="77777777" w:rsidR="00185D09" w:rsidRPr="00185D09" w:rsidRDefault="00185D09" w:rsidP="00185D09">
      <w:pPr>
        <w:pStyle w:val="Paragraph"/>
        <w:numPr>
          <w:ilvl w:val="1"/>
          <w:numId w:val="11"/>
        </w:numPr>
        <w:tabs>
          <w:tab w:val="num" w:pos="720"/>
        </w:tabs>
        <w:ind w:left="720" w:hanging="720"/>
        <w:outlineLvl w:val="9"/>
        <w:rPr>
          <w:rFonts w:ascii="Arial" w:hAnsi="Arial" w:cs="Arial"/>
          <w:sz w:val="22"/>
          <w:szCs w:val="22"/>
        </w:rPr>
      </w:pPr>
      <w:r w:rsidRPr="00185D09">
        <w:rPr>
          <w:rFonts w:ascii="Arial" w:hAnsi="Arial" w:cs="Arial"/>
          <w:sz w:val="22"/>
          <w:szCs w:val="22"/>
        </w:rPr>
        <w:lastRenderedPageBreak/>
        <w:t xml:space="preserve">Las nuevas tecnologías representan una oportunidad para que la SUNAT pueda afrontar de manera eficiente estos retos, y poder ir incrementando progresivamente la tasa de recaudación. Para esto, la institución requiere emprender </w:t>
      </w:r>
      <w:r w:rsidRPr="00185D09">
        <w:rPr>
          <w:rFonts w:ascii="Arial" w:hAnsi="Arial" w:cs="Arial"/>
          <w:sz w:val="22"/>
          <w:szCs w:val="22"/>
          <w:lang w:val="es-ES_tradnl"/>
        </w:rPr>
        <w:t>un proceso de modernización tecnológica, que le permita incorporar la revolución digital dentro de la cultura de trabajo diario, y así poder reducir la elevada evasión, y fortalecer los controles en la gestión aduanera como un instrumento para mejorar la percepción de riesgo y mejorar la recaudación.</w:t>
      </w:r>
    </w:p>
    <w:p w14:paraId="2AE7B6B6" w14:textId="77777777" w:rsidR="00185D09" w:rsidRPr="00185D09" w:rsidRDefault="00185D09" w:rsidP="00185D09">
      <w:pPr>
        <w:pStyle w:val="Paragraph"/>
        <w:numPr>
          <w:ilvl w:val="1"/>
          <w:numId w:val="11"/>
        </w:numPr>
        <w:tabs>
          <w:tab w:val="num" w:pos="720"/>
        </w:tabs>
        <w:ind w:left="720" w:hanging="720"/>
        <w:outlineLvl w:val="9"/>
        <w:rPr>
          <w:rFonts w:ascii="Arial" w:hAnsi="Arial" w:cs="Arial"/>
          <w:sz w:val="22"/>
          <w:szCs w:val="22"/>
          <w:lang w:val="es-ES_tradnl"/>
        </w:rPr>
      </w:pPr>
      <w:r w:rsidRPr="00185D09">
        <w:rPr>
          <w:rFonts w:ascii="Arial" w:hAnsi="Arial" w:cs="Arial"/>
          <w:sz w:val="22"/>
          <w:szCs w:val="22"/>
          <w:lang w:val="es-ES_tradnl"/>
        </w:rPr>
        <w:t>Dado que Perú está en proceso de accesión a la OCDE, la SUNAT como organización requiere estar lista para avanzar hacia la consecución de un modelo de negocio basado en las mejores prácticas de la OCDE (2017)</w:t>
      </w:r>
      <w:r w:rsidRPr="00185D09">
        <w:rPr>
          <w:rStyle w:val="FootnoteReference"/>
          <w:rFonts w:ascii="Arial" w:hAnsi="Arial" w:cs="Arial"/>
          <w:sz w:val="22"/>
          <w:szCs w:val="22"/>
          <w:lang w:val="es-ES_tradnl"/>
        </w:rPr>
        <w:footnoteReference w:id="13"/>
      </w:r>
      <w:r w:rsidRPr="00185D09">
        <w:rPr>
          <w:rFonts w:ascii="Arial" w:hAnsi="Arial" w:cs="Arial"/>
          <w:sz w:val="22"/>
          <w:szCs w:val="22"/>
          <w:lang w:val="es-ES_tradnl"/>
        </w:rPr>
        <w:t xml:space="preserve">. </w:t>
      </w:r>
      <w:r w:rsidRPr="00185D09">
        <w:rPr>
          <w:rFonts w:ascii="Arial" w:hAnsi="Arial" w:cs="Arial"/>
          <w:sz w:val="22"/>
          <w:szCs w:val="22"/>
        </w:rPr>
        <w:t xml:space="preserve">En específico, la OCDE define como </w:t>
      </w:r>
      <w:r w:rsidRPr="00185D09">
        <w:rPr>
          <w:rFonts w:ascii="Arial" w:hAnsi="Arial" w:cs="Arial"/>
          <w:sz w:val="22"/>
          <w:szCs w:val="22"/>
          <w:lang w:val="es-ES_tradnl"/>
        </w:rPr>
        <w:t>catalizadores</w:t>
      </w:r>
      <w:r w:rsidRPr="00185D09">
        <w:rPr>
          <w:rFonts w:ascii="Arial" w:hAnsi="Arial" w:cs="Arial"/>
          <w:sz w:val="22"/>
          <w:szCs w:val="22"/>
        </w:rPr>
        <w:t xml:space="preserve"> del cambio a: (i) el surgimiento de nuevas capacidades en los administradores tributarios; (ii) la reducción del costo de administración y cumplimiento; y (iii) el uso de nuevas tecnologías para mejorar el control. </w:t>
      </w:r>
    </w:p>
    <w:p w14:paraId="1B73C6ED" w14:textId="16591C17" w:rsidR="00CC5DD5" w:rsidRPr="00185D09" w:rsidRDefault="00185D09" w:rsidP="00185D09">
      <w:pPr>
        <w:pStyle w:val="Paragraph"/>
        <w:numPr>
          <w:ilvl w:val="1"/>
          <w:numId w:val="2"/>
        </w:numPr>
        <w:tabs>
          <w:tab w:val="clear" w:pos="1296"/>
          <w:tab w:val="num" w:pos="720"/>
          <w:tab w:val="num" w:pos="2196"/>
        </w:tabs>
        <w:ind w:left="720" w:hanging="720"/>
        <w:outlineLvl w:val="9"/>
        <w:rPr>
          <w:rFonts w:ascii="Arial" w:hAnsi="Arial" w:cs="Arial"/>
          <w:sz w:val="22"/>
          <w:szCs w:val="22"/>
          <w:lang w:val="es-ES_tradnl"/>
        </w:rPr>
      </w:pPr>
      <w:r w:rsidRPr="00185D09">
        <w:rPr>
          <w:rFonts w:ascii="Arial" w:hAnsi="Arial" w:cs="Arial"/>
          <w:sz w:val="22"/>
          <w:szCs w:val="22"/>
        </w:rPr>
        <w:t>Bajo este marco de mejores prácticas y considerando los retos recaudatorios que enfrenta el país, el GOP aspira a construir un piso de recaudación tributaria en el rango de 14% del PIB. Y para ello ha solicitado al Banco apoyar a la SUNAT en su proceso de modernización y transformación digital, y de fortalecimiento aduanero, con la finalidad de mitigar los siguientes problemas específicos y causas asociadas</w:t>
      </w:r>
      <w:r w:rsidR="00CC5DD5" w:rsidRPr="00185D09">
        <w:rPr>
          <w:rFonts w:ascii="Arial" w:hAnsi="Arial" w:cs="Arial"/>
          <w:sz w:val="22"/>
          <w:szCs w:val="22"/>
          <w:lang w:val="es-ES_tradnl"/>
        </w:rPr>
        <w:t xml:space="preserve">. </w:t>
      </w:r>
    </w:p>
    <w:p w14:paraId="43A32726" w14:textId="77777777" w:rsidR="00F10D9A" w:rsidRPr="00D03701" w:rsidRDefault="008A4068" w:rsidP="00984CBA">
      <w:pPr>
        <w:pStyle w:val="Chapter"/>
        <w:numPr>
          <w:ilvl w:val="0"/>
          <w:numId w:val="2"/>
        </w:numPr>
        <w:spacing w:before="120" w:after="120"/>
        <w:ind w:left="720" w:hanging="612"/>
        <w:jc w:val="left"/>
        <w:outlineLvl w:val="0"/>
        <w:rPr>
          <w:rFonts w:ascii="Arial" w:hAnsi="Arial" w:cs="Arial"/>
          <w:sz w:val="22"/>
          <w:szCs w:val="22"/>
          <w:lang w:val="es-ES_tradnl"/>
        </w:rPr>
      </w:pPr>
      <w:bookmarkStart w:id="5" w:name="_Toc522741993"/>
      <w:r w:rsidRPr="00D03701">
        <w:rPr>
          <w:rFonts w:ascii="Arial" w:hAnsi="Arial" w:cs="Arial"/>
          <w:sz w:val="22"/>
          <w:szCs w:val="22"/>
          <w:lang w:val="es-ES_tradnl"/>
        </w:rPr>
        <w:t xml:space="preserve">Problemas Específicos Por Solucionar </w:t>
      </w:r>
      <w:r w:rsidR="007E781F" w:rsidRPr="00D03701">
        <w:rPr>
          <w:rFonts w:ascii="Arial" w:hAnsi="Arial" w:cs="Arial"/>
          <w:sz w:val="22"/>
          <w:szCs w:val="22"/>
          <w:lang w:val="es-ES_tradnl"/>
        </w:rPr>
        <w:t xml:space="preserve">y </w:t>
      </w:r>
      <w:r w:rsidR="00274F27" w:rsidRPr="00D03701">
        <w:rPr>
          <w:rFonts w:ascii="Arial" w:hAnsi="Arial" w:cs="Arial"/>
          <w:sz w:val="22"/>
          <w:szCs w:val="22"/>
          <w:lang w:val="es-ES_tradnl"/>
        </w:rPr>
        <w:t xml:space="preserve">sus </w:t>
      </w:r>
      <w:r w:rsidR="007E781F" w:rsidRPr="00D03701">
        <w:rPr>
          <w:rFonts w:ascii="Arial" w:hAnsi="Arial" w:cs="Arial"/>
          <w:sz w:val="22"/>
          <w:szCs w:val="22"/>
          <w:lang w:val="es-ES_tradnl"/>
        </w:rPr>
        <w:t>Causas</w:t>
      </w:r>
      <w:r w:rsidR="00274F27" w:rsidRPr="00D03701">
        <w:rPr>
          <w:rFonts w:ascii="Arial" w:hAnsi="Arial" w:cs="Arial"/>
          <w:sz w:val="22"/>
          <w:szCs w:val="22"/>
          <w:lang w:val="es-ES_tradnl"/>
        </w:rPr>
        <w:t xml:space="preserve"> específicas</w:t>
      </w:r>
      <w:bookmarkEnd w:id="5"/>
    </w:p>
    <w:p w14:paraId="6521A75B" w14:textId="0F563EE2" w:rsidR="00921771" w:rsidRPr="00D03701" w:rsidRDefault="00377B33" w:rsidP="00984CBA">
      <w:pPr>
        <w:pStyle w:val="Paragraph"/>
        <w:numPr>
          <w:ilvl w:val="1"/>
          <w:numId w:val="2"/>
        </w:numPr>
        <w:tabs>
          <w:tab w:val="clear" w:pos="1296"/>
        </w:tabs>
        <w:ind w:left="720" w:hanging="720"/>
        <w:outlineLvl w:val="9"/>
        <w:rPr>
          <w:rFonts w:ascii="Arial" w:hAnsi="Arial" w:cs="Arial"/>
          <w:sz w:val="22"/>
          <w:szCs w:val="22"/>
          <w:lang w:val="es-ES_tradnl"/>
        </w:rPr>
      </w:pPr>
      <w:bookmarkStart w:id="6" w:name="_Hlk500328603"/>
      <w:r w:rsidRPr="00377B33">
        <w:rPr>
          <w:rFonts w:ascii="Arial" w:hAnsi="Arial" w:cs="Arial"/>
          <w:b/>
          <w:sz w:val="22"/>
          <w:szCs w:val="22"/>
          <w:lang w:val="es-ES_tradnl"/>
        </w:rPr>
        <w:t>Si bien se ha avanzado en la integración de los procesos,</w:t>
      </w:r>
      <w:r w:rsidRPr="00D03701">
        <w:rPr>
          <w:rFonts w:ascii="Arial" w:hAnsi="Arial" w:cs="Arial"/>
          <w:b/>
          <w:sz w:val="22"/>
          <w:szCs w:val="22"/>
          <w:lang w:val="es-ES_tradnl"/>
        </w:rPr>
        <w:t xml:space="preserve"> </w:t>
      </w:r>
      <w:r>
        <w:rPr>
          <w:rFonts w:ascii="Arial" w:hAnsi="Arial" w:cs="Arial"/>
          <w:b/>
          <w:sz w:val="22"/>
          <w:szCs w:val="22"/>
          <w:lang w:val="es-ES_tradnl"/>
        </w:rPr>
        <w:t>l</w:t>
      </w:r>
      <w:r w:rsidR="00921771" w:rsidRPr="00D03701">
        <w:rPr>
          <w:rFonts w:ascii="Arial" w:hAnsi="Arial" w:cs="Arial"/>
          <w:b/>
          <w:sz w:val="22"/>
          <w:szCs w:val="22"/>
          <w:lang w:val="es-ES_tradnl"/>
        </w:rPr>
        <w:t xml:space="preserve">a gestión en SUNAT se caracteriza por el trabajo en silos y la falta de visión integrada de los negocios tributarios y aduaneros, </w:t>
      </w:r>
      <w:r w:rsidRPr="00377B33">
        <w:rPr>
          <w:rFonts w:ascii="Arial" w:hAnsi="Arial" w:cs="Arial"/>
          <w:b/>
          <w:sz w:val="22"/>
          <w:szCs w:val="22"/>
          <w:lang w:val="es-ES_tradnl"/>
        </w:rPr>
        <w:t xml:space="preserve">lo cual dificulta obtener los beneficios asociados a la </w:t>
      </w:r>
      <w:r w:rsidR="00921771" w:rsidRPr="00D03701">
        <w:rPr>
          <w:rFonts w:ascii="Arial" w:hAnsi="Arial" w:cs="Arial"/>
          <w:b/>
          <w:sz w:val="22"/>
          <w:szCs w:val="22"/>
          <w:lang w:val="es-ES_tradnl"/>
        </w:rPr>
        <w:t>innovación tecnológica.</w:t>
      </w:r>
      <w:r w:rsidR="00921771" w:rsidRPr="00D03701">
        <w:rPr>
          <w:rStyle w:val="FootnoteReference"/>
          <w:rFonts w:ascii="Arial" w:hAnsi="Arial" w:cs="Arial"/>
          <w:sz w:val="22"/>
          <w:szCs w:val="22"/>
          <w:lang w:val="es-ES_tradnl"/>
        </w:rPr>
        <w:footnoteReference w:id="14"/>
      </w:r>
      <w:r w:rsidR="00921771" w:rsidRPr="00D03701">
        <w:rPr>
          <w:rFonts w:ascii="Arial" w:hAnsi="Arial" w:cs="Arial"/>
          <w:b/>
          <w:sz w:val="22"/>
          <w:szCs w:val="22"/>
          <w:lang w:val="es-ES_tradnl"/>
        </w:rPr>
        <w:t xml:space="preserve"> </w:t>
      </w:r>
      <w:r w:rsidR="00921771" w:rsidRPr="00D03701">
        <w:rPr>
          <w:rFonts w:ascii="Arial" w:hAnsi="Arial" w:cs="Arial"/>
          <w:sz w:val="22"/>
          <w:szCs w:val="22"/>
          <w:lang w:val="es-ES_tradnl"/>
        </w:rPr>
        <w:t>Las causas de este problema son:</w:t>
      </w:r>
      <w:r w:rsidR="00BD5E91" w:rsidRPr="00D03701">
        <w:rPr>
          <w:rFonts w:ascii="Arial" w:hAnsi="Arial" w:cs="Arial"/>
          <w:sz w:val="22"/>
          <w:szCs w:val="22"/>
          <w:lang w:val="es-ES_tradnl"/>
        </w:rPr>
        <w:t xml:space="preserve"> </w:t>
      </w:r>
    </w:p>
    <w:p w14:paraId="571E43FF" w14:textId="5072EC42" w:rsidR="00921771" w:rsidRPr="00D03701" w:rsidRDefault="00377B33" w:rsidP="00984CBA">
      <w:pPr>
        <w:pStyle w:val="subpar"/>
        <w:numPr>
          <w:ilvl w:val="2"/>
          <w:numId w:val="2"/>
        </w:numPr>
        <w:tabs>
          <w:tab w:val="clear" w:pos="2304"/>
          <w:tab w:val="num" w:pos="1890"/>
        </w:tabs>
        <w:ind w:left="1170"/>
        <w:outlineLvl w:val="9"/>
        <w:rPr>
          <w:rFonts w:ascii="Arial" w:hAnsi="Arial" w:cs="Arial"/>
          <w:sz w:val="22"/>
          <w:szCs w:val="22"/>
          <w:lang w:val="es-ES_tradnl"/>
        </w:rPr>
      </w:pPr>
      <w:r w:rsidRPr="00377B33">
        <w:rPr>
          <w:rFonts w:ascii="Arial" w:hAnsi="Arial" w:cs="Arial"/>
          <w:sz w:val="22"/>
          <w:szCs w:val="22"/>
          <w:lang w:val="es-ES_tradnl"/>
        </w:rPr>
        <w:t>El proceso de planificación estratégica de SUNAT es limitado</w:t>
      </w:r>
      <w:r>
        <w:rPr>
          <w:rFonts w:ascii="Arial" w:hAnsi="Arial" w:cs="Arial"/>
          <w:sz w:val="22"/>
          <w:szCs w:val="22"/>
          <w:lang w:val="es-ES_tradnl"/>
        </w:rPr>
        <w:t>.</w:t>
      </w:r>
    </w:p>
    <w:p w14:paraId="3F2363BB" w14:textId="4CF36951" w:rsidR="00921771" w:rsidRPr="00D03701" w:rsidRDefault="00790579" w:rsidP="00984CBA">
      <w:pPr>
        <w:pStyle w:val="subpar"/>
        <w:numPr>
          <w:ilvl w:val="2"/>
          <w:numId w:val="2"/>
        </w:numPr>
        <w:tabs>
          <w:tab w:val="clear" w:pos="2304"/>
          <w:tab w:val="num" w:pos="1890"/>
        </w:tabs>
        <w:ind w:left="1170"/>
        <w:outlineLvl w:val="9"/>
        <w:rPr>
          <w:rFonts w:ascii="Arial" w:hAnsi="Arial" w:cs="Arial"/>
          <w:sz w:val="22"/>
          <w:szCs w:val="22"/>
          <w:lang w:val="es-ES_tradnl"/>
        </w:rPr>
      </w:pPr>
      <w:r w:rsidRPr="00790579">
        <w:rPr>
          <w:rFonts w:ascii="Arial" w:hAnsi="Arial" w:cs="Arial"/>
          <w:sz w:val="22"/>
          <w:szCs w:val="22"/>
          <w:lang w:val="es-ES_tradnl"/>
        </w:rPr>
        <w:t>La estructura organizacional de la SUNAT requiere modificaciones para facilitar la implantación ágil de soluciones a los retos recaudatorios que enfrenta</w:t>
      </w:r>
      <w:r w:rsidR="00921771" w:rsidRPr="00D03701">
        <w:rPr>
          <w:rFonts w:ascii="Arial" w:hAnsi="Arial" w:cs="Arial"/>
          <w:sz w:val="22"/>
          <w:szCs w:val="22"/>
          <w:lang w:val="es-ES_tradnl"/>
        </w:rPr>
        <w:t>.</w:t>
      </w:r>
    </w:p>
    <w:p w14:paraId="4BB5CB75" w14:textId="5BEF4A1C" w:rsidR="00921771" w:rsidRPr="00D03701" w:rsidRDefault="00921771" w:rsidP="00984CBA">
      <w:pPr>
        <w:pStyle w:val="subpar"/>
        <w:numPr>
          <w:ilvl w:val="2"/>
          <w:numId w:val="2"/>
        </w:numPr>
        <w:tabs>
          <w:tab w:val="clear" w:pos="2304"/>
          <w:tab w:val="num" w:pos="1890"/>
        </w:tabs>
        <w:ind w:left="1170"/>
        <w:outlineLvl w:val="9"/>
        <w:rPr>
          <w:rFonts w:ascii="Arial" w:hAnsi="Arial" w:cs="Arial"/>
          <w:sz w:val="22"/>
          <w:szCs w:val="22"/>
          <w:lang w:val="es-ES_tradnl"/>
        </w:rPr>
      </w:pPr>
      <w:r w:rsidRPr="00D03701">
        <w:rPr>
          <w:rFonts w:ascii="Arial" w:hAnsi="Arial" w:cs="Arial"/>
          <w:color w:val="222222"/>
          <w:sz w:val="22"/>
          <w:szCs w:val="22"/>
          <w:lang w:val="es-ES_tradnl"/>
        </w:rPr>
        <w:t xml:space="preserve">El modelo de recursos humanos </w:t>
      </w:r>
      <w:r w:rsidRPr="00D03701">
        <w:rPr>
          <w:rFonts w:ascii="Arial" w:hAnsi="Arial" w:cs="Arial"/>
          <w:sz w:val="22"/>
          <w:szCs w:val="22"/>
          <w:lang w:val="es-ES_tradnl"/>
        </w:rPr>
        <w:t>de la SUNAT no responde a las necesidades transversales y de</w:t>
      </w:r>
      <w:r w:rsidR="00790579">
        <w:rPr>
          <w:rFonts w:ascii="Arial" w:hAnsi="Arial" w:cs="Arial"/>
          <w:sz w:val="22"/>
          <w:szCs w:val="22"/>
          <w:lang w:val="es-ES_tradnl"/>
        </w:rPr>
        <w:t xml:space="preserve"> uso de nuevas</w:t>
      </w:r>
      <w:r w:rsidRPr="00D03701">
        <w:rPr>
          <w:rFonts w:ascii="Arial" w:hAnsi="Arial" w:cs="Arial"/>
          <w:sz w:val="22"/>
          <w:szCs w:val="22"/>
          <w:lang w:val="es-ES_tradnl"/>
        </w:rPr>
        <w:t xml:space="preserve"> tecnología</w:t>
      </w:r>
      <w:r w:rsidR="00F41C32">
        <w:rPr>
          <w:rFonts w:ascii="Arial" w:hAnsi="Arial" w:cs="Arial"/>
          <w:sz w:val="22"/>
          <w:szCs w:val="22"/>
          <w:lang w:val="es-ES_tradnl"/>
        </w:rPr>
        <w:t>s</w:t>
      </w:r>
      <w:r w:rsidRPr="00D03701">
        <w:rPr>
          <w:rFonts w:ascii="Arial" w:hAnsi="Arial" w:cs="Arial"/>
          <w:sz w:val="22"/>
          <w:szCs w:val="22"/>
          <w:lang w:val="es-ES_tradnl"/>
        </w:rPr>
        <w:t xml:space="preserve"> en los procesos tributarios y aduaneros.</w:t>
      </w:r>
    </w:p>
    <w:p w14:paraId="184B2F22" w14:textId="77777777" w:rsidR="00921771" w:rsidRPr="00D03701" w:rsidRDefault="00921771" w:rsidP="00984CBA">
      <w:pPr>
        <w:pStyle w:val="Paragraph"/>
        <w:numPr>
          <w:ilvl w:val="1"/>
          <w:numId w:val="2"/>
        </w:numPr>
        <w:tabs>
          <w:tab w:val="clear" w:pos="1296"/>
        </w:tabs>
        <w:ind w:left="720" w:hanging="720"/>
        <w:outlineLvl w:val="9"/>
        <w:rPr>
          <w:rFonts w:ascii="Arial" w:hAnsi="Arial" w:cs="Arial"/>
          <w:sz w:val="22"/>
          <w:szCs w:val="22"/>
          <w:lang w:val="es-ES_tradnl"/>
        </w:rPr>
      </w:pPr>
      <w:r w:rsidRPr="00D03701">
        <w:rPr>
          <w:rFonts w:ascii="Arial" w:hAnsi="Arial" w:cs="Arial"/>
          <w:b/>
          <w:sz w:val="22"/>
          <w:szCs w:val="22"/>
          <w:lang w:val="es-ES_tradnl"/>
        </w:rPr>
        <w:t xml:space="preserve">Dificultad en el control y cumplimiento de los procedimientos tributarios y aduaneros. </w:t>
      </w:r>
      <w:r w:rsidRPr="00D03701">
        <w:rPr>
          <w:rFonts w:ascii="Arial" w:hAnsi="Arial" w:cs="Arial"/>
          <w:sz w:val="22"/>
          <w:szCs w:val="22"/>
          <w:lang w:val="es-ES_tradnl"/>
        </w:rPr>
        <w:t>Las causas de este problema son:</w:t>
      </w:r>
    </w:p>
    <w:p w14:paraId="175BE6D9" w14:textId="77777777" w:rsidR="00921771" w:rsidRPr="00D03701" w:rsidRDefault="00921771" w:rsidP="00921771">
      <w:pPr>
        <w:pStyle w:val="Paragraph"/>
        <w:numPr>
          <w:ilvl w:val="0"/>
          <w:numId w:val="0"/>
        </w:numPr>
        <w:tabs>
          <w:tab w:val="num" w:pos="2196"/>
        </w:tabs>
        <w:ind w:left="720"/>
        <w:outlineLvl w:val="9"/>
        <w:rPr>
          <w:rFonts w:ascii="Arial" w:hAnsi="Arial" w:cs="Arial"/>
          <w:b/>
          <w:sz w:val="22"/>
          <w:szCs w:val="22"/>
          <w:lang w:val="es-ES_tradnl"/>
        </w:rPr>
      </w:pPr>
      <w:r w:rsidRPr="00D03701">
        <w:rPr>
          <w:rFonts w:ascii="Arial" w:hAnsi="Arial" w:cs="Arial"/>
          <w:b/>
          <w:sz w:val="22"/>
          <w:szCs w:val="22"/>
          <w:lang w:val="es-ES_tradnl"/>
        </w:rPr>
        <w:t>Con relación a la coordinación de los procesos y sistemas tributarios y aduaneros.</w:t>
      </w:r>
    </w:p>
    <w:p w14:paraId="3BB3CEDA" w14:textId="5323736E" w:rsidR="00921771" w:rsidRPr="00D03701" w:rsidRDefault="0062117E" w:rsidP="00984CBA">
      <w:pPr>
        <w:pStyle w:val="subpar"/>
        <w:numPr>
          <w:ilvl w:val="2"/>
          <w:numId w:val="2"/>
        </w:numPr>
        <w:tabs>
          <w:tab w:val="clear" w:pos="2304"/>
          <w:tab w:val="num" w:pos="1890"/>
        </w:tabs>
        <w:ind w:left="1170"/>
        <w:outlineLvl w:val="9"/>
        <w:rPr>
          <w:rFonts w:ascii="Arial" w:hAnsi="Arial" w:cs="Arial"/>
          <w:sz w:val="22"/>
          <w:szCs w:val="22"/>
          <w:lang w:val="es-ES_tradnl"/>
        </w:rPr>
      </w:pPr>
      <w:r w:rsidRPr="0062117E">
        <w:rPr>
          <w:rFonts w:ascii="Arial" w:hAnsi="Arial" w:cs="Arial"/>
          <w:sz w:val="22"/>
          <w:szCs w:val="22"/>
          <w:lang w:val="es-ES_tradnl"/>
        </w:rPr>
        <w:t>Existen dificultades en la interoperabilidad e integración de los diversos sistemas que integran la administración tributaria y aduanera</w:t>
      </w:r>
      <w:r w:rsidR="00921771" w:rsidRPr="00D03701">
        <w:rPr>
          <w:rFonts w:ascii="Arial" w:hAnsi="Arial" w:cs="Arial"/>
          <w:sz w:val="22"/>
          <w:szCs w:val="22"/>
          <w:lang w:val="es-ES_tradnl"/>
        </w:rPr>
        <w:t xml:space="preserve">. </w:t>
      </w:r>
    </w:p>
    <w:p w14:paraId="7C1347A0" w14:textId="3CD854DC" w:rsidR="00921771" w:rsidRPr="00D03701" w:rsidRDefault="0062117E" w:rsidP="00984CBA">
      <w:pPr>
        <w:pStyle w:val="subpar"/>
        <w:numPr>
          <w:ilvl w:val="2"/>
          <w:numId w:val="2"/>
        </w:numPr>
        <w:tabs>
          <w:tab w:val="clear" w:pos="2304"/>
          <w:tab w:val="num" w:pos="1890"/>
        </w:tabs>
        <w:ind w:left="1170"/>
        <w:outlineLvl w:val="9"/>
        <w:rPr>
          <w:rFonts w:ascii="Arial" w:hAnsi="Arial" w:cs="Arial"/>
          <w:sz w:val="22"/>
          <w:szCs w:val="22"/>
          <w:lang w:val="es-ES_tradnl"/>
        </w:rPr>
      </w:pPr>
      <w:r w:rsidRPr="0062117E">
        <w:rPr>
          <w:rFonts w:ascii="Arial" w:hAnsi="Arial" w:cs="Arial"/>
          <w:sz w:val="22"/>
          <w:szCs w:val="22"/>
          <w:lang w:val="es-ES_tradnl"/>
        </w:rPr>
        <w:t>La factura electrónica (F-e) no está operando al máximo de su potencial, lo que limita la efectividad de la SUNAT para combatir la evasión</w:t>
      </w:r>
      <w:r w:rsidR="00921771" w:rsidRPr="00D03701">
        <w:rPr>
          <w:rFonts w:ascii="Arial" w:hAnsi="Arial" w:cs="Arial"/>
          <w:sz w:val="22"/>
          <w:szCs w:val="22"/>
          <w:lang w:val="es-ES_tradnl"/>
        </w:rPr>
        <w:t>.</w:t>
      </w:r>
    </w:p>
    <w:p w14:paraId="0AAFBB71" w14:textId="77777777" w:rsidR="00921771" w:rsidRPr="00D03701" w:rsidRDefault="00921771" w:rsidP="00984CBA">
      <w:pPr>
        <w:pStyle w:val="subpar"/>
        <w:numPr>
          <w:ilvl w:val="2"/>
          <w:numId w:val="2"/>
        </w:numPr>
        <w:tabs>
          <w:tab w:val="clear" w:pos="2304"/>
          <w:tab w:val="num" w:pos="1890"/>
        </w:tabs>
        <w:ind w:left="1170"/>
        <w:outlineLvl w:val="9"/>
        <w:rPr>
          <w:rFonts w:ascii="Arial" w:hAnsi="Arial" w:cs="Arial"/>
          <w:sz w:val="22"/>
          <w:szCs w:val="22"/>
          <w:lang w:val="es-ES_tradnl"/>
        </w:rPr>
      </w:pPr>
      <w:r w:rsidRPr="00D03701">
        <w:rPr>
          <w:rFonts w:ascii="Arial" w:hAnsi="Arial" w:cs="Arial"/>
          <w:sz w:val="22"/>
          <w:szCs w:val="22"/>
          <w:lang w:val="es-ES_tradnl"/>
        </w:rPr>
        <w:t>Deficiencia en los procesos de atención a los contribuyentes.</w:t>
      </w:r>
    </w:p>
    <w:p w14:paraId="12B68A56" w14:textId="77777777" w:rsidR="00921771" w:rsidRPr="00D03701" w:rsidRDefault="00921771" w:rsidP="00984CBA">
      <w:pPr>
        <w:pStyle w:val="subpar"/>
        <w:numPr>
          <w:ilvl w:val="2"/>
          <w:numId w:val="2"/>
        </w:numPr>
        <w:tabs>
          <w:tab w:val="clear" w:pos="2304"/>
          <w:tab w:val="num" w:pos="1890"/>
        </w:tabs>
        <w:ind w:left="1170"/>
        <w:outlineLvl w:val="9"/>
        <w:rPr>
          <w:rFonts w:ascii="Arial" w:hAnsi="Arial" w:cs="Arial"/>
          <w:sz w:val="22"/>
          <w:szCs w:val="22"/>
          <w:lang w:val="es-ES_tradnl"/>
        </w:rPr>
      </w:pPr>
      <w:r w:rsidRPr="00D03701">
        <w:rPr>
          <w:rFonts w:ascii="Arial" w:hAnsi="Arial" w:cs="Arial"/>
          <w:sz w:val="22"/>
          <w:szCs w:val="22"/>
          <w:lang w:val="es-ES_tradnl"/>
        </w:rPr>
        <w:t>Dificultad para mejorar la integración y coordinación entre tributos internos y aduanas, debido a que las normas y regulaciones internas no refuerzan la implementación de políticas horizontales en la institución.</w:t>
      </w:r>
    </w:p>
    <w:p w14:paraId="7FE5C620" w14:textId="22A04D47" w:rsidR="00921771" w:rsidRPr="00D03701" w:rsidRDefault="00921771" w:rsidP="00921771">
      <w:pPr>
        <w:pStyle w:val="subpar"/>
        <w:numPr>
          <w:ilvl w:val="0"/>
          <w:numId w:val="0"/>
        </w:numPr>
        <w:ind w:left="648"/>
        <w:rPr>
          <w:rFonts w:ascii="Arial" w:hAnsi="Arial" w:cs="Arial"/>
          <w:b/>
          <w:sz w:val="22"/>
          <w:szCs w:val="22"/>
          <w:lang w:val="es-ES_tradnl"/>
        </w:rPr>
      </w:pPr>
      <w:r w:rsidRPr="00D03701">
        <w:rPr>
          <w:rFonts w:ascii="Arial" w:hAnsi="Arial" w:cs="Arial"/>
          <w:b/>
          <w:sz w:val="22"/>
          <w:szCs w:val="22"/>
          <w:lang w:val="es-ES_tradnl"/>
        </w:rPr>
        <w:t>Con relación al</w:t>
      </w:r>
      <w:r w:rsidR="007776EA">
        <w:rPr>
          <w:rFonts w:ascii="Arial" w:hAnsi="Arial" w:cs="Arial"/>
          <w:b/>
          <w:sz w:val="22"/>
          <w:szCs w:val="22"/>
          <w:lang w:val="es-ES_tradnl"/>
        </w:rPr>
        <w:t xml:space="preserve"> cumplimiento de los procesos y procedimientos de</w:t>
      </w:r>
      <w:r w:rsidRPr="00D03701">
        <w:rPr>
          <w:rFonts w:ascii="Arial" w:hAnsi="Arial" w:cs="Arial"/>
          <w:b/>
          <w:sz w:val="22"/>
          <w:szCs w:val="22"/>
          <w:lang w:val="es-ES_tradnl"/>
        </w:rPr>
        <w:t xml:space="preserve"> trazabilidad y control aduanero</w:t>
      </w:r>
    </w:p>
    <w:p w14:paraId="2CEEC55E" w14:textId="17B62CBA" w:rsidR="00921771" w:rsidRPr="001137D4" w:rsidRDefault="001137D4" w:rsidP="001137D4">
      <w:pPr>
        <w:pStyle w:val="subpar"/>
        <w:numPr>
          <w:ilvl w:val="2"/>
          <w:numId w:val="38"/>
        </w:numPr>
        <w:tabs>
          <w:tab w:val="clear" w:pos="2304"/>
          <w:tab w:val="num" w:pos="1170"/>
        </w:tabs>
        <w:ind w:left="1170" w:hanging="450"/>
        <w:outlineLvl w:val="9"/>
        <w:rPr>
          <w:rFonts w:ascii="Arial" w:hAnsi="Arial" w:cs="Arial"/>
          <w:sz w:val="22"/>
          <w:szCs w:val="22"/>
          <w:lang w:val="es-ES_tradnl"/>
        </w:rPr>
      </w:pPr>
      <w:r w:rsidRPr="001137D4">
        <w:rPr>
          <w:rFonts w:ascii="Arial" w:hAnsi="Arial" w:cs="Arial"/>
          <w:sz w:val="22"/>
          <w:szCs w:val="22"/>
          <w:lang w:val="es-ES_tradnl"/>
        </w:rPr>
        <w:lastRenderedPageBreak/>
        <w:t>Existen ineficiencias en el proceso de control y despacho aduanero, que detonan elevados niveles de controles físicos concurrentes</w:t>
      </w:r>
      <w:r w:rsidRPr="001137D4">
        <w:rPr>
          <w:rStyle w:val="FootnoteReference"/>
          <w:rFonts w:ascii="Arial" w:hAnsi="Arial" w:cs="Arial"/>
          <w:sz w:val="22"/>
          <w:szCs w:val="22"/>
          <w:lang w:val="es-ES_tradnl"/>
        </w:rPr>
        <w:footnoteReference w:id="15"/>
      </w:r>
      <w:r w:rsidRPr="001137D4">
        <w:rPr>
          <w:rFonts w:ascii="Arial" w:hAnsi="Arial" w:cs="Arial"/>
          <w:sz w:val="22"/>
          <w:szCs w:val="22"/>
          <w:lang w:val="es-ES_tradnl"/>
        </w:rPr>
        <w:t>, con impacto en tiempos</w:t>
      </w:r>
      <w:r w:rsidRPr="001137D4">
        <w:rPr>
          <w:rStyle w:val="FootnoteReference"/>
          <w:rFonts w:ascii="Arial" w:hAnsi="Arial" w:cs="Arial"/>
          <w:sz w:val="22"/>
          <w:szCs w:val="22"/>
          <w:lang w:val="es-ES_tradnl"/>
        </w:rPr>
        <w:footnoteReference w:id="16"/>
      </w:r>
      <w:r w:rsidRPr="001137D4">
        <w:rPr>
          <w:rFonts w:ascii="Arial" w:hAnsi="Arial" w:cs="Arial"/>
          <w:sz w:val="22"/>
          <w:szCs w:val="22"/>
          <w:lang w:val="es-ES_tradnl"/>
        </w:rPr>
        <w:t xml:space="preserve"> y costos</w:t>
      </w:r>
      <w:r w:rsidR="00921771" w:rsidRPr="001137D4">
        <w:rPr>
          <w:rFonts w:ascii="Arial" w:hAnsi="Arial" w:cs="Arial"/>
          <w:sz w:val="22"/>
          <w:szCs w:val="22"/>
          <w:lang w:val="es-ES_tradnl"/>
        </w:rPr>
        <w:t>.</w:t>
      </w:r>
    </w:p>
    <w:p w14:paraId="5F1677D8" w14:textId="77777777" w:rsidR="00213EB9" w:rsidRPr="001137D4" w:rsidRDefault="00921771" w:rsidP="001137D4">
      <w:pPr>
        <w:pStyle w:val="subpar"/>
        <w:numPr>
          <w:ilvl w:val="2"/>
          <w:numId w:val="38"/>
        </w:numPr>
        <w:ind w:left="1170"/>
        <w:outlineLvl w:val="9"/>
        <w:rPr>
          <w:rFonts w:ascii="Arial" w:hAnsi="Arial" w:cs="Arial"/>
          <w:sz w:val="22"/>
          <w:szCs w:val="22"/>
          <w:lang w:val="es-ES_tradnl"/>
        </w:rPr>
      </w:pPr>
      <w:r w:rsidRPr="001137D4">
        <w:rPr>
          <w:rFonts w:ascii="Arial" w:hAnsi="Arial" w:cs="Arial"/>
          <w:sz w:val="22"/>
          <w:szCs w:val="22"/>
          <w:lang w:val="es-ES_tradnl"/>
        </w:rPr>
        <w:t>Insuficiente penetración del concepto de seguridad de la cadena logística por el limitado alcance del Programa de Operador Económico Autorizado (OEA)</w:t>
      </w:r>
      <w:r w:rsidRPr="001137D4">
        <w:rPr>
          <w:rStyle w:val="FootnoteReference"/>
          <w:rFonts w:ascii="Arial" w:hAnsi="Arial" w:cs="Arial"/>
          <w:sz w:val="22"/>
          <w:szCs w:val="22"/>
          <w:lang w:val="es-ES_tradnl"/>
        </w:rPr>
        <w:footnoteReference w:id="17"/>
      </w:r>
      <w:r w:rsidRPr="001137D4">
        <w:rPr>
          <w:rFonts w:ascii="Arial" w:hAnsi="Arial" w:cs="Arial"/>
          <w:sz w:val="22"/>
          <w:szCs w:val="22"/>
          <w:lang w:val="es-ES_tradnl"/>
        </w:rPr>
        <w:t>, lo que no permite liberar en mayor medida a la Aduana de las necesidades de controles físicos e intrusivos (control concurrente) de una parte importante de la carga</w:t>
      </w:r>
    </w:p>
    <w:p w14:paraId="7C008B5B" w14:textId="0E246761" w:rsidR="00921771" w:rsidRPr="001137D4" w:rsidRDefault="001137D4" w:rsidP="001137D4">
      <w:pPr>
        <w:pStyle w:val="subpar"/>
        <w:numPr>
          <w:ilvl w:val="2"/>
          <w:numId w:val="38"/>
        </w:numPr>
        <w:ind w:left="1170"/>
        <w:outlineLvl w:val="9"/>
        <w:rPr>
          <w:rFonts w:ascii="Arial" w:hAnsi="Arial" w:cs="Arial"/>
          <w:sz w:val="22"/>
          <w:szCs w:val="22"/>
          <w:lang w:val="es-ES_tradnl"/>
        </w:rPr>
      </w:pPr>
      <w:r w:rsidRPr="001137D4">
        <w:rPr>
          <w:rFonts w:ascii="Arial" w:hAnsi="Arial" w:cs="Arial"/>
          <w:sz w:val="22"/>
          <w:szCs w:val="22"/>
          <w:lang w:val="es-ES_tradnl"/>
        </w:rPr>
        <w:t>Dificultades en los procesos de control aduanero previo, concurrente y posterior</w:t>
      </w:r>
      <w:r w:rsidRPr="001137D4">
        <w:rPr>
          <w:rStyle w:val="FootnoteReference"/>
          <w:rFonts w:ascii="Arial" w:hAnsi="Arial" w:cs="Arial"/>
          <w:sz w:val="22"/>
          <w:szCs w:val="22"/>
          <w:lang w:val="es-ES_tradnl"/>
        </w:rPr>
        <w:footnoteReference w:id="18"/>
      </w:r>
      <w:r w:rsidR="00921771" w:rsidRPr="001137D4">
        <w:rPr>
          <w:rFonts w:ascii="Arial" w:hAnsi="Arial" w:cs="Arial"/>
          <w:sz w:val="22"/>
          <w:szCs w:val="22"/>
          <w:lang w:val="es-ES_tradnl"/>
        </w:rPr>
        <w:t>.</w:t>
      </w:r>
    </w:p>
    <w:p w14:paraId="3BEF25DC" w14:textId="63C4142B" w:rsidR="00921771" w:rsidRPr="001137D4" w:rsidRDefault="00921771" w:rsidP="001137D4">
      <w:pPr>
        <w:pStyle w:val="subpar"/>
        <w:numPr>
          <w:ilvl w:val="2"/>
          <w:numId w:val="38"/>
        </w:numPr>
        <w:ind w:left="1170"/>
        <w:outlineLvl w:val="9"/>
        <w:rPr>
          <w:rFonts w:ascii="Arial" w:hAnsi="Arial" w:cs="Arial"/>
          <w:sz w:val="22"/>
          <w:szCs w:val="22"/>
          <w:lang w:val="es-ES_tradnl"/>
        </w:rPr>
      </w:pPr>
      <w:r w:rsidRPr="001137D4">
        <w:rPr>
          <w:rFonts w:ascii="Arial" w:hAnsi="Arial" w:cs="Arial"/>
          <w:sz w:val="22"/>
          <w:szCs w:val="22"/>
          <w:lang w:val="es-ES_tradnl"/>
        </w:rPr>
        <w:t>Ineficiencia en los procesos de trazabilidad y control de las mercancías que transitan en el territorio nacional, lo que aumenta el riesgo de fraudes y de potenciales contaminaciones de la carga</w:t>
      </w:r>
      <w:r w:rsidR="001137D4" w:rsidRPr="001137D4">
        <w:rPr>
          <w:rStyle w:val="FootnoteReference"/>
          <w:rFonts w:ascii="Arial" w:hAnsi="Arial" w:cs="Arial"/>
          <w:sz w:val="22"/>
          <w:szCs w:val="22"/>
          <w:lang w:val="es-ES_tradnl"/>
        </w:rPr>
        <w:footnoteReference w:id="19"/>
      </w:r>
      <w:r w:rsidRPr="001137D4">
        <w:rPr>
          <w:rFonts w:ascii="Arial" w:hAnsi="Arial" w:cs="Arial"/>
          <w:sz w:val="22"/>
          <w:szCs w:val="22"/>
          <w:lang w:val="es-ES_tradnl"/>
        </w:rPr>
        <w:t>.</w:t>
      </w:r>
    </w:p>
    <w:p w14:paraId="608C2FE1" w14:textId="55C04816" w:rsidR="00921771" w:rsidRPr="001137D4" w:rsidRDefault="00921771" w:rsidP="001137D4">
      <w:pPr>
        <w:pStyle w:val="subpar"/>
        <w:numPr>
          <w:ilvl w:val="2"/>
          <w:numId w:val="38"/>
        </w:numPr>
        <w:ind w:left="1170"/>
        <w:outlineLvl w:val="9"/>
        <w:rPr>
          <w:rFonts w:ascii="Arial" w:hAnsi="Arial" w:cs="Arial"/>
          <w:sz w:val="22"/>
          <w:szCs w:val="22"/>
          <w:lang w:val="es-ES_tradnl"/>
        </w:rPr>
      </w:pPr>
      <w:r w:rsidRPr="001137D4">
        <w:rPr>
          <w:rFonts w:ascii="Arial" w:hAnsi="Arial" w:cs="Arial"/>
          <w:sz w:val="22"/>
          <w:szCs w:val="22"/>
          <w:lang w:val="es-ES_tradnl"/>
        </w:rPr>
        <w:t xml:space="preserve">La legislación y normativa aduanera actual no es consistente con las mejores prácticas internacionales para el despacho, la trazabilidad y el control eficiente y efectivo. </w:t>
      </w:r>
    </w:p>
    <w:p w14:paraId="7D15A519" w14:textId="543D1A97" w:rsidR="00921771" w:rsidRPr="00D03701" w:rsidRDefault="00921771" w:rsidP="001137D4">
      <w:pPr>
        <w:pStyle w:val="Paragraph"/>
        <w:numPr>
          <w:ilvl w:val="1"/>
          <w:numId w:val="38"/>
        </w:numPr>
        <w:ind w:left="720" w:hanging="720"/>
        <w:outlineLvl w:val="9"/>
        <w:rPr>
          <w:rFonts w:ascii="Arial" w:hAnsi="Arial" w:cs="Arial"/>
          <w:sz w:val="22"/>
          <w:szCs w:val="22"/>
          <w:lang w:val="es-ES_tradnl"/>
        </w:rPr>
      </w:pPr>
      <w:r w:rsidRPr="00D03701">
        <w:rPr>
          <w:rFonts w:ascii="Arial" w:hAnsi="Arial" w:cs="Arial"/>
          <w:b/>
          <w:sz w:val="22"/>
          <w:szCs w:val="22"/>
          <w:lang w:val="es-ES_tradnl"/>
        </w:rPr>
        <w:t>Existe una gestión inadecuada e insuficiente de la información masiva proveniente de declaraciones, lo cual limita l</w:t>
      </w:r>
      <w:r w:rsidR="001137D4">
        <w:rPr>
          <w:rFonts w:ascii="Arial" w:hAnsi="Arial" w:cs="Arial"/>
          <w:b/>
          <w:sz w:val="22"/>
          <w:szCs w:val="22"/>
          <w:lang w:val="es-ES_tradnl"/>
        </w:rPr>
        <w:t>a gestión del riesgo para el</w:t>
      </w:r>
      <w:r w:rsidRPr="00D03701">
        <w:rPr>
          <w:rFonts w:ascii="Arial" w:hAnsi="Arial" w:cs="Arial"/>
          <w:b/>
          <w:sz w:val="22"/>
          <w:szCs w:val="22"/>
          <w:lang w:val="es-ES_tradnl"/>
        </w:rPr>
        <w:t xml:space="preserve"> combate a la evasión y fraude tributario y aduanero.  </w:t>
      </w:r>
      <w:r w:rsidRPr="00D03701">
        <w:rPr>
          <w:rFonts w:ascii="Arial" w:hAnsi="Arial" w:cs="Arial"/>
          <w:sz w:val="22"/>
          <w:szCs w:val="22"/>
          <w:lang w:val="es-ES_tradnl"/>
        </w:rPr>
        <w:t>Las causas de este problema son:</w:t>
      </w:r>
    </w:p>
    <w:p w14:paraId="426BB288" w14:textId="77777777" w:rsidR="00921771" w:rsidRPr="00D03701" w:rsidRDefault="00921771" w:rsidP="001137D4">
      <w:pPr>
        <w:pStyle w:val="subpar"/>
        <w:numPr>
          <w:ilvl w:val="2"/>
          <w:numId w:val="38"/>
        </w:numPr>
        <w:ind w:left="1170"/>
        <w:outlineLvl w:val="9"/>
        <w:rPr>
          <w:rFonts w:ascii="Arial" w:hAnsi="Arial" w:cs="Arial"/>
          <w:sz w:val="22"/>
          <w:szCs w:val="22"/>
          <w:lang w:val="es-ES_tradnl"/>
        </w:rPr>
      </w:pPr>
      <w:r w:rsidRPr="00D03701">
        <w:rPr>
          <w:rFonts w:ascii="Arial" w:hAnsi="Arial" w:cs="Arial"/>
          <w:color w:val="222222"/>
          <w:sz w:val="22"/>
          <w:szCs w:val="22"/>
          <w:lang w:val="es-ES_tradnl"/>
        </w:rPr>
        <w:t>Dificultades en el intercambio y uso de la información producida por los sistemas de la SUNAT.</w:t>
      </w:r>
    </w:p>
    <w:p w14:paraId="38ACEE63" w14:textId="77777777" w:rsidR="00921771" w:rsidRPr="00D03701" w:rsidRDefault="00921771" w:rsidP="001137D4">
      <w:pPr>
        <w:pStyle w:val="subpar"/>
        <w:numPr>
          <w:ilvl w:val="2"/>
          <w:numId w:val="38"/>
        </w:numPr>
        <w:ind w:left="1170"/>
        <w:outlineLvl w:val="9"/>
        <w:rPr>
          <w:rFonts w:ascii="Arial" w:hAnsi="Arial" w:cs="Arial"/>
          <w:sz w:val="22"/>
          <w:szCs w:val="22"/>
          <w:lang w:val="es-ES_tradnl"/>
        </w:rPr>
      </w:pPr>
      <w:r w:rsidRPr="00D03701">
        <w:rPr>
          <w:rFonts w:ascii="Arial" w:hAnsi="Arial" w:cs="Arial"/>
          <w:color w:val="222222"/>
          <w:sz w:val="22"/>
          <w:szCs w:val="22"/>
          <w:lang w:val="es-ES_tradnl"/>
        </w:rPr>
        <w:t>Deficiencia para detectar y corregir el incumplimiento tributario de forma focalizada y oportuna</w:t>
      </w:r>
      <w:r w:rsidRPr="00D03701">
        <w:rPr>
          <w:rFonts w:ascii="Arial" w:hAnsi="Arial" w:cs="Arial"/>
          <w:sz w:val="22"/>
          <w:szCs w:val="22"/>
          <w:lang w:val="es-ES_tradnl"/>
        </w:rPr>
        <w:t>.</w:t>
      </w:r>
    </w:p>
    <w:p w14:paraId="5D4223C8" w14:textId="77777777" w:rsidR="00921771" w:rsidRPr="00D03701" w:rsidRDefault="00921771" w:rsidP="001137D4">
      <w:pPr>
        <w:pStyle w:val="subpar"/>
        <w:numPr>
          <w:ilvl w:val="2"/>
          <w:numId w:val="38"/>
        </w:numPr>
        <w:ind w:left="1170"/>
        <w:outlineLvl w:val="9"/>
        <w:rPr>
          <w:rFonts w:ascii="Arial" w:hAnsi="Arial" w:cs="Arial"/>
          <w:sz w:val="22"/>
          <w:szCs w:val="22"/>
          <w:lang w:val="es-ES_tradnl"/>
        </w:rPr>
      </w:pPr>
      <w:r w:rsidRPr="00D03701">
        <w:rPr>
          <w:rFonts w:ascii="Arial" w:hAnsi="Arial" w:cs="Arial"/>
          <w:sz w:val="22"/>
          <w:szCs w:val="22"/>
          <w:lang w:val="es-ES_tradnl"/>
        </w:rPr>
        <w:t>Limitaciones</w:t>
      </w:r>
      <w:r w:rsidRPr="00D03701">
        <w:rPr>
          <w:rFonts w:ascii="Arial" w:hAnsi="Arial" w:cs="Arial"/>
          <w:color w:val="222222"/>
          <w:sz w:val="22"/>
          <w:szCs w:val="22"/>
          <w:lang w:val="es-ES_tradnl"/>
        </w:rPr>
        <w:t xml:space="preserve"> para compartir información tributaria dentro de la SUNAT y con otras administraciones tributarias del mundo, en el marco de los estándares de transparencia fiscal de la OCDE.</w:t>
      </w:r>
    </w:p>
    <w:p w14:paraId="0D26D62C" w14:textId="77777777" w:rsidR="00F10D9A" w:rsidRPr="00D03701" w:rsidRDefault="007E781F" w:rsidP="001137D4">
      <w:pPr>
        <w:pStyle w:val="Chapter"/>
        <w:numPr>
          <w:ilvl w:val="0"/>
          <w:numId w:val="38"/>
        </w:numPr>
        <w:spacing w:before="120" w:after="120"/>
        <w:ind w:left="900" w:hanging="792"/>
        <w:jc w:val="left"/>
        <w:outlineLvl w:val="0"/>
        <w:rPr>
          <w:rFonts w:ascii="Arial" w:hAnsi="Arial" w:cs="Arial"/>
          <w:sz w:val="22"/>
          <w:szCs w:val="22"/>
          <w:lang w:val="es-ES_tradnl"/>
        </w:rPr>
      </w:pPr>
      <w:bookmarkStart w:id="7" w:name="_Toc522741994"/>
      <w:bookmarkEnd w:id="6"/>
      <w:r w:rsidRPr="00D03701">
        <w:rPr>
          <w:rFonts w:ascii="Arial" w:hAnsi="Arial" w:cs="Arial"/>
          <w:sz w:val="22"/>
          <w:szCs w:val="22"/>
          <w:lang w:val="es-ES_tradnl"/>
        </w:rPr>
        <w:t xml:space="preserve">Calculo del beneficio generado con </w:t>
      </w:r>
      <w:r w:rsidR="006C4B97" w:rsidRPr="00D03701">
        <w:rPr>
          <w:rFonts w:ascii="Arial" w:hAnsi="Arial" w:cs="Arial"/>
          <w:sz w:val="22"/>
          <w:szCs w:val="22"/>
          <w:lang w:val="es-ES_tradnl"/>
        </w:rPr>
        <w:t>Instituciones fiscales más eficientes</w:t>
      </w:r>
      <w:r w:rsidRPr="00D03701">
        <w:rPr>
          <w:rFonts w:ascii="Arial" w:hAnsi="Arial" w:cs="Arial"/>
          <w:sz w:val="22"/>
          <w:szCs w:val="22"/>
          <w:lang w:val="es-ES_tradnl"/>
        </w:rPr>
        <w:t>.</w:t>
      </w:r>
      <w:bookmarkEnd w:id="7"/>
      <w:r w:rsidRPr="00D03701">
        <w:rPr>
          <w:rFonts w:ascii="Arial" w:hAnsi="Arial" w:cs="Arial"/>
          <w:sz w:val="22"/>
          <w:szCs w:val="22"/>
          <w:lang w:val="es-ES_tradnl"/>
        </w:rPr>
        <w:t xml:space="preserve"> </w:t>
      </w:r>
    </w:p>
    <w:p w14:paraId="35601476" w14:textId="77777777" w:rsidR="00125B84" w:rsidRPr="00125B84" w:rsidRDefault="00823961" w:rsidP="00125B84">
      <w:pPr>
        <w:pStyle w:val="Paragraph"/>
        <w:numPr>
          <w:ilvl w:val="1"/>
          <w:numId w:val="11"/>
        </w:numPr>
        <w:tabs>
          <w:tab w:val="num" w:pos="720"/>
        </w:tabs>
        <w:ind w:left="720" w:hanging="720"/>
        <w:outlineLvl w:val="9"/>
        <w:rPr>
          <w:rFonts w:ascii="Arial" w:hAnsi="Arial" w:cs="Arial"/>
          <w:sz w:val="22"/>
          <w:szCs w:val="22"/>
          <w:lang w:val="es-ES_tradnl"/>
        </w:rPr>
      </w:pPr>
      <w:r w:rsidRPr="00125B84">
        <w:rPr>
          <w:rFonts w:ascii="Arial" w:eastAsia="Arial" w:hAnsi="Arial" w:cs="Arial"/>
          <w:b/>
          <w:bCs/>
          <w:sz w:val="22"/>
          <w:szCs w:val="22"/>
          <w:lang w:val="es-ES_tradnl"/>
        </w:rPr>
        <w:t>Evidencia internacional</w:t>
      </w:r>
      <w:r w:rsidRPr="00125B84">
        <w:rPr>
          <w:rFonts w:ascii="Arial" w:eastAsia="Arial" w:hAnsi="Arial" w:cs="Arial"/>
          <w:bCs/>
          <w:sz w:val="22"/>
          <w:szCs w:val="22"/>
          <w:lang w:val="es-ES_tradnl"/>
        </w:rPr>
        <w:t>.</w:t>
      </w:r>
      <w:r w:rsidRPr="00125B84">
        <w:rPr>
          <w:rFonts w:ascii="Arial" w:eastAsia="Arial" w:hAnsi="Arial" w:cs="Arial"/>
          <w:sz w:val="22"/>
          <w:szCs w:val="22"/>
          <w:lang w:val="es-ES_tradnl"/>
        </w:rPr>
        <w:t xml:space="preserve"> </w:t>
      </w:r>
      <w:r w:rsidR="00125B84" w:rsidRPr="00125B84">
        <w:rPr>
          <w:rFonts w:ascii="Arial" w:eastAsia="Arial" w:hAnsi="Arial" w:cs="Arial"/>
          <w:sz w:val="22"/>
          <w:szCs w:val="22"/>
          <w:lang w:val="es-ES_tradnl"/>
        </w:rPr>
        <w:t>Evaluaciones recientes demuestran que el desempeño recaudatorio depende significativamente del fortalecimiento institucional de las administraciones tributarias</w:t>
      </w:r>
      <w:r w:rsidR="00125B84" w:rsidRPr="00125B84" w:rsidDel="00903F04">
        <w:rPr>
          <w:rFonts w:ascii="Arial" w:eastAsia="Arial" w:hAnsi="Arial" w:cs="Arial"/>
          <w:sz w:val="22"/>
          <w:szCs w:val="22"/>
          <w:lang w:val="es-ES_tradnl"/>
        </w:rPr>
        <w:t xml:space="preserve"> </w:t>
      </w:r>
      <w:r w:rsidR="00125B84" w:rsidRPr="00125B84">
        <w:rPr>
          <w:rFonts w:ascii="Arial" w:eastAsia="Arial" w:hAnsi="Arial" w:cs="Arial"/>
          <w:sz w:val="22"/>
          <w:szCs w:val="22"/>
          <w:lang w:val="es-ES_tradnl"/>
        </w:rPr>
        <w:t xml:space="preserve">en su estructura organizacional, procesos y herramientas de soporte, en particular son clave: (i) mejorar el acceso y </w:t>
      </w:r>
      <w:r w:rsidR="00125B84" w:rsidRPr="00125B84">
        <w:rPr>
          <w:rFonts w:ascii="Arial" w:hAnsi="Arial" w:cs="Arial"/>
          <w:sz w:val="22"/>
          <w:szCs w:val="22"/>
          <w:lang w:val="es-ES_tradnl"/>
        </w:rPr>
        <w:t>calidad</w:t>
      </w:r>
      <w:r w:rsidR="00125B84" w:rsidRPr="00125B84">
        <w:rPr>
          <w:rFonts w:ascii="Arial" w:eastAsia="Arial" w:hAnsi="Arial" w:cs="Arial"/>
          <w:sz w:val="22"/>
          <w:szCs w:val="22"/>
          <w:lang w:val="es-ES_tradnl"/>
        </w:rPr>
        <w:t xml:space="preserve"> de la información disponible</w:t>
      </w:r>
      <w:r w:rsidR="00125B84" w:rsidRPr="00125B84">
        <w:rPr>
          <w:rStyle w:val="FootnoteReference"/>
          <w:rFonts w:ascii="Arial" w:eastAsia="Arial" w:hAnsi="Arial" w:cs="Arial"/>
          <w:sz w:val="22"/>
          <w:szCs w:val="22"/>
          <w:lang w:val="es-ES_tradnl"/>
        </w:rPr>
        <w:footnoteReference w:id="20"/>
      </w:r>
      <w:r w:rsidR="00125B84" w:rsidRPr="00125B84">
        <w:rPr>
          <w:rFonts w:ascii="Arial" w:eastAsia="Arial" w:hAnsi="Arial" w:cs="Arial"/>
          <w:sz w:val="22"/>
          <w:szCs w:val="22"/>
          <w:lang w:val="es-ES_tradnl"/>
        </w:rPr>
        <w:t>; (ii) implementar modelos de fiscalización que se apoyen en el uso intensivo de información</w:t>
      </w:r>
      <w:r w:rsidR="00125B84" w:rsidRPr="00125B84">
        <w:rPr>
          <w:rStyle w:val="FootnoteReference"/>
          <w:rFonts w:ascii="Arial" w:eastAsia="Arial" w:hAnsi="Arial" w:cs="Arial"/>
          <w:sz w:val="22"/>
          <w:szCs w:val="22"/>
          <w:lang w:val="es-ES_tradnl"/>
        </w:rPr>
        <w:footnoteReference w:id="21"/>
      </w:r>
      <w:r w:rsidR="00125B84" w:rsidRPr="00125B84">
        <w:rPr>
          <w:rFonts w:ascii="Arial" w:eastAsia="Arial" w:hAnsi="Arial" w:cs="Arial"/>
          <w:sz w:val="22"/>
          <w:szCs w:val="22"/>
          <w:lang w:val="es-ES_tradnl"/>
        </w:rPr>
        <w:t>; (iii) simplificar procedimientos para facilitar el cumplimiento tributario</w:t>
      </w:r>
      <w:r w:rsidR="00125B84" w:rsidRPr="00125B84">
        <w:rPr>
          <w:rStyle w:val="FootnoteReference"/>
          <w:rFonts w:ascii="Arial" w:eastAsia="Arial" w:hAnsi="Arial" w:cs="Arial"/>
          <w:sz w:val="22"/>
          <w:szCs w:val="22"/>
          <w:lang w:val="es-ES_tradnl"/>
        </w:rPr>
        <w:footnoteReference w:id="22"/>
      </w:r>
      <w:r w:rsidR="00125B84" w:rsidRPr="00125B84">
        <w:rPr>
          <w:rFonts w:ascii="Arial" w:eastAsia="Arial" w:hAnsi="Arial" w:cs="Arial"/>
          <w:sz w:val="22"/>
          <w:szCs w:val="22"/>
          <w:lang w:val="es-ES_tradnl"/>
        </w:rPr>
        <w:t>; y (iv) definir estrategias para asegurar la idoneidad y motivación del recurso humano</w:t>
      </w:r>
      <w:r w:rsidR="00125B84" w:rsidRPr="00125B84">
        <w:rPr>
          <w:rStyle w:val="FootnoteReference"/>
          <w:rFonts w:ascii="Arial" w:eastAsia="Arial" w:hAnsi="Arial" w:cs="Arial"/>
          <w:sz w:val="22"/>
          <w:szCs w:val="22"/>
          <w:lang w:val="es-ES_tradnl"/>
        </w:rPr>
        <w:footnoteReference w:id="23"/>
      </w:r>
      <w:r w:rsidR="00125B84" w:rsidRPr="00125B84">
        <w:rPr>
          <w:rFonts w:ascii="Arial" w:eastAsia="Arial" w:hAnsi="Arial" w:cs="Arial"/>
          <w:sz w:val="22"/>
          <w:szCs w:val="22"/>
          <w:lang w:val="es-ES_tradnl"/>
        </w:rPr>
        <w:t>. Varias administraciones tributarias de América Latina han fortalecido estos elementos, destacándose Brasil y Uruguay</w:t>
      </w:r>
      <w:r w:rsidR="00125B84" w:rsidRPr="00125B84">
        <w:rPr>
          <w:rStyle w:val="FootnoteReference"/>
          <w:rFonts w:ascii="Arial" w:eastAsia="Arial" w:hAnsi="Arial" w:cs="Arial"/>
          <w:sz w:val="22"/>
          <w:szCs w:val="22"/>
          <w:lang w:val="es-ES_tradnl"/>
        </w:rPr>
        <w:footnoteReference w:id="24"/>
      </w:r>
      <w:r w:rsidR="00125B84" w:rsidRPr="00125B84">
        <w:rPr>
          <w:rFonts w:ascii="Arial" w:eastAsia="Arial" w:hAnsi="Arial" w:cs="Arial"/>
          <w:sz w:val="22"/>
          <w:szCs w:val="22"/>
          <w:lang w:val="es-ES_tradnl"/>
        </w:rPr>
        <w:t xml:space="preserve">. </w:t>
      </w:r>
    </w:p>
    <w:p w14:paraId="41FDD21A" w14:textId="77777777" w:rsidR="00125B84" w:rsidRPr="00125B84" w:rsidRDefault="00125B84" w:rsidP="00125B84">
      <w:pPr>
        <w:pStyle w:val="Paragraph"/>
        <w:numPr>
          <w:ilvl w:val="1"/>
          <w:numId w:val="11"/>
        </w:numPr>
        <w:tabs>
          <w:tab w:val="num" w:pos="720"/>
        </w:tabs>
        <w:ind w:left="720" w:hanging="720"/>
        <w:outlineLvl w:val="9"/>
        <w:rPr>
          <w:rFonts w:ascii="Arial" w:eastAsia="Arial" w:hAnsi="Arial" w:cs="Arial"/>
          <w:sz w:val="22"/>
          <w:szCs w:val="22"/>
          <w:lang w:val="es-ES_tradnl"/>
        </w:rPr>
      </w:pPr>
      <w:r w:rsidRPr="00125B84">
        <w:rPr>
          <w:rFonts w:ascii="Arial" w:eastAsia="Arial" w:hAnsi="Arial" w:cs="Arial"/>
          <w:sz w:val="22"/>
          <w:szCs w:val="22"/>
          <w:lang w:val="es-ES_tradnl"/>
        </w:rPr>
        <w:t>La evidencia internacional, basada en el análisis comparado de administraciones tributarias, señala que la emergencia de nuevas tecnologías, el incremento de la digitalización y los flujos masivos de información disponible, están haciendo a las administraciones tributarias reexaminar la manera en que llevan a cabo sus operaciones, y ofrecen oportunidades para la implementación de soluciones costo-</w:t>
      </w:r>
      <w:r w:rsidRPr="00125B84">
        <w:rPr>
          <w:rFonts w:ascii="Arial" w:eastAsia="Arial" w:hAnsi="Arial" w:cs="Arial"/>
          <w:sz w:val="22"/>
          <w:szCs w:val="22"/>
          <w:lang w:val="es-ES_tradnl"/>
        </w:rPr>
        <w:lastRenderedPageBreak/>
        <w:t>efectivas para aumentar la recaudación y mejorar la provisión del servicio. En particular, la OCDE (2016)</w:t>
      </w:r>
      <w:r w:rsidRPr="00125B84">
        <w:rPr>
          <w:rStyle w:val="FootnoteReference"/>
          <w:rFonts w:ascii="Arial" w:eastAsia="Arial" w:hAnsi="Arial" w:cs="Arial"/>
          <w:sz w:val="22"/>
          <w:szCs w:val="22"/>
          <w:lang w:val="es-ES_tradnl"/>
        </w:rPr>
        <w:t xml:space="preserve"> </w:t>
      </w:r>
      <w:r w:rsidRPr="00125B84">
        <w:rPr>
          <w:rStyle w:val="FootnoteReference"/>
          <w:rFonts w:ascii="Arial" w:eastAsia="Arial" w:hAnsi="Arial" w:cs="Arial"/>
          <w:sz w:val="22"/>
          <w:szCs w:val="22"/>
          <w:lang w:val="es-ES_tradnl"/>
        </w:rPr>
        <w:footnoteReference w:id="25"/>
      </w:r>
      <w:r w:rsidRPr="00125B84">
        <w:rPr>
          <w:rFonts w:ascii="Arial" w:eastAsia="Arial" w:hAnsi="Arial" w:cs="Arial"/>
          <w:sz w:val="22"/>
          <w:szCs w:val="22"/>
          <w:lang w:val="es-ES_tradnl"/>
        </w:rPr>
        <w:t xml:space="preserve"> indica que la analítica avanzada de datos está demostrando ser una herramienta extremadamente valiosa para la mejora del conocimiento del contribuyente y la toma de decisiones más inteligentes para orientar las estrategias de fiscalización y control de la evasión.  </w:t>
      </w:r>
    </w:p>
    <w:p w14:paraId="4172041D" w14:textId="77777777" w:rsidR="00125B84" w:rsidRPr="00125B84" w:rsidRDefault="00125B84" w:rsidP="00125B84">
      <w:pPr>
        <w:pStyle w:val="Paragraph"/>
        <w:numPr>
          <w:ilvl w:val="1"/>
          <w:numId w:val="11"/>
        </w:numPr>
        <w:tabs>
          <w:tab w:val="num" w:pos="720"/>
        </w:tabs>
        <w:ind w:left="720" w:hanging="720"/>
        <w:outlineLvl w:val="9"/>
        <w:rPr>
          <w:rFonts w:ascii="Arial" w:eastAsia="Arial" w:hAnsi="Arial" w:cs="Arial"/>
          <w:sz w:val="22"/>
          <w:szCs w:val="22"/>
          <w:lang w:val="es-ES_tradnl"/>
        </w:rPr>
      </w:pPr>
      <w:r w:rsidRPr="00125B84">
        <w:rPr>
          <w:rFonts w:ascii="Arial" w:eastAsia="Arial" w:hAnsi="Arial" w:cs="Arial"/>
          <w:sz w:val="22"/>
          <w:szCs w:val="22"/>
          <w:lang w:val="es-ES_tradnl"/>
        </w:rPr>
        <w:t>En particular, la aplicación de experimentos como Slemrod et al (2001) en Estados Unidos, Pomeranz (2015) en Chile y Kleven et al (2011) en Dinamarca han revelado importantes hallazgos con respecto al comportamiento estratégico de los contribuyentes y cómo esto puede ser utilizado por las autoridades tributarias para fortalecer el ejercicio de fiscalización. Comparando los patrones de evasión entre los grupos de tratamiento y el grupo de control, los resultados sugieren que aquellos contribuyentes que recibieron notificaciones relacionados a la posibilidad de ser auditado incrementaron los ingresos reportados a la autoridad tributaria hasta en un 12% como en el caso de Estados Unidos. Estos trabajos ofrecen importantes lecciones con respecto a características que pueden aumentar el riesgo de evasión y sobre las cuales las autoridades tributarias podrían enfocar sus esfuerzos de fiscalización: i) el eslabón económico del contribuyente – ventas finales vs. ventas intermedias, ii) el tipo de ingresos del contribuyente – ingresos por cuenta propia vs. salarios, iii) el nivel de trazabilidad y registro de transacciones con terceras partes (</w:t>
      </w:r>
      <w:proofErr w:type="spellStart"/>
      <w:r w:rsidRPr="00125B84">
        <w:rPr>
          <w:rFonts w:ascii="Arial" w:eastAsia="Arial" w:hAnsi="Arial" w:cs="Arial"/>
          <w:sz w:val="22"/>
          <w:szCs w:val="22"/>
          <w:lang w:val="es-ES_tradnl"/>
        </w:rPr>
        <w:t>third-party</w:t>
      </w:r>
      <w:proofErr w:type="spellEnd"/>
      <w:r w:rsidRPr="00125B84">
        <w:rPr>
          <w:rFonts w:ascii="Arial" w:eastAsia="Arial" w:hAnsi="Arial" w:cs="Arial"/>
          <w:sz w:val="22"/>
          <w:szCs w:val="22"/>
          <w:lang w:val="es-ES_tradnl"/>
        </w:rPr>
        <w:t xml:space="preserve"> </w:t>
      </w:r>
      <w:proofErr w:type="spellStart"/>
      <w:r w:rsidRPr="00125B84">
        <w:rPr>
          <w:rFonts w:ascii="Arial" w:eastAsia="Arial" w:hAnsi="Arial" w:cs="Arial"/>
          <w:sz w:val="22"/>
          <w:szCs w:val="22"/>
          <w:lang w:val="es-ES_tradnl"/>
        </w:rPr>
        <w:t>trails</w:t>
      </w:r>
      <w:proofErr w:type="spellEnd"/>
      <w:r w:rsidRPr="00125B84">
        <w:rPr>
          <w:rFonts w:ascii="Arial" w:eastAsia="Arial" w:hAnsi="Arial" w:cs="Arial"/>
          <w:sz w:val="22"/>
          <w:szCs w:val="22"/>
          <w:lang w:val="es-ES_tradnl"/>
        </w:rPr>
        <w:t xml:space="preserve">), entre otras. La digitalización de la SUNAT, el aumento de la capacidad analítica de los funcionarios de </w:t>
      </w:r>
      <w:proofErr w:type="gramStart"/>
      <w:r w:rsidRPr="00125B84">
        <w:rPr>
          <w:rFonts w:ascii="Arial" w:eastAsia="Arial" w:hAnsi="Arial" w:cs="Arial"/>
          <w:sz w:val="22"/>
          <w:szCs w:val="22"/>
          <w:lang w:val="es-ES_tradnl"/>
        </w:rPr>
        <w:t>la misma</w:t>
      </w:r>
      <w:proofErr w:type="gramEnd"/>
      <w:r w:rsidRPr="00125B84">
        <w:rPr>
          <w:rFonts w:ascii="Arial" w:eastAsia="Arial" w:hAnsi="Arial" w:cs="Arial"/>
          <w:sz w:val="22"/>
          <w:szCs w:val="22"/>
          <w:lang w:val="es-ES_tradnl"/>
        </w:rPr>
        <w:t>, sumado a la integración de los procesos internos, posibilitará que la SUNAT aumente su eficiencia administrativa.</w:t>
      </w:r>
    </w:p>
    <w:p w14:paraId="4E14B01D" w14:textId="77777777" w:rsidR="00125B84" w:rsidRPr="00125B84" w:rsidRDefault="00125B84" w:rsidP="00125B84">
      <w:pPr>
        <w:pStyle w:val="Paragraph"/>
        <w:numPr>
          <w:ilvl w:val="1"/>
          <w:numId w:val="11"/>
        </w:numPr>
        <w:tabs>
          <w:tab w:val="num" w:pos="720"/>
        </w:tabs>
        <w:ind w:left="720" w:hanging="720"/>
        <w:outlineLvl w:val="9"/>
        <w:rPr>
          <w:rFonts w:ascii="Arial" w:hAnsi="Arial" w:cs="Arial"/>
          <w:sz w:val="22"/>
          <w:szCs w:val="22"/>
          <w:lang w:val="es-ES_tradnl"/>
        </w:rPr>
      </w:pPr>
      <w:r w:rsidRPr="00125B84">
        <w:rPr>
          <w:rFonts w:ascii="Arial" w:eastAsia="Arial" w:hAnsi="Arial" w:cs="Arial"/>
          <w:sz w:val="22"/>
          <w:szCs w:val="22"/>
          <w:lang w:val="es-ES_tradnl"/>
        </w:rPr>
        <w:t xml:space="preserve">En línea con lo anterior, un instrumento que se ha venido implementando progresivamente en la región y que mejora la capacidad de la autoridad tributaria en la identificación del contribuyente es el comprobante de pago electrónico, también conocido como factura electrónica (F-e). La F-e le permite a la administración tributaria contar con información detallada de las transacciones realizadas, pudiendo así generar un control efectivo de riesgo en tiempo real. Igualmente, los emisores de F-e deben contar con una única firma digital debidamente validada por la administración tributaria, reduciendo significativamente las posibilidades de generar facturas falsas para evadir impuestos. </w:t>
      </w:r>
      <w:r w:rsidRPr="00125B84">
        <w:rPr>
          <w:rFonts w:ascii="Arial" w:hAnsi="Arial" w:cs="Arial"/>
          <w:sz w:val="22"/>
          <w:szCs w:val="22"/>
          <w:lang w:val="es-ES_tradnl"/>
        </w:rPr>
        <w:t xml:space="preserve">Barreix y Zambrano (2018) resumen la evidencia empírica disponible en la región que analiza los efectos de este instrumento sobre la recaudación en diferentes jurisdicciones. Estos estudios encuentran que la F-e ha generado incrementos significativos en el recaudo en Argentina, Brasil-Sao Paulo, Ecuador, México y Uruguay. Estudios de Naritomi (2015) en Brasil, Ramírez et al (2017) en Ecuador, y Fuentes et al (2016) en México afirman que la introducción de la F-e aumentó la recaudación hasta un 10.7%, el reporte de utilidades en 22% y del impuesto sobre la renta de las personas hasta 6%, respectivamente. </w:t>
      </w:r>
    </w:p>
    <w:p w14:paraId="0AB531BD" w14:textId="77777777" w:rsidR="00125B84" w:rsidRPr="00125B84" w:rsidRDefault="00125B84" w:rsidP="00125B84">
      <w:pPr>
        <w:pStyle w:val="Paragraph"/>
        <w:numPr>
          <w:ilvl w:val="1"/>
          <w:numId w:val="11"/>
        </w:numPr>
        <w:tabs>
          <w:tab w:val="num" w:pos="720"/>
        </w:tabs>
        <w:ind w:left="720" w:hanging="720"/>
        <w:outlineLvl w:val="9"/>
        <w:rPr>
          <w:rFonts w:ascii="Arial" w:eastAsia="Arial" w:hAnsi="Arial" w:cs="Arial"/>
          <w:sz w:val="22"/>
          <w:szCs w:val="22"/>
          <w:lang w:val="es-ES_tradnl"/>
        </w:rPr>
      </w:pPr>
      <w:r w:rsidRPr="00125B84">
        <w:rPr>
          <w:rFonts w:ascii="Arial" w:eastAsia="Arial" w:hAnsi="Arial" w:cs="Arial"/>
          <w:sz w:val="22"/>
          <w:szCs w:val="22"/>
          <w:lang w:val="es-ES_tradnl"/>
        </w:rPr>
        <w:t>Finalmente, la Organización Mundial de Aduanas ha publicado lineamientos</w:t>
      </w:r>
      <w:r w:rsidRPr="00125B84">
        <w:rPr>
          <w:rStyle w:val="FootnoteReference"/>
          <w:rFonts w:ascii="Arial" w:eastAsia="Arial" w:hAnsi="Arial" w:cs="Arial"/>
          <w:sz w:val="22"/>
          <w:szCs w:val="22"/>
          <w:lang w:val="es-ES_tradnl"/>
        </w:rPr>
        <w:footnoteReference w:id="26"/>
      </w:r>
      <w:r w:rsidRPr="00125B84">
        <w:rPr>
          <w:rFonts w:ascii="Arial" w:eastAsia="Arial" w:hAnsi="Arial" w:cs="Arial"/>
          <w:sz w:val="22"/>
          <w:szCs w:val="22"/>
          <w:lang w:val="es-ES_tradnl"/>
        </w:rPr>
        <w:t xml:space="preserve"> para fortalecer el trabajo conjunto entre las administraciones tributarias y aduaneras a fin de mejorar la capacidad recaudadora, reducir los niveles de fraude, afectar positivamente en el cumplimiento de los contribuyentes y operadores de comercio exterior.</w:t>
      </w:r>
    </w:p>
    <w:p w14:paraId="29948837" w14:textId="72165808" w:rsidR="00F40C7F" w:rsidRPr="00D03701" w:rsidRDefault="007E781F" w:rsidP="00125B84">
      <w:pPr>
        <w:pStyle w:val="Paragraph"/>
        <w:numPr>
          <w:ilvl w:val="1"/>
          <w:numId w:val="11"/>
        </w:numPr>
        <w:tabs>
          <w:tab w:val="num" w:pos="720"/>
        </w:tabs>
        <w:ind w:left="720" w:hanging="720"/>
        <w:outlineLvl w:val="9"/>
        <w:rPr>
          <w:rFonts w:ascii="Arial" w:hAnsi="Arial" w:cs="Arial"/>
          <w:b/>
          <w:sz w:val="22"/>
          <w:szCs w:val="22"/>
          <w:lang w:val="es-ES_tradnl"/>
        </w:rPr>
      </w:pPr>
      <w:r w:rsidRPr="00D03701">
        <w:rPr>
          <w:rFonts w:ascii="Arial" w:hAnsi="Arial" w:cs="Arial"/>
          <w:b/>
          <w:sz w:val="22"/>
          <w:szCs w:val="22"/>
          <w:lang w:val="es-ES_tradnl"/>
        </w:rPr>
        <w:t>Supuestos</w:t>
      </w:r>
      <w:r w:rsidRPr="00D03701">
        <w:rPr>
          <w:rFonts w:ascii="Arial" w:hAnsi="Arial" w:cs="Arial"/>
          <w:sz w:val="22"/>
          <w:szCs w:val="22"/>
          <w:lang w:val="es-ES_tradnl"/>
        </w:rPr>
        <w:t xml:space="preserve">. El presente Programa contempla una serie de actividades que generarán </w:t>
      </w:r>
      <w:r w:rsidR="0047530D" w:rsidRPr="00D03701">
        <w:rPr>
          <w:rFonts w:ascii="Arial" w:hAnsi="Arial" w:cs="Arial"/>
          <w:sz w:val="22"/>
          <w:szCs w:val="22"/>
          <w:lang w:val="es-ES_tradnl"/>
        </w:rPr>
        <w:t xml:space="preserve">diversos </w:t>
      </w:r>
      <w:r w:rsidRPr="00D03701">
        <w:rPr>
          <w:rFonts w:ascii="Arial" w:hAnsi="Arial" w:cs="Arial"/>
          <w:sz w:val="22"/>
          <w:szCs w:val="22"/>
          <w:lang w:val="es-ES_tradnl"/>
        </w:rPr>
        <w:t xml:space="preserve">beneficios económicos y financieros significativos que podrían ser estimados; sin embargo, para </w:t>
      </w:r>
      <w:r w:rsidRPr="00D03701">
        <w:rPr>
          <w:rFonts w:ascii="Arial" w:eastAsia="Arial" w:hAnsi="Arial" w:cs="Arial"/>
          <w:sz w:val="22"/>
          <w:szCs w:val="22"/>
          <w:lang w:val="es-ES_tradnl"/>
        </w:rPr>
        <w:t>efectos</w:t>
      </w:r>
      <w:r w:rsidRPr="00D03701">
        <w:rPr>
          <w:rFonts w:ascii="Arial" w:hAnsi="Arial" w:cs="Arial"/>
          <w:sz w:val="22"/>
          <w:szCs w:val="22"/>
          <w:lang w:val="es-ES_tradnl"/>
        </w:rPr>
        <w:t xml:space="preserve"> de justificar las inversiones del proyecto, se </w:t>
      </w:r>
      <w:r w:rsidR="003A25ED" w:rsidRPr="00D03701">
        <w:rPr>
          <w:rFonts w:ascii="Arial" w:hAnsi="Arial" w:cs="Arial"/>
          <w:sz w:val="22"/>
          <w:szCs w:val="22"/>
          <w:lang w:val="es-ES_tradnl"/>
        </w:rPr>
        <w:t>seleccionaron tres indicadores</w:t>
      </w:r>
      <w:r w:rsidR="0047530D" w:rsidRPr="00D03701">
        <w:rPr>
          <w:rFonts w:ascii="Arial" w:hAnsi="Arial" w:cs="Arial"/>
          <w:sz w:val="22"/>
          <w:szCs w:val="22"/>
          <w:lang w:val="es-ES_tradnl"/>
        </w:rPr>
        <w:t xml:space="preserve"> relevantes</w:t>
      </w:r>
      <w:r w:rsidRPr="00D03701">
        <w:rPr>
          <w:rFonts w:ascii="Arial" w:hAnsi="Arial" w:cs="Arial"/>
          <w:sz w:val="22"/>
          <w:szCs w:val="22"/>
          <w:lang w:val="es-ES_tradnl"/>
        </w:rPr>
        <w:t xml:space="preserve"> de evaluación </w:t>
      </w:r>
      <w:r w:rsidR="003A25ED" w:rsidRPr="00D03701">
        <w:rPr>
          <w:rFonts w:ascii="Arial" w:hAnsi="Arial" w:cs="Arial"/>
          <w:sz w:val="22"/>
          <w:szCs w:val="22"/>
          <w:lang w:val="es-ES_tradnl"/>
        </w:rPr>
        <w:t xml:space="preserve">referentes a: </w:t>
      </w:r>
      <w:r w:rsidR="00F40C7F" w:rsidRPr="00D03701">
        <w:rPr>
          <w:rFonts w:ascii="Arial" w:hAnsi="Arial" w:cs="Arial"/>
          <w:sz w:val="22"/>
          <w:szCs w:val="22"/>
          <w:lang w:val="es-ES_tradnl"/>
        </w:rPr>
        <w:t xml:space="preserve">(i) </w:t>
      </w:r>
      <w:r w:rsidR="00083701" w:rsidRPr="00D03701">
        <w:rPr>
          <w:rFonts w:ascii="Arial" w:hAnsi="Arial" w:cs="Arial"/>
          <w:sz w:val="22"/>
          <w:szCs w:val="22"/>
          <w:lang w:val="es-ES_tradnl"/>
        </w:rPr>
        <w:t>reducción del costo para recaudar</w:t>
      </w:r>
      <w:r w:rsidR="00E0309D" w:rsidRPr="00D03701">
        <w:rPr>
          <w:rFonts w:ascii="Arial" w:hAnsi="Arial" w:cs="Arial"/>
          <w:sz w:val="22"/>
          <w:szCs w:val="22"/>
          <w:lang w:val="es-ES_tradnl"/>
        </w:rPr>
        <w:t xml:space="preserve"> (lo que representa una mayor eficiencia administrativa de la SUNAT)</w:t>
      </w:r>
      <w:r w:rsidR="00F40C7F" w:rsidRPr="00D03701">
        <w:rPr>
          <w:rFonts w:ascii="Arial" w:hAnsi="Arial" w:cs="Arial"/>
          <w:sz w:val="22"/>
          <w:szCs w:val="22"/>
          <w:lang w:val="es-ES_tradnl"/>
        </w:rPr>
        <w:t>; y (ii)</w:t>
      </w:r>
      <w:r w:rsidR="00583D24">
        <w:rPr>
          <w:rFonts w:ascii="Arial" w:hAnsi="Arial" w:cs="Arial"/>
          <w:sz w:val="22"/>
          <w:szCs w:val="22"/>
          <w:lang w:val="es-ES_tradnl"/>
        </w:rPr>
        <w:t> </w:t>
      </w:r>
      <w:r w:rsidR="00F40C7F" w:rsidRPr="00D03701">
        <w:rPr>
          <w:rFonts w:ascii="Arial" w:hAnsi="Arial" w:cs="Arial"/>
          <w:sz w:val="22"/>
          <w:szCs w:val="22"/>
          <w:lang w:val="es-ES_tradnl"/>
        </w:rPr>
        <w:t>disminución del costo para fiscalizar US$</w:t>
      </w:r>
      <w:r w:rsidR="00C32CF3" w:rsidRPr="00D03701">
        <w:rPr>
          <w:rFonts w:ascii="Arial" w:hAnsi="Arial" w:cs="Arial"/>
          <w:sz w:val="22"/>
          <w:szCs w:val="22"/>
          <w:lang w:val="es-ES_tradnl"/>
        </w:rPr>
        <w:t>1 (un dólar)</w:t>
      </w:r>
      <w:r w:rsidR="00F40C7F" w:rsidRPr="00D03701">
        <w:rPr>
          <w:rFonts w:ascii="Arial" w:hAnsi="Arial" w:cs="Arial"/>
          <w:sz w:val="22"/>
          <w:szCs w:val="22"/>
          <w:lang w:val="es-ES_tradnl"/>
        </w:rPr>
        <w:t xml:space="preserve"> recaudado (lo que </w:t>
      </w:r>
      <w:r w:rsidR="00C32CF3" w:rsidRPr="00D03701">
        <w:rPr>
          <w:rFonts w:ascii="Arial" w:hAnsi="Arial" w:cs="Arial"/>
          <w:sz w:val="22"/>
          <w:szCs w:val="22"/>
          <w:lang w:val="es-ES_tradnl"/>
        </w:rPr>
        <w:t>representa un</w:t>
      </w:r>
      <w:r w:rsidR="00F40C7F" w:rsidRPr="00D03701">
        <w:rPr>
          <w:rFonts w:ascii="Arial" w:hAnsi="Arial" w:cs="Arial"/>
          <w:sz w:val="22"/>
          <w:szCs w:val="22"/>
          <w:lang w:val="es-ES_tradnl"/>
        </w:rPr>
        <w:t xml:space="preserve"> aumento de la </w:t>
      </w:r>
      <w:r w:rsidR="000B1F6A" w:rsidRPr="00D03701">
        <w:rPr>
          <w:rFonts w:ascii="Arial" w:hAnsi="Arial" w:cs="Arial"/>
          <w:sz w:val="22"/>
          <w:szCs w:val="22"/>
          <w:lang w:val="es-ES_tradnl"/>
        </w:rPr>
        <w:t>eficiencia</w:t>
      </w:r>
      <w:r w:rsidR="00F40C7F" w:rsidRPr="00D03701">
        <w:rPr>
          <w:rFonts w:ascii="Arial" w:hAnsi="Arial" w:cs="Arial"/>
          <w:sz w:val="22"/>
          <w:szCs w:val="22"/>
          <w:lang w:val="es-ES_tradnl"/>
        </w:rPr>
        <w:t xml:space="preserve"> de la fiscalización); y (iii</w:t>
      </w:r>
      <w:r w:rsidR="00AF615E" w:rsidRPr="00D03701">
        <w:rPr>
          <w:rFonts w:ascii="Arial" w:hAnsi="Arial" w:cs="Arial"/>
          <w:sz w:val="22"/>
          <w:szCs w:val="22"/>
          <w:lang w:val="es-ES_tradnl"/>
        </w:rPr>
        <w:t>) disminución del tiempo del despacho aduanero</w:t>
      </w:r>
      <w:r w:rsidR="00E0309D" w:rsidRPr="00D03701">
        <w:rPr>
          <w:rFonts w:ascii="Arial" w:hAnsi="Arial" w:cs="Arial"/>
          <w:sz w:val="22"/>
          <w:szCs w:val="22"/>
          <w:lang w:val="es-ES_tradnl"/>
        </w:rPr>
        <w:t xml:space="preserve"> (lo que significa un aho</w:t>
      </w:r>
      <w:r w:rsidR="00C32CF3" w:rsidRPr="00D03701">
        <w:rPr>
          <w:rFonts w:ascii="Arial" w:hAnsi="Arial" w:cs="Arial"/>
          <w:sz w:val="22"/>
          <w:szCs w:val="22"/>
          <w:lang w:val="es-ES_tradnl"/>
        </w:rPr>
        <w:t>rr</w:t>
      </w:r>
      <w:r w:rsidR="00E0309D" w:rsidRPr="00D03701">
        <w:rPr>
          <w:rFonts w:ascii="Arial" w:hAnsi="Arial" w:cs="Arial"/>
          <w:sz w:val="22"/>
          <w:szCs w:val="22"/>
          <w:lang w:val="es-ES_tradnl"/>
        </w:rPr>
        <w:t>o para los importadores y exportadores)</w:t>
      </w:r>
      <w:r w:rsidR="00F40C7F" w:rsidRPr="00D03701">
        <w:rPr>
          <w:rFonts w:ascii="Arial" w:hAnsi="Arial" w:cs="Arial"/>
          <w:sz w:val="22"/>
          <w:szCs w:val="22"/>
          <w:lang w:val="es-ES_tradnl"/>
        </w:rPr>
        <w:t xml:space="preserve">. </w:t>
      </w:r>
    </w:p>
    <w:p w14:paraId="423A6A64" w14:textId="77777777" w:rsidR="00D0100F" w:rsidRPr="00D03701" w:rsidRDefault="00D0100F" w:rsidP="006A7030">
      <w:pPr>
        <w:pStyle w:val="Heading2"/>
        <w:numPr>
          <w:ilvl w:val="0"/>
          <w:numId w:val="6"/>
        </w:numPr>
        <w:ind w:left="720"/>
        <w:rPr>
          <w:rFonts w:ascii="Arial" w:hAnsi="Arial" w:cs="Arial"/>
          <w:sz w:val="22"/>
          <w:szCs w:val="22"/>
          <w:lang w:val="es-ES_tradnl"/>
        </w:rPr>
      </w:pPr>
      <w:bookmarkStart w:id="8" w:name="_Toc522741995"/>
      <w:r w:rsidRPr="00D03701">
        <w:rPr>
          <w:rFonts w:ascii="Arial" w:hAnsi="Arial" w:cs="Arial"/>
          <w:sz w:val="22"/>
          <w:szCs w:val="22"/>
          <w:lang w:val="es-ES_tradnl"/>
        </w:rPr>
        <w:lastRenderedPageBreak/>
        <w:t xml:space="preserve">Supuesto I </w:t>
      </w:r>
      <w:r w:rsidR="000C5BD9" w:rsidRPr="00D03701">
        <w:rPr>
          <w:rFonts w:ascii="Arial" w:hAnsi="Arial" w:cs="Arial"/>
          <w:sz w:val="22"/>
          <w:szCs w:val="22"/>
          <w:lang w:val="es-ES_tradnl"/>
        </w:rPr>
        <w:t>–</w:t>
      </w:r>
      <w:r w:rsidRPr="00D03701">
        <w:rPr>
          <w:rFonts w:ascii="Arial" w:hAnsi="Arial" w:cs="Arial"/>
          <w:sz w:val="22"/>
          <w:szCs w:val="22"/>
          <w:lang w:val="es-ES_tradnl"/>
        </w:rPr>
        <w:t xml:space="preserve"> </w:t>
      </w:r>
      <w:r w:rsidR="008F0B2E" w:rsidRPr="00D03701">
        <w:rPr>
          <w:rFonts w:ascii="Arial" w:hAnsi="Arial" w:cs="Arial"/>
          <w:sz w:val="22"/>
          <w:szCs w:val="22"/>
          <w:lang w:val="es-ES_tradnl"/>
        </w:rPr>
        <w:t>Reducción</w:t>
      </w:r>
      <w:r w:rsidR="000C5BD9" w:rsidRPr="00D03701">
        <w:rPr>
          <w:rFonts w:ascii="Arial" w:hAnsi="Arial" w:cs="Arial"/>
          <w:sz w:val="22"/>
          <w:szCs w:val="22"/>
          <w:lang w:val="es-ES_tradnl"/>
        </w:rPr>
        <w:t xml:space="preserve"> del costo para recaudar</w:t>
      </w:r>
      <w:r w:rsidRPr="00D03701">
        <w:rPr>
          <w:rFonts w:ascii="Arial" w:hAnsi="Arial" w:cs="Arial"/>
          <w:sz w:val="22"/>
          <w:szCs w:val="22"/>
          <w:lang w:val="es-ES_tradnl"/>
        </w:rPr>
        <w:t>.</w:t>
      </w:r>
      <w:bookmarkEnd w:id="8"/>
    </w:p>
    <w:tbl>
      <w:tblPr>
        <w:tblStyle w:val="TableGrid"/>
        <w:tblW w:w="0" w:type="auto"/>
        <w:tblInd w:w="715" w:type="dxa"/>
        <w:tblLook w:val="04A0" w:firstRow="1" w:lastRow="0" w:firstColumn="1" w:lastColumn="0" w:noHBand="0" w:noVBand="1"/>
      </w:tblPr>
      <w:tblGrid>
        <w:gridCol w:w="8387"/>
      </w:tblGrid>
      <w:tr w:rsidR="00F10D9A" w:rsidRPr="00BE7955" w14:paraId="4B24A607" w14:textId="77777777" w:rsidTr="00666405">
        <w:tc>
          <w:tcPr>
            <w:tcW w:w="8640" w:type="dxa"/>
          </w:tcPr>
          <w:p w14:paraId="561051F2" w14:textId="77777777" w:rsidR="00F10D9A" w:rsidRPr="00D03701" w:rsidRDefault="008842D9" w:rsidP="00553D78">
            <w:pPr>
              <w:pStyle w:val="Paragraph"/>
              <w:numPr>
                <w:ilvl w:val="0"/>
                <w:numId w:val="0"/>
              </w:numPr>
              <w:outlineLvl w:val="9"/>
              <w:rPr>
                <w:rFonts w:ascii="Arial" w:hAnsi="Arial" w:cs="Arial"/>
                <w:i/>
                <w:sz w:val="22"/>
                <w:szCs w:val="22"/>
                <w:lang w:val="es-ES_tradnl"/>
              </w:rPr>
            </w:pPr>
            <w:r w:rsidRPr="00D03701">
              <w:rPr>
                <w:rFonts w:ascii="Arial" w:hAnsi="Arial" w:cs="Arial"/>
                <w:i/>
                <w:sz w:val="22"/>
                <w:szCs w:val="22"/>
                <w:lang w:val="es-ES_tradnl"/>
              </w:rPr>
              <w:t xml:space="preserve">A partir de acciones de mejora de la </w:t>
            </w:r>
            <w:r w:rsidR="00FA1E01" w:rsidRPr="00D03701">
              <w:rPr>
                <w:rFonts w:ascii="Arial" w:hAnsi="Arial" w:cs="Arial"/>
                <w:i/>
                <w:sz w:val="22"/>
                <w:szCs w:val="22"/>
                <w:lang w:val="es-ES_tradnl"/>
              </w:rPr>
              <w:t xml:space="preserve">eficiencia de la </w:t>
            </w:r>
            <w:r w:rsidRPr="00D03701">
              <w:rPr>
                <w:rFonts w:ascii="Arial" w:hAnsi="Arial" w:cs="Arial"/>
                <w:i/>
                <w:sz w:val="22"/>
                <w:szCs w:val="22"/>
                <w:lang w:val="es-ES_tradnl"/>
              </w:rPr>
              <w:t>administración tributaria</w:t>
            </w:r>
            <w:r w:rsidR="00692CC6" w:rsidRPr="00D03701">
              <w:rPr>
                <w:rFonts w:ascii="Arial" w:hAnsi="Arial" w:cs="Arial"/>
                <w:i/>
                <w:sz w:val="22"/>
                <w:szCs w:val="22"/>
                <w:lang w:val="es-ES_tradnl"/>
              </w:rPr>
              <w:t xml:space="preserve"> y aduanera</w:t>
            </w:r>
            <w:r w:rsidRPr="00D03701">
              <w:rPr>
                <w:rFonts w:ascii="Arial" w:hAnsi="Arial" w:cs="Arial"/>
                <w:i/>
                <w:sz w:val="22"/>
                <w:szCs w:val="22"/>
                <w:lang w:val="es-ES_tradnl"/>
              </w:rPr>
              <w:t xml:space="preserve">, </w:t>
            </w:r>
            <w:r w:rsidR="00905D64" w:rsidRPr="00D03701">
              <w:rPr>
                <w:rFonts w:ascii="Arial" w:hAnsi="Arial" w:cs="Arial"/>
                <w:i/>
                <w:sz w:val="22"/>
                <w:szCs w:val="22"/>
                <w:lang w:val="es-ES_tradnl"/>
              </w:rPr>
              <w:t>incluyendo</w:t>
            </w:r>
            <w:r w:rsidRPr="00D03701">
              <w:rPr>
                <w:rFonts w:ascii="Arial" w:hAnsi="Arial" w:cs="Arial"/>
                <w:i/>
                <w:sz w:val="22"/>
                <w:szCs w:val="22"/>
                <w:lang w:val="es-ES_tradnl"/>
              </w:rPr>
              <w:t xml:space="preserve"> </w:t>
            </w:r>
            <w:r w:rsidR="00905D64" w:rsidRPr="00D03701">
              <w:rPr>
                <w:rFonts w:ascii="Arial" w:hAnsi="Arial" w:cs="Arial"/>
                <w:i/>
                <w:sz w:val="22"/>
                <w:szCs w:val="22"/>
                <w:lang w:val="es-ES_tradnl"/>
              </w:rPr>
              <w:t xml:space="preserve">el </w:t>
            </w:r>
            <w:r w:rsidRPr="00D03701">
              <w:rPr>
                <w:rFonts w:ascii="Arial" w:hAnsi="Arial" w:cs="Arial"/>
                <w:i/>
                <w:sz w:val="22"/>
                <w:szCs w:val="22"/>
                <w:lang w:val="es-ES_tradnl"/>
              </w:rPr>
              <w:t xml:space="preserve">fortalecimiento </w:t>
            </w:r>
            <w:r w:rsidR="00692CC6" w:rsidRPr="00D03701">
              <w:rPr>
                <w:rFonts w:ascii="Arial" w:hAnsi="Arial" w:cs="Arial"/>
                <w:i/>
                <w:sz w:val="22"/>
                <w:szCs w:val="22"/>
                <w:lang w:val="es-ES_tradnl"/>
              </w:rPr>
              <w:t>institucional de la SUNAT</w:t>
            </w:r>
            <w:r w:rsidRPr="00D03701">
              <w:rPr>
                <w:rFonts w:ascii="Arial" w:hAnsi="Arial" w:cs="Arial"/>
                <w:i/>
                <w:sz w:val="22"/>
                <w:szCs w:val="22"/>
                <w:lang w:val="es-ES_tradnl"/>
              </w:rPr>
              <w:t xml:space="preserve">, con mayor eficiencia en el uso de </w:t>
            </w:r>
            <w:r w:rsidR="00692CC6" w:rsidRPr="00D03701">
              <w:rPr>
                <w:rFonts w:ascii="Arial" w:hAnsi="Arial" w:cs="Arial"/>
                <w:i/>
                <w:sz w:val="22"/>
                <w:szCs w:val="22"/>
                <w:lang w:val="es-ES_tradnl"/>
              </w:rPr>
              <w:t>sus</w:t>
            </w:r>
            <w:r w:rsidRPr="00D03701">
              <w:rPr>
                <w:rFonts w:ascii="Arial" w:hAnsi="Arial" w:cs="Arial"/>
                <w:i/>
                <w:sz w:val="22"/>
                <w:szCs w:val="22"/>
                <w:lang w:val="es-ES_tradnl"/>
              </w:rPr>
              <w:t xml:space="preserve"> recursos, se genera un beneficio económico con el aumento de la productividad del órgano rector de </w:t>
            </w:r>
            <w:r w:rsidR="00AF615E" w:rsidRPr="00D03701">
              <w:rPr>
                <w:rFonts w:ascii="Arial" w:hAnsi="Arial" w:cs="Arial"/>
                <w:i/>
                <w:sz w:val="22"/>
                <w:szCs w:val="22"/>
                <w:lang w:val="es-ES_tradnl"/>
              </w:rPr>
              <w:t>la administración tributaria y aduanera</w:t>
            </w:r>
            <w:r w:rsidRPr="00D03701">
              <w:rPr>
                <w:rFonts w:ascii="Arial" w:hAnsi="Arial" w:cs="Arial"/>
                <w:i/>
                <w:sz w:val="22"/>
                <w:szCs w:val="22"/>
                <w:lang w:val="es-ES_tradnl"/>
              </w:rPr>
              <w:t xml:space="preserve">, medido a través de la relación entre el costo para recaudar </w:t>
            </w:r>
            <w:r w:rsidR="00F4344E" w:rsidRPr="00D03701">
              <w:rPr>
                <w:rFonts w:ascii="Arial" w:hAnsi="Arial" w:cs="Arial"/>
                <w:i/>
                <w:sz w:val="22"/>
                <w:szCs w:val="22"/>
                <w:lang w:val="es-ES_tradnl"/>
              </w:rPr>
              <w:t>y</w:t>
            </w:r>
            <w:r w:rsidRPr="00D03701">
              <w:rPr>
                <w:rFonts w:ascii="Arial" w:hAnsi="Arial" w:cs="Arial"/>
                <w:i/>
                <w:sz w:val="22"/>
                <w:szCs w:val="22"/>
                <w:lang w:val="es-ES_tradnl"/>
              </w:rPr>
              <w:t xml:space="preserve"> la recaudación realizada. Se espera incrementar la recaudación y al mismo tiempo disminuir/mantener el costo </w:t>
            </w:r>
            <w:r w:rsidR="00692CC6" w:rsidRPr="00D03701">
              <w:rPr>
                <w:rFonts w:ascii="Arial" w:hAnsi="Arial" w:cs="Arial"/>
                <w:i/>
                <w:sz w:val="22"/>
                <w:szCs w:val="22"/>
                <w:lang w:val="es-ES_tradnl"/>
              </w:rPr>
              <w:t>de operación de la SUNAT</w:t>
            </w:r>
            <w:r w:rsidRPr="00D03701">
              <w:rPr>
                <w:rFonts w:ascii="Arial" w:hAnsi="Arial" w:cs="Arial"/>
                <w:i/>
                <w:sz w:val="22"/>
                <w:szCs w:val="22"/>
                <w:lang w:val="es-ES_tradnl"/>
              </w:rPr>
              <w:t xml:space="preserve">. </w:t>
            </w:r>
          </w:p>
        </w:tc>
      </w:tr>
    </w:tbl>
    <w:p w14:paraId="580230B6" w14:textId="2C5BF1EC" w:rsidR="00F10D9A" w:rsidRPr="00D03701" w:rsidRDefault="007E781F"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pPr>
      <w:r w:rsidRPr="00D03701">
        <w:rPr>
          <w:rFonts w:ascii="Arial" w:hAnsi="Arial" w:cs="Arial"/>
          <w:b/>
          <w:color w:val="000000"/>
          <w:sz w:val="22"/>
          <w:szCs w:val="22"/>
          <w:lang w:val="es-ES_tradnl"/>
        </w:rPr>
        <w:t>Descripción de la metodología.</w:t>
      </w:r>
      <w:r w:rsidRPr="00D03701">
        <w:rPr>
          <w:rFonts w:ascii="Arial" w:hAnsi="Arial" w:cs="Arial"/>
          <w:color w:val="000000"/>
          <w:sz w:val="22"/>
          <w:szCs w:val="22"/>
          <w:lang w:val="es-ES_tradnl"/>
        </w:rPr>
        <w:t xml:space="preserve"> </w:t>
      </w:r>
      <w:r w:rsidR="008842D9" w:rsidRPr="00D03701">
        <w:rPr>
          <w:rFonts w:ascii="Arial" w:hAnsi="Arial" w:cs="Arial"/>
          <w:sz w:val="22"/>
          <w:szCs w:val="22"/>
          <w:lang w:val="es-ES_tradnl"/>
        </w:rPr>
        <w:t>Existe una amplia bibliografía sobre el valor agregado de utilizarse el indicador costo para recaudar / total recaudado para medir la eficiencia y efectividad de una administración tributaria. Un estudio de la OECD</w:t>
      </w:r>
      <w:r w:rsidR="008842D9" w:rsidRPr="00D03701">
        <w:rPr>
          <w:rStyle w:val="FootnoteReference"/>
          <w:rFonts w:ascii="Arial" w:hAnsi="Arial" w:cs="Arial"/>
          <w:sz w:val="22"/>
          <w:szCs w:val="22"/>
          <w:lang w:val="es-ES_tradnl"/>
        </w:rPr>
        <w:footnoteReference w:id="27"/>
      </w:r>
      <w:r w:rsidR="008842D9" w:rsidRPr="00D03701">
        <w:rPr>
          <w:rFonts w:ascii="Arial" w:hAnsi="Arial" w:cs="Arial"/>
          <w:sz w:val="22"/>
          <w:szCs w:val="22"/>
          <w:lang w:val="es-ES_tradnl"/>
        </w:rPr>
        <w:t xml:space="preserve"> </w:t>
      </w:r>
      <w:r w:rsidR="00AD0C17" w:rsidRPr="00D03701">
        <w:rPr>
          <w:rFonts w:ascii="Arial" w:hAnsi="Arial" w:cs="Arial"/>
          <w:sz w:val="22"/>
          <w:szCs w:val="22"/>
          <w:lang w:val="es-ES_tradnl"/>
        </w:rPr>
        <w:t>indica</w:t>
      </w:r>
      <w:r w:rsidR="008842D9" w:rsidRPr="00D03701">
        <w:rPr>
          <w:rFonts w:ascii="Arial" w:hAnsi="Arial" w:cs="Arial"/>
          <w:sz w:val="22"/>
          <w:szCs w:val="22"/>
          <w:lang w:val="es-ES_tradnl"/>
        </w:rPr>
        <w:t xml:space="preserve"> que </w:t>
      </w:r>
      <w:r w:rsidR="00AD0C17" w:rsidRPr="00D03701">
        <w:rPr>
          <w:rFonts w:ascii="Arial" w:hAnsi="Arial" w:cs="Arial"/>
          <w:sz w:val="22"/>
          <w:szCs w:val="22"/>
          <w:lang w:val="es-ES_tradnl"/>
        </w:rPr>
        <w:t>e</w:t>
      </w:r>
      <w:r w:rsidR="008842D9" w:rsidRPr="00D03701">
        <w:rPr>
          <w:rFonts w:ascii="Arial" w:hAnsi="Arial" w:cs="Arial"/>
          <w:sz w:val="22"/>
          <w:szCs w:val="22"/>
          <w:lang w:val="es-ES_tradnl"/>
        </w:rPr>
        <w:t xml:space="preserve">l </w:t>
      </w:r>
      <w:r w:rsidR="000554A3" w:rsidRPr="00D03701">
        <w:rPr>
          <w:rFonts w:ascii="Arial" w:hAnsi="Arial" w:cs="Arial"/>
          <w:sz w:val="22"/>
          <w:szCs w:val="22"/>
          <w:lang w:val="es-ES_tradnl"/>
        </w:rPr>
        <w:t xml:space="preserve">uso </w:t>
      </w:r>
      <w:proofErr w:type="gramStart"/>
      <w:r w:rsidR="000554A3" w:rsidRPr="00D03701">
        <w:rPr>
          <w:rFonts w:ascii="Arial" w:hAnsi="Arial" w:cs="Arial"/>
          <w:sz w:val="22"/>
          <w:szCs w:val="22"/>
          <w:lang w:val="es-ES_tradnl"/>
        </w:rPr>
        <w:t xml:space="preserve">del </w:t>
      </w:r>
      <w:r w:rsidR="008842D9" w:rsidRPr="00D03701">
        <w:rPr>
          <w:rFonts w:ascii="Arial" w:hAnsi="Arial" w:cs="Arial"/>
          <w:sz w:val="22"/>
          <w:szCs w:val="22"/>
          <w:lang w:val="es-ES_tradnl"/>
        </w:rPr>
        <w:t>ratio</w:t>
      </w:r>
      <w:proofErr w:type="gramEnd"/>
      <w:r w:rsidR="008842D9" w:rsidRPr="00D03701">
        <w:rPr>
          <w:rFonts w:ascii="Arial" w:hAnsi="Arial" w:cs="Arial"/>
          <w:sz w:val="22"/>
          <w:szCs w:val="22"/>
          <w:lang w:val="es-ES_tradnl"/>
        </w:rPr>
        <w:t xml:space="preserve"> “costo de recaudación” se ha convertido en una práctica bastante habitual, que sirve como herramienta de valoración indirecta de la eficiencia/eficacia de la administración. </w:t>
      </w:r>
      <w:proofErr w:type="gramStart"/>
      <w:r w:rsidR="000554A3" w:rsidRPr="00D03701">
        <w:rPr>
          <w:rFonts w:ascii="Arial" w:hAnsi="Arial" w:cs="Arial"/>
          <w:sz w:val="22"/>
          <w:szCs w:val="22"/>
          <w:lang w:val="es-ES_tradnl"/>
        </w:rPr>
        <w:t>El</w:t>
      </w:r>
      <w:r w:rsidR="008842D9" w:rsidRPr="00D03701">
        <w:rPr>
          <w:rFonts w:ascii="Arial" w:hAnsi="Arial" w:cs="Arial"/>
          <w:sz w:val="22"/>
          <w:szCs w:val="22"/>
          <w:lang w:val="es-ES_tradnl"/>
        </w:rPr>
        <w:t xml:space="preserve"> ratio</w:t>
      </w:r>
      <w:proofErr w:type="gramEnd"/>
      <w:r w:rsidR="008842D9" w:rsidRPr="00D03701">
        <w:rPr>
          <w:rFonts w:ascii="Arial" w:hAnsi="Arial" w:cs="Arial"/>
          <w:sz w:val="22"/>
          <w:szCs w:val="22"/>
          <w:lang w:val="es-ES_tradnl"/>
        </w:rPr>
        <w:t xml:space="preserve"> se calcula comparando los costos anuales de administración en los que incurre un organismo tributario con la recaudación total del ejercicio, y se expresa frecuentemente como porcentaje o como el costo de recaudar 100 unidades de recaudación. La mayoría de los organismos de administración tributaria publican </w:t>
      </w:r>
      <w:proofErr w:type="gramStart"/>
      <w:r w:rsidR="008842D9" w:rsidRPr="00D03701">
        <w:rPr>
          <w:rFonts w:ascii="Arial" w:hAnsi="Arial" w:cs="Arial"/>
          <w:sz w:val="22"/>
          <w:szCs w:val="22"/>
          <w:lang w:val="es-ES_tradnl"/>
        </w:rPr>
        <w:t>est</w:t>
      </w:r>
      <w:r w:rsidR="000554A3" w:rsidRPr="00D03701">
        <w:rPr>
          <w:rFonts w:ascii="Arial" w:hAnsi="Arial" w:cs="Arial"/>
          <w:sz w:val="22"/>
          <w:szCs w:val="22"/>
          <w:lang w:val="es-ES_tradnl"/>
        </w:rPr>
        <w:t>e</w:t>
      </w:r>
      <w:r w:rsidR="008842D9" w:rsidRPr="00D03701">
        <w:rPr>
          <w:rFonts w:ascii="Arial" w:hAnsi="Arial" w:cs="Arial"/>
          <w:sz w:val="22"/>
          <w:szCs w:val="22"/>
          <w:lang w:val="es-ES_tradnl"/>
        </w:rPr>
        <w:t xml:space="preserve"> ratio</w:t>
      </w:r>
      <w:proofErr w:type="gramEnd"/>
      <w:r w:rsidR="008842D9" w:rsidRPr="00D03701">
        <w:rPr>
          <w:rFonts w:ascii="Arial" w:hAnsi="Arial" w:cs="Arial"/>
          <w:sz w:val="22"/>
          <w:szCs w:val="22"/>
          <w:lang w:val="es-ES_tradnl"/>
        </w:rPr>
        <w:t xml:space="preserve"> para un determinado número de años y, manteniéndose constantes los parámetros</w:t>
      </w:r>
      <w:r w:rsidR="000554A3" w:rsidRPr="00D03701">
        <w:rPr>
          <w:rFonts w:ascii="Arial" w:hAnsi="Arial" w:cs="Arial"/>
          <w:sz w:val="22"/>
          <w:szCs w:val="22"/>
          <w:lang w:val="es-ES_tradnl"/>
        </w:rPr>
        <w:t xml:space="preserve"> restantes</w:t>
      </w:r>
      <w:r w:rsidR="008842D9" w:rsidRPr="00D03701">
        <w:rPr>
          <w:rFonts w:ascii="Arial" w:hAnsi="Arial" w:cs="Arial"/>
          <w:sz w:val="22"/>
          <w:szCs w:val="22"/>
          <w:lang w:val="es-ES_tradnl"/>
        </w:rPr>
        <w:t xml:space="preserve">, los cambios en </w:t>
      </w:r>
      <w:r w:rsidR="000D2CC1" w:rsidRPr="00D03701">
        <w:rPr>
          <w:rFonts w:ascii="Arial" w:hAnsi="Arial" w:cs="Arial"/>
          <w:sz w:val="22"/>
          <w:szCs w:val="22"/>
          <w:lang w:val="es-ES_tradnl"/>
        </w:rPr>
        <w:t>e</w:t>
      </w:r>
      <w:r w:rsidR="008842D9" w:rsidRPr="00D03701">
        <w:rPr>
          <w:rFonts w:ascii="Arial" w:hAnsi="Arial" w:cs="Arial"/>
          <w:sz w:val="22"/>
          <w:szCs w:val="22"/>
          <w:lang w:val="es-ES_tradnl"/>
        </w:rPr>
        <w:t>l ratio</w:t>
      </w:r>
      <w:r w:rsidR="000D2CC1" w:rsidRPr="00D03701">
        <w:rPr>
          <w:rFonts w:ascii="Arial" w:hAnsi="Arial" w:cs="Arial"/>
          <w:sz w:val="22"/>
          <w:szCs w:val="22"/>
          <w:lang w:val="es-ES_tradnl"/>
        </w:rPr>
        <w:t xml:space="preserve"> en el ti</w:t>
      </w:r>
      <w:r w:rsidR="00105156" w:rsidRPr="00D03701">
        <w:rPr>
          <w:rFonts w:ascii="Arial" w:hAnsi="Arial" w:cs="Arial"/>
          <w:sz w:val="22"/>
          <w:szCs w:val="22"/>
          <w:lang w:val="es-ES_tradnl"/>
        </w:rPr>
        <w:t>empo</w:t>
      </w:r>
      <w:r w:rsidR="008842D9" w:rsidRPr="00D03701">
        <w:rPr>
          <w:rFonts w:ascii="Arial" w:hAnsi="Arial" w:cs="Arial"/>
          <w:sz w:val="22"/>
          <w:szCs w:val="22"/>
          <w:lang w:val="es-ES_tradnl"/>
        </w:rPr>
        <w:t xml:space="preserve"> reflejarían variaciones en la eficiencia y eficacia relativas. Esto se deriva del hecho de que </w:t>
      </w:r>
      <w:proofErr w:type="gramStart"/>
      <w:r w:rsidR="00105156" w:rsidRPr="00D03701">
        <w:rPr>
          <w:rFonts w:ascii="Arial" w:hAnsi="Arial" w:cs="Arial"/>
          <w:sz w:val="22"/>
          <w:szCs w:val="22"/>
          <w:lang w:val="es-ES_tradnl"/>
        </w:rPr>
        <w:t>e</w:t>
      </w:r>
      <w:r w:rsidR="008842D9" w:rsidRPr="00D03701">
        <w:rPr>
          <w:rFonts w:ascii="Arial" w:hAnsi="Arial" w:cs="Arial"/>
          <w:sz w:val="22"/>
          <w:szCs w:val="22"/>
          <w:lang w:val="es-ES_tradnl"/>
        </w:rPr>
        <w:t>l ratio</w:t>
      </w:r>
      <w:proofErr w:type="gramEnd"/>
      <w:r w:rsidR="008842D9" w:rsidRPr="00D03701">
        <w:rPr>
          <w:rFonts w:ascii="Arial" w:hAnsi="Arial" w:cs="Arial"/>
          <w:sz w:val="22"/>
          <w:szCs w:val="22"/>
          <w:lang w:val="es-ES_tradnl"/>
        </w:rPr>
        <w:t xml:space="preserve"> se calcula a partir de una comparación de factores (a saber, los costos administrativos) respecto de sus resultados (a saber, la recaudación tributaria);</w:t>
      </w:r>
      <w:r w:rsidR="00105156" w:rsidRPr="00D03701">
        <w:rPr>
          <w:rFonts w:ascii="Arial" w:hAnsi="Arial" w:cs="Arial"/>
          <w:sz w:val="22"/>
          <w:szCs w:val="22"/>
          <w:lang w:val="es-ES_tradnl"/>
        </w:rPr>
        <w:t xml:space="preserve"> y</w:t>
      </w:r>
      <w:r w:rsidR="008842D9" w:rsidRPr="00D03701">
        <w:rPr>
          <w:rFonts w:ascii="Arial" w:hAnsi="Arial" w:cs="Arial"/>
          <w:sz w:val="22"/>
          <w:szCs w:val="22"/>
          <w:lang w:val="es-ES_tradnl"/>
        </w:rPr>
        <w:t xml:space="preserve"> las iniciativas que reducen los costos relativos (mejorando la eficiencia) o que aumentan el nivel de cumplimiento y la recaudación (es decir, mejorando la eficacia) influyen en </w:t>
      </w:r>
      <w:r w:rsidR="00105156" w:rsidRPr="00D03701">
        <w:rPr>
          <w:rFonts w:ascii="Arial" w:hAnsi="Arial" w:cs="Arial"/>
          <w:sz w:val="22"/>
          <w:szCs w:val="22"/>
          <w:lang w:val="es-ES_tradnl"/>
        </w:rPr>
        <w:t>e</w:t>
      </w:r>
      <w:r w:rsidR="008842D9" w:rsidRPr="00D03701">
        <w:rPr>
          <w:rFonts w:ascii="Arial" w:hAnsi="Arial" w:cs="Arial"/>
          <w:sz w:val="22"/>
          <w:szCs w:val="22"/>
          <w:lang w:val="es-ES_tradnl"/>
        </w:rPr>
        <w:t>l ratio. En la práctica, no obstante, existen una serie de factores que, si bien influyen en la relación entre el costo y la recaudación, no tiene</w:t>
      </w:r>
      <w:r w:rsidR="00105156" w:rsidRPr="00D03701">
        <w:rPr>
          <w:rFonts w:ascii="Arial" w:hAnsi="Arial" w:cs="Arial"/>
          <w:sz w:val="22"/>
          <w:szCs w:val="22"/>
          <w:lang w:val="es-ES_tradnl"/>
        </w:rPr>
        <w:t>n</w:t>
      </w:r>
      <w:r w:rsidR="008842D9" w:rsidRPr="00D03701">
        <w:rPr>
          <w:rFonts w:ascii="Arial" w:hAnsi="Arial" w:cs="Arial"/>
          <w:sz w:val="22"/>
          <w:szCs w:val="22"/>
          <w:lang w:val="es-ES_tradnl"/>
        </w:rPr>
        <w:t xml:space="preserve"> conexión alguna con la eficiencia o eficacia relativas. Estos factores comprenden: (i) la variación </w:t>
      </w:r>
      <w:r w:rsidR="00105156" w:rsidRPr="00D03701">
        <w:rPr>
          <w:rFonts w:ascii="Arial" w:hAnsi="Arial" w:cs="Arial"/>
          <w:sz w:val="22"/>
          <w:szCs w:val="22"/>
          <w:lang w:val="es-ES_tradnl"/>
        </w:rPr>
        <w:t xml:space="preserve">en el tiempo </w:t>
      </w:r>
      <w:r w:rsidR="008842D9" w:rsidRPr="00D03701">
        <w:rPr>
          <w:rFonts w:ascii="Arial" w:hAnsi="Arial" w:cs="Arial"/>
          <w:sz w:val="22"/>
          <w:szCs w:val="22"/>
          <w:lang w:val="es-ES_tradnl"/>
        </w:rPr>
        <w:t xml:space="preserve">de los tipos impositivos; (ii) los cambios macroeconómicos; (iii) los gastos extraordinarios en los que incurra el organismo tributario; y (iv) cambios en el ámbito de los impuestos recaudados por el organismo tributario. Es obvio que cualquier análisis de las variaciones en la tendencia </w:t>
      </w:r>
      <w:proofErr w:type="gramStart"/>
      <w:r w:rsidR="008842D9" w:rsidRPr="00D03701">
        <w:rPr>
          <w:rFonts w:ascii="Arial" w:hAnsi="Arial" w:cs="Arial"/>
          <w:sz w:val="22"/>
          <w:szCs w:val="22"/>
          <w:lang w:val="es-ES_tradnl"/>
        </w:rPr>
        <w:t>del ratio</w:t>
      </w:r>
      <w:proofErr w:type="gramEnd"/>
      <w:r w:rsidR="008842D9" w:rsidRPr="00D03701">
        <w:rPr>
          <w:rFonts w:ascii="Arial" w:hAnsi="Arial" w:cs="Arial"/>
          <w:sz w:val="22"/>
          <w:szCs w:val="22"/>
          <w:lang w:val="es-ES_tradnl"/>
        </w:rPr>
        <w:t xml:space="preserve"> a lo largo del tiempo debe prestar atención, en la medida de lo posible, a esos factores. El anexo lista la bibliografía sobre la relación costo / recaudación de las administraciones tributarias.</w:t>
      </w:r>
      <w:r w:rsidR="00C34608" w:rsidRPr="00D03701">
        <w:rPr>
          <w:rFonts w:ascii="Arial" w:hAnsi="Arial" w:cs="Arial"/>
          <w:color w:val="000000"/>
          <w:sz w:val="22"/>
          <w:szCs w:val="22"/>
          <w:lang w:val="es-ES_tradnl"/>
        </w:rPr>
        <w:t xml:space="preserve"> </w:t>
      </w:r>
    </w:p>
    <w:p w14:paraId="67138B9C" w14:textId="77777777" w:rsidR="00E233B1" w:rsidRPr="00D03701" w:rsidRDefault="00C34608" w:rsidP="00E233B1">
      <w:pPr>
        <w:pStyle w:val="Paragraph"/>
        <w:keepNext/>
        <w:keepLines/>
        <w:numPr>
          <w:ilvl w:val="0"/>
          <w:numId w:val="0"/>
        </w:numPr>
        <w:tabs>
          <w:tab w:val="num" w:pos="2196"/>
        </w:tabs>
        <w:ind w:left="720"/>
        <w:outlineLvl w:val="9"/>
        <w:rPr>
          <w:rFonts w:ascii="Arial" w:hAnsi="Arial" w:cs="Arial"/>
          <w:sz w:val="22"/>
          <w:szCs w:val="22"/>
          <w:lang w:val="es-ES_tradnl"/>
        </w:rPr>
      </w:pPr>
      <w:r w:rsidRPr="00D03701">
        <w:rPr>
          <w:rFonts w:ascii="Arial" w:hAnsi="Arial" w:cs="Arial"/>
          <w:b/>
          <w:color w:val="000000"/>
          <w:sz w:val="22"/>
          <w:szCs w:val="22"/>
          <w:lang w:val="es-ES_tradnl"/>
        </w:rPr>
        <w:t xml:space="preserve">Estimación de los </w:t>
      </w:r>
      <w:r w:rsidR="008F0B2E" w:rsidRPr="00D03701">
        <w:rPr>
          <w:rFonts w:ascii="Arial" w:hAnsi="Arial" w:cs="Arial"/>
          <w:b/>
          <w:color w:val="000000"/>
          <w:sz w:val="22"/>
          <w:szCs w:val="22"/>
          <w:lang w:val="es-ES_tradnl"/>
        </w:rPr>
        <w:t xml:space="preserve">Beneficios de la reducción de los costos para </w:t>
      </w:r>
      <w:r w:rsidR="00CE53D3" w:rsidRPr="00D03701">
        <w:rPr>
          <w:rFonts w:ascii="Arial" w:hAnsi="Arial" w:cs="Arial"/>
          <w:b/>
          <w:color w:val="000000"/>
          <w:sz w:val="22"/>
          <w:szCs w:val="22"/>
          <w:lang w:val="es-ES_tradnl"/>
        </w:rPr>
        <w:t>recaudar</w:t>
      </w:r>
      <w:r w:rsidR="008F0B2E" w:rsidRPr="00D03701">
        <w:rPr>
          <w:rFonts w:ascii="Arial" w:hAnsi="Arial" w:cs="Arial"/>
          <w:b/>
          <w:color w:val="000000"/>
          <w:sz w:val="22"/>
          <w:szCs w:val="22"/>
          <w:lang w:val="es-ES_tradnl"/>
        </w:rPr>
        <w:t>.</w:t>
      </w:r>
      <w:r w:rsidR="006F1C2D" w:rsidRPr="00D03701">
        <w:rPr>
          <w:rFonts w:ascii="Arial" w:hAnsi="Arial" w:cs="Arial"/>
          <w:b/>
          <w:color w:val="000000"/>
          <w:sz w:val="22"/>
          <w:szCs w:val="22"/>
          <w:lang w:val="es-ES_tradnl"/>
        </w:rPr>
        <w:t xml:space="preserve"> </w:t>
      </w:r>
      <w:r w:rsidR="00D0100F" w:rsidRPr="00D03701">
        <w:rPr>
          <w:rFonts w:ascii="Arial" w:hAnsi="Arial" w:cs="Arial"/>
          <w:sz w:val="22"/>
          <w:szCs w:val="22"/>
          <w:lang w:val="es-ES_tradnl"/>
        </w:rPr>
        <w:tab/>
      </w:r>
    </w:p>
    <w:p w14:paraId="73DFC32C" w14:textId="77777777" w:rsidR="008F0B2E" w:rsidRPr="00D03701" w:rsidRDefault="008F0B2E" w:rsidP="001137D4">
      <w:pPr>
        <w:pStyle w:val="Paragraph"/>
        <w:numPr>
          <w:ilvl w:val="1"/>
          <w:numId w:val="38"/>
        </w:numPr>
        <w:tabs>
          <w:tab w:val="num" w:pos="1800"/>
          <w:tab w:val="num" w:pos="2196"/>
        </w:tabs>
        <w:ind w:left="720" w:hanging="720"/>
        <w:outlineLvl w:val="9"/>
        <w:rPr>
          <w:rFonts w:ascii="Arial" w:hAnsi="Arial" w:cs="Arial"/>
          <w:sz w:val="22"/>
          <w:szCs w:val="22"/>
          <w:lang w:val="es-ES_tradnl"/>
        </w:rPr>
      </w:pPr>
      <w:r w:rsidRPr="00D03701">
        <w:rPr>
          <w:rFonts w:ascii="Arial" w:hAnsi="Arial" w:cs="Arial"/>
          <w:sz w:val="22"/>
          <w:szCs w:val="22"/>
          <w:lang w:val="es-ES_tradnl"/>
        </w:rPr>
        <w:t xml:space="preserve">De acuerdo con </w:t>
      </w:r>
      <w:r w:rsidR="00905D64" w:rsidRPr="00D03701">
        <w:rPr>
          <w:rFonts w:ascii="Arial" w:hAnsi="Arial" w:cs="Arial"/>
          <w:sz w:val="22"/>
          <w:szCs w:val="22"/>
          <w:lang w:val="es-ES_tradnl"/>
        </w:rPr>
        <w:t>el Cuadro 1</w:t>
      </w:r>
      <w:r w:rsidR="00561CA3" w:rsidRPr="00D03701">
        <w:rPr>
          <w:rFonts w:ascii="Arial" w:hAnsi="Arial" w:cs="Arial"/>
          <w:sz w:val="22"/>
          <w:szCs w:val="22"/>
          <w:lang w:val="es-ES_tradnl"/>
        </w:rPr>
        <w:t xml:space="preserve">, considerando que </w:t>
      </w:r>
      <w:r w:rsidR="00F4344E" w:rsidRPr="00D03701">
        <w:rPr>
          <w:rFonts w:ascii="Arial" w:hAnsi="Arial" w:cs="Arial"/>
          <w:sz w:val="22"/>
          <w:szCs w:val="22"/>
          <w:lang w:val="es-ES_tradnl"/>
        </w:rPr>
        <w:t>los</w:t>
      </w:r>
      <w:r w:rsidR="00561CA3" w:rsidRPr="00D03701">
        <w:rPr>
          <w:rFonts w:ascii="Arial" w:hAnsi="Arial" w:cs="Arial"/>
          <w:sz w:val="22"/>
          <w:szCs w:val="22"/>
          <w:lang w:val="es-ES_tradnl"/>
        </w:rPr>
        <w:t xml:space="preserve"> beneficio</w:t>
      </w:r>
      <w:r w:rsidR="00F4344E" w:rsidRPr="00D03701">
        <w:rPr>
          <w:rFonts w:ascii="Arial" w:hAnsi="Arial" w:cs="Arial"/>
          <w:sz w:val="22"/>
          <w:szCs w:val="22"/>
          <w:lang w:val="es-ES_tradnl"/>
        </w:rPr>
        <w:t>s</w:t>
      </w:r>
      <w:r w:rsidR="00561CA3" w:rsidRPr="00D03701">
        <w:rPr>
          <w:rFonts w:ascii="Arial" w:hAnsi="Arial" w:cs="Arial"/>
          <w:sz w:val="22"/>
          <w:szCs w:val="22"/>
          <w:lang w:val="es-ES_tradnl"/>
        </w:rPr>
        <w:t xml:space="preserve"> </w:t>
      </w:r>
      <w:r w:rsidR="000B7385" w:rsidRPr="00D03701">
        <w:rPr>
          <w:rFonts w:ascii="Arial" w:hAnsi="Arial" w:cs="Arial"/>
          <w:sz w:val="22"/>
          <w:szCs w:val="22"/>
          <w:lang w:val="es-ES_tradnl"/>
        </w:rPr>
        <w:t>empezarán</w:t>
      </w:r>
      <w:r w:rsidR="00561CA3" w:rsidRPr="00D03701">
        <w:rPr>
          <w:rFonts w:ascii="Arial" w:hAnsi="Arial" w:cs="Arial"/>
          <w:sz w:val="22"/>
          <w:szCs w:val="22"/>
          <w:lang w:val="es-ES_tradnl"/>
        </w:rPr>
        <w:t xml:space="preserve"> en 202</w:t>
      </w:r>
      <w:r w:rsidR="00F4344E" w:rsidRPr="00D03701">
        <w:rPr>
          <w:rFonts w:ascii="Arial" w:hAnsi="Arial" w:cs="Arial"/>
          <w:sz w:val="22"/>
          <w:szCs w:val="22"/>
          <w:lang w:val="es-ES_tradnl"/>
        </w:rPr>
        <w:t>1</w:t>
      </w:r>
      <w:r w:rsidR="000B7385" w:rsidRPr="00D03701">
        <w:rPr>
          <w:rFonts w:ascii="Arial" w:hAnsi="Arial" w:cs="Arial"/>
          <w:sz w:val="22"/>
          <w:szCs w:val="22"/>
          <w:lang w:val="es-ES_tradnl"/>
        </w:rPr>
        <w:t xml:space="preserve"> (tercero año de ejecución del proyecto), se presentan las siguientes estimaciones</w:t>
      </w:r>
      <w:r w:rsidR="00561CA3" w:rsidRPr="00D03701">
        <w:rPr>
          <w:rFonts w:ascii="Arial" w:hAnsi="Arial" w:cs="Arial"/>
          <w:sz w:val="22"/>
          <w:szCs w:val="22"/>
          <w:lang w:val="es-ES_tradnl"/>
        </w:rPr>
        <w:t>.</w:t>
      </w:r>
      <w:r w:rsidR="00561CA3" w:rsidRPr="00D03701">
        <w:rPr>
          <w:rFonts w:ascii="Arial" w:hAnsi="Arial" w:cs="Arial"/>
          <w:sz w:val="22"/>
          <w:szCs w:val="22"/>
          <w:lang w:val="es-ES_tradnl"/>
        </w:rPr>
        <w:tab/>
      </w:r>
    </w:p>
    <w:p w14:paraId="6A4F7794" w14:textId="762D53AE" w:rsidR="008F0B2E" w:rsidRPr="00D03701" w:rsidRDefault="00F936F3" w:rsidP="001137D4">
      <w:pPr>
        <w:pStyle w:val="ListParagraph"/>
        <w:numPr>
          <w:ilvl w:val="2"/>
          <w:numId w:val="38"/>
        </w:numPr>
        <w:spacing w:before="120" w:after="120" w:line="240" w:lineRule="auto"/>
        <w:ind w:left="1080"/>
        <w:contextualSpacing w:val="0"/>
        <w:jc w:val="both"/>
        <w:rPr>
          <w:rFonts w:ascii="Arial" w:hAnsi="Arial" w:cs="Arial"/>
          <w:lang w:val="es-ES_tradnl"/>
        </w:rPr>
      </w:pPr>
      <w:r w:rsidRPr="00D03701">
        <w:rPr>
          <w:rFonts w:ascii="Arial" w:hAnsi="Arial" w:cs="Arial"/>
          <w:b/>
          <w:lang w:val="es-ES_tradnl"/>
        </w:rPr>
        <w:t>Línea 1</w:t>
      </w:r>
      <w:r w:rsidRPr="00D03701">
        <w:rPr>
          <w:rFonts w:ascii="Arial" w:hAnsi="Arial" w:cs="Arial"/>
          <w:lang w:val="es-ES_tradnl"/>
        </w:rPr>
        <w:t xml:space="preserve"> - </w:t>
      </w:r>
      <w:r w:rsidR="00F4344E" w:rsidRPr="00D03701">
        <w:rPr>
          <w:rFonts w:ascii="Arial" w:hAnsi="Arial" w:cs="Arial"/>
          <w:lang w:val="es-ES_tradnl"/>
        </w:rPr>
        <w:t xml:space="preserve">presenta la estimación </w:t>
      </w:r>
      <w:r w:rsidRPr="00D03701">
        <w:rPr>
          <w:rFonts w:ascii="Arial" w:hAnsi="Arial" w:cs="Arial"/>
          <w:lang w:val="es-ES_tradnl"/>
        </w:rPr>
        <w:t>de la recaudación tributaria del Gobierno Central</w:t>
      </w:r>
      <w:r w:rsidR="00F4344E" w:rsidRPr="00D03701">
        <w:rPr>
          <w:rFonts w:ascii="Arial" w:hAnsi="Arial" w:cs="Arial"/>
          <w:lang w:val="es-ES_tradnl"/>
        </w:rPr>
        <w:t xml:space="preserve"> en el periodo 2017-2026 en </w:t>
      </w:r>
      <w:r w:rsidR="00862A43" w:rsidRPr="00D03701">
        <w:rPr>
          <w:rFonts w:ascii="Arial" w:hAnsi="Arial" w:cs="Arial"/>
          <w:lang w:val="es-ES_tradnl"/>
        </w:rPr>
        <w:t>nuevos soles (S/.)</w:t>
      </w:r>
      <w:r w:rsidR="00F4344E" w:rsidRPr="00D03701">
        <w:rPr>
          <w:rFonts w:ascii="Arial" w:hAnsi="Arial" w:cs="Arial"/>
          <w:lang w:val="es-ES_tradnl"/>
        </w:rPr>
        <w:t>, utilizando la tasa de crecimiento de la economía peruana (4%) como factor de incremento</w:t>
      </w:r>
      <w:r w:rsidR="008F0B2E" w:rsidRPr="00D03701">
        <w:rPr>
          <w:rFonts w:ascii="Arial" w:hAnsi="Arial" w:cs="Arial"/>
          <w:lang w:val="es-ES_tradnl"/>
        </w:rPr>
        <w:t>. En el año 20</w:t>
      </w:r>
      <w:r w:rsidR="00FB34A7" w:rsidRPr="00D03701">
        <w:rPr>
          <w:rFonts w:ascii="Arial" w:hAnsi="Arial" w:cs="Arial"/>
          <w:lang w:val="es-ES_tradnl"/>
        </w:rPr>
        <w:t>21 (tercer año de ejecución)</w:t>
      </w:r>
      <w:r w:rsidR="008F0B2E" w:rsidRPr="00D03701">
        <w:rPr>
          <w:rFonts w:ascii="Arial" w:hAnsi="Arial" w:cs="Arial"/>
          <w:lang w:val="es-ES_tradnl"/>
        </w:rPr>
        <w:t xml:space="preserve"> </w:t>
      </w:r>
      <w:r w:rsidR="00F4344E" w:rsidRPr="00D03701">
        <w:rPr>
          <w:rFonts w:ascii="Arial" w:hAnsi="Arial" w:cs="Arial"/>
          <w:lang w:val="es-ES_tradnl"/>
        </w:rPr>
        <w:t>será</w:t>
      </w:r>
      <w:r w:rsidR="008F0B2E" w:rsidRPr="00D03701">
        <w:rPr>
          <w:rFonts w:ascii="Arial" w:hAnsi="Arial" w:cs="Arial"/>
          <w:lang w:val="es-ES_tradnl"/>
        </w:rPr>
        <w:t xml:space="preserve"> de </w:t>
      </w:r>
      <w:r w:rsidR="00862A43" w:rsidRPr="00D03701">
        <w:rPr>
          <w:rFonts w:ascii="Arial" w:hAnsi="Arial" w:cs="Arial"/>
          <w:lang w:val="es-ES_tradnl"/>
        </w:rPr>
        <w:t>S/.</w:t>
      </w:r>
      <w:r w:rsidRPr="00D03701">
        <w:rPr>
          <w:rFonts w:ascii="Arial" w:hAnsi="Arial" w:cs="Arial"/>
          <w:lang w:val="es-ES_tradnl"/>
        </w:rPr>
        <w:t xml:space="preserve"> </w:t>
      </w:r>
      <w:r w:rsidR="003B6012" w:rsidRPr="00D03701">
        <w:rPr>
          <w:rFonts w:ascii="Arial" w:hAnsi="Arial" w:cs="Arial"/>
          <w:lang w:val="es-ES_tradnl"/>
        </w:rPr>
        <w:t>108</w:t>
      </w:r>
      <w:r w:rsidR="00862A43" w:rsidRPr="00D03701">
        <w:rPr>
          <w:rFonts w:ascii="Arial" w:hAnsi="Arial" w:cs="Arial"/>
          <w:lang w:val="es-ES_tradnl"/>
        </w:rPr>
        <w:t>.4</w:t>
      </w:r>
      <w:r w:rsidR="008F0B2E" w:rsidRPr="00D03701">
        <w:rPr>
          <w:rFonts w:ascii="Arial" w:hAnsi="Arial" w:cs="Arial"/>
          <w:lang w:val="es-ES_tradnl"/>
        </w:rPr>
        <w:t xml:space="preserve"> billones.</w:t>
      </w:r>
    </w:p>
    <w:p w14:paraId="05AB47B4" w14:textId="3EBAB81E" w:rsidR="008F0B2E" w:rsidRPr="00D03701" w:rsidRDefault="00F936F3" w:rsidP="001137D4">
      <w:pPr>
        <w:pStyle w:val="ListParagraph"/>
        <w:numPr>
          <w:ilvl w:val="2"/>
          <w:numId w:val="38"/>
        </w:numPr>
        <w:tabs>
          <w:tab w:val="num" w:pos="1980"/>
        </w:tabs>
        <w:spacing w:before="120" w:after="120" w:line="240" w:lineRule="auto"/>
        <w:ind w:left="1080"/>
        <w:contextualSpacing w:val="0"/>
        <w:jc w:val="both"/>
        <w:rPr>
          <w:rFonts w:ascii="Arial" w:hAnsi="Arial" w:cs="Arial"/>
          <w:lang w:val="es-ES_tradnl"/>
        </w:rPr>
      </w:pPr>
      <w:r w:rsidRPr="00D03701">
        <w:rPr>
          <w:rFonts w:ascii="Arial" w:hAnsi="Arial" w:cs="Arial"/>
          <w:b/>
          <w:lang w:val="es-ES_tradnl"/>
        </w:rPr>
        <w:t>Línea 2</w:t>
      </w:r>
      <w:r w:rsidRPr="00D03701">
        <w:rPr>
          <w:rFonts w:ascii="Arial" w:hAnsi="Arial" w:cs="Arial"/>
          <w:lang w:val="es-ES_tradnl"/>
        </w:rPr>
        <w:t xml:space="preserve"> </w:t>
      </w:r>
      <w:r w:rsidR="00F4344E" w:rsidRPr="00D03701">
        <w:rPr>
          <w:rFonts w:ascii="Arial" w:hAnsi="Arial" w:cs="Arial"/>
          <w:lang w:val="es-ES_tradnl"/>
        </w:rPr>
        <w:t>–</w:t>
      </w:r>
      <w:r w:rsidRPr="00D03701">
        <w:rPr>
          <w:rFonts w:ascii="Arial" w:hAnsi="Arial" w:cs="Arial"/>
          <w:lang w:val="es-ES_tradnl"/>
        </w:rPr>
        <w:t xml:space="preserve"> </w:t>
      </w:r>
      <w:r w:rsidR="00F4344E" w:rsidRPr="00D03701">
        <w:rPr>
          <w:rFonts w:ascii="Arial" w:hAnsi="Arial" w:cs="Arial"/>
          <w:lang w:val="es-ES_tradnl"/>
        </w:rPr>
        <w:t>presenta la estimación del</w:t>
      </w:r>
      <w:r w:rsidR="008F0B2E" w:rsidRPr="00D03701">
        <w:rPr>
          <w:rFonts w:ascii="Arial" w:hAnsi="Arial" w:cs="Arial"/>
          <w:lang w:val="es-ES_tradnl"/>
        </w:rPr>
        <w:t xml:space="preserve"> costo total de todas las transacciones y actividades llevadas a cabo por la </w:t>
      </w:r>
      <w:r w:rsidR="00F4344E" w:rsidRPr="00D03701">
        <w:rPr>
          <w:rFonts w:ascii="Arial" w:hAnsi="Arial" w:cs="Arial"/>
          <w:lang w:val="es-ES_tradnl"/>
        </w:rPr>
        <w:t>SUNAT</w:t>
      </w:r>
      <w:r w:rsidR="008F0B2E" w:rsidRPr="00D03701">
        <w:rPr>
          <w:rFonts w:ascii="Arial" w:hAnsi="Arial" w:cs="Arial"/>
          <w:lang w:val="es-ES_tradnl"/>
        </w:rPr>
        <w:t xml:space="preserve"> (Presupuesto anual)</w:t>
      </w:r>
      <w:r w:rsidR="00F4344E" w:rsidRPr="00D03701">
        <w:rPr>
          <w:rFonts w:ascii="Arial" w:hAnsi="Arial" w:cs="Arial"/>
          <w:lang w:val="es-ES_tradnl"/>
        </w:rPr>
        <w:t xml:space="preserve"> en el periodo 2017-2021 en S</w:t>
      </w:r>
      <w:r w:rsidR="00235318" w:rsidRPr="00D03701">
        <w:rPr>
          <w:rFonts w:ascii="Arial" w:hAnsi="Arial" w:cs="Arial"/>
          <w:lang w:val="es-ES_tradnl"/>
        </w:rPr>
        <w:t>/.</w:t>
      </w:r>
      <w:r w:rsidR="00F4344E" w:rsidRPr="00D03701">
        <w:rPr>
          <w:rFonts w:ascii="Arial" w:hAnsi="Arial" w:cs="Arial"/>
          <w:lang w:val="es-ES_tradnl"/>
        </w:rPr>
        <w:t>, utilizando la inflación (2%) como factor de incremento</w:t>
      </w:r>
      <w:r w:rsidR="008F0B2E" w:rsidRPr="00D03701">
        <w:rPr>
          <w:rFonts w:ascii="Arial" w:hAnsi="Arial" w:cs="Arial"/>
          <w:lang w:val="es-ES_tradnl"/>
        </w:rPr>
        <w:t>. En el año 20</w:t>
      </w:r>
      <w:r w:rsidR="00FB34A7" w:rsidRPr="00D03701">
        <w:rPr>
          <w:rFonts w:ascii="Arial" w:hAnsi="Arial" w:cs="Arial"/>
          <w:lang w:val="es-ES_tradnl"/>
        </w:rPr>
        <w:t>21</w:t>
      </w:r>
      <w:r w:rsidR="008F0B2E" w:rsidRPr="00D03701">
        <w:rPr>
          <w:rFonts w:ascii="Arial" w:hAnsi="Arial" w:cs="Arial"/>
          <w:lang w:val="es-ES_tradnl"/>
        </w:rPr>
        <w:t xml:space="preserve"> </w:t>
      </w:r>
      <w:r w:rsidR="00F4344E" w:rsidRPr="00D03701">
        <w:rPr>
          <w:rFonts w:ascii="Arial" w:hAnsi="Arial" w:cs="Arial"/>
          <w:lang w:val="es-ES_tradnl"/>
        </w:rPr>
        <w:t>será</w:t>
      </w:r>
      <w:r w:rsidR="008F0B2E" w:rsidRPr="00D03701">
        <w:rPr>
          <w:rFonts w:ascii="Arial" w:hAnsi="Arial" w:cs="Arial"/>
          <w:lang w:val="es-ES_tradnl"/>
        </w:rPr>
        <w:t xml:space="preserve"> de </w:t>
      </w:r>
      <w:r w:rsidR="00235318" w:rsidRPr="00D03701">
        <w:rPr>
          <w:rFonts w:ascii="Arial" w:hAnsi="Arial" w:cs="Arial"/>
          <w:lang w:val="es-ES_tradnl"/>
        </w:rPr>
        <w:t xml:space="preserve">S/. </w:t>
      </w:r>
      <w:r w:rsidRPr="00D03701">
        <w:rPr>
          <w:rFonts w:ascii="Arial" w:hAnsi="Arial" w:cs="Arial"/>
          <w:lang w:val="es-ES_tradnl"/>
        </w:rPr>
        <w:t>2</w:t>
      </w:r>
      <w:r w:rsidR="00FE5DB9" w:rsidRPr="00D03701">
        <w:rPr>
          <w:rFonts w:ascii="Arial" w:hAnsi="Arial" w:cs="Arial"/>
          <w:lang w:val="es-ES_tradnl"/>
        </w:rPr>
        <w:t>.</w:t>
      </w:r>
      <w:r w:rsidR="00235318" w:rsidRPr="00D03701">
        <w:rPr>
          <w:rFonts w:ascii="Arial" w:hAnsi="Arial" w:cs="Arial"/>
          <w:lang w:val="es-ES_tradnl"/>
        </w:rPr>
        <w:t>3</w:t>
      </w:r>
      <w:r w:rsidR="00FB34A7" w:rsidRPr="00D03701">
        <w:rPr>
          <w:rFonts w:ascii="Arial" w:hAnsi="Arial" w:cs="Arial"/>
          <w:lang w:val="es-ES_tradnl"/>
        </w:rPr>
        <w:t xml:space="preserve"> </w:t>
      </w:r>
      <w:r w:rsidRPr="00D03701">
        <w:rPr>
          <w:rFonts w:ascii="Arial" w:hAnsi="Arial" w:cs="Arial"/>
          <w:lang w:val="es-ES_tradnl"/>
        </w:rPr>
        <w:t>billones</w:t>
      </w:r>
      <w:r w:rsidR="00235318" w:rsidRPr="00D03701">
        <w:rPr>
          <w:rFonts w:ascii="Arial" w:hAnsi="Arial" w:cs="Arial"/>
          <w:lang w:val="es-ES_tradnl"/>
        </w:rPr>
        <w:t>.</w:t>
      </w:r>
    </w:p>
    <w:p w14:paraId="16EA7D30" w14:textId="2E710D72" w:rsidR="008F0B2E" w:rsidRPr="00D03701" w:rsidRDefault="00F936F3" w:rsidP="001137D4">
      <w:pPr>
        <w:pStyle w:val="ListParagraph"/>
        <w:numPr>
          <w:ilvl w:val="2"/>
          <w:numId w:val="38"/>
        </w:numPr>
        <w:tabs>
          <w:tab w:val="num" w:pos="1980"/>
        </w:tabs>
        <w:spacing w:before="120" w:after="120" w:line="240" w:lineRule="auto"/>
        <w:ind w:left="1080"/>
        <w:contextualSpacing w:val="0"/>
        <w:jc w:val="both"/>
        <w:rPr>
          <w:rFonts w:ascii="Arial" w:hAnsi="Arial" w:cs="Arial"/>
          <w:lang w:val="es-ES_tradnl"/>
        </w:rPr>
      </w:pPr>
      <w:r w:rsidRPr="00D03701">
        <w:rPr>
          <w:rFonts w:ascii="Arial" w:hAnsi="Arial" w:cs="Arial"/>
          <w:b/>
          <w:lang w:val="es-ES_tradnl"/>
        </w:rPr>
        <w:t>Línea 3</w:t>
      </w:r>
      <w:r w:rsidRPr="00D03701">
        <w:rPr>
          <w:rFonts w:ascii="Arial" w:hAnsi="Arial" w:cs="Arial"/>
          <w:lang w:val="es-ES_tradnl"/>
        </w:rPr>
        <w:t xml:space="preserve"> </w:t>
      </w:r>
      <w:r w:rsidR="00B9232C" w:rsidRPr="00D03701">
        <w:rPr>
          <w:rFonts w:ascii="Arial" w:hAnsi="Arial" w:cs="Arial"/>
          <w:lang w:val="es-ES_tradnl"/>
        </w:rPr>
        <w:t xml:space="preserve">– calcula </w:t>
      </w:r>
      <w:r w:rsidR="008F0B2E" w:rsidRPr="00D03701">
        <w:rPr>
          <w:rFonts w:ascii="Arial" w:hAnsi="Arial" w:cs="Arial"/>
          <w:lang w:val="es-ES_tradnl"/>
        </w:rPr>
        <w:t xml:space="preserve">la relación entre el costo de la </w:t>
      </w:r>
      <w:r w:rsidR="00806BF9" w:rsidRPr="00D03701">
        <w:rPr>
          <w:rFonts w:ascii="Arial" w:hAnsi="Arial" w:cs="Arial"/>
          <w:lang w:val="es-ES_tradnl"/>
        </w:rPr>
        <w:t>SUNAT</w:t>
      </w:r>
      <w:r w:rsidR="008F0B2E" w:rsidRPr="00D03701">
        <w:rPr>
          <w:rFonts w:ascii="Arial" w:hAnsi="Arial" w:cs="Arial"/>
          <w:lang w:val="es-ES_tradnl"/>
        </w:rPr>
        <w:t xml:space="preserve"> </w:t>
      </w:r>
      <w:r w:rsidR="00B9232C" w:rsidRPr="00D03701">
        <w:rPr>
          <w:rFonts w:ascii="Arial" w:hAnsi="Arial" w:cs="Arial"/>
          <w:lang w:val="es-ES_tradnl"/>
        </w:rPr>
        <w:t>y</w:t>
      </w:r>
      <w:r w:rsidR="008F0B2E" w:rsidRPr="00D03701">
        <w:rPr>
          <w:rFonts w:ascii="Arial" w:hAnsi="Arial" w:cs="Arial"/>
          <w:lang w:val="es-ES_tradnl"/>
        </w:rPr>
        <w:t xml:space="preserve"> la recaudación </w:t>
      </w:r>
      <w:r w:rsidRPr="00D03701">
        <w:rPr>
          <w:rFonts w:ascii="Arial" w:hAnsi="Arial" w:cs="Arial"/>
          <w:lang w:val="es-ES_tradnl"/>
        </w:rPr>
        <w:t>tributaria</w:t>
      </w:r>
      <w:r w:rsidR="00B9232C" w:rsidRPr="00D03701">
        <w:rPr>
          <w:rFonts w:ascii="Arial" w:hAnsi="Arial" w:cs="Arial"/>
          <w:lang w:val="es-ES_tradnl"/>
        </w:rPr>
        <w:t xml:space="preserve"> en el periodo 2017-2026</w:t>
      </w:r>
      <w:r w:rsidR="008F0B2E" w:rsidRPr="00D03701">
        <w:rPr>
          <w:rFonts w:ascii="Arial" w:hAnsi="Arial" w:cs="Arial"/>
          <w:lang w:val="es-ES_tradnl"/>
        </w:rPr>
        <w:t>. En al año 20</w:t>
      </w:r>
      <w:r w:rsidR="00FB34A7" w:rsidRPr="00D03701">
        <w:rPr>
          <w:rFonts w:ascii="Arial" w:hAnsi="Arial" w:cs="Arial"/>
          <w:lang w:val="es-ES_tradnl"/>
        </w:rPr>
        <w:t>21</w:t>
      </w:r>
      <w:r w:rsidR="008F0B2E" w:rsidRPr="00D03701">
        <w:rPr>
          <w:rFonts w:ascii="Arial" w:hAnsi="Arial" w:cs="Arial"/>
          <w:lang w:val="es-ES_tradnl"/>
        </w:rPr>
        <w:t xml:space="preserve"> </w:t>
      </w:r>
      <w:r w:rsidR="00B9232C" w:rsidRPr="00D03701">
        <w:rPr>
          <w:rFonts w:ascii="Arial" w:hAnsi="Arial" w:cs="Arial"/>
          <w:lang w:val="es-ES_tradnl"/>
        </w:rPr>
        <w:t xml:space="preserve">será </w:t>
      </w:r>
      <w:r w:rsidR="00806BF9" w:rsidRPr="00D03701">
        <w:rPr>
          <w:rFonts w:ascii="Arial" w:hAnsi="Arial" w:cs="Arial"/>
          <w:lang w:val="es-ES_tradnl"/>
        </w:rPr>
        <w:t xml:space="preserve">S/. </w:t>
      </w:r>
      <w:r w:rsidR="00B9232C" w:rsidRPr="00D03701">
        <w:rPr>
          <w:rFonts w:ascii="Arial" w:hAnsi="Arial" w:cs="Arial"/>
          <w:lang w:val="es-ES_tradnl"/>
        </w:rPr>
        <w:t>2</w:t>
      </w:r>
      <w:r w:rsidR="00FE5DB9" w:rsidRPr="00D03701">
        <w:rPr>
          <w:rFonts w:ascii="Arial" w:hAnsi="Arial" w:cs="Arial"/>
          <w:lang w:val="es-ES_tradnl"/>
        </w:rPr>
        <w:t>.</w:t>
      </w:r>
      <w:r w:rsidR="00806BF9" w:rsidRPr="00D03701">
        <w:rPr>
          <w:rFonts w:ascii="Arial" w:hAnsi="Arial" w:cs="Arial"/>
          <w:lang w:val="es-ES_tradnl"/>
        </w:rPr>
        <w:t>3</w:t>
      </w:r>
      <w:r w:rsidR="00B9232C" w:rsidRPr="00D03701">
        <w:rPr>
          <w:rFonts w:ascii="Arial" w:hAnsi="Arial" w:cs="Arial"/>
          <w:lang w:val="es-ES_tradnl"/>
        </w:rPr>
        <w:t xml:space="preserve"> </w:t>
      </w:r>
      <w:r w:rsidR="00806BF9" w:rsidRPr="00D03701">
        <w:rPr>
          <w:rFonts w:ascii="Arial" w:hAnsi="Arial" w:cs="Arial"/>
          <w:lang w:val="es-ES_tradnl"/>
        </w:rPr>
        <w:t>billones</w:t>
      </w:r>
      <w:r w:rsidR="00B9232C" w:rsidRPr="00D03701">
        <w:rPr>
          <w:rFonts w:ascii="Arial" w:hAnsi="Arial" w:cs="Arial"/>
          <w:lang w:val="es-ES_tradnl"/>
        </w:rPr>
        <w:t xml:space="preserve"> / </w:t>
      </w:r>
      <w:r w:rsidR="00806BF9" w:rsidRPr="00D03701">
        <w:rPr>
          <w:rFonts w:ascii="Arial" w:hAnsi="Arial" w:cs="Arial"/>
          <w:lang w:val="es-ES_tradnl"/>
        </w:rPr>
        <w:t xml:space="preserve">S/. </w:t>
      </w:r>
      <w:r w:rsidR="00B9232C" w:rsidRPr="00D03701">
        <w:rPr>
          <w:rFonts w:ascii="Arial" w:hAnsi="Arial" w:cs="Arial"/>
          <w:lang w:val="es-ES_tradnl"/>
        </w:rPr>
        <w:t>108</w:t>
      </w:r>
      <w:r w:rsidR="00FE5DB9" w:rsidRPr="00D03701">
        <w:rPr>
          <w:rFonts w:ascii="Arial" w:hAnsi="Arial" w:cs="Arial"/>
          <w:lang w:val="es-ES_tradnl"/>
        </w:rPr>
        <w:t>.</w:t>
      </w:r>
      <w:r w:rsidR="00806BF9" w:rsidRPr="00D03701">
        <w:rPr>
          <w:rFonts w:ascii="Arial" w:hAnsi="Arial" w:cs="Arial"/>
          <w:lang w:val="es-ES_tradnl"/>
        </w:rPr>
        <w:t>4</w:t>
      </w:r>
      <w:r w:rsidR="00B9232C" w:rsidRPr="00D03701">
        <w:rPr>
          <w:rFonts w:ascii="Arial" w:hAnsi="Arial" w:cs="Arial"/>
          <w:lang w:val="es-ES_tradnl"/>
        </w:rPr>
        <w:t xml:space="preserve"> </w:t>
      </w:r>
      <w:r w:rsidR="00806BF9" w:rsidRPr="00D03701">
        <w:rPr>
          <w:rFonts w:ascii="Arial" w:hAnsi="Arial" w:cs="Arial"/>
          <w:lang w:val="es-ES_tradnl"/>
        </w:rPr>
        <w:t>b</w:t>
      </w:r>
      <w:r w:rsidR="00B9232C" w:rsidRPr="00D03701">
        <w:rPr>
          <w:rFonts w:ascii="Arial" w:hAnsi="Arial" w:cs="Arial"/>
          <w:lang w:val="es-ES_tradnl"/>
        </w:rPr>
        <w:t>illones =</w:t>
      </w:r>
      <w:r w:rsidR="008F0B2E" w:rsidRPr="00D03701">
        <w:rPr>
          <w:rFonts w:ascii="Arial" w:hAnsi="Arial" w:cs="Arial"/>
          <w:lang w:val="es-ES_tradnl"/>
        </w:rPr>
        <w:t xml:space="preserve"> </w:t>
      </w:r>
      <w:r w:rsidRPr="00D03701">
        <w:rPr>
          <w:rFonts w:ascii="Arial" w:hAnsi="Arial" w:cs="Arial"/>
          <w:lang w:val="es-ES_tradnl"/>
        </w:rPr>
        <w:t>2.</w:t>
      </w:r>
      <w:r w:rsidR="00A3109C" w:rsidRPr="00D03701">
        <w:rPr>
          <w:rFonts w:ascii="Arial" w:hAnsi="Arial" w:cs="Arial"/>
          <w:lang w:val="es-ES_tradnl"/>
        </w:rPr>
        <w:t>12</w:t>
      </w:r>
      <w:r w:rsidR="008F0B2E" w:rsidRPr="00D03701">
        <w:rPr>
          <w:rFonts w:ascii="Arial" w:hAnsi="Arial" w:cs="Arial"/>
          <w:lang w:val="es-ES_tradnl"/>
        </w:rPr>
        <w:t>%.</w:t>
      </w:r>
    </w:p>
    <w:p w14:paraId="3CD16823" w14:textId="1C8E6E94" w:rsidR="008F0B2E" w:rsidRPr="00D03701" w:rsidRDefault="00F936F3" w:rsidP="001137D4">
      <w:pPr>
        <w:pStyle w:val="ListParagraph"/>
        <w:numPr>
          <w:ilvl w:val="2"/>
          <w:numId w:val="38"/>
        </w:numPr>
        <w:tabs>
          <w:tab w:val="num" w:pos="1980"/>
        </w:tabs>
        <w:spacing w:before="120" w:after="120" w:line="240" w:lineRule="auto"/>
        <w:ind w:left="1080"/>
        <w:contextualSpacing w:val="0"/>
        <w:jc w:val="both"/>
        <w:rPr>
          <w:rFonts w:ascii="Arial" w:hAnsi="Arial" w:cs="Arial"/>
          <w:lang w:val="es-ES_tradnl"/>
        </w:rPr>
      </w:pPr>
      <w:r w:rsidRPr="00D03701">
        <w:rPr>
          <w:rFonts w:ascii="Arial" w:hAnsi="Arial" w:cs="Arial"/>
          <w:b/>
          <w:lang w:val="es-ES_tradnl"/>
        </w:rPr>
        <w:t>Línea 4</w:t>
      </w:r>
      <w:r w:rsidRPr="00D03701">
        <w:rPr>
          <w:rFonts w:ascii="Arial" w:hAnsi="Arial" w:cs="Arial"/>
          <w:lang w:val="es-ES_tradnl"/>
        </w:rPr>
        <w:t xml:space="preserve"> </w:t>
      </w:r>
      <w:r w:rsidR="00B9232C" w:rsidRPr="00D03701">
        <w:rPr>
          <w:rFonts w:ascii="Arial" w:hAnsi="Arial" w:cs="Arial"/>
          <w:lang w:val="es-ES_tradnl"/>
        </w:rPr>
        <w:t>–</w:t>
      </w:r>
      <w:r w:rsidRPr="00D03701">
        <w:rPr>
          <w:rFonts w:ascii="Arial" w:hAnsi="Arial" w:cs="Arial"/>
          <w:lang w:val="es-ES_tradnl"/>
        </w:rPr>
        <w:t xml:space="preserve"> </w:t>
      </w:r>
      <w:r w:rsidR="00B9232C" w:rsidRPr="00D03701">
        <w:rPr>
          <w:rFonts w:ascii="Arial" w:hAnsi="Arial" w:cs="Arial"/>
          <w:lang w:val="es-ES_tradnl"/>
        </w:rPr>
        <w:t>calcula la</w:t>
      </w:r>
      <w:r w:rsidR="008F0B2E" w:rsidRPr="00D03701">
        <w:rPr>
          <w:rFonts w:ascii="Arial" w:hAnsi="Arial" w:cs="Arial"/>
          <w:lang w:val="es-ES_tradnl"/>
        </w:rPr>
        <w:t xml:space="preserve"> </w:t>
      </w:r>
      <w:r w:rsidR="00B9232C" w:rsidRPr="00D03701">
        <w:rPr>
          <w:rFonts w:ascii="Arial" w:hAnsi="Arial" w:cs="Arial"/>
          <w:lang w:val="es-ES_tradnl"/>
        </w:rPr>
        <w:t>mejora</w:t>
      </w:r>
      <w:r w:rsidR="00C0754F" w:rsidRPr="00D03701">
        <w:rPr>
          <w:rFonts w:ascii="Arial" w:hAnsi="Arial" w:cs="Arial"/>
          <w:lang w:val="es-ES_tradnl"/>
        </w:rPr>
        <w:t xml:space="preserve"> en puntos porcentuales</w:t>
      </w:r>
      <w:r w:rsidR="00B9232C" w:rsidRPr="00D03701">
        <w:rPr>
          <w:rFonts w:ascii="Arial" w:hAnsi="Arial" w:cs="Arial"/>
          <w:lang w:val="es-ES_tradnl"/>
        </w:rPr>
        <w:t xml:space="preserve"> de la </w:t>
      </w:r>
      <w:r w:rsidR="000221EB" w:rsidRPr="00D03701">
        <w:rPr>
          <w:rFonts w:ascii="Arial" w:hAnsi="Arial" w:cs="Arial"/>
          <w:lang w:val="es-ES_tradnl"/>
        </w:rPr>
        <w:t xml:space="preserve">efectividad para recaudar (medido como la </w:t>
      </w:r>
      <w:r w:rsidR="00B9232C" w:rsidRPr="00D03701">
        <w:rPr>
          <w:rFonts w:ascii="Arial" w:hAnsi="Arial" w:cs="Arial"/>
          <w:lang w:val="es-ES_tradnl"/>
        </w:rPr>
        <w:t>relación costo / recaudación</w:t>
      </w:r>
      <w:r w:rsidR="000221EB" w:rsidRPr="00D03701">
        <w:rPr>
          <w:rFonts w:ascii="Arial" w:hAnsi="Arial" w:cs="Arial"/>
          <w:lang w:val="es-ES_tradnl"/>
        </w:rPr>
        <w:t xml:space="preserve">) </w:t>
      </w:r>
      <w:r w:rsidR="008F0B2E" w:rsidRPr="00D03701">
        <w:rPr>
          <w:rFonts w:ascii="Arial" w:hAnsi="Arial" w:cs="Arial"/>
          <w:lang w:val="es-ES_tradnl"/>
        </w:rPr>
        <w:t>con relación a 20</w:t>
      </w:r>
      <w:r w:rsidR="00FB34A7" w:rsidRPr="00D03701">
        <w:rPr>
          <w:rFonts w:ascii="Arial" w:hAnsi="Arial" w:cs="Arial"/>
          <w:lang w:val="es-ES_tradnl"/>
        </w:rPr>
        <w:t>17</w:t>
      </w:r>
      <w:r w:rsidR="00906B91" w:rsidRPr="00D03701">
        <w:rPr>
          <w:rFonts w:ascii="Arial" w:hAnsi="Arial" w:cs="Arial"/>
          <w:lang w:val="es-ES_tradnl"/>
        </w:rPr>
        <w:t>:</w:t>
      </w:r>
      <w:r w:rsidR="008F0B2E" w:rsidRPr="00D03701">
        <w:rPr>
          <w:rFonts w:ascii="Arial" w:hAnsi="Arial" w:cs="Arial"/>
          <w:lang w:val="es-ES_tradnl"/>
        </w:rPr>
        <w:t xml:space="preserve"> diferencia entre</w:t>
      </w:r>
      <w:r w:rsidR="00B3029B" w:rsidRPr="00D03701">
        <w:rPr>
          <w:rFonts w:ascii="Arial" w:hAnsi="Arial" w:cs="Arial"/>
          <w:lang w:val="es-ES_tradnl"/>
        </w:rPr>
        <w:t xml:space="preserve"> </w:t>
      </w:r>
      <w:r w:rsidR="008F0B2E" w:rsidRPr="00D03701">
        <w:rPr>
          <w:rFonts w:ascii="Arial" w:hAnsi="Arial" w:cs="Arial"/>
          <w:lang w:val="es-ES_tradnl"/>
        </w:rPr>
        <w:lastRenderedPageBreak/>
        <w:t xml:space="preserve">% </w:t>
      </w:r>
      <w:r w:rsidR="00B3029B" w:rsidRPr="00D03701">
        <w:rPr>
          <w:rFonts w:ascii="Arial" w:hAnsi="Arial" w:cs="Arial"/>
          <w:lang w:val="es-ES_tradnl"/>
        </w:rPr>
        <w:t>efectividad</w:t>
      </w:r>
      <w:r w:rsidR="008F0B2E" w:rsidRPr="00D03701">
        <w:rPr>
          <w:rFonts w:ascii="Arial" w:hAnsi="Arial" w:cs="Arial"/>
          <w:lang w:val="es-ES_tradnl"/>
        </w:rPr>
        <w:t xml:space="preserve"> para recaudar del año 20</w:t>
      </w:r>
      <w:r w:rsidR="00FB34A7" w:rsidRPr="00D03701">
        <w:rPr>
          <w:rFonts w:ascii="Arial" w:hAnsi="Arial" w:cs="Arial"/>
          <w:lang w:val="es-ES_tradnl"/>
        </w:rPr>
        <w:t>17</w:t>
      </w:r>
      <w:r w:rsidR="008F0B2E" w:rsidRPr="00D03701">
        <w:rPr>
          <w:rFonts w:ascii="Arial" w:hAnsi="Arial" w:cs="Arial"/>
          <w:lang w:val="es-ES_tradnl"/>
        </w:rPr>
        <w:t xml:space="preserve"> - % efectiv</w:t>
      </w:r>
      <w:r w:rsidR="00B3029B" w:rsidRPr="00D03701">
        <w:rPr>
          <w:rFonts w:ascii="Arial" w:hAnsi="Arial" w:cs="Arial"/>
          <w:lang w:val="es-ES_tradnl"/>
        </w:rPr>
        <w:t>idad</w:t>
      </w:r>
      <w:r w:rsidR="008F0B2E" w:rsidRPr="00D03701">
        <w:rPr>
          <w:rFonts w:ascii="Arial" w:hAnsi="Arial" w:cs="Arial"/>
          <w:lang w:val="es-ES_tradnl"/>
        </w:rPr>
        <w:t xml:space="preserve"> para recaudar de los años subsecuentes. En 20</w:t>
      </w:r>
      <w:r w:rsidR="00D25366" w:rsidRPr="00D03701">
        <w:rPr>
          <w:rFonts w:ascii="Arial" w:hAnsi="Arial" w:cs="Arial"/>
          <w:lang w:val="es-ES_tradnl"/>
        </w:rPr>
        <w:t>2</w:t>
      </w:r>
      <w:r w:rsidR="00FB34A7" w:rsidRPr="00D03701">
        <w:rPr>
          <w:rFonts w:ascii="Arial" w:hAnsi="Arial" w:cs="Arial"/>
          <w:lang w:val="es-ES_tradnl"/>
        </w:rPr>
        <w:t>1</w:t>
      </w:r>
      <w:r w:rsidR="008F0B2E" w:rsidRPr="00D03701">
        <w:rPr>
          <w:rFonts w:ascii="Arial" w:hAnsi="Arial" w:cs="Arial"/>
          <w:lang w:val="es-ES_tradnl"/>
        </w:rPr>
        <w:t xml:space="preserve"> </w:t>
      </w:r>
      <w:r w:rsidR="00B9232C" w:rsidRPr="00D03701">
        <w:rPr>
          <w:rFonts w:ascii="Arial" w:hAnsi="Arial" w:cs="Arial"/>
          <w:lang w:val="es-ES_tradnl"/>
        </w:rPr>
        <w:t>será de</w:t>
      </w:r>
      <w:r w:rsidR="008F0B2E" w:rsidRPr="00D03701">
        <w:rPr>
          <w:rFonts w:ascii="Arial" w:hAnsi="Arial" w:cs="Arial"/>
          <w:lang w:val="es-ES_tradnl"/>
        </w:rPr>
        <w:t xml:space="preserve"> </w:t>
      </w:r>
      <w:r w:rsidR="00B9232C" w:rsidRPr="00D03701">
        <w:rPr>
          <w:rFonts w:ascii="Arial" w:hAnsi="Arial" w:cs="Arial"/>
          <w:lang w:val="es-ES_tradnl"/>
        </w:rPr>
        <w:t xml:space="preserve">2.34% - 2.12% = </w:t>
      </w:r>
      <w:r w:rsidR="00FB34A7" w:rsidRPr="00D03701">
        <w:rPr>
          <w:rFonts w:ascii="Arial" w:hAnsi="Arial" w:cs="Arial"/>
          <w:lang w:val="es-ES_tradnl"/>
        </w:rPr>
        <w:t>0.2</w:t>
      </w:r>
      <w:r w:rsidR="00A3109C" w:rsidRPr="00D03701">
        <w:rPr>
          <w:rFonts w:ascii="Arial" w:hAnsi="Arial" w:cs="Arial"/>
          <w:lang w:val="es-ES_tradnl"/>
        </w:rPr>
        <w:t>2</w:t>
      </w:r>
      <w:r w:rsidR="00B3029B" w:rsidRPr="00D03701">
        <w:rPr>
          <w:rFonts w:ascii="Arial" w:hAnsi="Arial" w:cs="Arial"/>
          <w:lang w:val="es-ES_tradnl"/>
        </w:rPr>
        <w:t xml:space="preserve"> puntos porcentuales</w:t>
      </w:r>
      <w:r w:rsidR="008F0B2E" w:rsidRPr="00D03701">
        <w:rPr>
          <w:rFonts w:ascii="Arial" w:hAnsi="Arial" w:cs="Arial"/>
          <w:lang w:val="es-ES_tradnl"/>
        </w:rPr>
        <w:t>.</w:t>
      </w:r>
    </w:p>
    <w:p w14:paraId="4894EE6A" w14:textId="043DA98D" w:rsidR="008F0B2E" w:rsidRPr="00D03701" w:rsidRDefault="00F936F3" w:rsidP="001137D4">
      <w:pPr>
        <w:pStyle w:val="ListParagraph"/>
        <w:numPr>
          <w:ilvl w:val="2"/>
          <w:numId w:val="38"/>
        </w:numPr>
        <w:tabs>
          <w:tab w:val="num" w:pos="1980"/>
        </w:tabs>
        <w:spacing w:before="120" w:after="120" w:line="240" w:lineRule="auto"/>
        <w:ind w:left="1080"/>
        <w:contextualSpacing w:val="0"/>
        <w:jc w:val="both"/>
        <w:rPr>
          <w:rFonts w:ascii="Arial" w:hAnsi="Arial" w:cs="Arial"/>
          <w:lang w:val="es-ES_tradnl"/>
        </w:rPr>
      </w:pPr>
      <w:r w:rsidRPr="00D03701">
        <w:rPr>
          <w:rFonts w:ascii="Arial" w:hAnsi="Arial" w:cs="Arial"/>
          <w:b/>
          <w:lang w:val="es-ES_tradnl"/>
        </w:rPr>
        <w:t>Línea 5</w:t>
      </w:r>
      <w:r w:rsidRPr="00D03701">
        <w:rPr>
          <w:rFonts w:ascii="Arial" w:hAnsi="Arial" w:cs="Arial"/>
          <w:lang w:val="es-ES_tradnl"/>
        </w:rPr>
        <w:t xml:space="preserve"> </w:t>
      </w:r>
      <w:r w:rsidR="00B9232C" w:rsidRPr="00D03701">
        <w:rPr>
          <w:rFonts w:ascii="Arial" w:hAnsi="Arial" w:cs="Arial"/>
          <w:lang w:val="es-ES_tradnl"/>
        </w:rPr>
        <w:t>–</w:t>
      </w:r>
      <w:r w:rsidRPr="00D03701">
        <w:rPr>
          <w:rFonts w:ascii="Arial" w:hAnsi="Arial" w:cs="Arial"/>
          <w:lang w:val="es-ES_tradnl"/>
        </w:rPr>
        <w:t xml:space="preserve"> </w:t>
      </w:r>
      <w:r w:rsidR="00B9232C" w:rsidRPr="00D03701">
        <w:rPr>
          <w:rFonts w:ascii="Arial" w:hAnsi="Arial" w:cs="Arial"/>
          <w:lang w:val="es-ES_tradnl"/>
        </w:rPr>
        <w:t xml:space="preserve">estima el </w:t>
      </w:r>
      <w:r w:rsidR="00917E92" w:rsidRPr="00D03701">
        <w:rPr>
          <w:rFonts w:ascii="Arial" w:hAnsi="Arial" w:cs="Arial"/>
          <w:lang w:val="es-ES_tradnl"/>
        </w:rPr>
        <w:t xml:space="preserve">porcentaje de </w:t>
      </w:r>
      <w:r w:rsidR="008F0B2E" w:rsidRPr="00D03701">
        <w:rPr>
          <w:rFonts w:ascii="Arial" w:hAnsi="Arial" w:cs="Arial"/>
          <w:lang w:val="es-ES_tradnl"/>
        </w:rPr>
        <w:t>atribución al Proyecto (</w:t>
      </w:r>
      <w:r w:rsidRPr="00D03701">
        <w:rPr>
          <w:rFonts w:ascii="Arial" w:hAnsi="Arial" w:cs="Arial"/>
          <w:lang w:val="es-ES_tradnl"/>
        </w:rPr>
        <w:t>30</w:t>
      </w:r>
      <w:r w:rsidR="008F0B2E" w:rsidRPr="00D03701">
        <w:rPr>
          <w:rFonts w:ascii="Arial" w:hAnsi="Arial" w:cs="Arial"/>
          <w:lang w:val="es-ES_tradnl"/>
        </w:rPr>
        <w:t xml:space="preserve">%) – De forma conservadora se </w:t>
      </w:r>
      <w:r w:rsidR="00917E92" w:rsidRPr="00D03701">
        <w:rPr>
          <w:rFonts w:ascii="Arial" w:hAnsi="Arial" w:cs="Arial"/>
          <w:lang w:val="es-ES_tradnl"/>
        </w:rPr>
        <w:t>asume</w:t>
      </w:r>
      <w:r w:rsidR="008F0B2E" w:rsidRPr="00D03701">
        <w:rPr>
          <w:rFonts w:ascii="Arial" w:hAnsi="Arial" w:cs="Arial"/>
          <w:lang w:val="es-ES_tradnl"/>
        </w:rPr>
        <w:t xml:space="preserve"> </w:t>
      </w:r>
      <w:r w:rsidR="00742DE8" w:rsidRPr="00D03701">
        <w:rPr>
          <w:rFonts w:ascii="Arial" w:hAnsi="Arial" w:cs="Arial"/>
          <w:lang w:val="es-ES_tradnl"/>
        </w:rPr>
        <w:t xml:space="preserve">que </w:t>
      </w:r>
      <w:r w:rsidR="00917E92" w:rsidRPr="00D03701">
        <w:rPr>
          <w:rFonts w:ascii="Arial" w:hAnsi="Arial" w:cs="Arial"/>
          <w:lang w:val="es-ES_tradnl"/>
        </w:rPr>
        <w:t>el</w:t>
      </w:r>
      <w:r w:rsidR="008F0B2E" w:rsidRPr="00D03701">
        <w:rPr>
          <w:rFonts w:ascii="Arial" w:hAnsi="Arial" w:cs="Arial"/>
          <w:lang w:val="es-ES_tradnl"/>
        </w:rPr>
        <w:t xml:space="preserve"> </w:t>
      </w:r>
      <w:r w:rsidRPr="00D03701">
        <w:rPr>
          <w:rFonts w:ascii="Arial" w:hAnsi="Arial" w:cs="Arial"/>
          <w:lang w:val="es-ES_tradnl"/>
        </w:rPr>
        <w:t>30</w:t>
      </w:r>
      <w:r w:rsidR="008F0B2E" w:rsidRPr="00D03701">
        <w:rPr>
          <w:rFonts w:ascii="Arial" w:hAnsi="Arial" w:cs="Arial"/>
          <w:lang w:val="es-ES_tradnl"/>
        </w:rPr>
        <w:t xml:space="preserve">% </w:t>
      </w:r>
      <w:r w:rsidR="00B9232C" w:rsidRPr="00D03701">
        <w:rPr>
          <w:rFonts w:ascii="Arial" w:hAnsi="Arial" w:cs="Arial"/>
          <w:lang w:val="es-ES_tradnl"/>
        </w:rPr>
        <w:t>puede ser considerado como</w:t>
      </w:r>
      <w:r w:rsidR="008F0B2E" w:rsidRPr="00D03701">
        <w:rPr>
          <w:rFonts w:ascii="Arial" w:hAnsi="Arial" w:cs="Arial"/>
          <w:lang w:val="es-ES_tradnl"/>
        </w:rPr>
        <w:t xml:space="preserve"> resultado del proyecto. En 20</w:t>
      </w:r>
      <w:r w:rsidR="00D25366" w:rsidRPr="00D03701">
        <w:rPr>
          <w:rFonts w:ascii="Arial" w:hAnsi="Arial" w:cs="Arial"/>
          <w:lang w:val="es-ES_tradnl"/>
        </w:rPr>
        <w:t>2</w:t>
      </w:r>
      <w:r w:rsidR="00FB34A7" w:rsidRPr="00D03701">
        <w:rPr>
          <w:rFonts w:ascii="Arial" w:hAnsi="Arial" w:cs="Arial"/>
          <w:lang w:val="es-ES_tradnl"/>
        </w:rPr>
        <w:t>1</w:t>
      </w:r>
      <w:r w:rsidR="008F0B2E" w:rsidRPr="00D03701">
        <w:rPr>
          <w:rFonts w:ascii="Arial" w:hAnsi="Arial" w:cs="Arial"/>
          <w:lang w:val="es-ES_tradnl"/>
        </w:rPr>
        <w:t xml:space="preserve"> </w:t>
      </w:r>
      <w:r w:rsidR="00B9232C" w:rsidRPr="00D03701">
        <w:rPr>
          <w:rFonts w:ascii="Arial" w:hAnsi="Arial" w:cs="Arial"/>
          <w:lang w:val="es-ES_tradnl"/>
        </w:rPr>
        <w:t>será</w:t>
      </w:r>
      <w:r w:rsidR="008F0B2E" w:rsidRPr="00D03701">
        <w:rPr>
          <w:rFonts w:ascii="Arial" w:hAnsi="Arial" w:cs="Arial"/>
          <w:lang w:val="es-ES_tradnl"/>
        </w:rPr>
        <w:t xml:space="preserve"> </w:t>
      </w:r>
      <w:r w:rsidR="00624E61" w:rsidRPr="00D03701">
        <w:rPr>
          <w:rFonts w:ascii="Arial" w:hAnsi="Arial" w:cs="Arial"/>
          <w:lang w:val="es-ES_tradnl"/>
        </w:rPr>
        <w:t>30% de 0.22</w:t>
      </w:r>
      <w:r w:rsidR="00B9232C" w:rsidRPr="00D03701">
        <w:rPr>
          <w:rFonts w:ascii="Arial" w:hAnsi="Arial" w:cs="Arial"/>
          <w:lang w:val="es-ES_tradnl"/>
        </w:rPr>
        <w:t xml:space="preserve"> =</w:t>
      </w:r>
      <w:r w:rsidR="008F0B2E" w:rsidRPr="00D03701">
        <w:rPr>
          <w:rFonts w:ascii="Arial" w:hAnsi="Arial" w:cs="Arial"/>
          <w:lang w:val="es-ES_tradnl"/>
        </w:rPr>
        <w:t xml:space="preserve"> 0.</w:t>
      </w:r>
      <w:r w:rsidRPr="00D03701">
        <w:rPr>
          <w:rFonts w:ascii="Arial" w:hAnsi="Arial" w:cs="Arial"/>
          <w:lang w:val="es-ES_tradnl"/>
        </w:rPr>
        <w:t>0</w:t>
      </w:r>
      <w:r w:rsidR="00A3109C" w:rsidRPr="00D03701">
        <w:rPr>
          <w:rFonts w:ascii="Arial" w:hAnsi="Arial" w:cs="Arial"/>
          <w:lang w:val="es-ES_tradnl"/>
        </w:rPr>
        <w:t>7</w:t>
      </w:r>
      <w:r w:rsidR="008F0B2E" w:rsidRPr="00D03701">
        <w:rPr>
          <w:rFonts w:ascii="Arial" w:hAnsi="Arial" w:cs="Arial"/>
          <w:lang w:val="es-ES_tradnl"/>
        </w:rPr>
        <w:t>. Esta atribución conservadora se debe a que existen algunas variables que podr</w:t>
      </w:r>
      <w:r w:rsidR="00B9232C" w:rsidRPr="00D03701">
        <w:rPr>
          <w:rFonts w:ascii="Arial" w:hAnsi="Arial" w:cs="Arial"/>
          <w:lang w:val="es-ES_tradnl"/>
        </w:rPr>
        <w:t>án</w:t>
      </w:r>
      <w:r w:rsidR="008F0B2E" w:rsidRPr="00D03701">
        <w:rPr>
          <w:rFonts w:ascii="Arial" w:hAnsi="Arial" w:cs="Arial"/>
          <w:lang w:val="es-ES_tradnl"/>
        </w:rPr>
        <w:t xml:space="preserve"> </w:t>
      </w:r>
      <w:r w:rsidR="00B9232C" w:rsidRPr="00D03701">
        <w:rPr>
          <w:rFonts w:ascii="Arial" w:hAnsi="Arial" w:cs="Arial"/>
          <w:lang w:val="es-ES_tradnl"/>
        </w:rPr>
        <w:t>influenciar</w:t>
      </w:r>
      <w:r w:rsidR="008F0B2E" w:rsidRPr="00D03701">
        <w:rPr>
          <w:rFonts w:ascii="Arial" w:hAnsi="Arial" w:cs="Arial"/>
          <w:lang w:val="es-ES_tradnl"/>
        </w:rPr>
        <w:t xml:space="preserve"> en este resultado</w:t>
      </w:r>
      <w:r w:rsidR="00B9232C" w:rsidRPr="00D03701">
        <w:rPr>
          <w:rFonts w:ascii="Arial" w:hAnsi="Arial" w:cs="Arial"/>
          <w:lang w:val="es-ES_tradnl"/>
        </w:rPr>
        <w:t xml:space="preserve"> a ser alcanzado</w:t>
      </w:r>
      <w:r w:rsidR="008F0B2E" w:rsidRPr="00D03701">
        <w:rPr>
          <w:rFonts w:ascii="Arial" w:hAnsi="Arial" w:cs="Arial"/>
          <w:lang w:val="es-ES_tradnl"/>
        </w:rPr>
        <w:t xml:space="preserve">, en la cual se destaca </w:t>
      </w:r>
      <w:r w:rsidR="00B9232C" w:rsidRPr="00D03701">
        <w:rPr>
          <w:rFonts w:ascii="Arial" w:hAnsi="Arial" w:cs="Arial"/>
          <w:lang w:val="es-ES_tradnl"/>
        </w:rPr>
        <w:t xml:space="preserve">por ejemplo el </w:t>
      </w:r>
      <w:r w:rsidR="008F0B2E" w:rsidRPr="00D03701">
        <w:rPr>
          <w:rFonts w:ascii="Arial" w:hAnsi="Arial" w:cs="Arial"/>
          <w:lang w:val="es-ES_tradnl"/>
        </w:rPr>
        <w:t xml:space="preserve">crecimiento económico. Por lo tanto, atribuir </w:t>
      </w:r>
      <w:r w:rsidRPr="00D03701">
        <w:rPr>
          <w:rFonts w:ascii="Arial" w:hAnsi="Arial" w:cs="Arial"/>
          <w:lang w:val="es-ES_tradnl"/>
        </w:rPr>
        <w:t>30</w:t>
      </w:r>
      <w:r w:rsidR="008F0B2E" w:rsidRPr="00D03701">
        <w:rPr>
          <w:rFonts w:ascii="Arial" w:hAnsi="Arial" w:cs="Arial"/>
          <w:lang w:val="es-ES_tradnl"/>
        </w:rPr>
        <w:t xml:space="preserve">% a los resultados del proyecto genera espacio suficiente para compensar </w:t>
      </w:r>
      <w:r w:rsidR="00B9232C" w:rsidRPr="00D03701">
        <w:rPr>
          <w:rFonts w:ascii="Arial" w:hAnsi="Arial" w:cs="Arial"/>
          <w:lang w:val="es-ES_tradnl"/>
        </w:rPr>
        <w:t>errores</w:t>
      </w:r>
      <w:r w:rsidR="008F0B2E" w:rsidRPr="00D03701">
        <w:rPr>
          <w:rFonts w:ascii="Arial" w:hAnsi="Arial" w:cs="Arial"/>
          <w:lang w:val="es-ES_tradnl"/>
        </w:rPr>
        <w:t xml:space="preserve"> de atribución de forma confortable. </w:t>
      </w:r>
    </w:p>
    <w:p w14:paraId="148B4156" w14:textId="10346FC5" w:rsidR="008F0B2E" w:rsidRPr="00D03701" w:rsidRDefault="00F936F3" w:rsidP="001137D4">
      <w:pPr>
        <w:pStyle w:val="ListParagraph"/>
        <w:numPr>
          <w:ilvl w:val="2"/>
          <w:numId w:val="38"/>
        </w:numPr>
        <w:tabs>
          <w:tab w:val="num" w:pos="1980"/>
        </w:tabs>
        <w:spacing w:before="120" w:after="120" w:line="240" w:lineRule="auto"/>
        <w:ind w:left="1080"/>
        <w:contextualSpacing w:val="0"/>
        <w:jc w:val="both"/>
        <w:rPr>
          <w:rFonts w:ascii="Arial" w:hAnsi="Arial" w:cs="Arial"/>
          <w:lang w:val="es-ES_tradnl"/>
        </w:rPr>
      </w:pPr>
      <w:r w:rsidRPr="00D03701">
        <w:rPr>
          <w:rFonts w:ascii="Arial" w:hAnsi="Arial" w:cs="Arial"/>
          <w:b/>
          <w:lang w:val="es-ES_tradnl"/>
        </w:rPr>
        <w:t>Línea 6</w:t>
      </w:r>
      <w:r w:rsidRPr="00D03701">
        <w:rPr>
          <w:rFonts w:ascii="Arial" w:hAnsi="Arial" w:cs="Arial"/>
          <w:lang w:val="es-ES_tradnl"/>
        </w:rPr>
        <w:t xml:space="preserve"> </w:t>
      </w:r>
      <w:r w:rsidR="00B9232C" w:rsidRPr="00D03701">
        <w:rPr>
          <w:rFonts w:ascii="Arial" w:hAnsi="Arial" w:cs="Arial"/>
          <w:lang w:val="es-ES_tradnl"/>
        </w:rPr>
        <w:t>–</w:t>
      </w:r>
      <w:r w:rsidRPr="00D03701">
        <w:rPr>
          <w:rFonts w:ascii="Arial" w:hAnsi="Arial" w:cs="Arial"/>
          <w:lang w:val="es-ES_tradnl"/>
        </w:rPr>
        <w:t xml:space="preserve"> </w:t>
      </w:r>
      <w:r w:rsidR="00B9232C" w:rsidRPr="00D03701">
        <w:rPr>
          <w:rFonts w:ascii="Arial" w:hAnsi="Arial" w:cs="Arial"/>
          <w:lang w:val="es-ES_tradnl"/>
        </w:rPr>
        <w:t xml:space="preserve">Calcula el </w:t>
      </w:r>
      <w:r w:rsidR="00DA7C9F" w:rsidRPr="00D03701">
        <w:rPr>
          <w:rFonts w:ascii="Arial" w:hAnsi="Arial" w:cs="Arial"/>
          <w:lang w:val="es-ES_tradnl"/>
        </w:rPr>
        <w:t>b</w:t>
      </w:r>
      <w:r w:rsidR="008F0B2E" w:rsidRPr="00D03701">
        <w:rPr>
          <w:rFonts w:ascii="Arial" w:hAnsi="Arial" w:cs="Arial"/>
          <w:lang w:val="es-ES_tradnl"/>
        </w:rPr>
        <w:t xml:space="preserve">eneficio </w:t>
      </w:r>
      <w:r w:rsidR="00DA7C9F" w:rsidRPr="00D03701">
        <w:rPr>
          <w:rFonts w:ascii="Arial" w:hAnsi="Arial" w:cs="Arial"/>
          <w:lang w:val="es-ES_tradnl"/>
        </w:rPr>
        <w:t>g</w:t>
      </w:r>
      <w:r w:rsidR="008F0B2E" w:rsidRPr="00D03701">
        <w:rPr>
          <w:rFonts w:ascii="Arial" w:hAnsi="Arial" w:cs="Arial"/>
          <w:lang w:val="es-ES_tradnl"/>
        </w:rPr>
        <w:t xml:space="preserve">enerado en </w:t>
      </w:r>
      <w:r w:rsidR="00FB34A7" w:rsidRPr="00D03701">
        <w:rPr>
          <w:rFonts w:ascii="Arial" w:hAnsi="Arial" w:cs="Arial"/>
          <w:lang w:val="es-ES_tradnl"/>
        </w:rPr>
        <w:t>S</w:t>
      </w:r>
      <w:r w:rsidR="00DA7C9F" w:rsidRPr="00D03701">
        <w:rPr>
          <w:rFonts w:ascii="Arial" w:hAnsi="Arial" w:cs="Arial"/>
          <w:lang w:val="es-ES_tradnl"/>
        </w:rPr>
        <w:t>/.</w:t>
      </w:r>
      <w:r w:rsidR="007E4E23" w:rsidRPr="00D03701">
        <w:rPr>
          <w:rFonts w:ascii="Arial" w:hAnsi="Arial" w:cs="Arial"/>
          <w:lang w:val="es-ES_tradnl"/>
        </w:rPr>
        <w:t xml:space="preserve"> del</w:t>
      </w:r>
      <w:r w:rsidR="00B9232C" w:rsidRPr="00D03701">
        <w:rPr>
          <w:rFonts w:ascii="Arial" w:hAnsi="Arial" w:cs="Arial"/>
          <w:lang w:val="es-ES_tradnl"/>
        </w:rPr>
        <w:t xml:space="preserve"> </w:t>
      </w:r>
      <w:r w:rsidR="007E4E23" w:rsidRPr="00D03701">
        <w:rPr>
          <w:rFonts w:ascii="Arial" w:hAnsi="Arial" w:cs="Arial"/>
          <w:lang w:val="es-ES_tradnl"/>
        </w:rPr>
        <w:t>porcentaje</w:t>
      </w:r>
      <w:r w:rsidR="008F0B2E" w:rsidRPr="00D03701">
        <w:rPr>
          <w:rFonts w:ascii="Arial" w:hAnsi="Arial" w:cs="Arial"/>
          <w:lang w:val="es-ES_tradnl"/>
        </w:rPr>
        <w:t xml:space="preserve"> de mejora</w:t>
      </w:r>
      <w:r w:rsidR="007E4E23" w:rsidRPr="00D03701">
        <w:rPr>
          <w:rFonts w:ascii="Arial" w:hAnsi="Arial" w:cs="Arial"/>
          <w:lang w:val="es-ES_tradnl"/>
        </w:rPr>
        <w:t xml:space="preserve"> atribuible al proyecto</w:t>
      </w:r>
      <w:r w:rsidR="008F0B2E" w:rsidRPr="00D03701">
        <w:rPr>
          <w:rFonts w:ascii="Arial" w:hAnsi="Arial" w:cs="Arial"/>
          <w:lang w:val="es-ES_tradnl"/>
        </w:rPr>
        <w:t xml:space="preserve"> * la recaudación del año</w:t>
      </w:r>
      <w:r w:rsidR="007E4E23" w:rsidRPr="00D03701">
        <w:rPr>
          <w:rFonts w:ascii="Arial" w:hAnsi="Arial" w:cs="Arial"/>
          <w:lang w:val="es-ES_tradnl"/>
        </w:rPr>
        <w:t xml:space="preserve"> correspondiente</w:t>
      </w:r>
      <w:r w:rsidR="008F0B2E" w:rsidRPr="00D03701">
        <w:rPr>
          <w:rFonts w:ascii="Arial" w:hAnsi="Arial" w:cs="Arial"/>
          <w:lang w:val="es-ES_tradnl"/>
        </w:rPr>
        <w:t>. En 20</w:t>
      </w:r>
      <w:r w:rsidR="00D25366" w:rsidRPr="00D03701">
        <w:rPr>
          <w:rFonts w:ascii="Arial" w:hAnsi="Arial" w:cs="Arial"/>
          <w:lang w:val="es-ES_tradnl"/>
        </w:rPr>
        <w:t>2</w:t>
      </w:r>
      <w:r w:rsidR="00FB34A7" w:rsidRPr="00D03701">
        <w:rPr>
          <w:rFonts w:ascii="Arial" w:hAnsi="Arial" w:cs="Arial"/>
          <w:lang w:val="es-ES_tradnl"/>
        </w:rPr>
        <w:t>1</w:t>
      </w:r>
      <w:r w:rsidR="008F0B2E" w:rsidRPr="00D03701">
        <w:rPr>
          <w:rFonts w:ascii="Arial" w:hAnsi="Arial" w:cs="Arial"/>
          <w:lang w:val="es-ES_tradnl"/>
        </w:rPr>
        <w:t xml:space="preserve"> </w:t>
      </w:r>
      <w:r w:rsidR="00B9232C" w:rsidRPr="00D03701">
        <w:rPr>
          <w:rFonts w:ascii="Arial" w:hAnsi="Arial" w:cs="Arial"/>
          <w:lang w:val="es-ES_tradnl"/>
        </w:rPr>
        <w:t>será</w:t>
      </w:r>
      <w:r w:rsidR="00A14C8D" w:rsidRPr="00D03701">
        <w:rPr>
          <w:rFonts w:ascii="Arial" w:hAnsi="Arial" w:cs="Arial"/>
          <w:lang w:val="es-ES_tradnl"/>
        </w:rPr>
        <w:t>:</w:t>
      </w:r>
      <w:r w:rsidR="00B9232C" w:rsidRPr="00D03701">
        <w:rPr>
          <w:rFonts w:ascii="Arial" w:hAnsi="Arial" w:cs="Arial"/>
          <w:lang w:val="es-ES_tradnl"/>
        </w:rPr>
        <w:t xml:space="preserve"> 0.07 * </w:t>
      </w:r>
      <w:r w:rsidR="006C6243" w:rsidRPr="00D03701">
        <w:rPr>
          <w:rFonts w:ascii="Arial" w:hAnsi="Arial" w:cs="Arial"/>
          <w:lang w:val="es-ES_tradnl"/>
        </w:rPr>
        <w:t>S/.</w:t>
      </w:r>
      <w:r w:rsidR="00B9232C" w:rsidRPr="00D03701">
        <w:rPr>
          <w:rFonts w:ascii="Arial" w:hAnsi="Arial" w:cs="Arial"/>
          <w:lang w:val="es-ES_tradnl"/>
        </w:rPr>
        <w:t xml:space="preserve"> 108</w:t>
      </w:r>
      <w:r w:rsidR="00B94BDB" w:rsidRPr="00D03701">
        <w:rPr>
          <w:rFonts w:ascii="Arial" w:hAnsi="Arial" w:cs="Arial"/>
          <w:lang w:val="es-ES_tradnl"/>
        </w:rPr>
        <w:t>.</w:t>
      </w:r>
      <w:r w:rsidR="00D07E34" w:rsidRPr="00D03701">
        <w:rPr>
          <w:rFonts w:ascii="Arial" w:hAnsi="Arial" w:cs="Arial"/>
          <w:lang w:val="es-ES_tradnl"/>
        </w:rPr>
        <w:t>4</w:t>
      </w:r>
      <w:r w:rsidR="00B9232C" w:rsidRPr="00D03701">
        <w:rPr>
          <w:rFonts w:ascii="Arial" w:hAnsi="Arial" w:cs="Arial"/>
          <w:lang w:val="es-ES_tradnl"/>
        </w:rPr>
        <w:t xml:space="preserve"> </w:t>
      </w:r>
      <w:r w:rsidR="00D07E34" w:rsidRPr="00D03701">
        <w:rPr>
          <w:rFonts w:ascii="Arial" w:hAnsi="Arial" w:cs="Arial"/>
          <w:lang w:val="es-ES_tradnl"/>
        </w:rPr>
        <w:t>b</w:t>
      </w:r>
      <w:r w:rsidR="00B9232C" w:rsidRPr="00D03701">
        <w:rPr>
          <w:rFonts w:ascii="Arial" w:hAnsi="Arial" w:cs="Arial"/>
          <w:lang w:val="es-ES_tradnl"/>
        </w:rPr>
        <w:t>illones =</w:t>
      </w:r>
      <w:r w:rsidR="008F0B2E" w:rsidRPr="00D03701">
        <w:rPr>
          <w:rFonts w:ascii="Arial" w:hAnsi="Arial" w:cs="Arial"/>
          <w:lang w:val="es-ES_tradnl"/>
        </w:rPr>
        <w:t xml:space="preserve"> </w:t>
      </w:r>
      <w:r w:rsidR="00FE5DB9" w:rsidRPr="00D03701">
        <w:rPr>
          <w:rFonts w:ascii="Arial" w:hAnsi="Arial" w:cs="Arial"/>
          <w:lang w:val="es-ES_tradnl"/>
        </w:rPr>
        <w:t>S/.</w:t>
      </w:r>
      <w:r w:rsidR="008F0B2E" w:rsidRPr="00D03701">
        <w:rPr>
          <w:rFonts w:ascii="Arial" w:hAnsi="Arial" w:cs="Arial"/>
          <w:lang w:val="es-ES_tradnl"/>
        </w:rPr>
        <w:t xml:space="preserve"> </w:t>
      </w:r>
      <w:r w:rsidR="00A3109C" w:rsidRPr="00D03701">
        <w:rPr>
          <w:rFonts w:ascii="Arial" w:hAnsi="Arial" w:cs="Arial"/>
          <w:lang w:val="es-ES_tradnl"/>
        </w:rPr>
        <w:t>71</w:t>
      </w:r>
      <w:r w:rsidR="00B94BDB" w:rsidRPr="00D03701">
        <w:rPr>
          <w:rFonts w:ascii="Arial" w:hAnsi="Arial" w:cs="Arial"/>
          <w:lang w:val="es-ES_tradnl"/>
        </w:rPr>
        <w:t>.</w:t>
      </w:r>
      <w:r w:rsidR="00A3109C" w:rsidRPr="00D03701">
        <w:rPr>
          <w:rFonts w:ascii="Arial" w:hAnsi="Arial" w:cs="Arial"/>
          <w:lang w:val="es-ES_tradnl"/>
        </w:rPr>
        <w:t>4</w:t>
      </w:r>
      <w:r w:rsidR="00692CC6" w:rsidRPr="00D03701">
        <w:rPr>
          <w:rFonts w:ascii="Arial" w:hAnsi="Arial" w:cs="Arial"/>
          <w:lang w:val="es-ES_tradnl"/>
        </w:rPr>
        <w:t xml:space="preserve"> </w:t>
      </w:r>
      <w:r w:rsidR="008F0B2E" w:rsidRPr="00D03701">
        <w:rPr>
          <w:rFonts w:ascii="Arial" w:hAnsi="Arial" w:cs="Arial"/>
          <w:lang w:val="es-ES_tradnl"/>
        </w:rPr>
        <w:t>millones.</w:t>
      </w:r>
    </w:p>
    <w:p w14:paraId="3D563824" w14:textId="46B0946F" w:rsidR="008F0B2E" w:rsidRPr="00D03701" w:rsidRDefault="00D803EF" w:rsidP="001137D4">
      <w:pPr>
        <w:pStyle w:val="ListParagraph"/>
        <w:numPr>
          <w:ilvl w:val="2"/>
          <w:numId w:val="38"/>
        </w:numPr>
        <w:tabs>
          <w:tab w:val="num" w:pos="1980"/>
        </w:tabs>
        <w:spacing w:before="120" w:after="120" w:line="240" w:lineRule="auto"/>
        <w:ind w:left="1080"/>
        <w:contextualSpacing w:val="0"/>
        <w:jc w:val="both"/>
        <w:rPr>
          <w:rFonts w:ascii="Arial" w:hAnsi="Arial" w:cs="Arial"/>
          <w:lang w:val="es-ES_tradnl"/>
        </w:rPr>
      </w:pPr>
      <w:r w:rsidRPr="00D03701">
        <w:rPr>
          <w:rFonts w:ascii="Arial" w:hAnsi="Arial" w:cs="Arial"/>
          <w:b/>
          <w:lang w:val="es-ES_tradnl"/>
        </w:rPr>
        <w:t>Línea 7</w:t>
      </w:r>
      <w:r w:rsidRPr="00D03701">
        <w:rPr>
          <w:rFonts w:ascii="Arial" w:hAnsi="Arial" w:cs="Arial"/>
          <w:lang w:val="es-ES_tradnl"/>
        </w:rPr>
        <w:t xml:space="preserve"> - </w:t>
      </w:r>
      <w:r w:rsidR="008F0B2E" w:rsidRPr="00D03701">
        <w:rPr>
          <w:rFonts w:ascii="Arial" w:hAnsi="Arial" w:cs="Arial"/>
          <w:lang w:val="es-ES_tradnl"/>
        </w:rPr>
        <w:t xml:space="preserve">Tasa de </w:t>
      </w:r>
      <w:r w:rsidR="00400564" w:rsidRPr="00D03701">
        <w:rPr>
          <w:rFonts w:ascii="Arial" w:hAnsi="Arial" w:cs="Arial"/>
          <w:lang w:val="es-ES_tradnl"/>
        </w:rPr>
        <w:t>c</w:t>
      </w:r>
      <w:r w:rsidR="008F0B2E" w:rsidRPr="00D03701">
        <w:rPr>
          <w:rFonts w:ascii="Arial" w:hAnsi="Arial" w:cs="Arial"/>
          <w:lang w:val="es-ES_tradnl"/>
        </w:rPr>
        <w:t xml:space="preserve">ambio </w:t>
      </w:r>
      <w:r w:rsidR="00692CC6" w:rsidRPr="00D03701">
        <w:rPr>
          <w:rFonts w:ascii="Arial" w:hAnsi="Arial" w:cs="Arial"/>
          <w:lang w:val="es-ES_tradnl"/>
        </w:rPr>
        <w:t xml:space="preserve">en </w:t>
      </w:r>
      <w:r w:rsidR="008F0B2E" w:rsidRPr="00D03701">
        <w:rPr>
          <w:rFonts w:ascii="Arial" w:hAnsi="Arial" w:cs="Arial"/>
          <w:lang w:val="es-ES_tradnl"/>
        </w:rPr>
        <w:t>US$</w:t>
      </w:r>
      <w:r w:rsidR="00692CC6" w:rsidRPr="00D03701">
        <w:rPr>
          <w:rFonts w:ascii="Arial" w:hAnsi="Arial" w:cs="Arial"/>
          <w:lang w:val="es-ES_tradnl"/>
        </w:rPr>
        <w:t>3</w:t>
      </w:r>
      <w:r w:rsidR="00624E61" w:rsidRPr="00D03701">
        <w:rPr>
          <w:rFonts w:ascii="Arial" w:hAnsi="Arial" w:cs="Arial"/>
          <w:lang w:val="es-ES_tradnl"/>
        </w:rPr>
        <w:t>.3</w:t>
      </w:r>
      <w:r w:rsidR="008F0B2E" w:rsidRPr="00D03701">
        <w:rPr>
          <w:rFonts w:ascii="Arial" w:hAnsi="Arial" w:cs="Arial"/>
          <w:lang w:val="es-ES_tradnl"/>
        </w:rPr>
        <w:t xml:space="preserve"> obtenida de la WEB del Banco Central de </w:t>
      </w:r>
      <w:r w:rsidR="009F7B83" w:rsidRPr="00D03701">
        <w:rPr>
          <w:rFonts w:ascii="Arial" w:hAnsi="Arial" w:cs="Arial"/>
          <w:lang w:val="es-ES_tradnl"/>
        </w:rPr>
        <w:t xml:space="preserve">Reserva del </w:t>
      </w:r>
      <w:r w:rsidR="00FB34A7" w:rsidRPr="00D03701">
        <w:rPr>
          <w:rFonts w:ascii="Arial" w:hAnsi="Arial" w:cs="Arial"/>
          <w:lang w:val="es-ES_tradnl"/>
        </w:rPr>
        <w:t>Perú</w:t>
      </w:r>
      <w:r w:rsidR="008F0B2E" w:rsidRPr="00D03701">
        <w:rPr>
          <w:rFonts w:ascii="Arial" w:hAnsi="Arial" w:cs="Arial"/>
          <w:lang w:val="es-ES_tradnl"/>
        </w:rPr>
        <w:t>.</w:t>
      </w:r>
    </w:p>
    <w:p w14:paraId="2FB483E3" w14:textId="66F106D2" w:rsidR="00D87AF6" w:rsidRPr="00D03701" w:rsidRDefault="00D803EF" w:rsidP="001137D4">
      <w:pPr>
        <w:pStyle w:val="ListParagraph"/>
        <w:numPr>
          <w:ilvl w:val="2"/>
          <w:numId w:val="38"/>
        </w:numPr>
        <w:tabs>
          <w:tab w:val="num" w:pos="1980"/>
        </w:tabs>
        <w:spacing w:before="120" w:after="120" w:line="240" w:lineRule="auto"/>
        <w:ind w:left="1080"/>
        <w:contextualSpacing w:val="0"/>
        <w:jc w:val="both"/>
        <w:rPr>
          <w:rFonts w:ascii="Arial" w:hAnsi="Arial" w:cs="Arial"/>
          <w:lang w:val="es-ES_tradnl"/>
        </w:rPr>
      </w:pPr>
      <w:r w:rsidRPr="00D03701">
        <w:rPr>
          <w:rFonts w:ascii="Arial" w:hAnsi="Arial" w:cs="Arial"/>
          <w:b/>
          <w:lang w:val="es-ES_tradnl"/>
        </w:rPr>
        <w:t>Línea 8</w:t>
      </w:r>
      <w:r w:rsidRPr="00D03701">
        <w:rPr>
          <w:rFonts w:ascii="Arial" w:hAnsi="Arial" w:cs="Arial"/>
          <w:lang w:val="es-ES_tradnl"/>
        </w:rPr>
        <w:t xml:space="preserve"> - </w:t>
      </w:r>
      <w:r w:rsidR="008F0B2E" w:rsidRPr="00D03701">
        <w:rPr>
          <w:rFonts w:ascii="Arial" w:hAnsi="Arial" w:cs="Arial"/>
          <w:lang w:val="es-ES_tradnl"/>
        </w:rPr>
        <w:t xml:space="preserve">Beneficio </w:t>
      </w:r>
      <w:r w:rsidR="00400564" w:rsidRPr="00D03701">
        <w:rPr>
          <w:rFonts w:ascii="Arial" w:hAnsi="Arial" w:cs="Arial"/>
          <w:lang w:val="es-ES_tradnl"/>
        </w:rPr>
        <w:t>g</w:t>
      </w:r>
      <w:r w:rsidR="008F0B2E" w:rsidRPr="00D03701">
        <w:rPr>
          <w:rFonts w:ascii="Arial" w:hAnsi="Arial" w:cs="Arial"/>
          <w:lang w:val="es-ES_tradnl"/>
        </w:rPr>
        <w:t>enerado en US$</w:t>
      </w:r>
      <w:r w:rsidR="00400564" w:rsidRPr="00D03701">
        <w:rPr>
          <w:rFonts w:ascii="Arial" w:hAnsi="Arial" w:cs="Arial"/>
          <w:lang w:val="es-ES_tradnl"/>
        </w:rPr>
        <w:t>:</w:t>
      </w:r>
      <w:r w:rsidR="008F0B2E" w:rsidRPr="00D03701">
        <w:rPr>
          <w:rFonts w:ascii="Arial" w:hAnsi="Arial" w:cs="Arial"/>
          <w:lang w:val="es-ES_tradnl"/>
        </w:rPr>
        <w:t xml:space="preserve"> la tasa de cambio por el beneficio generado en el año. En 20</w:t>
      </w:r>
      <w:r w:rsidR="00D25366" w:rsidRPr="00D03701">
        <w:rPr>
          <w:rFonts w:ascii="Arial" w:hAnsi="Arial" w:cs="Arial"/>
          <w:lang w:val="es-ES_tradnl"/>
        </w:rPr>
        <w:t>2</w:t>
      </w:r>
      <w:r w:rsidR="00FB34A7" w:rsidRPr="00D03701">
        <w:rPr>
          <w:rFonts w:ascii="Arial" w:hAnsi="Arial" w:cs="Arial"/>
          <w:lang w:val="es-ES_tradnl"/>
        </w:rPr>
        <w:t>1</w:t>
      </w:r>
      <w:r w:rsidR="00624E61" w:rsidRPr="00D03701">
        <w:rPr>
          <w:rFonts w:ascii="Arial" w:hAnsi="Arial" w:cs="Arial"/>
          <w:lang w:val="es-ES_tradnl"/>
        </w:rPr>
        <w:t xml:space="preserve"> será</w:t>
      </w:r>
      <w:r w:rsidR="008F0B2E" w:rsidRPr="00D03701">
        <w:rPr>
          <w:rFonts w:ascii="Arial" w:hAnsi="Arial" w:cs="Arial"/>
          <w:lang w:val="es-ES_tradnl"/>
        </w:rPr>
        <w:t xml:space="preserve"> </w:t>
      </w:r>
      <w:r w:rsidR="00541328" w:rsidRPr="00D03701">
        <w:rPr>
          <w:rFonts w:ascii="Arial" w:hAnsi="Arial" w:cs="Arial"/>
          <w:lang w:val="es-ES_tradnl"/>
        </w:rPr>
        <w:t xml:space="preserve">S/. </w:t>
      </w:r>
      <w:r w:rsidR="00624E61" w:rsidRPr="00D03701">
        <w:rPr>
          <w:rFonts w:ascii="Arial" w:hAnsi="Arial" w:cs="Arial"/>
          <w:lang w:val="es-ES_tradnl"/>
        </w:rPr>
        <w:t>71</w:t>
      </w:r>
      <w:r w:rsidR="00541328" w:rsidRPr="00D03701">
        <w:rPr>
          <w:rFonts w:ascii="Arial" w:hAnsi="Arial" w:cs="Arial"/>
          <w:lang w:val="es-ES_tradnl"/>
        </w:rPr>
        <w:t>.</w:t>
      </w:r>
      <w:r w:rsidR="00624E61" w:rsidRPr="00D03701">
        <w:rPr>
          <w:rFonts w:ascii="Arial" w:hAnsi="Arial" w:cs="Arial"/>
          <w:lang w:val="es-ES_tradnl"/>
        </w:rPr>
        <w:t xml:space="preserve">4 millones / 3.3 = </w:t>
      </w:r>
      <w:r w:rsidR="008F0B2E" w:rsidRPr="00D03701">
        <w:rPr>
          <w:rFonts w:ascii="Arial" w:hAnsi="Arial" w:cs="Arial"/>
          <w:lang w:val="es-ES_tradnl"/>
        </w:rPr>
        <w:t>US$</w:t>
      </w:r>
      <w:r w:rsidR="00906129" w:rsidRPr="00D03701">
        <w:rPr>
          <w:rFonts w:ascii="Arial" w:hAnsi="Arial" w:cs="Arial"/>
          <w:lang w:val="es-ES_tradnl"/>
        </w:rPr>
        <w:t>21</w:t>
      </w:r>
      <w:r w:rsidR="00541328" w:rsidRPr="00D03701">
        <w:rPr>
          <w:rFonts w:ascii="Arial" w:hAnsi="Arial" w:cs="Arial"/>
          <w:lang w:val="es-ES_tradnl"/>
        </w:rPr>
        <w:t>.</w:t>
      </w:r>
      <w:r w:rsidR="00906129" w:rsidRPr="00D03701">
        <w:rPr>
          <w:rFonts w:ascii="Arial" w:hAnsi="Arial" w:cs="Arial"/>
          <w:lang w:val="es-ES_tradnl"/>
        </w:rPr>
        <w:t>6</w:t>
      </w:r>
      <w:r w:rsidR="008F0B2E" w:rsidRPr="00D03701">
        <w:rPr>
          <w:rFonts w:ascii="Arial" w:hAnsi="Arial" w:cs="Arial"/>
          <w:lang w:val="es-ES_tradnl"/>
        </w:rPr>
        <w:t xml:space="preserve"> millones.</w:t>
      </w:r>
    </w:p>
    <w:p w14:paraId="3B3467E4" w14:textId="557382CF" w:rsidR="0076432E" w:rsidRPr="00D03701" w:rsidRDefault="00A63149"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sectPr w:rsidR="0076432E" w:rsidRPr="00D03701">
          <w:pgSz w:w="11906" w:h="16838"/>
          <w:pgMar w:top="994" w:right="1440" w:bottom="1166" w:left="1354" w:header="720" w:footer="720" w:gutter="0"/>
          <w:cols w:space="720"/>
          <w:docGrid w:linePitch="360"/>
        </w:sectPr>
      </w:pPr>
      <w:r w:rsidRPr="00D03701">
        <w:rPr>
          <w:rFonts w:ascii="Arial" w:hAnsi="Arial" w:cs="Arial"/>
          <w:color w:val="000000"/>
          <w:sz w:val="22"/>
          <w:szCs w:val="22"/>
          <w:lang w:val="es-ES_tradnl"/>
        </w:rPr>
        <w:t>En c</w:t>
      </w:r>
      <w:r w:rsidR="00775BFC" w:rsidRPr="00D03701">
        <w:rPr>
          <w:rFonts w:ascii="Arial" w:hAnsi="Arial" w:cs="Arial"/>
          <w:color w:val="000000"/>
          <w:sz w:val="22"/>
          <w:szCs w:val="22"/>
          <w:lang w:val="es-ES_tradnl"/>
        </w:rPr>
        <w:t>onclusión</w:t>
      </w:r>
      <w:r w:rsidR="00605274" w:rsidRPr="00D03701">
        <w:rPr>
          <w:rFonts w:ascii="Arial" w:hAnsi="Arial" w:cs="Arial"/>
          <w:color w:val="000000"/>
          <w:sz w:val="22"/>
          <w:szCs w:val="22"/>
          <w:lang w:val="es-ES_tradnl"/>
        </w:rPr>
        <w:t xml:space="preserve">, se estima </w:t>
      </w:r>
      <w:proofErr w:type="gramStart"/>
      <w:r w:rsidR="00F263A5" w:rsidRPr="00D03701">
        <w:rPr>
          <w:rFonts w:ascii="Arial" w:hAnsi="Arial" w:cs="Arial"/>
          <w:color w:val="000000"/>
          <w:sz w:val="22"/>
          <w:szCs w:val="22"/>
          <w:lang w:val="es-ES_tradnl"/>
        </w:rPr>
        <w:t>que</w:t>
      </w:r>
      <w:proofErr w:type="gramEnd"/>
      <w:r w:rsidR="00605274" w:rsidRPr="00D03701">
        <w:rPr>
          <w:rFonts w:ascii="Arial" w:hAnsi="Arial" w:cs="Arial"/>
          <w:color w:val="000000"/>
          <w:sz w:val="22"/>
          <w:szCs w:val="22"/>
          <w:lang w:val="es-ES_tradnl"/>
        </w:rPr>
        <w:t xml:space="preserve"> en </w:t>
      </w:r>
      <w:r w:rsidR="00C737DC" w:rsidRPr="00D03701">
        <w:rPr>
          <w:rFonts w:ascii="Arial" w:hAnsi="Arial" w:cs="Arial"/>
          <w:color w:val="000000"/>
          <w:sz w:val="22"/>
          <w:szCs w:val="22"/>
          <w:lang w:val="es-ES_tradnl"/>
        </w:rPr>
        <w:t>20</w:t>
      </w:r>
      <w:r w:rsidR="00D25366" w:rsidRPr="00D03701">
        <w:rPr>
          <w:rFonts w:ascii="Arial" w:hAnsi="Arial" w:cs="Arial"/>
          <w:color w:val="000000"/>
          <w:sz w:val="22"/>
          <w:szCs w:val="22"/>
          <w:lang w:val="es-ES_tradnl"/>
        </w:rPr>
        <w:t>2</w:t>
      </w:r>
      <w:r w:rsidR="00FB34A7" w:rsidRPr="00D03701">
        <w:rPr>
          <w:rFonts w:ascii="Arial" w:hAnsi="Arial" w:cs="Arial"/>
          <w:color w:val="000000"/>
          <w:sz w:val="22"/>
          <w:szCs w:val="22"/>
          <w:lang w:val="es-ES_tradnl"/>
        </w:rPr>
        <w:t>1</w:t>
      </w:r>
      <w:r w:rsidR="00965841" w:rsidRPr="00D03701">
        <w:rPr>
          <w:rFonts w:ascii="Arial" w:hAnsi="Arial" w:cs="Arial"/>
          <w:color w:val="000000"/>
          <w:sz w:val="22"/>
          <w:szCs w:val="22"/>
          <w:lang w:val="es-ES_tradnl"/>
        </w:rPr>
        <w:t>, con las acciones de modernización a ser realizadas por el proyecto,</w:t>
      </w:r>
      <w:r w:rsidR="00C737DC" w:rsidRPr="00D03701">
        <w:rPr>
          <w:rFonts w:ascii="Arial" w:hAnsi="Arial" w:cs="Arial"/>
          <w:color w:val="000000"/>
          <w:sz w:val="22"/>
          <w:szCs w:val="22"/>
          <w:lang w:val="es-ES_tradnl"/>
        </w:rPr>
        <w:t xml:space="preserve"> </w:t>
      </w:r>
      <w:r w:rsidR="00D25366" w:rsidRPr="00D03701">
        <w:rPr>
          <w:rFonts w:ascii="Arial" w:hAnsi="Arial" w:cs="Arial"/>
          <w:color w:val="000000"/>
          <w:sz w:val="22"/>
          <w:szCs w:val="22"/>
          <w:lang w:val="es-ES_tradnl"/>
        </w:rPr>
        <w:t>se generar</w:t>
      </w:r>
      <w:r w:rsidRPr="00D03701">
        <w:rPr>
          <w:rFonts w:ascii="Arial" w:hAnsi="Arial" w:cs="Arial"/>
          <w:color w:val="000000"/>
          <w:sz w:val="22"/>
          <w:szCs w:val="22"/>
          <w:lang w:val="es-ES_tradnl"/>
        </w:rPr>
        <w:t>á</w:t>
      </w:r>
      <w:r w:rsidR="00D25366" w:rsidRPr="00D03701">
        <w:rPr>
          <w:rFonts w:ascii="Arial" w:hAnsi="Arial" w:cs="Arial"/>
          <w:color w:val="000000"/>
          <w:sz w:val="22"/>
          <w:szCs w:val="22"/>
          <w:lang w:val="es-ES_tradnl"/>
        </w:rPr>
        <w:t xml:space="preserve"> un </w:t>
      </w:r>
      <w:r w:rsidR="000B7385" w:rsidRPr="00D03701">
        <w:rPr>
          <w:rFonts w:ascii="Arial" w:hAnsi="Arial" w:cs="Arial"/>
          <w:color w:val="000000"/>
          <w:sz w:val="22"/>
          <w:szCs w:val="22"/>
          <w:lang w:val="es-ES_tradnl"/>
        </w:rPr>
        <w:t>benef</w:t>
      </w:r>
      <w:r w:rsidRPr="00D03701">
        <w:rPr>
          <w:rFonts w:ascii="Arial" w:hAnsi="Arial" w:cs="Arial"/>
          <w:color w:val="000000"/>
          <w:sz w:val="22"/>
          <w:szCs w:val="22"/>
          <w:lang w:val="es-ES_tradnl"/>
        </w:rPr>
        <w:t>i</w:t>
      </w:r>
      <w:r w:rsidR="000B7385" w:rsidRPr="00D03701">
        <w:rPr>
          <w:rFonts w:ascii="Arial" w:hAnsi="Arial" w:cs="Arial"/>
          <w:color w:val="000000"/>
          <w:sz w:val="22"/>
          <w:szCs w:val="22"/>
          <w:lang w:val="es-ES_tradnl"/>
        </w:rPr>
        <w:t>cio</w:t>
      </w:r>
      <w:r w:rsidR="00D25366" w:rsidRPr="00D03701">
        <w:rPr>
          <w:rFonts w:ascii="Arial" w:hAnsi="Arial" w:cs="Arial"/>
          <w:color w:val="000000"/>
          <w:sz w:val="22"/>
          <w:szCs w:val="22"/>
          <w:lang w:val="es-ES_tradnl"/>
        </w:rPr>
        <w:t xml:space="preserve"> del orden de US$</w:t>
      </w:r>
      <w:r w:rsidR="00906129" w:rsidRPr="00D03701">
        <w:rPr>
          <w:rFonts w:ascii="Arial" w:hAnsi="Arial" w:cs="Arial"/>
          <w:color w:val="000000"/>
          <w:sz w:val="22"/>
          <w:szCs w:val="22"/>
          <w:lang w:val="es-ES_tradnl"/>
        </w:rPr>
        <w:t>21</w:t>
      </w:r>
      <w:r w:rsidR="00DA1281" w:rsidRPr="00D03701">
        <w:rPr>
          <w:rFonts w:ascii="Arial" w:hAnsi="Arial" w:cs="Arial"/>
          <w:color w:val="000000"/>
          <w:sz w:val="22"/>
          <w:szCs w:val="22"/>
          <w:lang w:val="es-ES_tradnl"/>
        </w:rPr>
        <w:t>.</w:t>
      </w:r>
      <w:r w:rsidR="00906129" w:rsidRPr="00D03701">
        <w:rPr>
          <w:rFonts w:ascii="Arial" w:hAnsi="Arial" w:cs="Arial"/>
          <w:color w:val="000000"/>
          <w:sz w:val="22"/>
          <w:szCs w:val="22"/>
          <w:lang w:val="es-ES_tradnl"/>
        </w:rPr>
        <w:t>6</w:t>
      </w:r>
      <w:r w:rsidR="00D25366" w:rsidRPr="00D03701">
        <w:rPr>
          <w:rFonts w:ascii="Arial" w:hAnsi="Arial" w:cs="Arial"/>
          <w:color w:val="000000"/>
          <w:sz w:val="22"/>
          <w:szCs w:val="22"/>
          <w:lang w:val="es-ES_tradnl"/>
        </w:rPr>
        <w:t xml:space="preserve"> millones</w:t>
      </w:r>
      <w:r w:rsidR="00965841" w:rsidRPr="00D03701">
        <w:rPr>
          <w:rFonts w:ascii="Arial" w:hAnsi="Arial" w:cs="Arial"/>
          <w:color w:val="000000"/>
          <w:sz w:val="22"/>
          <w:szCs w:val="22"/>
          <w:lang w:val="es-ES_tradnl"/>
        </w:rPr>
        <w:t>,</w:t>
      </w:r>
      <w:r w:rsidR="00D25366" w:rsidRPr="00D03701">
        <w:rPr>
          <w:rFonts w:ascii="Arial" w:hAnsi="Arial" w:cs="Arial"/>
          <w:color w:val="000000"/>
          <w:sz w:val="22"/>
          <w:szCs w:val="22"/>
          <w:lang w:val="es-ES_tradnl"/>
        </w:rPr>
        <w:t xml:space="preserve"> en 202</w:t>
      </w:r>
      <w:r w:rsidR="00FB34A7" w:rsidRPr="00D03701">
        <w:rPr>
          <w:rFonts w:ascii="Arial" w:hAnsi="Arial" w:cs="Arial"/>
          <w:color w:val="000000"/>
          <w:sz w:val="22"/>
          <w:szCs w:val="22"/>
          <w:lang w:val="es-ES_tradnl"/>
        </w:rPr>
        <w:t>6</w:t>
      </w:r>
      <w:r w:rsidR="00D25366" w:rsidRPr="00D03701">
        <w:rPr>
          <w:rFonts w:ascii="Arial" w:hAnsi="Arial" w:cs="Arial"/>
          <w:color w:val="000000"/>
          <w:sz w:val="22"/>
          <w:szCs w:val="22"/>
          <w:lang w:val="es-ES_tradnl"/>
        </w:rPr>
        <w:t xml:space="preserve"> </w:t>
      </w:r>
      <w:r w:rsidR="00576D71" w:rsidRPr="00D03701">
        <w:rPr>
          <w:rFonts w:ascii="Arial" w:hAnsi="Arial" w:cs="Arial"/>
          <w:color w:val="000000"/>
          <w:sz w:val="22"/>
          <w:szCs w:val="22"/>
          <w:lang w:val="es-ES_tradnl"/>
        </w:rPr>
        <w:t>este beneficio</w:t>
      </w:r>
      <w:r w:rsidR="00965841" w:rsidRPr="00D03701">
        <w:rPr>
          <w:rFonts w:ascii="Arial" w:hAnsi="Arial" w:cs="Arial"/>
          <w:color w:val="000000"/>
          <w:sz w:val="22"/>
          <w:szCs w:val="22"/>
          <w:lang w:val="es-ES_tradnl"/>
        </w:rPr>
        <w:t xml:space="preserve"> </w:t>
      </w:r>
      <w:r w:rsidR="00D25366" w:rsidRPr="00D03701">
        <w:rPr>
          <w:rFonts w:ascii="Arial" w:hAnsi="Arial" w:cs="Arial"/>
          <w:color w:val="000000"/>
          <w:sz w:val="22"/>
          <w:szCs w:val="22"/>
          <w:lang w:val="es-ES_tradnl"/>
        </w:rPr>
        <w:t>será de US$</w:t>
      </w:r>
      <w:r w:rsidR="003E0288" w:rsidRPr="00D03701">
        <w:rPr>
          <w:rFonts w:ascii="Arial" w:hAnsi="Arial" w:cs="Arial"/>
          <w:color w:val="000000"/>
          <w:sz w:val="22"/>
          <w:szCs w:val="22"/>
          <w:lang w:val="es-ES_tradnl"/>
        </w:rPr>
        <w:t>40</w:t>
      </w:r>
      <w:r w:rsidR="00DA1281" w:rsidRPr="00D03701">
        <w:rPr>
          <w:rFonts w:ascii="Arial" w:hAnsi="Arial" w:cs="Arial"/>
          <w:color w:val="000000"/>
          <w:sz w:val="22"/>
          <w:szCs w:val="22"/>
          <w:lang w:val="es-ES_tradnl"/>
        </w:rPr>
        <w:t>.</w:t>
      </w:r>
      <w:r w:rsidR="003E0288" w:rsidRPr="00D03701">
        <w:rPr>
          <w:rFonts w:ascii="Arial" w:hAnsi="Arial" w:cs="Arial"/>
          <w:color w:val="000000"/>
          <w:sz w:val="22"/>
          <w:szCs w:val="22"/>
          <w:lang w:val="es-ES_tradnl"/>
        </w:rPr>
        <w:t>0</w:t>
      </w:r>
      <w:r w:rsidR="00D25366" w:rsidRPr="00D03701">
        <w:rPr>
          <w:rFonts w:ascii="Arial" w:hAnsi="Arial" w:cs="Arial"/>
          <w:color w:val="000000"/>
          <w:sz w:val="22"/>
          <w:szCs w:val="22"/>
          <w:lang w:val="es-ES_tradnl"/>
        </w:rPr>
        <w:t xml:space="preserve"> millones</w:t>
      </w:r>
    </w:p>
    <w:p w14:paraId="64827A28" w14:textId="086251F2" w:rsidR="00FB34A7" w:rsidRPr="00D03701" w:rsidRDefault="00963D2D" w:rsidP="00FB34A7">
      <w:pPr>
        <w:pStyle w:val="Paragraph"/>
        <w:numPr>
          <w:ilvl w:val="0"/>
          <w:numId w:val="0"/>
        </w:numPr>
        <w:tabs>
          <w:tab w:val="num" w:pos="2196"/>
        </w:tabs>
        <w:outlineLvl w:val="9"/>
        <w:rPr>
          <w:rFonts w:ascii="Arial" w:hAnsi="Arial" w:cs="Arial"/>
          <w:color w:val="000000"/>
          <w:sz w:val="22"/>
          <w:szCs w:val="22"/>
          <w:lang w:val="es-ES_tradnl"/>
        </w:rPr>
      </w:pPr>
      <w:r w:rsidRPr="00D03701">
        <w:rPr>
          <w:noProof/>
          <w:lang w:val="es-ES_tradnl"/>
        </w:rPr>
        <w:lastRenderedPageBreak/>
        <w:drawing>
          <wp:anchor distT="0" distB="0" distL="114300" distR="114300" simplePos="0" relativeHeight="251658240" behindDoc="1" locked="0" layoutInCell="1" allowOverlap="1" wp14:anchorId="3EF49A32" wp14:editId="41F4BCA4">
            <wp:simplePos x="0" y="0"/>
            <wp:positionH relativeFrom="column">
              <wp:posOffset>-273050</wp:posOffset>
            </wp:positionH>
            <wp:positionV relativeFrom="paragraph">
              <wp:posOffset>236220</wp:posOffset>
            </wp:positionV>
            <wp:extent cx="9805670" cy="2628900"/>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818402" cy="263231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9532AF" w14:textId="04B4832A" w:rsidR="00FB34A7" w:rsidRPr="00D03701" w:rsidRDefault="00FB34A7" w:rsidP="00FB34A7">
      <w:pPr>
        <w:pStyle w:val="Paragraph"/>
        <w:numPr>
          <w:ilvl w:val="0"/>
          <w:numId w:val="0"/>
        </w:numPr>
        <w:tabs>
          <w:tab w:val="num" w:pos="2196"/>
        </w:tabs>
        <w:outlineLvl w:val="9"/>
        <w:rPr>
          <w:rFonts w:ascii="Arial" w:hAnsi="Arial" w:cs="Arial"/>
          <w:color w:val="000000"/>
          <w:sz w:val="22"/>
          <w:szCs w:val="22"/>
          <w:lang w:val="es-ES_tradnl"/>
        </w:rPr>
        <w:sectPr w:rsidR="00FB34A7" w:rsidRPr="00D03701" w:rsidSect="00FB34A7">
          <w:pgSz w:w="16838" w:h="11906" w:orient="landscape"/>
          <w:pgMar w:top="1440" w:right="1166" w:bottom="1354" w:left="994" w:header="720" w:footer="720" w:gutter="0"/>
          <w:cols w:space="720"/>
          <w:docGrid w:linePitch="360"/>
        </w:sectPr>
      </w:pPr>
    </w:p>
    <w:p w14:paraId="02C661D5" w14:textId="77777777" w:rsidR="00D0100F" w:rsidRPr="00D03701" w:rsidRDefault="00D0100F" w:rsidP="003366F5">
      <w:pPr>
        <w:pStyle w:val="Heading2"/>
        <w:keepNext/>
        <w:widowControl/>
        <w:numPr>
          <w:ilvl w:val="0"/>
          <w:numId w:val="6"/>
        </w:numPr>
        <w:ind w:left="720"/>
        <w:rPr>
          <w:rFonts w:ascii="Arial" w:hAnsi="Arial" w:cs="Arial"/>
          <w:sz w:val="22"/>
          <w:szCs w:val="22"/>
          <w:lang w:val="es-ES_tradnl"/>
        </w:rPr>
      </w:pPr>
      <w:bookmarkStart w:id="9" w:name="_Toc506126049"/>
      <w:bookmarkStart w:id="10" w:name="_Toc506126078"/>
      <w:bookmarkStart w:id="11" w:name="_Toc506126102"/>
      <w:bookmarkStart w:id="12" w:name="_Toc522741996"/>
      <w:bookmarkEnd w:id="9"/>
      <w:bookmarkEnd w:id="10"/>
      <w:bookmarkEnd w:id="11"/>
      <w:r w:rsidRPr="00D03701">
        <w:rPr>
          <w:rFonts w:ascii="Arial" w:hAnsi="Arial" w:cs="Arial"/>
          <w:sz w:val="22"/>
          <w:szCs w:val="22"/>
          <w:lang w:val="es-ES_tradnl"/>
        </w:rPr>
        <w:lastRenderedPageBreak/>
        <w:t xml:space="preserve">Supuesto 2 - </w:t>
      </w:r>
      <w:r w:rsidR="006E6D11" w:rsidRPr="00D03701">
        <w:rPr>
          <w:rFonts w:ascii="Arial" w:hAnsi="Arial" w:cs="Arial"/>
          <w:sz w:val="22"/>
          <w:szCs w:val="22"/>
          <w:lang w:val="es-ES_tradnl"/>
        </w:rPr>
        <w:t xml:space="preserve">Aumento de la </w:t>
      </w:r>
      <w:r w:rsidR="00B47FC9" w:rsidRPr="00D03701">
        <w:rPr>
          <w:rFonts w:ascii="Arial" w:hAnsi="Arial" w:cs="Arial"/>
          <w:sz w:val="22"/>
          <w:szCs w:val="22"/>
          <w:lang w:val="es-ES_tradnl"/>
        </w:rPr>
        <w:t>eficiencia</w:t>
      </w:r>
      <w:r w:rsidR="006E6D11" w:rsidRPr="00D03701">
        <w:rPr>
          <w:rFonts w:ascii="Arial" w:hAnsi="Arial" w:cs="Arial"/>
          <w:sz w:val="22"/>
          <w:szCs w:val="22"/>
          <w:lang w:val="es-ES_tradnl"/>
        </w:rPr>
        <w:t xml:space="preserve"> de la fiscalización </w:t>
      </w:r>
      <w:r w:rsidR="004926F6" w:rsidRPr="00D03701">
        <w:rPr>
          <w:rFonts w:ascii="Arial" w:hAnsi="Arial" w:cs="Arial"/>
          <w:sz w:val="22"/>
          <w:szCs w:val="22"/>
          <w:lang w:val="es-ES_tradnl"/>
        </w:rPr>
        <w:t>de la recaudación</w:t>
      </w:r>
      <w:r w:rsidR="006E6D11" w:rsidRPr="00D03701">
        <w:rPr>
          <w:rFonts w:ascii="Arial" w:hAnsi="Arial" w:cs="Arial"/>
          <w:sz w:val="22"/>
          <w:szCs w:val="22"/>
          <w:lang w:val="es-ES_tradnl"/>
        </w:rPr>
        <w:t>.</w:t>
      </w:r>
      <w:bookmarkEnd w:id="12"/>
    </w:p>
    <w:tbl>
      <w:tblPr>
        <w:tblStyle w:val="TableGrid"/>
        <w:tblW w:w="8455" w:type="dxa"/>
        <w:tblInd w:w="720" w:type="dxa"/>
        <w:tblLook w:val="04A0" w:firstRow="1" w:lastRow="0" w:firstColumn="1" w:lastColumn="0" w:noHBand="0" w:noVBand="1"/>
      </w:tblPr>
      <w:tblGrid>
        <w:gridCol w:w="8455"/>
      </w:tblGrid>
      <w:tr w:rsidR="00D0100F" w:rsidRPr="00BE7955" w14:paraId="1C97EDD7" w14:textId="77777777" w:rsidTr="00D0100F">
        <w:tc>
          <w:tcPr>
            <w:tcW w:w="8455" w:type="dxa"/>
          </w:tcPr>
          <w:p w14:paraId="0FA3DE68" w14:textId="7AAEEBA6" w:rsidR="00D0100F" w:rsidRPr="00D03701" w:rsidRDefault="00D0100F" w:rsidP="00553D78">
            <w:pPr>
              <w:pStyle w:val="Paragraph"/>
              <w:numPr>
                <w:ilvl w:val="0"/>
                <w:numId w:val="0"/>
              </w:numPr>
              <w:tabs>
                <w:tab w:val="num" w:pos="2196"/>
              </w:tabs>
              <w:outlineLvl w:val="9"/>
              <w:rPr>
                <w:rFonts w:ascii="Arial" w:hAnsi="Arial" w:cs="Arial"/>
                <w:color w:val="000000"/>
                <w:sz w:val="22"/>
                <w:szCs w:val="22"/>
                <w:lang w:val="es-ES_tradnl"/>
              </w:rPr>
            </w:pPr>
            <w:r w:rsidRPr="00D03701">
              <w:rPr>
                <w:rFonts w:ascii="Arial" w:hAnsi="Arial" w:cs="Arial"/>
                <w:color w:val="000000"/>
                <w:sz w:val="22"/>
                <w:szCs w:val="22"/>
                <w:lang w:val="es-ES_tradnl"/>
              </w:rPr>
              <w:t xml:space="preserve">A partir de la mejora de la </w:t>
            </w:r>
            <w:r w:rsidR="00B47FC9" w:rsidRPr="00D03701">
              <w:rPr>
                <w:rFonts w:ascii="Arial" w:hAnsi="Arial" w:cs="Arial"/>
                <w:color w:val="000000"/>
                <w:sz w:val="22"/>
                <w:szCs w:val="22"/>
                <w:lang w:val="es-ES_tradnl"/>
              </w:rPr>
              <w:t>eficiencia</w:t>
            </w:r>
            <w:r w:rsidRPr="00D03701">
              <w:rPr>
                <w:rFonts w:ascii="Arial" w:hAnsi="Arial" w:cs="Arial"/>
                <w:color w:val="000000"/>
                <w:sz w:val="22"/>
                <w:szCs w:val="22"/>
                <w:lang w:val="es-ES_tradnl"/>
              </w:rPr>
              <w:t xml:space="preserve"> de la fiscalización</w:t>
            </w:r>
            <w:r w:rsidR="00EF22E2" w:rsidRPr="00D03701">
              <w:rPr>
                <w:rFonts w:ascii="Arial" w:hAnsi="Arial" w:cs="Arial"/>
                <w:color w:val="000000"/>
                <w:sz w:val="22"/>
                <w:szCs w:val="22"/>
                <w:lang w:val="es-ES_tradnl"/>
              </w:rPr>
              <w:t xml:space="preserve"> </w:t>
            </w:r>
            <w:r w:rsidR="004926F6" w:rsidRPr="00D03701">
              <w:rPr>
                <w:rFonts w:ascii="Arial" w:hAnsi="Arial" w:cs="Arial"/>
                <w:color w:val="000000"/>
                <w:sz w:val="22"/>
                <w:szCs w:val="22"/>
                <w:lang w:val="es-ES_tradnl"/>
              </w:rPr>
              <w:t xml:space="preserve">de </w:t>
            </w:r>
            <w:r w:rsidR="00F17485" w:rsidRPr="00D03701">
              <w:rPr>
                <w:rFonts w:ascii="Arial" w:hAnsi="Arial" w:cs="Arial"/>
                <w:color w:val="000000"/>
                <w:sz w:val="22"/>
                <w:szCs w:val="22"/>
                <w:lang w:val="es-ES_tradnl"/>
              </w:rPr>
              <w:t>la recaudación tributaria</w:t>
            </w:r>
            <w:r w:rsidR="00EF22E2" w:rsidRPr="00D03701">
              <w:rPr>
                <w:rFonts w:ascii="Arial" w:hAnsi="Arial" w:cs="Arial"/>
                <w:color w:val="000000"/>
                <w:sz w:val="22"/>
                <w:szCs w:val="22"/>
                <w:lang w:val="es-ES_tradnl"/>
              </w:rPr>
              <w:t>,</w:t>
            </w:r>
            <w:r w:rsidRPr="00D03701">
              <w:rPr>
                <w:rFonts w:ascii="Arial" w:hAnsi="Arial" w:cs="Arial"/>
                <w:color w:val="000000"/>
                <w:sz w:val="22"/>
                <w:szCs w:val="22"/>
                <w:lang w:val="es-ES_tradnl"/>
              </w:rPr>
              <w:t xml:space="preserve"> se genera un beneficio económico consecuencia de la disminución del costo para </w:t>
            </w:r>
            <w:r w:rsidR="00F80258" w:rsidRPr="00D03701">
              <w:rPr>
                <w:rFonts w:ascii="Arial" w:hAnsi="Arial" w:cs="Arial"/>
                <w:color w:val="000000"/>
                <w:sz w:val="22"/>
                <w:szCs w:val="22"/>
                <w:lang w:val="es-ES_tradnl"/>
              </w:rPr>
              <w:t xml:space="preserve">la SUNAT </w:t>
            </w:r>
            <w:r w:rsidR="00616FFD" w:rsidRPr="00D03701">
              <w:rPr>
                <w:rFonts w:ascii="Arial" w:hAnsi="Arial" w:cs="Arial"/>
                <w:color w:val="000000"/>
                <w:sz w:val="22"/>
                <w:szCs w:val="22"/>
                <w:lang w:val="es-ES_tradnl"/>
              </w:rPr>
              <w:t>de f</w:t>
            </w:r>
            <w:r w:rsidRPr="00D03701">
              <w:rPr>
                <w:rFonts w:ascii="Arial" w:hAnsi="Arial" w:cs="Arial"/>
                <w:color w:val="000000"/>
                <w:sz w:val="22"/>
                <w:szCs w:val="22"/>
                <w:lang w:val="es-ES_tradnl"/>
              </w:rPr>
              <w:t>iscalizar US$</w:t>
            </w:r>
            <w:r w:rsidR="00616FFD" w:rsidRPr="00D03701">
              <w:rPr>
                <w:rFonts w:ascii="Arial" w:hAnsi="Arial" w:cs="Arial"/>
                <w:color w:val="000000"/>
                <w:sz w:val="22"/>
                <w:szCs w:val="22"/>
                <w:lang w:val="es-ES_tradnl"/>
              </w:rPr>
              <w:t xml:space="preserve"> 1 (un dólar)</w:t>
            </w:r>
            <w:r w:rsidRPr="00D03701">
              <w:rPr>
                <w:rFonts w:ascii="Arial" w:hAnsi="Arial" w:cs="Arial"/>
                <w:color w:val="000000"/>
                <w:sz w:val="22"/>
                <w:szCs w:val="22"/>
                <w:lang w:val="es-ES_tradnl"/>
              </w:rPr>
              <w:t>. Esto se</w:t>
            </w:r>
            <w:r w:rsidR="00616FFD" w:rsidRPr="00D03701">
              <w:rPr>
                <w:rFonts w:ascii="Arial" w:hAnsi="Arial" w:cs="Arial"/>
                <w:color w:val="000000"/>
                <w:sz w:val="22"/>
                <w:szCs w:val="22"/>
                <w:lang w:val="es-ES_tradnl"/>
              </w:rPr>
              <w:t xml:space="preserve"> logrará a través</w:t>
            </w:r>
            <w:r w:rsidRPr="00D03701">
              <w:rPr>
                <w:rFonts w:ascii="Arial" w:hAnsi="Arial" w:cs="Arial"/>
                <w:color w:val="000000"/>
                <w:sz w:val="22"/>
                <w:szCs w:val="22"/>
                <w:lang w:val="es-ES_tradnl"/>
              </w:rPr>
              <w:t xml:space="preserve"> de la implementación de metodologías y sistemas para posibilitar </w:t>
            </w:r>
            <w:r w:rsidR="004926F6" w:rsidRPr="00D03701">
              <w:rPr>
                <w:rFonts w:ascii="Arial" w:hAnsi="Arial" w:cs="Arial"/>
                <w:color w:val="000000"/>
                <w:sz w:val="22"/>
                <w:szCs w:val="22"/>
                <w:lang w:val="es-ES_tradnl"/>
              </w:rPr>
              <w:t>una</w:t>
            </w:r>
            <w:r w:rsidRPr="00D03701">
              <w:rPr>
                <w:rFonts w:ascii="Arial" w:hAnsi="Arial" w:cs="Arial"/>
                <w:color w:val="000000"/>
                <w:sz w:val="22"/>
                <w:szCs w:val="22"/>
                <w:lang w:val="es-ES_tradnl"/>
              </w:rPr>
              <w:t xml:space="preserve"> fiscalización </w:t>
            </w:r>
            <w:r w:rsidR="00B47FC9" w:rsidRPr="00D03701">
              <w:rPr>
                <w:rFonts w:ascii="Arial" w:hAnsi="Arial" w:cs="Arial"/>
                <w:color w:val="000000"/>
                <w:sz w:val="22"/>
                <w:szCs w:val="22"/>
                <w:lang w:val="es-ES_tradnl"/>
              </w:rPr>
              <w:t xml:space="preserve">electrónica </w:t>
            </w:r>
            <w:r w:rsidRPr="00D03701">
              <w:rPr>
                <w:rFonts w:ascii="Arial" w:hAnsi="Arial" w:cs="Arial"/>
                <w:color w:val="000000"/>
                <w:sz w:val="22"/>
                <w:szCs w:val="22"/>
                <w:lang w:val="es-ES_tradnl"/>
              </w:rPr>
              <w:t xml:space="preserve">masiva, que </w:t>
            </w:r>
            <w:r w:rsidR="00787311" w:rsidRPr="00440233">
              <w:rPr>
                <w:rFonts w:ascii="Arial" w:hAnsi="Arial" w:cs="Arial"/>
                <w:color w:val="000000"/>
                <w:sz w:val="22"/>
                <w:szCs w:val="22"/>
                <w:lang w:val="es-ES_tradnl"/>
              </w:rPr>
              <w:t>permitirá</w:t>
            </w:r>
            <w:r w:rsidRPr="00440233">
              <w:rPr>
                <w:rFonts w:ascii="Arial" w:hAnsi="Arial" w:cs="Arial"/>
                <w:color w:val="000000"/>
                <w:sz w:val="22"/>
                <w:szCs w:val="22"/>
                <w:lang w:val="es-ES_tradnl"/>
              </w:rPr>
              <w:t xml:space="preserve"> que un mismo fiscalizador pueda hacer varias fiscalizaciones simultaneas</w:t>
            </w:r>
            <w:r w:rsidR="00B47FC9" w:rsidRPr="00440233">
              <w:rPr>
                <w:rFonts w:ascii="Arial" w:hAnsi="Arial" w:cs="Arial"/>
                <w:color w:val="000000"/>
                <w:sz w:val="22"/>
                <w:szCs w:val="22"/>
                <w:lang w:val="es-ES_tradnl"/>
              </w:rPr>
              <w:t xml:space="preserve">. </w:t>
            </w:r>
            <w:r w:rsidR="004926F6" w:rsidRPr="00440233">
              <w:rPr>
                <w:rFonts w:ascii="Arial" w:hAnsi="Arial" w:cs="Arial"/>
                <w:color w:val="000000"/>
                <w:sz w:val="22"/>
                <w:szCs w:val="22"/>
                <w:lang w:val="es-ES_tradnl"/>
              </w:rPr>
              <w:t>En la actualidad, solamente 20% de los contribuyentes son fiscalizados de forma definitiva</w:t>
            </w:r>
            <w:r w:rsidR="00616FFD" w:rsidRPr="00440233">
              <w:rPr>
                <w:rStyle w:val="FootnoteReference"/>
                <w:rFonts w:ascii="Arial" w:hAnsi="Arial" w:cs="Arial"/>
                <w:color w:val="000000"/>
                <w:sz w:val="22"/>
                <w:szCs w:val="22"/>
                <w:lang w:val="es-ES_tradnl"/>
              </w:rPr>
              <w:footnoteReference w:id="28"/>
            </w:r>
            <w:r w:rsidR="004926F6" w:rsidRPr="00440233">
              <w:rPr>
                <w:rFonts w:ascii="Arial" w:hAnsi="Arial" w:cs="Arial"/>
                <w:color w:val="000000"/>
                <w:sz w:val="22"/>
                <w:szCs w:val="22"/>
                <w:lang w:val="es-ES_tradnl"/>
              </w:rPr>
              <w:t xml:space="preserve">. Se espera que este porcentaje suba </w:t>
            </w:r>
            <w:r w:rsidR="00616FFD" w:rsidRPr="00440233">
              <w:rPr>
                <w:rFonts w:ascii="Arial" w:hAnsi="Arial" w:cs="Arial"/>
                <w:color w:val="000000"/>
                <w:sz w:val="22"/>
                <w:szCs w:val="22"/>
                <w:lang w:val="es-ES_tradnl"/>
              </w:rPr>
              <w:t>hasta</w:t>
            </w:r>
            <w:r w:rsidR="004926F6" w:rsidRPr="00440233">
              <w:rPr>
                <w:rFonts w:ascii="Arial" w:hAnsi="Arial" w:cs="Arial"/>
                <w:color w:val="000000"/>
                <w:sz w:val="22"/>
                <w:szCs w:val="22"/>
                <w:lang w:val="es-ES_tradnl"/>
              </w:rPr>
              <w:t xml:space="preserve"> 80% </w:t>
            </w:r>
            <w:r w:rsidR="00F17485" w:rsidRPr="00440233">
              <w:rPr>
                <w:rFonts w:ascii="Arial" w:hAnsi="Arial" w:cs="Arial"/>
                <w:color w:val="000000"/>
                <w:sz w:val="22"/>
                <w:szCs w:val="22"/>
                <w:lang w:val="es-ES_tradnl"/>
              </w:rPr>
              <w:t>al</w:t>
            </w:r>
            <w:r w:rsidR="004926F6" w:rsidRPr="00440233">
              <w:rPr>
                <w:rFonts w:ascii="Arial" w:hAnsi="Arial" w:cs="Arial"/>
                <w:color w:val="000000"/>
                <w:sz w:val="22"/>
                <w:szCs w:val="22"/>
                <w:lang w:val="es-ES_tradnl"/>
              </w:rPr>
              <w:t xml:space="preserve"> final del proyecto.</w:t>
            </w:r>
          </w:p>
        </w:tc>
      </w:tr>
    </w:tbl>
    <w:p w14:paraId="0B8C021D" w14:textId="05AC86E4" w:rsidR="00D0100F" w:rsidRPr="00D03701" w:rsidRDefault="00D0100F" w:rsidP="001137D4">
      <w:pPr>
        <w:pStyle w:val="Paragraph"/>
        <w:numPr>
          <w:ilvl w:val="1"/>
          <w:numId w:val="38"/>
        </w:numPr>
        <w:tabs>
          <w:tab w:val="num" w:pos="1800"/>
          <w:tab w:val="num" w:pos="2196"/>
        </w:tabs>
        <w:ind w:left="720" w:hanging="720"/>
        <w:outlineLvl w:val="9"/>
        <w:rPr>
          <w:rFonts w:ascii="Arial" w:hAnsi="Arial" w:cs="Arial"/>
          <w:b/>
          <w:color w:val="000000"/>
          <w:sz w:val="22"/>
          <w:szCs w:val="22"/>
          <w:lang w:val="es-ES_tradnl"/>
        </w:rPr>
      </w:pPr>
      <w:r w:rsidRPr="00D03701">
        <w:rPr>
          <w:rFonts w:ascii="Arial" w:hAnsi="Arial" w:cs="Arial"/>
          <w:b/>
          <w:color w:val="000000"/>
          <w:sz w:val="22"/>
          <w:szCs w:val="22"/>
          <w:lang w:val="es-ES_tradnl"/>
        </w:rPr>
        <w:t xml:space="preserve">Descripción de la </w:t>
      </w:r>
      <w:r w:rsidR="00C31A56" w:rsidRPr="00D03701">
        <w:rPr>
          <w:rFonts w:ascii="Arial" w:hAnsi="Arial" w:cs="Arial"/>
          <w:b/>
          <w:color w:val="000000"/>
          <w:sz w:val="22"/>
          <w:szCs w:val="22"/>
          <w:lang w:val="es-ES_tradnl"/>
        </w:rPr>
        <w:t>m</w:t>
      </w:r>
      <w:r w:rsidRPr="00D03701">
        <w:rPr>
          <w:rFonts w:ascii="Arial" w:hAnsi="Arial" w:cs="Arial"/>
          <w:b/>
          <w:color w:val="000000"/>
          <w:sz w:val="22"/>
          <w:szCs w:val="22"/>
          <w:lang w:val="es-ES_tradnl"/>
        </w:rPr>
        <w:t xml:space="preserve">etodología. </w:t>
      </w:r>
      <w:r w:rsidR="00787311" w:rsidRPr="00D03701">
        <w:rPr>
          <w:rFonts w:ascii="Arial" w:hAnsi="Arial" w:cs="Arial"/>
          <w:color w:val="000000"/>
          <w:sz w:val="22"/>
          <w:szCs w:val="22"/>
          <w:lang w:val="es-ES_tradnl"/>
        </w:rPr>
        <w:t xml:space="preserve">La metodología utilizada consiste en: (i) sin proyecto - calcular el costo actual para </w:t>
      </w:r>
      <w:r w:rsidR="004926F6" w:rsidRPr="00D03701">
        <w:rPr>
          <w:rFonts w:ascii="Arial" w:hAnsi="Arial" w:cs="Arial"/>
          <w:color w:val="000000"/>
          <w:sz w:val="22"/>
          <w:szCs w:val="22"/>
          <w:lang w:val="es-ES_tradnl"/>
        </w:rPr>
        <w:t>la SUNAT</w:t>
      </w:r>
      <w:r w:rsidR="0058037B" w:rsidRPr="00D03701">
        <w:rPr>
          <w:rFonts w:ascii="Arial" w:hAnsi="Arial" w:cs="Arial"/>
          <w:color w:val="000000"/>
          <w:sz w:val="22"/>
          <w:szCs w:val="22"/>
          <w:lang w:val="es-ES_tradnl"/>
        </w:rPr>
        <w:t xml:space="preserve"> </w:t>
      </w:r>
      <w:r w:rsidR="00616FFD" w:rsidRPr="00D03701">
        <w:rPr>
          <w:rFonts w:ascii="Arial" w:hAnsi="Arial" w:cs="Arial"/>
          <w:color w:val="000000"/>
          <w:sz w:val="22"/>
          <w:szCs w:val="22"/>
          <w:lang w:val="es-ES_tradnl"/>
        </w:rPr>
        <w:t xml:space="preserve">de </w:t>
      </w:r>
      <w:r w:rsidR="00787311" w:rsidRPr="00D03701">
        <w:rPr>
          <w:rFonts w:ascii="Arial" w:hAnsi="Arial" w:cs="Arial"/>
          <w:color w:val="000000"/>
          <w:sz w:val="22"/>
          <w:szCs w:val="22"/>
          <w:lang w:val="es-ES_tradnl"/>
        </w:rPr>
        <w:t xml:space="preserve">fiscalizar US$1 recaudado, utilizando </w:t>
      </w:r>
      <w:r w:rsidR="001538B4" w:rsidRPr="00D03701">
        <w:rPr>
          <w:rFonts w:ascii="Arial" w:hAnsi="Arial" w:cs="Arial"/>
          <w:color w:val="000000"/>
          <w:sz w:val="22"/>
          <w:szCs w:val="22"/>
          <w:lang w:val="es-ES_tradnl"/>
        </w:rPr>
        <w:t xml:space="preserve">de forma conservadora </w:t>
      </w:r>
      <w:r w:rsidR="00787311" w:rsidRPr="00D03701">
        <w:rPr>
          <w:rFonts w:ascii="Arial" w:hAnsi="Arial" w:cs="Arial"/>
          <w:color w:val="000000"/>
          <w:sz w:val="22"/>
          <w:szCs w:val="22"/>
          <w:lang w:val="es-ES_tradnl"/>
        </w:rPr>
        <w:t>solamente el costo de los salarios de los auditores</w:t>
      </w:r>
      <w:r w:rsidR="001538B4" w:rsidRPr="00D03701">
        <w:rPr>
          <w:rFonts w:ascii="Arial" w:hAnsi="Arial" w:cs="Arial"/>
          <w:color w:val="000000"/>
          <w:sz w:val="22"/>
          <w:szCs w:val="22"/>
          <w:lang w:val="es-ES_tradnl"/>
        </w:rPr>
        <w:t>. Los costos indirectos de consumo de utilidades no fueron considerados</w:t>
      </w:r>
      <w:r w:rsidR="00787311" w:rsidRPr="00D03701">
        <w:rPr>
          <w:rFonts w:ascii="Arial" w:hAnsi="Arial" w:cs="Arial"/>
          <w:color w:val="000000"/>
          <w:sz w:val="22"/>
          <w:szCs w:val="22"/>
          <w:lang w:val="es-ES_tradnl"/>
        </w:rPr>
        <w:t xml:space="preserve">; (ii) con proyecto - estimar el costo futuro para </w:t>
      </w:r>
      <w:r w:rsidR="004926F6" w:rsidRPr="00D03701">
        <w:rPr>
          <w:rFonts w:ascii="Arial" w:hAnsi="Arial" w:cs="Arial"/>
          <w:color w:val="000000"/>
          <w:sz w:val="22"/>
          <w:szCs w:val="22"/>
          <w:lang w:val="es-ES_tradnl"/>
        </w:rPr>
        <w:t>la SUNAT</w:t>
      </w:r>
      <w:r w:rsidR="00787311" w:rsidRPr="00D03701">
        <w:rPr>
          <w:rFonts w:ascii="Arial" w:hAnsi="Arial" w:cs="Arial"/>
          <w:color w:val="000000"/>
          <w:sz w:val="22"/>
          <w:szCs w:val="22"/>
          <w:lang w:val="es-ES_tradnl"/>
        </w:rPr>
        <w:t xml:space="preserve"> </w:t>
      </w:r>
      <w:r w:rsidR="00616FFD" w:rsidRPr="00D03701">
        <w:rPr>
          <w:rFonts w:ascii="Arial" w:hAnsi="Arial" w:cs="Arial"/>
          <w:color w:val="000000"/>
          <w:sz w:val="22"/>
          <w:szCs w:val="22"/>
          <w:lang w:val="es-ES_tradnl"/>
        </w:rPr>
        <w:t xml:space="preserve">de </w:t>
      </w:r>
      <w:r w:rsidR="00787311" w:rsidRPr="00D03701">
        <w:rPr>
          <w:rFonts w:ascii="Arial" w:hAnsi="Arial" w:cs="Arial"/>
          <w:color w:val="000000"/>
          <w:sz w:val="22"/>
          <w:szCs w:val="22"/>
          <w:lang w:val="es-ES_tradnl"/>
        </w:rPr>
        <w:t xml:space="preserve">fiscalizar US$1 recaudado, considerando el aumento de la productividad del auditor; y (iii) calcular la diferencia entre los dos escenarios para estimar </w:t>
      </w:r>
      <w:r w:rsidR="00616FFD" w:rsidRPr="00D03701">
        <w:rPr>
          <w:rFonts w:ascii="Arial" w:hAnsi="Arial" w:cs="Arial"/>
          <w:color w:val="000000"/>
          <w:sz w:val="22"/>
          <w:szCs w:val="22"/>
          <w:lang w:val="es-ES_tradnl"/>
        </w:rPr>
        <w:t xml:space="preserve">los ahorros para </w:t>
      </w:r>
      <w:r w:rsidR="004926F6" w:rsidRPr="00D03701">
        <w:rPr>
          <w:rFonts w:ascii="Arial" w:hAnsi="Arial" w:cs="Arial"/>
          <w:color w:val="000000"/>
          <w:sz w:val="22"/>
          <w:szCs w:val="22"/>
          <w:lang w:val="es-ES_tradnl"/>
        </w:rPr>
        <w:t>la SUNAT</w:t>
      </w:r>
      <w:r w:rsidR="00787311" w:rsidRPr="00D03701">
        <w:rPr>
          <w:rFonts w:ascii="Arial" w:hAnsi="Arial" w:cs="Arial"/>
          <w:color w:val="000000"/>
          <w:sz w:val="22"/>
          <w:szCs w:val="22"/>
          <w:lang w:val="es-ES_tradnl"/>
        </w:rPr>
        <w:t xml:space="preserve"> </w:t>
      </w:r>
      <w:r w:rsidR="00616FFD" w:rsidRPr="00D03701">
        <w:rPr>
          <w:rFonts w:ascii="Arial" w:hAnsi="Arial" w:cs="Arial"/>
          <w:color w:val="000000"/>
          <w:sz w:val="22"/>
          <w:szCs w:val="22"/>
          <w:lang w:val="es-ES_tradnl"/>
        </w:rPr>
        <w:t>para</w:t>
      </w:r>
      <w:r w:rsidR="00787311" w:rsidRPr="00D03701">
        <w:rPr>
          <w:rFonts w:ascii="Arial" w:hAnsi="Arial" w:cs="Arial"/>
          <w:color w:val="000000"/>
          <w:sz w:val="22"/>
          <w:szCs w:val="22"/>
          <w:lang w:val="es-ES_tradnl"/>
        </w:rPr>
        <w:t xml:space="preserve"> fiscalizar US$1 recaudado.</w:t>
      </w:r>
    </w:p>
    <w:p w14:paraId="1539BE12" w14:textId="45844C10" w:rsidR="00787311" w:rsidRPr="00440233" w:rsidRDefault="00787311" w:rsidP="00787311">
      <w:pPr>
        <w:pStyle w:val="Paragraph"/>
        <w:numPr>
          <w:ilvl w:val="0"/>
          <w:numId w:val="0"/>
        </w:numPr>
        <w:tabs>
          <w:tab w:val="num" w:pos="1800"/>
          <w:tab w:val="num" w:pos="2196"/>
        </w:tabs>
        <w:ind w:left="720"/>
        <w:outlineLvl w:val="9"/>
        <w:rPr>
          <w:rFonts w:ascii="Arial" w:hAnsi="Arial" w:cs="Arial"/>
          <w:b/>
          <w:color w:val="000000"/>
          <w:sz w:val="22"/>
          <w:szCs w:val="22"/>
          <w:lang w:val="es-ES_tradnl"/>
        </w:rPr>
      </w:pPr>
      <w:r w:rsidRPr="00D03701">
        <w:rPr>
          <w:rFonts w:ascii="Arial" w:hAnsi="Arial" w:cs="Arial"/>
          <w:b/>
          <w:color w:val="000000"/>
          <w:sz w:val="22"/>
          <w:szCs w:val="22"/>
          <w:lang w:val="es-ES_tradnl"/>
        </w:rPr>
        <w:t xml:space="preserve">Estimación del </w:t>
      </w:r>
      <w:r w:rsidR="00C31A56" w:rsidRPr="00D03701">
        <w:rPr>
          <w:rFonts w:ascii="Arial" w:hAnsi="Arial" w:cs="Arial"/>
          <w:b/>
          <w:color w:val="000000"/>
          <w:sz w:val="22"/>
          <w:szCs w:val="22"/>
          <w:lang w:val="es-ES_tradnl"/>
        </w:rPr>
        <w:t>c</w:t>
      </w:r>
      <w:r w:rsidRPr="00D03701">
        <w:rPr>
          <w:rFonts w:ascii="Arial" w:hAnsi="Arial" w:cs="Arial"/>
          <w:b/>
          <w:color w:val="000000"/>
          <w:sz w:val="22"/>
          <w:szCs w:val="22"/>
          <w:lang w:val="es-ES_tradnl"/>
        </w:rPr>
        <w:t xml:space="preserve">osto para </w:t>
      </w:r>
      <w:r w:rsidRPr="00440233">
        <w:rPr>
          <w:rFonts w:ascii="Arial" w:hAnsi="Arial" w:cs="Arial"/>
          <w:b/>
          <w:color w:val="000000"/>
          <w:sz w:val="22"/>
          <w:szCs w:val="22"/>
          <w:lang w:val="es-ES_tradnl"/>
        </w:rPr>
        <w:t>fiscalizar US$1 sin Proyecto</w:t>
      </w:r>
    </w:p>
    <w:p w14:paraId="633D8078" w14:textId="2722518F" w:rsidR="00787311" w:rsidRPr="00440233" w:rsidRDefault="0064609F" w:rsidP="001137D4">
      <w:pPr>
        <w:pStyle w:val="Paragraph"/>
        <w:numPr>
          <w:ilvl w:val="1"/>
          <w:numId w:val="38"/>
        </w:numPr>
        <w:tabs>
          <w:tab w:val="num" w:pos="1800"/>
          <w:tab w:val="num" w:pos="2196"/>
        </w:tabs>
        <w:ind w:left="720" w:hanging="720"/>
        <w:outlineLvl w:val="9"/>
        <w:rPr>
          <w:rFonts w:ascii="Arial" w:hAnsi="Arial" w:cs="Arial"/>
          <w:b/>
          <w:color w:val="000000"/>
          <w:sz w:val="22"/>
          <w:szCs w:val="22"/>
          <w:lang w:val="es-ES_tradnl"/>
        </w:rPr>
      </w:pPr>
      <w:r w:rsidRPr="00440233">
        <w:rPr>
          <w:rFonts w:ascii="Arial" w:hAnsi="Arial" w:cs="Arial"/>
          <w:color w:val="000000"/>
          <w:sz w:val="22"/>
          <w:szCs w:val="22"/>
          <w:lang w:val="es-ES_tradnl"/>
        </w:rPr>
        <w:t xml:space="preserve">El Cuadro </w:t>
      </w:r>
      <w:r w:rsidR="00A060F5" w:rsidRPr="00440233">
        <w:rPr>
          <w:rFonts w:ascii="Arial" w:hAnsi="Arial" w:cs="Arial"/>
          <w:color w:val="000000"/>
          <w:sz w:val="22"/>
          <w:szCs w:val="22"/>
          <w:lang w:val="es-ES_tradnl"/>
        </w:rPr>
        <w:t>2</w:t>
      </w:r>
      <w:r w:rsidRPr="00440233">
        <w:rPr>
          <w:rFonts w:ascii="Arial" w:hAnsi="Arial" w:cs="Arial"/>
          <w:color w:val="000000"/>
          <w:sz w:val="22"/>
          <w:szCs w:val="22"/>
          <w:lang w:val="es-ES_tradnl"/>
        </w:rPr>
        <w:t xml:space="preserve"> presenta en la columna correspondiente al año </w:t>
      </w:r>
      <w:r w:rsidR="00F17485" w:rsidRPr="00440233">
        <w:rPr>
          <w:rFonts w:ascii="Arial" w:hAnsi="Arial" w:cs="Arial"/>
          <w:color w:val="000000"/>
          <w:sz w:val="22"/>
          <w:szCs w:val="22"/>
          <w:lang w:val="es-ES_tradnl"/>
        </w:rPr>
        <w:t>2021 (tercer año de ejecución del proyecto)</w:t>
      </w:r>
      <w:r w:rsidRPr="00440233">
        <w:rPr>
          <w:rFonts w:ascii="Arial" w:hAnsi="Arial" w:cs="Arial"/>
          <w:color w:val="000000"/>
          <w:sz w:val="22"/>
          <w:szCs w:val="22"/>
          <w:lang w:val="es-ES_tradnl"/>
        </w:rPr>
        <w:t xml:space="preserve"> </w:t>
      </w:r>
      <w:r w:rsidR="00BE3461" w:rsidRPr="00440233">
        <w:rPr>
          <w:rFonts w:ascii="Arial" w:hAnsi="Arial" w:cs="Arial"/>
          <w:color w:val="000000"/>
          <w:sz w:val="22"/>
          <w:szCs w:val="22"/>
          <w:lang w:val="es-ES_tradnl"/>
        </w:rPr>
        <w:t>la estimación de los</w:t>
      </w:r>
      <w:r w:rsidR="00F17485" w:rsidRPr="00440233">
        <w:rPr>
          <w:rFonts w:ascii="Arial" w:hAnsi="Arial" w:cs="Arial"/>
          <w:color w:val="000000"/>
          <w:sz w:val="22"/>
          <w:szCs w:val="22"/>
          <w:lang w:val="es-ES_tradnl"/>
        </w:rPr>
        <w:t xml:space="preserve"> costo</w:t>
      </w:r>
      <w:r w:rsidR="00BE3461" w:rsidRPr="00440233">
        <w:rPr>
          <w:rFonts w:ascii="Arial" w:hAnsi="Arial" w:cs="Arial"/>
          <w:color w:val="000000"/>
          <w:sz w:val="22"/>
          <w:szCs w:val="22"/>
          <w:lang w:val="es-ES_tradnl"/>
        </w:rPr>
        <w:t>s</w:t>
      </w:r>
      <w:r w:rsidR="00F17485" w:rsidRPr="00440233">
        <w:rPr>
          <w:rFonts w:ascii="Arial" w:hAnsi="Arial" w:cs="Arial"/>
          <w:color w:val="000000"/>
          <w:sz w:val="22"/>
          <w:szCs w:val="22"/>
          <w:lang w:val="es-ES_tradnl"/>
        </w:rPr>
        <w:t xml:space="preserve"> de los</w:t>
      </w:r>
      <w:r w:rsidRPr="00440233">
        <w:rPr>
          <w:rFonts w:ascii="Arial" w:hAnsi="Arial" w:cs="Arial"/>
          <w:color w:val="000000"/>
          <w:sz w:val="22"/>
          <w:szCs w:val="22"/>
          <w:lang w:val="es-ES_tradnl"/>
        </w:rPr>
        <w:t xml:space="preserve"> salarios de los auditores para fiscalizar US</w:t>
      </w:r>
      <w:r w:rsidR="009027FD" w:rsidRPr="00440233">
        <w:rPr>
          <w:rFonts w:ascii="Arial" w:hAnsi="Arial" w:cs="Arial"/>
          <w:color w:val="000000"/>
          <w:sz w:val="22"/>
          <w:szCs w:val="22"/>
          <w:lang w:val="es-ES_tradnl"/>
        </w:rPr>
        <w:t>$</w:t>
      </w:r>
      <w:r w:rsidRPr="00440233">
        <w:rPr>
          <w:rFonts w:ascii="Arial" w:hAnsi="Arial" w:cs="Arial"/>
          <w:color w:val="000000"/>
          <w:sz w:val="22"/>
          <w:szCs w:val="22"/>
          <w:lang w:val="es-ES_tradnl"/>
        </w:rPr>
        <w:t>1.</w:t>
      </w:r>
    </w:p>
    <w:p w14:paraId="7DBBD4CE" w14:textId="3C38A116" w:rsidR="00563603" w:rsidRPr="00440233" w:rsidRDefault="00256E65"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pPr>
      <w:r w:rsidRPr="00440233">
        <w:rPr>
          <w:rFonts w:ascii="Arial" w:hAnsi="Arial" w:cs="Arial"/>
          <w:color w:val="000000"/>
          <w:sz w:val="22"/>
          <w:szCs w:val="22"/>
          <w:lang w:val="es-ES_tradnl"/>
        </w:rPr>
        <w:t xml:space="preserve">De acuerdo con información provista por la </w:t>
      </w:r>
      <w:r w:rsidR="004926F6" w:rsidRPr="00440233">
        <w:rPr>
          <w:rFonts w:ascii="Arial" w:hAnsi="Arial" w:cs="Arial"/>
          <w:color w:val="000000"/>
          <w:sz w:val="22"/>
          <w:szCs w:val="22"/>
          <w:lang w:val="es-ES_tradnl"/>
        </w:rPr>
        <w:t>SUNAT</w:t>
      </w:r>
      <w:r w:rsidR="00651C46" w:rsidRPr="00440233">
        <w:rPr>
          <w:rFonts w:ascii="Arial" w:hAnsi="Arial" w:cs="Arial"/>
          <w:color w:val="000000"/>
          <w:sz w:val="22"/>
          <w:szCs w:val="22"/>
          <w:lang w:val="es-ES_tradnl"/>
        </w:rPr>
        <w:t xml:space="preserve"> (2017)</w:t>
      </w:r>
      <w:r w:rsidR="00966D60" w:rsidRPr="00440233">
        <w:rPr>
          <w:rFonts w:ascii="Arial" w:hAnsi="Arial" w:cs="Arial"/>
          <w:color w:val="000000"/>
          <w:sz w:val="22"/>
          <w:szCs w:val="22"/>
          <w:lang w:val="es-ES_tradnl"/>
        </w:rPr>
        <w:t>, en</w:t>
      </w:r>
      <w:r w:rsidRPr="00440233">
        <w:rPr>
          <w:rFonts w:ascii="Arial" w:hAnsi="Arial" w:cs="Arial"/>
          <w:color w:val="000000"/>
          <w:sz w:val="22"/>
          <w:szCs w:val="22"/>
          <w:lang w:val="es-ES_tradnl"/>
        </w:rPr>
        <w:t xml:space="preserve"> 2</w:t>
      </w:r>
      <w:r w:rsidR="00F17485" w:rsidRPr="00440233">
        <w:rPr>
          <w:rFonts w:ascii="Arial" w:hAnsi="Arial" w:cs="Arial"/>
          <w:color w:val="000000"/>
          <w:sz w:val="22"/>
          <w:szCs w:val="22"/>
          <w:lang w:val="es-ES_tradnl"/>
        </w:rPr>
        <w:t>021</w:t>
      </w:r>
      <w:r w:rsidR="00651C46" w:rsidRPr="00440233">
        <w:rPr>
          <w:rFonts w:ascii="Arial" w:hAnsi="Arial" w:cs="Arial"/>
          <w:color w:val="000000"/>
          <w:sz w:val="22"/>
          <w:szCs w:val="22"/>
          <w:lang w:val="es-ES_tradnl"/>
        </w:rPr>
        <w:t xml:space="preserve">, </w:t>
      </w:r>
      <w:r w:rsidR="00BE3461" w:rsidRPr="00440233">
        <w:rPr>
          <w:rFonts w:ascii="Arial" w:hAnsi="Arial" w:cs="Arial"/>
          <w:color w:val="000000"/>
          <w:sz w:val="22"/>
          <w:szCs w:val="22"/>
          <w:lang w:val="es-ES_tradnl"/>
        </w:rPr>
        <w:t>aplicándose</w:t>
      </w:r>
      <w:r w:rsidR="00651C46" w:rsidRPr="00440233">
        <w:rPr>
          <w:rFonts w:ascii="Arial" w:hAnsi="Arial" w:cs="Arial"/>
          <w:color w:val="000000"/>
          <w:sz w:val="22"/>
          <w:szCs w:val="22"/>
          <w:lang w:val="es-ES_tradnl"/>
        </w:rPr>
        <w:t xml:space="preserve"> el porcentaje de crecimiento económico de 4%,</w:t>
      </w:r>
      <w:r w:rsidRPr="00440233">
        <w:rPr>
          <w:rFonts w:ascii="Arial" w:hAnsi="Arial" w:cs="Arial"/>
          <w:color w:val="000000"/>
          <w:sz w:val="22"/>
          <w:szCs w:val="22"/>
          <w:lang w:val="es-ES_tradnl"/>
        </w:rPr>
        <w:t xml:space="preserve"> </w:t>
      </w:r>
      <w:r w:rsidR="004926F6" w:rsidRPr="00440233">
        <w:rPr>
          <w:rFonts w:ascii="Arial" w:hAnsi="Arial" w:cs="Arial"/>
          <w:color w:val="000000"/>
          <w:sz w:val="22"/>
          <w:szCs w:val="22"/>
          <w:lang w:val="es-ES_tradnl"/>
        </w:rPr>
        <w:t xml:space="preserve">la </w:t>
      </w:r>
      <w:r w:rsidR="00F17485" w:rsidRPr="00440233">
        <w:rPr>
          <w:rFonts w:ascii="Arial" w:hAnsi="Arial" w:cs="Arial"/>
          <w:color w:val="000000"/>
          <w:sz w:val="22"/>
          <w:szCs w:val="22"/>
          <w:lang w:val="es-ES_tradnl"/>
        </w:rPr>
        <w:t xml:space="preserve">recaudación tributaria estimada será de </w:t>
      </w:r>
      <w:r w:rsidRPr="00440233">
        <w:rPr>
          <w:rFonts w:ascii="Arial" w:hAnsi="Arial" w:cs="Arial"/>
          <w:color w:val="000000"/>
          <w:sz w:val="22"/>
          <w:szCs w:val="22"/>
          <w:lang w:val="es-ES_tradnl"/>
        </w:rPr>
        <w:t xml:space="preserve">US$ </w:t>
      </w:r>
      <w:r w:rsidR="00F17485" w:rsidRPr="00440233">
        <w:rPr>
          <w:rFonts w:ascii="Arial" w:hAnsi="Arial" w:cs="Arial"/>
          <w:color w:val="000000"/>
          <w:sz w:val="22"/>
          <w:szCs w:val="22"/>
          <w:lang w:val="es-ES_tradnl"/>
        </w:rPr>
        <w:t>32</w:t>
      </w:r>
      <w:r w:rsidR="00E60635" w:rsidRPr="00440233">
        <w:rPr>
          <w:rFonts w:ascii="Arial" w:hAnsi="Arial" w:cs="Arial"/>
          <w:color w:val="000000"/>
          <w:sz w:val="22"/>
          <w:szCs w:val="22"/>
          <w:lang w:val="es-ES_tradnl"/>
        </w:rPr>
        <w:t>.</w:t>
      </w:r>
      <w:r w:rsidR="00F17485" w:rsidRPr="00440233">
        <w:rPr>
          <w:rFonts w:ascii="Arial" w:hAnsi="Arial" w:cs="Arial"/>
          <w:color w:val="000000"/>
          <w:sz w:val="22"/>
          <w:szCs w:val="22"/>
          <w:lang w:val="es-ES_tradnl"/>
        </w:rPr>
        <w:t>8</w:t>
      </w:r>
      <w:r w:rsidRPr="00440233">
        <w:rPr>
          <w:rFonts w:ascii="Arial" w:hAnsi="Arial" w:cs="Arial"/>
          <w:color w:val="000000"/>
          <w:sz w:val="22"/>
          <w:szCs w:val="22"/>
          <w:lang w:val="es-ES_tradnl"/>
        </w:rPr>
        <w:t xml:space="preserve"> </w:t>
      </w:r>
      <w:r w:rsidR="00E60635" w:rsidRPr="00440233">
        <w:rPr>
          <w:rFonts w:ascii="Arial" w:hAnsi="Arial" w:cs="Arial"/>
          <w:color w:val="000000"/>
          <w:sz w:val="22"/>
          <w:szCs w:val="22"/>
          <w:lang w:val="es-ES_tradnl"/>
        </w:rPr>
        <w:t>b</w:t>
      </w:r>
      <w:r w:rsidRPr="00440233">
        <w:rPr>
          <w:rFonts w:ascii="Arial" w:hAnsi="Arial" w:cs="Arial"/>
          <w:color w:val="000000"/>
          <w:sz w:val="22"/>
          <w:szCs w:val="22"/>
          <w:lang w:val="es-ES_tradnl"/>
        </w:rPr>
        <w:t xml:space="preserve">illones (línea </w:t>
      </w:r>
      <w:r w:rsidR="00543A76" w:rsidRPr="00440233">
        <w:rPr>
          <w:rFonts w:ascii="Arial" w:hAnsi="Arial" w:cs="Arial"/>
          <w:color w:val="000000"/>
          <w:sz w:val="22"/>
          <w:szCs w:val="22"/>
          <w:lang w:val="es-ES_tradnl"/>
        </w:rPr>
        <w:t>2</w:t>
      </w:r>
      <w:r w:rsidRPr="00440233">
        <w:rPr>
          <w:rFonts w:ascii="Arial" w:hAnsi="Arial" w:cs="Arial"/>
          <w:color w:val="000000"/>
          <w:sz w:val="22"/>
          <w:szCs w:val="22"/>
          <w:lang w:val="es-ES_tradnl"/>
        </w:rPr>
        <w:t xml:space="preserve">); </w:t>
      </w:r>
      <w:r w:rsidR="00651C46" w:rsidRPr="00440233">
        <w:rPr>
          <w:rFonts w:ascii="Arial" w:hAnsi="Arial" w:cs="Arial"/>
          <w:color w:val="000000"/>
          <w:sz w:val="22"/>
          <w:szCs w:val="22"/>
          <w:lang w:val="es-ES_tradnl"/>
        </w:rPr>
        <w:t>Asimismo</w:t>
      </w:r>
      <w:r w:rsidRPr="00440233">
        <w:rPr>
          <w:rFonts w:ascii="Arial" w:hAnsi="Arial" w:cs="Arial"/>
          <w:color w:val="000000"/>
          <w:sz w:val="22"/>
          <w:szCs w:val="22"/>
          <w:lang w:val="es-ES_tradnl"/>
        </w:rPr>
        <w:t xml:space="preserve">, </w:t>
      </w:r>
      <w:r w:rsidR="00651C46" w:rsidRPr="00440233">
        <w:rPr>
          <w:rFonts w:ascii="Arial" w:hAnsi="Arial" w:cs="Arial"/>
          <w:color w:val="000000"/>
          <w:sz w:val="22"/>
          <w:szCs w:val="22"/>
          <w:lang w:val="es-ES_tradnl"/>
        </w:rPr>
        <w:t xml:space="preserve">como </w:t>
      </w:r>
      <w:r w:rsidRPr="00440233">
        <w:rPr>
          <w:rFonts w:ascii="Arial" w:hAnsi="Arial" w:cs="Arial"/>
          <w:color w:val="000000"/>
          <w:sz w:val="22"/>
          <w:szCs w:val="22"/>
          <w:lang w:val="es-ES_tradnl"/>
        </w:rPr>
        <w:t xml:space="preserve">solamente </w:t>
      </w:r>
      <w:r w:rsidR="00E56650" w:rsidRPr="00440233">
        <w:rPr>
          <w:rFonts w:ascii="Arial" w:hAnsi="Arial" w:cs="Arial"/>
          <w:color w:val="000000"/>
          <w:sz w:val="22"/>
          <w:szCs w:val="22"/>
          <w:lang w:val="es-ES_tradnl"/>
        </w:rPr>
        <w:t xml:space="preserve">el </w:t>
      </w:r>
      <w:r w:rsidR="00F17485" w:rsidRPr="00440233">
        <w:rPr>
          <w:rFonts w:ascii="Arial" w:hAnsi="Arial" w:cs="Arial"/>
          <w:color w:val="000000"/>
          <w:sz w:val="22"/>
          <w:szCs w:val="22"/>
          <w:lang w:val="es-ES_tradnl"/>
        </w:rPr>
        <w:t>20</w:t>
      </w:r>
      <w:r w:rsidRPr="00440233">
        <w:rPr>
          <w:rFonts w:ascii="Arial" w:hAnsi="Arial" w:cs="Arial"/>
          <w:color w:val="000000"/>
          <w:sz w:val="22"/>
          <w:szCs w:val="22"/>
          <w:lang w:val="es-ES_tradnl"/>
        </w:rPr>
        <w:t xml:space="preserve">% (línea </w:t>
      </w:r>
      <w:r w:rsidR="00543A76" w:rsidRPr="00440233">
        <w:rPr>
          <w:rFonts w:ascii="Arial" w:hAnsi="Arial" w:cs="Arial"/>
          <w:color w:val="000000"/>
          <w:sz w:val="22"/>
          <w:szCs w:val="22"/>
          <w:lang w:val="es-ES_tradnl"/>
        </w:rPr>
        <w:t>3</w:t>
      </w:r>
      <w:r w:rsidRPr="00440233">
        <w:rPr>
          <w:rFonts w:ascii="Arial" w:hAnsi="Arial" w:cs="Arial"/>
          <w:color w:val="000000"/>
          <w:sz w:val="22"/>
          <w:szCs w:val="22"/>
          <w:lang w:val="es-ES_tradnl"/>
        </w:rPr>
        <w:t xml:space="preserve">) de esta recaudación </w:t>
      </w:r>
      <w:r w:rsidR="00651C46" w:rsidRPr="00440233">
        <w:rPr>
          <w:rFonts w:ascii="Arial" w:hAnsi="Arial" w:cs="Arial"/>
          <w:color w:val="000000"/>
          <w:sz w:val="22"/>
          <w:szCs w:val="22"/>
          <w:lang w:val="es-ES_tradnl"/>
        </w:rPr>
        <w:t>viene siendo</w:t>
      </w:r>
      <w:r w:rsidRPr="00440233">
        <w:rPr>
          <w:rFonts w:ascii="Arial" w:hAnsi="Arial" w:cs="Arial"/>
          <w:color w:val="000000"/>
          <w:sz w:val="22"/>
          <w:szCs w:val="22"/>
          <w:lang w:val="es-ES_tradnl"/>
        </w:rPr>
        <w:t xml:space="preserve"> </w:t>
      </w:r>
      <w:r w:rsidR="00F17485" w:rsidRPr="00440233">
        <w:rPr>
          <w:rFonts w:ascii="Arial" w:hAnsi="Arial" w:cs="Arial"/>
          <w:color w:val="000000"/>
          <w:sz w:val="22"/>
          <w:szCs w:val="22"/>
          <w:lang w:val="es-ES_tradnl"/>
        </w:rPr>
        <w:t>fiscalizada de forma definitiva,</w:t>
      </w:r>
      <w:r w:rsidRPr="00440233">
        <w:rPr>
          <w:rFonts w:ascii="Arial" w:hAnsi="Arial" w:cs="Arial"/>
          <w:color w:val="000000"/>
          <w:sz w:val="22"/>
          <w:szCs w:val="22"/>
          <w:lang w:val="es-ES_tradnl"/>
        </w:rPr>
        <w:t xml:space="preserve"> </w:t>
      </w:r>
      <w:r w:rsidR="00651C46" w:rsidRPr="00440233">
        <w:rPr>
          <w:rFonts w:ascii="Arial" w:hAnsi="Arial" w:cs="Arial"/>
          <w:color w:val="000000"/>
          <w:sz w:val="22"/>
          <w:szCs w:val="22"/>
          <w:lang w:val="es-ES_tradnl"/>
        </w:rPr>
        <w:t xml:space="preserve">el monto </w:t>
      </w:r>
      <w:r w:rsidR="000B7385" w:rsidRPr="00440233">
        <w:rPr>
          <w:rFonts w:ascii="Arial" w:hAnsi="Arial" w:cs="Arial"/>
          <w:color w:val="000000"/>
          <w:sz w:val="22"/>
          <w:szCs w:val="22"/>
          <w:lang w:val="es-ES_tradnl"/>
        </w:rPr>
        <w:t xml:space="preserve">realmente </w:t>
      </w:r>
      <w:r w:rsidR="00651C46" w:rsidRPr="00440233">
        <w:rPr>
          <w:rFonts w:ascii="Arial" w:hAnsi="Arial" w:cs="Arial"/>
          <w:color w:val="000000"/>
          <w:sz w:val="22"/>
          <w:szCs w:val="22"/>
          <w:lang w:val="es-ES_tradnl"/>
        </w:rPr>
        <w:t xml:space="preserve">fiscalizado </w:t>
      </w:r>
      <w:r w:rsidR="00BE3461" w:rsidRPr="00440233">
        <w:rPr>
          <w:rFonts w:ascii="Arial" w:hAnsi="Arial" w:cs="Arial"/>
          <w:color w:val="000000"/>
          <w:sz w:val="22"/>
          <w:szCs w:val="22"/>
          <w:lang w:val="es-ES_tradnl"/>
        </w:rPr>
        <w:t>correspondería</w:t>
      </w:r>
      <w:r w:rsidRPr="00440233">
        <w:rPr>
          <w:rFonts w:ascii="Arial" w:hAnsi="Arial" w:cs="Arial"/>
          <w:color w:val="000000"/>
          <w:sz w:val="22"/>
          <w:szCs w:val="22"/>
          <w:lang w:val="es-ES_tradnl"/>
        </w:rPr>
        <w:t xml:space="preserve"> a </w:t>
      </w:r>
      <w:r w:rsidR="00651C46" w:rsidRPr="00440233">
        <w:rPr>
          <w:rFonts w:ascii="Arial" w:hAnsi="Arial" w:cs="Arial"/>
          <w:color w:val="000000"/>
          <w:sz w:val="22"/>
          <w:szCs w:val="22"/>
          <w:lang w:val="es-ES_tradnl"/>
        </w:rPr>
        <w:t xml:space="preserve">aproximadamente </w:t>
      </w:r>
      <w:r w:rsidRPr="00440233">
        <w:rPr>
          <w:rFonts w:ascii="Arial" w:hAnsi="Arial" w:cs="Arial"/>
          <w:color w:val="000000"/>
          <w:sz w:val="22"/>
          <w:szCs w:val="22"/>
          <w:lang w:val="es-ES_tradnl"/>
        </w:rPr>
        <w:t>US$</w:t>
      </w:r>
      <w:r w:rsidR="00F17485" w:rsidRPr="00440233">
        <w:rPr>
          <w:rFonts w:ascii="Arial" w:hAnsi="Arial" w:cs="Arial"/>
          <w:color w:val="000000"/>
          <w:sz w:val="22"/>
          <w:szCs w:val="22"/>
          <w:lang w:val="es-ES_tradnl"/>
        </w:rPr>
        <w:t>6</w:t>
      </w:r>
      <w:r w:rsidR="00E56650" w:rsidRPr="00440233">
        <w:rPr>
          <w:rFonts w:ascii="Arial" w:hAnsi="Arial" w:cs="Arial"/>
          <w:color w:val="000000"/>
          <w:sz w:val="22"/>
          <w:szCs w:val="22"/>
          <w:lang w:val="es-ES_tradnl"/>
        </w:rPr>
        <w:t>.6</w:t>
      </w:r>
      <w:r w:rsidR="00F17485" w:rsidRPr="00440233">
        <w:rPr>
          <w:rFonts w:ascii="Arial" w:hAnsi="Arial" w:cs="Arial"/>
          <w:color w:val="000000"/>
          <w:sz w:val="22"/>
          <w:szCs w:val="22"/>
          <w:lang w:val="es-ES_tradnl"/>
        </w:rPr>
        <w:t xml:space="preserve"> </w:t>
      </w:r>
      <w:r w:rsidR="00E56650" w:rsidRPr="00440233">
        <w:rPr>
          <w:rFonts w:ascii="Arial" w:hAnsi="Arial" w:cs="Arial"/>
          <w:color w:val="000000"/>
          <w:sz w:val="22"/>
          <w:szCs w:val="22"/>
          <w:lang w:val="es-ES_tradnl"/>
        </w:rPr>
        <w:t>b</w:t>
      </w:r>
      <w:r w:rsidRPr="00440233">
        <w:rPr>
          <w:rFonts w:ascii="Arial" w:hAnsi="Arial" w:cs="Arial"/>
          <w:color w:val="000000"/>
          <w:sz w:val="22"/>
          <w:szCs w:val="22"/>
          <w:lang w:val="es-ES_tradnl"/>
        </w:rPr>
        <w:t xml:space="preserve">illones (línea </w:t>
      </w:r>
      <w:r w:rsidR="00543A76" w:rsidRPr="00440233">
        <w:rPr>
          <w:rFonts w:ascii="Arial" w:hAnsi="Arial" w:cs="Arial"/>
          <w:color w:val="000000"/>
          <w:sz w:val="22"/>
          <w:szCs w:val="22"/>
          <w:lang w:val="es-ES_tradnl"/>
        </w:rPr>
        <w:t>4</w:t>
      </w:r>
      <w:r w:rsidRPr="00440233">
        <w:rPr>
          <w:rFonts w:ascii="Arial" w:hAnsi="Arial" w:cs="Arial"/>
          <w:color w:val="000000"/>
          <w:sz w:val="22"/>
          <w:szCs w:val="22"/>
          <w:lang w:val="es-ES_tradnl"/>
        </w:rPr>
        <w:t xml:space="preserve">). </w:t>
      </w:r>
    </w:p>
    <w:p w14:paraId="50991B7F" w14:textId="7D0EF75D" w:rsidR="004912CE" w:rsidRPr="00440233" w:rsidRDefault="00256E65"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pPr>
      <w:r w:rsidRPr="00440233">
        <w:rPr>
          <w:rFonts w:ascii="Arial" w:hAnsi="Arial" w:cs="Arial"/>
          <w:color w:val="000000"/>
          <w:sz w:val="22"/>
          <w:szCs w:val="22"/>
          <w:lang w:val="es-ES_tradnl"/>
        </w:rPr>
        <w:t xml:space="preserve">Tomando como base </w:t>
      </w:r>
      <w:r w:rsidR="00D90F39" w:rsidRPr="00440233">
        <w:rPr>
          <w:rFonts w:ascii="Arial" w:hAnsi="Arial" w:cs="Arial"/>
          <w:color w:val="000000"/>
          <w:sz w:val="22"/>
          <w:szCs w:val="22"/>
          <w:lang w:val="es-ES_tradnl"/>
        </w:rPr>
        <w:t xml:space="preserve">que </w:t>
      </w:r>
      <w:r w:rsidRPr="00440233">
        <w:rPr>
          <w:rFonts w:ascii="Arial" w:hAnsi="Arial" w:cs="Arial"/>
          <w:color w:val="000000"/>
          <w:sz w:val="22"/>
          <w:szCs w:val="22"/>
          <w:lang w:val="es-ES_tradnl"/>
        </w:rPr>
        <w:t xml:space="preserve">el salario medio anual de un auditor </w:t>
      </w:r>
      <w:r w:rsidR="00F17485" w:rsidRPr="00440233">
        <w:rPr>
          <w:rFonts w:ascii="Arial" w:hAnsi="Arial" w:cs="Arial"/>
          <w:color w:val="000000"/>
          <w:sz w:val="22"/>
          <w:szCs w:val="22"/>
          <w:lang w:val="es-ES_tradnl"/>
        </w:rPr>
        <w:t>en 20</w:t>
      </w:r>
      <w:r w:rsidR="00653EC1" w:rsidRPr="00440233">
        <w:rPr>
          <w:rFonts w:ascii="Arial" w:hAnsi="Arial" w:cs="Arial"/>
          <w:color w:val="000000"/>
          <w:sz w:val="22"/>
          <w:szCs w:val="22"/>
          <w:lang w:val="es-ES_tradnl"/>
        </w:rPr>
        <w:t>17</w:t>
      </w:r>
      <w:r w:rsidR="00F17485" w:rsidRPr="00440233">
        <w:rPr>
          <w:rFonts w:ascii="Arial" w:hAnsi="Arial" w:cs="Arial"/>
          <w:color w:val="000000"/>
          <w:sz w:val="22"/>
          <w:szCs w:val="22"/>
          <w:lang w:val="es-ES_tradnl"/>
        </w:rPr>
        <w:t xml:space="preserve"> será </w:t>
      </w:r>
      <w:r w:rsidR="00D90F39" w:rsidRPr="00440233">
        <w:rPr>
          <w:rFonts w:ascii="Arial" w:hAnsi="Arial" w:cs="Arial"/>
          <w:color w:val="000000"/>
          <w:sz w:val="22"/>
          <w:szCs w:val="22"/>
          <w:lang w:val="es-ES_tradnl"/>
        </w:rPr>
        <w:t xml:space="preserve">de </w:t>
      </w:r>
      <w:r w:rsidR="00F17485" w:rsidRPr="00440233">
        <w:rPr>
          <w:rFonts w:ascii="Arial" w:hAnsi="Arial" w:cs="Arial"/>
          <w:color w:val="000000"/>
          <w:sz w:val="22"/>
          <w:szCs w:val="22"/>
          <w:lang w:val="es-ES_tradnl"/>
        </w:rPr>
        <w:t>US$</w:t>
      </w:r>
      <w:r w:rsidR="00A104E5" w:rsidRPr="00440233">
        <w:rPr>
          <w:rFonts w:ascii="Arial" w:hAnsi="Arial" w:cs="Arial"/>
          <w:color w:val="000000"/>
          <w:sz w:val="22"/>
          <w:szCs w:val="22"/>
          <w:lang w:val="es-ES_tradnl"/>
        </w:rPr>
        <w:t>4</w:t>
      </w:r>
      <w:r w:rsidR="00653EC1" w:rsidRPr="00440233">
        <w:rPr>
          <w:rFonts w:ascii="Arial" w:hAnsi="Arial" w:cs="Arial"/>
          <w:color w:val="000000"/>
          <w:sz w:val="22"/>
          <w:szCs w:val="22"/>
          <w:lang w:val="es-ES_tradnl"/>
        </w:rPr>
        <w:t>5</w:t>
      </w:r>
      <w:r w:rsidR="00A104E5" w:rsidRPr="00440233">
        <w:rPr>
          <w:rFonts w:ascii="Arial" w:hAnsi="Arial" w:cs="Arial"/>
          <w:color w:val="000000"/>
          <w:sz w:val="22"/>
          <w:szCs w:val="22"/>
          <w:lang w:val="es-ES_tradnl"/>
        </w:rPr>
        <w:t>,</w:t>
      </w:r>
      <w:r w:rsidR="00653EC1" w:rsidRPr="00440233">
        <w:rPr>
          <w:rFonts w:ascii="Arial" w:hAnsi="Arial" w:cs="Arial"/>
          <w:color w:val="000000"/>
          <w:sz w:val="22"/>
          <w:szCs w:val="22"/>
          <w:lang w:val="es-ES_tradnl"/>
        </w:rPr>
        <w:t>455 (</w:t>
      </w:r>
      <w:hyperlink r:id="rId15" w:history="1">
        <w:r w:rsidR="00344353" w:rsidRPr="00440233">
          <w:rPr>
            <w:rStyle w:val="Hyperlink"/>
            <w:rFonts w:ascii="Arial" w:hAnsi="Arial" w:cs="Arial"/>
            <w:sz w:val="22"/>
            <w:szCs w:val="22"/>
            <w:lang w:val="es-ES_tradnl"/>
          </w:rPr>
          <w:t>S/.12,500 * 12 meses / US$3.3 SUNAT</w:t>
        </w:r>
      </w:hyperlink>
      <w:r w:rsidR="00344353" w:rsidRPr="00440233">
        <w:rPr>
          <w:color w:val="000000"/>
          <w:lang w:val="es-ES_tradnl"/>
        </w:rPr>
        <w:t>)</w:t>
      </w:r>
      <w:r w:rsidR="00B07B09" w:rsidRPr="00440233">
        <w:rPr>
          <w:color w:val="000000"/>
          <w:lang w:val="es-ES_tradnl"/>
        </w:rPr>
        <w:t xml:space="preserve"> </w:t>
      </w:r>
      <w:r w:rsidR="00B07B09" w:rsidRPr="00440233">
        <w:rPr>
          <w:rFonts w:ascii="Arial" w:hAnsi="Arial" w:cs="Arial"/>
          <w:color w:val="000000"/>
          <w:sz w:val="22"/>
          <w:szCs w:val="22"/>
          <w:lang w:val="es-ES_tradnl"/>
        </w:rPr>
        <w:t xml:space="preserve">y </w:t>
      </w:r>
      <w:r w:rsidR="00653EC1" w:rsidRPr="00440233">
        <w:rPr>
          <w:rFonts w:ascii="Arial" w:hAnsi="Arial" w:cs="Arial"/>
          <w:color w:val="000000"/>
          <w:sz w:val="22"/>
          <w:szCs w:val="22"/>
          <w:lang w:val="es-ES_tradnl"/>
        </w:rPr>
        <w:t>en 2021 será de US$49,201</w:t>
      </w:r>
      <w:r w:rsidR="00D90F39" w:rsidRPr="00440233">
        <w:rPr>
          <w:rFonts w:ascii="Arial" w:hAnsi="Arial" w:cs="Arial"/>
          <w:color w:val="000000"/>
          <w:sz w:val="22"/>
          <w:szCs w:val="22"/>
          <w:lang w:val="es-ES_tradnl"/>
        </w:rPr>
        <w:t xml:space="preserve">, </w:t>
      </w:r>
      <w:r w:rsidR="00034AB6" w:rsidRPr="00440233">
        <w:rPr>
          <w:rFonts w:ascii="Arial" w:hAnsi="Arial" w:cs="Arial"/>
          <w:color w:val="000000"/>
          <w:sz w:val="22"/>
          <w:szCs w:val="22"/>
          <w:lang w:val="es-ES_tradnl"/>
        </w:rPr>
        <w:t>y asumiendo que la cantidad de auditores fiscales se mantiene constante en</w:t>
      </w:r>
      <w:r w:rsidR="00F17485" w:rsidRPr="00440233">
        <w:rPr>
          <w:rFonts w:ascii="Arial" w:hAnsi="Arial" w:cs="Arial"/>
          <w:color w:val="000000"/>
          <w:sz w:val="22"/>
          <w:szCs w:val="22"/>
          <w:lang w:val="es-ES_tradnl"/>
        </w:rPr>
        <w:t xml:space="preserve"> 1,230</w:t>
      </w:r>
      <w:r w:rsidRPr="00440233">
        <w:rPr>
          <w:rFonts w:ascii="Arial" w:hAnsi="Arial" w:cs="Arial"/>
          <w:color w:val="000000"/>
          <w:sz w:val="22"/>
          <w:szCs w:val="22"/>
          <w:lang w:val="es-ES_tradnl"/>
        </w:rPr>
        <w:t xml:space="preserve"> (línea 6), se calcula que el costo total anual salari</w:t>
      </w:r>
      <w:r w:rsidR="00034AB6" w:rsidRPr="00440233">
        <w:rPr>
          <w:rFonts w:ascii="Arial" w:hAnsi="Arial" w:cs="Arial"/>
          <w:color w:val="000000"/>
          <w:sz w:val="22"/>
          <w:szCs w:val="22"/>
          <w:lang w:val="es-ES_tradnl"/>
        </w:rPr>
        <w:t>al</w:t>
      </w:r>
      <w:r w:rsidRPr="00440233">
        <w:rPr>
          <w:rFonts w:ascii="Arial" w:hAnsi="Arial" w:cs="Arial"/>
          <w:color w:val="000000"/>
          <w:sz w:val="22"/>
          <w:szCs w:val="22"/>
          <w:lang w:val="es-ES_tradnl"/>
        </w:rPr>
        <w:t xml:space="preserve"> de </w:t>
      </w:r>
      <w:r w:rsidR="00B544A9" w:rsidRPr="00440233">
        <w:rPr>
          <w:rFonts w:ascii="Arial" w:hAnsi="Arial" w:cs="Arial"/>
          <w:color w:val="000000"/>
          <w:sz w:val="22"/>
          <w:szCs w:val="22"/>
          <w:lang w:val="es-ES_tradnl"/>
        </w:rPr>
        <w:t xml:space="preserve">estos </w:t>
      </w:r>
      <w:r w:rsidRPr="00440233">
        <w:rPr>
          <w:rFonts w:ascii="Arial" w:hAnsi="Arial" w:cs="Arial"/>
          <w:color w:val="000000"/>
          <w:sz w:val="22"/>
          <w:szCs w:val="22"/>
          <w:lang w:val="es-ES_tradnl"/>
        </w:rPr>
        <w:t xml:space="preserve">auditores </w:t>
      </w:r>
      <w:r w:rsidR="00653EC1" w:rsidRPr="00440233">
        <w:rPr>
          <w:rFonts w:ascii="Arial" w:hAnsi="Arial" w:cs="Arial"/>
          <w:color w:val="000000"/>
          <w:sz w:val="22"/>
          <w:szCs w:val="22"/>
          <w:lang w:val="es-ES_tradnl"/>
        </w:rPr>
        <w:t xml:space="preserve">en 2021 </w:t>
      </w:r>
      <w:r w:rsidR="00651C46" w:rsidRPr="00440233">
        <w:rPr>
          <w:rFonts w:ascii="Arial" w:hAnsi="Arial" w:cs="Arial"/>
          <w:color w:val="000000"/>
          <w:sz w:val="22"/>
          <w:szCs w:val="22"/>
          <w:lang w:val="es-ES_tradnl"/>
        </w:rPr>
        <w:t>será</w:t>
      </w:r>
      <w:r w:rsidRPr="00440233">
        <w:rPr>
          <w:rFonts w:ascii="Arial" w:hAnsi="Arial" w:cs="Arial"/>
          <w:color w:val="000000"/>
          <w:sz w:val="22"/>
          <w:szCs w:val="22"/>
          <w:lang w:val="es-ES_tradnl"/>
        </w:rPr>
        <w:t xml:space="preserve"> de </w:t>
      </w:r>
      <w:r w:rsidR="00651C46" w:rsidRPr="00440233">
        <w:rPr>
          <w:rFonts w:ascii="Arial" w:hAnsi="Arial" w:cs="Arial"/>
          <w:color w:val="000000"/>
          <w:sz w:val="22"/>
          <w:szCs w:val="22"/>
          <w:lang w:val="es-ES_tradnl"/>
        </w:rPr>
        <w:t xml:space="preserve">aproximadamente </w:t>
      </w:r>
      <w:r w:rsidRPr="00440233">
        <w:rPr>
          <w:rFonts w:ascii="Arial" w:hAnsi="Arial" w:cs="Arial"/>
          <w:color w:val="000000"/>
          <w:sz w:val="22"/>
          <w:szCs w:val="22"/>
          <w:lang w:val="es-ES_tradnl"/>
        </w:rPr>
        <w:t>US$</w:t>
      </w:r>
      <w:r w:rsidR="00653EC1" w:rsidRPr="00440233">
        <w:rPr>
          <w:rFonts w:ascii="Arial" w:hAnsi="Arial" w:cs="Arial"/>
          <w:color w:val="000000"/>
          <w:sz w:val="22"/>
          <w:szCs w:val="22"/>
          <w:lang w:val="es-ES_tradnl"/>
        </w:rPr>
        <w:t>60</w:t>
      </w:r>
      <w:r w:rsidR="00C31A56" w:rsidRPr="00440233">
        <w:rPr>
          <w:rFonts w:ascii="Arial" w:hAnsi="Arial" w:cs="Arial"/>
          <w:color w:val="000000"/>
          <w:sz w:val="22"/>
          <w:szCs w:val="22"/>
          <w:lang w:val="es-ES_tradnl"/>
        </w:rPr>
        <w:t>.</w:t>
      </w:r>
      <w:r w:rsidR="00653EC1" w:rsidRPr="00440233">
        <w:rPr>
          <w:rFonts w:ascii="Arial" w:hAnsi="Arial" w:cs="Arial"/>
          <w:color w:val="000000"/>
          <w:sz w:val="22"/>
          <w:szCs w:val="22"/>
          <w:lang w:val="es-ES_tradnl"/>
        </w:rPr>
        <w:t>5</w:t>
      </w:r>
      <w:r w:rsidRPr="00440233">
        <w:rPr>
          <w:rFonts w:ascii="Arial" w:hAnsi="Arial" w:cs="Arial"/>
          <w:color w:val="000000"/>
          <w:sz w:val="22"/>
          <w:szCs w:val="22"/>
          <w:lang w:val="es-ES_tradnl"/>
        </w:rPr>
        <w:t xml:space="preserve"> millones (línea 7). </w:t>
      </w:r>
    </w:p>
    <w:p w14:paraId="497663D2" w14:textId="2DA81DE5" w:rsidR="00256E65" w:rsidRPr="00D03701" w:rsidRDefault="008174BE"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pPr>
      <w:r w:rsidRPr="00D03701">
        <w:rPr>
          <w:rFonts w:ascii="Arial" w:hAnsi="Arial" w:cs="Arial"/>
          <w:color w:val="000000"/>
          <w:sz w:val="22"/>
          <w:szCs w:val="22"/>
          <w:lang w:val="es-ES_tradnl"/>
        </w:rPr>
        <w:t>En</w:t>
      </w:r>
      <w:r w:rsidR="00955561" w:rsidRPr="00D03701">
        <w:rPr>
          <w:rFonts w:ascii="Arial" w:hAnsi="Arial" w:cs="Arial"/>
          <w:color w:val="000000"/>
          <w:sz w:val="22"/>
          <w:szCs w:val="22"/>
          <w:lang w:val="es-ES_tradnl"/>
        </w:rPr>
        <w:t xml:space="preserve"> el</w:t>
      </w:r>
      <w:r w:rsidRPr="00D03701">
        <w:rPr>
          <w:rFonts w:ascii="Arial" w:hAnsi="Arial" w:cs="Arial"/>
          <w:color w:val="000000"/>
          <w:sz w:val="22"/>
          <w:szCs w:val="22"/>
          <w:lang w:val="es-ES_tradnl"/>
        </w:rPr>
        <w:t xml:space="preserve"> caso de que</w:t>
      </w:r>
      <w:r w:rsidR="00256E65" w:rsidRPr="00D03701">
        <w:rPr>
          <w:rFonts w:ascii="Arial" w:hAnsi="Arial" w:cs="Arial"/>
          <w:color w:val="000000"/>
          <w:sz w:val="22"/>
          <w:szCs w:val="22"/>
          <w:lang w:val="es-ES_tradnl"/>
        </w:rPr>
        <w:t xml:space="preserve"> toda la recaudación estuviera siendo </w:t>
      </w:r>
      <w:r w:rsidR="00955561" w:rsidRPr="00D03701">
        <w:rPr>
          <w:rFonts w:ascii="Arial" w:hAnsi="Arial" w:cs="Arial"/>
          <w:color w:val="000000"/>
          <w:sz w:val="22"/>
          <w:szCs w:val="22"/>
          <w:lang w:val="es-ES_tradnl"/>
        </w:rPr>
        <w:t>fiscalizada</w:t>
      </w:r>
      <w:r w:rsidR="00256E65" w:rsidRPr="00D03701">
        <w:rPr>
          <w:rFonts w:ascii="Arial" w:hAnsi="Arial" w:cs="Arial"/>
          <w:color w:val="000000"/>
          <w:sz w:val="22"/>
          <w:szCs w:val="22"/>
          <w:lang w:val="es-ES_tradnl"/>
        </w:rPr>
        <w:t xml:space="preserve">, </w:t>
      </w:r>
      <w:r w:rsidRPr="00D03701">
        <w:rPr>
          <w:rFonts w:ascii="Arial" w:hAnsi="Arial" w:cs="Arial"/>
          <w:color w:val="000000"/>
          <w:sz w:val="22"/>
          <w:szCs w:val="22"/>
          <w:lang w:val="es-ES_tradnl"/>
        </w:rPr>
        <w:t>el costo para fiscalizar US$1 sería de US$0.00</w:t>
      </w:r>
      <w:r w:rsidR="00653EC1" w:rsidRPr="00D03701">
        <w:rPr>
          <w:rFonts w:ascii="Arial" w:hAnsi="Arial" w:cs="Arial"/>
          <w:color w:val="000000"/>
          <w:sz w:val="22"/>
          <w:szCs w:val="22"/>
          <w:lang w:val="es-ES_tradnl"/>
        </w:rPr>
        <w:t>2</w:t>
      </w:r>
      <w:r w:rsidRPr="00D03701">
        <w:rPr>
          <w:rFonts w:ascii="Arial" w:hAnsi="Arial" w:cs="Arial"/>
          <w:color w:val="000000"/>
          <w:sz w:val="22"/>
          <w:szCs w:val="22"/>
          <w:lang w:val="es-ES_tradnl"/>
        </w:rPr>
        <w:t xml:space="preserve"> (línea 8)</w:t>
      </w:r>
      <w:r w:rsidR="00D552AB" w:rsidRPr="00D03701">
        <w:rPr>
          <w:rFonts w:ascii="Arial" w:hAnsi="Arial" w:cs="Arial"/>
          <w:color w:val="000000"/>
          <w:sz w:val="22"/>
          <w:szCs w:val="22"/>
          <w:lang w:val="es-ES_tradnl"/>
        </w:rPr>
        <w:t>, que se calcula como:</w:t>
      </w:r>
      <w:r w:rsidR="006621EA" w:rsidRPr="00D03701">
        <w:rPr>
          <w:rFonts w:ascii="Arial" w:hAnsi="Arial" w:cs="Arial"/>
          <w:color w:val="000000"/>
          <w:sz w:val="22"/>
          <w:szCs w:val="22"/>
          <w:lang w:val="es-ES_tradnl"/>
        </w:rPr>
        <w:t xml:space="preserve"> costo total de auditores (línea 7) / recaudación </w:t>
      </w:r>
      <w:r w:rsidR="00D552AB" w:rsidRPr="00D03701">
        <w:rPr>
          <w:rFonts w:ascii="Arial" w:hAnsi="Arial" w:cs="Arial"/>
          <w:color w:val="000000"/>
          <w:sz w:val="22"/>
          <w:szCs w:val="22"/>
          <w:lang w:val="es-ES_tradnl"/>
        </w:rPr>
        <w:t>tributaria</w:t>
      </w:r>
      <w:r w:rsidR="006621EA" w:rsidRPr="00D03701">
        <w:rPr>
          <w:rFonts w:ascii="Arial" w:hAnsi="Arial" w:cs="Arial"/>
          <w:color w:val="000000"/>
          <w:sz w:val="22"/>
          <w:szCs w:val="22"/>
          <w:lang w:val="es-ES_tradnl"/>
        </w:rPr>
        <w:t xml:space="preserve"> (línea </w:t>
      </w:r>
      <w:r w:rsidR="00D552AB" w:rsidRPr="00D03701">
        <w:rPr>
          <w:rFonts w:ascii="Arial" w:hAnsi="Arial" w:cs="Arial"/>
          <w:color w:val="000000"/>
          <w:sz w:val="22"/>
          <w:szCs w:val="22"/>
          <w:lang w:val="es-ES_tradnl"/>
        </w:rPr>
        <w:t>2</w:t>
      </w:r>
      <w:r w:rsidR="006621EA" w:rsidRPr="00D03701">
        <w:rPr>
          <w:rFonts w:ascii="Arial" w:hAnsi="Arial" w:cs="Arial"/>
          <w:color w:val="000000"/>
          <w:sz w:val="22"/>
          <w:szCs w:val="22"/>
          <w:lang w:val="es-ES_tradnl"/>
        </w:rPr>
        <w:t>)</w:t>
      </w:r>
      <w:r w:rsidR="004354EC" w:rsidRPr="00D03701">
        <w:rPr>
          <w:rFonts w:ascii="Arial" w:hAnsi="Arial" w:cs="Arial"/>
          <w:color w:val="000000"/>
          <w:sz w:val="22"/>
          <w:szCs w:val="22"/>
          <w:lang w:val="es-ES_tradnl"/>
        </w:rPr>
        <w:t>. Sin embargo,</w:t>
      </w:r>
      <w:r w:rsidRPr="00D03701">
        <w:rPr>
          <w:rFonts w:ascii="Arial" w:hAnsi="Arial" w:cs="Arial"/>
          <w:color w:val="000000"/>
          <w:sz w:val="22"/>
          <w:szCs w:val="22"/>
          <w:lang w:val="es-ES_tradnl"/>
        </w:rPr>
        <w:t xml:space="preserve"> como solamente </w:t>
      </w:r>
      <w:r w:rsidR="004354EC" w:rsidRPr="00D03701">
        <w:rPr>
          <w:rFonts w:ascii="Arial" w:hAnsi="Arial" w:cs="Arial"/>
          <w:color w:val="000000"/>
          <w:sz w:val="22"/>
          <w:szCs w:val="22"/>
          <w:lang w:val="es-ES_tradnl"/>
        </w:rPr>
        <w:t xml:space="preserve">el </w:t>
      </w:r>
      <w:r w:rsidR="00651C46" w:rsidRPr="00D03701">
        <w:rPr>
          <w:rFonts w:ascii="Arial" w:hAnsi="Arial" w:cs="Arial"/>
          <w:color w:val="000000"/>
          <w:sz w:val="22"/>
          <w:szCs w:val="22"/>
          <w:lang w:val="es-ES_tradnl"/>
        </w:rPr>
        <w:t>20</w:t>
      </w:r>
      <w:r w:rsidRPr="00D03701">
        <w:rPr>
          <w:rFonts w:ascii="Arial" w:hAnsi="Arial" w:cs="Arial"/>
          <w:color w:val="000000"/>
          <w:sz w:val="22"/>
          <w:szCs w:val="22"/>
          <w:lang w:val="es-ES_tradnl"/>
        </w:rPr>
        <w:t>% es fiscalizado</w:t>
      </w:r>
      <w:r w:rsidR="00BE3461" w:rsidRPr="00D03701">
        <w:rPr>
          <w:rFonts w:ascii="Arial" w:hAnsi="Arial" w:cs="Arial"/>
          <w:color w:val="000000"/>
          <w:sz w:val="22"/>
          <w:szCs w:val="22"/>
          <w:lang w:val="es-ES_tradnl"/>
        </w:rPr>
        <w:t xml:space="preserve"> de forma definitiva</w:t>
      </w:r>
      <w:r w:rsidRPr="00D03701">
        <w:rPr>
          <w:rFonts w:ascii="Arial" w:hAnsi="Arial" w:cs="Arial"/>
          <w:color w:val="000000"/>
          <w:sz w:val="22"/>
          <w:szCs w:val="22"/>
          <w:lang w:val="es-ES_tradnl"/>
        </w:rPr>
        <w:t>, e</w:t>
      </w:r>
      <w:r w:rsidR="00E22035" w:rsidRPr="00D03701">
        <w:rPr>
          <w:rFonts w:ascii="Arial" w:hAnsi="Arial" w:cs="Arial"/>
          <w:color w:val="000000"/>
          <w:sz w:val="22"/>
          <w:szCs w:val="22"/>
          <w:lang w:val="es-ES_tradnl"/>
        </w:rPr>
        <w:t>l</w:t>
      </w:r>
      <w:r w:rsidRPr="00D03701">
        <w:rPr>
          <w:rFonts w:ascii="Arial" w:hAnsi="Arial" w:cs="Arial"/>
          <w:color w:val="000000"/>
          <w:sz w:val="22"/>
          <w:szCs w:val="22"/>
          <w:lang w:val="es-ES_tradnl"/>
        </w:rPr>
        <w:t xml:space="preserve"> costo real </w:t>
      </w:r>
      <w:r w:rsidR="00651C46" w:rsidRPr="00D03701">
        <w:rPr>
          <w:rFonts w:ascii="Arial" w:hAnsi="Arial" w:cs="Arial"/>
          <w:color w:val="000000"/>
          <w:sz w:val="22"/>
          <w:szCs w:val="22"/>
          <w:lang w:val="es-ES_tradnl"/>
        </w:rPr>
        <w:t xml:space="preserve">sería </w:t>
      </w:r>
      <w:r w:rsidRPr="00D03701">
        <w:rPr>
          <w:rFonts w:ascii="Arial" w:hAnsi="Arial" w:cs="Arial"/>
          <w:color w:val="000000"/>
          <w:sz w:val="22"/>
          <w:szCs w:val="22"/>
          <w:lang w:val="es-ES_tradnl"/>
        </w:rPr>
        <w:t>de US$0.</w:t>
      </w:r>
      <w:r w:rsidR="00651C46" w:rsidRPr="00D03701">
        <w:rPr>
          <w:rFonts w:ascii="Arial" w:hAnsi="Arial" w:cs="Arial"/>
          <w:color w:val="000000"/>
          <w:sz w:val="22"/>
          <w:szCs w:val="22"/>
          <w:lang w:val="es-ES_tradnl"/>
        </w:rPr>
        <w:t>0</w:t>
      </w:r>
      <w:r w:rsidR="00653EC1" w:rsidRPr="00D03701">
        <w:rPr>
          <w:rFonts w:ascii="Arial" w:hAnsi="Arial" w:cs="Arial"/>
          <w:color w:val="000000"/>
          <w:sz w:val="22"/>
          <w:szCs w:val="22"/>
          <w:lang w:val="es-ES_tradnl"/>
        </w:rPr>
        <w:t>09</w:t>
      </w:r>
      <w:r w:rsidRPr="00D03701">
        <w:rPr>
          <w:rFonts w:ascii="Arial" w:hAnsi="Arial" w:cs="Arial"/>
          <w:color w:val="000000"/>
          <w:sz w:val="22"/>
          <w:szCs w:val="22"/>
          <w:lang w:val="es-ES_tradnl"/>
        </w:rPr>
        <w:t xml:space="preserve"> </w:t>
      </w:r>
      <w:r w:rsidR="00B63B13" w:rsidRPr="00D03701">
        <w:rPr>
          <w:rFonts w:ascii="Arial" w:hAnsi="Arial" w:cs="Arial"/>
          <w:color w:val="000000"/>
          <w:sz w:val="22"/>
          <w:szCs w:val="22"/>
          <w:lang w:val="es-ES_tradnl"/>
        </w:rPr>
        <w:t xml:space="preserve">por US$1 recaudado </w:t>
      </w:r>
      <w:r w:rsidRPr="00D03701">
        <w:rPr>
          <w:rFonts w:ascii="Arial" w:hAnsi="Arial" w:cs="Arial"/>
          <w:color w:val="000000"/>
          <w:sz w:val="22"/>
          <w:szCs w:val="22"/>
          <w:lang w:val="es-ES_tradnl"/>
        </w:rPr>
        <w:t>(línea 9</w:t>
      </w:r>
      <w:r w:rsidR="004354EC" w:rsidRPr="00D03701">
        <w:rPr>
          <w:rFonts w:ascii="Arial" w:hAnsi="Arial" w:cs="Arial"/>
          <w:color w:val="000000"/>
          <w:sz w:val="22"/>
          <w:szCs w:val="22"/>
          <w:lang w:val="es-ES_tradnl"/>
        </w:rPr>
        <w:t>):</w:t>
      </w:r>
      <w:r w:rsidR="006621EA" w:rsidRPr="00D03701">
        <w:rPr>
          <w:rFonts w:ascii="Arial" w:hAnsi="Arial" w:cs="Arial"/>
          <w:color w:val="000000"/>
          <w:sz w:val="22"/>
          <w:szCs w:val="22"/>
          <w:lang w:val="es-ES_tradnl"/>
        </w:rPr>
        <w:t xml:space="preserve"> costo total de auditores (línea 7) / recaudación realmente fiscalizada (línea 4).</w:t>
      </w:r>
    </w:p>
    <w:p w14:paraId="5DE03C2A" w14:textId="10124119" w:rsidR="008174BE" w:rsidRPr="00D03701" w:rsidRDefault="008174BE" w:rsidP="008174BE">
      <w:pPr>
        <w:pStyle w:val="Paragraph"/>
        <w:numPr>
          <w:ilvl w:val="0"/>
          <w:numId w:val="0"/>
        </w:numPr>
        <w:tabs>
          <w:tab w:val="num" w:pos="2196"/>
        </w:tabs>
        <w:ind w:left="1296" w:hanging="576"/>
        <w:outlineLvl w:val="9"/>
        <w:rPr>
          <w:rFonts w:ascii="Arial" w:hAnsi="Arial" w:cs="Arial"/>
          <w:b/>
          <w:color w:val="000000"/>
          <w:sz w:val="22"/>
          <w:szCs w:val="22"/>
          <w:lang w:val="es-ES_tradnl"/>
        </w:rPr>
      </w:pPr>
      <w:r w:rsidRPr="00D03701">
        <w:rPr>
          <w:rFonts w:ascii="Arial" w:hAnsi="Arial" w:cs="Arial"/>
          <w:b/>
          <w:color w:val="000000"/>
          <w:sz w:val="22"/>
          <w:szCs w:val="22"/>
          <w:lang w:val="es-ES_tradnl"/>
        </w:rPr>
        <w:t xml:space="preserve">Estimación del </w:t>
      </w:r>
      <w:r w:rsidR="00C31A56" w:rsidRPr="00D03701">
        <w:rPr>
          <w:rFonts w:ascii="Arial" w:hAnsi="Arial" w:cs="Arial"/>
          <w:b/>
          <w:color w:val="000000"/>
          <w:sz w:val="22"/>
          <w:szCs w:val="22"/>
          <w:lang w:val="es-ES_tradnl"/>
        </w:rPr>
        <w:t>c</w:t>
      </w:r>
      <w:r w:rsidRPr="00D03701">
        <w:rPr>
          <w:rFonts w:ascii="Arial" w:hAnsi="Arial" w:cs="Arial"/>
          <w:b/>
          <w:color w:val="000000"/>
          <w:sz w:val="22"/>
          <w:szCs w:val="22"/>
          <w:lang w:val="es-ES_tradnl"/>
        </w:rPr>
        <w:t xml:space="preserve">osto para fiscalizar US$1 </w:t>
      </w:r>
      <w:r w:rsidR="006E6D11" w:rsidRPr="00D03701">
        <w:rPr>
          <w:rFonts w:ascii="Arial" w:hAnsi="Arial" w:cs="Arial"/>
          <w:b/>
          <w:color w:val="000000"/>
          <w:sz w:val="22"/>
          <w:szCs w:val="22"/>
          <w:lang w:val="es-ES_tradnl"/>
        </w:rPr>
        <w:t>con</w:t>
      </w:r>
      <w:r w:rsidRPr="00D03701">
        <w:rPr>
          <w:rFonts w:ascii="Arial" w:hAnsi="Arial" w:cs="Arial"/>
          <w:b/>
          <w:color w:val="000000"/>
          <w:sz w:val="22"/>
          <w:szCs w:val="22"/>
          <w:lang w:val="es-ES_tradnl"/>
        </w:rPr>
        <w:t xml:space="preserve"> Proyecto</w:t>
      </w:r>
    </w:p>
    <w:p w14:paraId="7E70FF08" w14:textId="27580CF0" w:rsidR="008174BE" w:rsidRPr="00D03701" w:rsidRDefault="008174BE"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pPr>
      <w:r w:rsidRPr="00D03701">
        <w:rPr>
          <w:rFonts w:ascii="Arial" w:hAnsi="Arial" w:cs="Arial"/>
          <w:color w:val="000000"/>
          <w:sz w:val="22"/>
          <w:szCs w:val="22"/>
          <w:lang w:val="es-ES_tradnl"/>
        </w:rPr>
        <w:t xml:space="preserve">El Cuadro </w:t>
      </w:r>
      <w:r w:rsidR="00543A76" w:rsidRPr="00D03701">
        <w:rPr>
          <w:rFonts w:ascii="Arial" w:hAnsi="Arial" w:cs="Arial"/>
          <w:color w:val="000000"/>
          <w:sz w:val="22"/>
          <w:szCs w:val="22"/>
          <w:lang w:val="es-ES_tradnl"/>
        </w:rPr>
        <w:t>3</w:t>
      </w:r>
      <w:r w:rsidRPr="00D03701">
        <w:rPr>
          <w:rFonts w:ascii="Arial" w:hAnsi="Arial" w:cs="Arial"/>
          <w:color w:val="000000"/>
          <w:sz w:val="22"/>
          <w:szCs w:val="22"/>
          <w:lang w:val="es-ES_tradnl"/>
        </w:rPr>
        <w:t xml:space="preserve"> estima en la columna correspondiente al año 20</w:t>
      </w:r>
      <w:r w:rsidR="00E3389D" w:rsidRPr="00D03701">
        <w:rPr>
          <w:rFonts w:ascii="Arial" w:hAnsi="Arial" w:cs="Arial"/>
          <w:color w:val="000000"/>
          <w:sz w:val="22"/>
          <w:szCs w:val="22"/>
          <w:lang w:val="es-ES_tradnl"/>
        </w:rPr>
        <w:t>2</w:t>
      </w:r>
      <w:r w:rsidR="00F80258" w:rsidRPr="00D03701">
        <w:rPr>
          <w:rFonts w:ascii="Arial" w:hAnsi="Arial" w:cs="Arial"/>
          <w:color w:val="000000"/>
          <w:sz w:val="22"/>
          <w:szCs w:val="22"/>
          <w:lang w:val="es-ES_tradnl"/>
        </w:rPr>
        <w:t xml:space="preserve">1 </w:t>
      </w:r>
      <w:r w:rsidRPr="00D03701">
        <w:rPr>
          <w:rFonts w:ascii="Arial" w:hAnsi="Arial" w:cs="Arial"/>
          <w:color w:val="000000"/>
          <w:sz w:val="22"/>
          <w:szCs w:val="22"/>
          <w:lang w:val="es-ES_tradnl"/>
        </w:rPr>
        <w:t xml:space="preserve">cuanto </w:t>
      </w:r>
      <w:r w:rsidR="00E3389D" w:rsidRPr="00D03701">
        <w:rPr>
          <w:rFonts w:ascii="Arial" w:hAnsi="Arial" w:cs="Arial"/>
          <w:color w:val="000000"/>
          <w:sz w:val="22"/>
          <w:szCs w:val="22"/>
          <w:lang w:val="es-ES_tradnl"/>
        </w:rPr>
        <w:t>la SUNAT</w:t>
      </w:r>
      <w:r w:rsidRPr="00D03701">
        <w:rPr>
          <w:rFonts w:ascii="Arial" w:hAnsi="Arial" w:cs="Arial"/>
          <w:color w:val="000000"/>
          <w:sz w:val="22"/>
          <w:szCs w:val="22"/>
          <w:lang w:val="es-ES_tradnl"/>
        </w:rPr>
        <w:t xml:space="preserve"> deberá gastar, solamente considerando los salarios de los auditores, para fiscalizar US</w:t>
      </w:r>
      <w:r w:rsidR="00153171" w:rsidRPr="00D03701">
        <w:rPr>
          <w:rFonts w:ascii="Arial" w:hAnsi="Arial" w:cs="Arial"/>
          <w:color w:val="000000"/>
          <w:sz w:val="22"/>
          <w:szCs w:val="22"/>
          <w:lang w:val="es-ES_tradnl"/>
        </w:rPr>
        <w:t>$</w:t>
      </w:r>
      <w:r w:rsidRPr="00D03701">
        <w:rPr>
          <w:rFonts w:ascii="Arial" w:hAnsi="Arial" w:cs="Arial"/>
          <w:color w:val="000000"/>
          <w:sz w:val="22"/>
          <w:szCs w:val="22"/>
          <w:lang w:val="es-ES_tradnl"/>
        </w:rPr>
        <w:t>1.</w:t>
      </w:r>
    </w:p>
    <w:p w14:paraId="4FF4C5B3" w14:textId="77777777" w:rsidR="001A4AE2" w:rsidRPr="00440233" w:rsidRDefault="001A4AE2" w:rsidP="001137D4">
      <w:pPr>
        <w:pStyle w:val="Paragraph"/>
        <w:numPr>
          <w:ilvl w:val="1"/>
          <w:numId w:val="38"/>
        </w:numPr>
        <w:tabs>
          <w:tab w:val="num" w:pos="1800"/>
          <w:tab w:val="num" w:pos="2196"/>
        </w:tabs>
        <w:ind w:left="720" w:hanging="720"/>
        <w:outlineLvl w:val="9"/>
        <w:rPr>
          <w:rFonts w:ascii="Arial" w:hAnsi="Arial" w:cs="Arial"/>
          <w:sz w:val="22"/>
          <w:szCs w:val="22"/>
          <w:lang w:val="es-ES_tradnl"/>
        </w:rPr>
      </w:pPr>
      <w:r w:rsidRPr="00440233">
        <w:rPr>
          <w:rFonts w:ascii="Arial" w:hAnsi="Arial" w:cs="Arial"/>
          <w:color w:val="000000"/>
          <w:sz w:val="22"/>
          <w:szCs w:val="22"/>
          <w:lang w:val="es-ES_tradnl"/>
        </w:rPr>
        <w:t>Como resultado de las acciones financiadas por el programa, a partir de 20</w:t>
      </w:r>
      <w:r w:rsidR="00543A76" w:rsidRPr="00440233">
        <w:rPr>
          <w:rFonts w:ascii="Arial" w:hAnsi="Arial" w:cs="Arial"/>
          <w:color w:val="000000"/>
          <w:sz w:val="22"/>
          <w:szCs w:val="22"/>
          <w:lang w:val="es-ES_tradnl"/>
        </w:rPr>
        <w:t>2</w:t>
      </w:r>
      <w:r w:rsidR="00E3389D" w:rsidRPr="00440233">
        <w:rPr>
          <w:rFonts w:ascii="Arial" w:hAnsi="Arial" w:cs="Arial"/>
          <w:color w:val="000000"/>
          <w:sz w:val="22"/>
          <w:szCs w:val="22"/>
          <w:lang w:val="es-ES_tradnl"/>
        </w:rPr>
        <w:t>1</w:t>
      </w:r>
      <w:r w:rsidRPr="00440233">
        <w:rPr>
          <w:rFonts w:ascii="Arial" w:hAnsi="Arial" w:cs="Arial"/>
          <w:color w:val="000000"/>
          <w:sz w:val="22"/>
          <w:szCs w:val="22"/>
          <w:lang w:val="es-ES_tradnl"/>
        </w:rPr>
        <w:t xml:space="preserve"> los auditores serán capaces de auditar </w:t>
      </w:r>
      <w:r w:rsidR="00E3389D" w:rsidRPr="00440233">
        <w:rPr>
          <w:rFonts w:ascii="Arial" w:hAnsi="Arial" w:cs="Arial"/>
          <w:color w:val="000000"/>
          <w:sz w:val="22"/>
          <w:szCs w:val="22"/>
          <w:lang w:val="es-ES_tradnl"/>
        </w:rPr>
        <w:t>un número más grande de contribuyentes</w:t>
      </w:r>
      <w:r w:rsidRPr="00440233">
        <w:rPr>
          <w:rFonts w:ascii="Arial" w:hAnsi="Arial" w:cs="Arial"/>
          <w:color w:val="000000"/>
          <w:sz w:val="22"/>
          <w:szCs w:val="22"/>
          <w:lang w:val="es-ES_tradnl"/>
        </w:rPr>
        <w:t xml:space="preserve">. Esto será posible, porque el nuevo sistema podrá generar los expedientes (información de apoyo estandarizada) para las fiscalizaciones </w:t>
      </w:r>
      <w:r w:rsidR="00E3389D" w:rsidRPr="00440233">
        <w:rPr>
          <w:rFonts w:ascii="Arial" w:hAnsi="Arial" w:cs="Arial"/>
          <w:color w:val="000000"/>
          <w:sz w:val="22"/>
          <w:szCs w:val="22"/>
          <w:lang w:val="es-ES_tradnl"/>
        </w:rPr>
        <w:t>definitiva</w:t>
      </w:r>
      <w:r w:rsidR="00F80258" w:rsidRPr="00440233">
        <w:rPr>
          <w:rFonts w:ascii="Arial" w:hAnsi="Arial" w:cs="Arial"/>
          <w:color w:val="000000"/>
          <w:sz w:val="22"/>
          <w:szCs w:val="22"/>
          <w:lang w:val="es-ES_tradnl"/>
        </w:rPr>
        <w:t>s</w:t>
      </w:r>
      <w:r w:rsidRPr="00440233">
        <w:rPr>
          <w:rFonts w:ascii="Arial" w:hAnsi="Arial" w:cs="Arial"/>
          <w:color w:val="000000"/>
          <w:sz w:val="22"/>
          <w:szCs w:val="22"/>
          <w:lang w:val="es-ES_tradnl"/>
        </w:rPr>
        <w:t xml:space="preserve"> </w:t>
      </w:r>
      <w:r w:rsidR="00F80258" w:rsidRPr="00440233">
        <w:rPr>
          <w:rFonts w:ascii="Arial" w:hAnsi="Arial" w:cs="Arial"/>
          <w:color w:val="000000"/>
          <w:sz w:val="22"/>
          <w:szCs w:val="22"/>
          <w:lang w:val="es-ES_tradnl"/>
        </w:rPr>
        <w:t>en tiempo real</w:t>
      </w:r>
      <w:r w:rsidRPr="00440233">
        <w:rPr>
          <w:rFonts w:ascii="Arial" w:hAnsi="Arial" w:cs="Arial"/>
          <w:color w:val="000000"/>
          <w:sz w:val="22"/>
          <w:szCs w:val="22"/>
          <w:lang w:val="es-ES_tradnl"/>
        </w:rPr>
        <w:t xml:space="preserve">.  Esta tarea es hoy llevada a cabo básicamente </w:t>
      </w:r>
      <w:r w:rsidR="00E3389D" w:rsidRPr="00440233">
        <w:rPr>
          <w:rFonts w:ascii="Arial" w:hAnsi="Arial" w:cs="Arial"/>
          <w:color w:val="000000"/>
          <w:sz w:val="22"/>
          <w:szCs w:val="22"/>
          <w:lang w:val="es-ES_tradnl"/>
        </w:rPr>
        <w:t xml:space="preserve">para </w:t>
      </w:r>
      <w:r w:rsidR="00933D3C" w:rsidRPr="00440233">
        <w:rPr>
          <w:rFonts w:ascii="Arial" w:hAnsi="Arial" w:cs="Arial"/>
          <w:color w:val="000000"/>
          <w:sz w:val="22"/>
          <w:szCs w:val="22"/>
          <w:lang w:val="es-ES_tradnl"/>
        </w:rPr>
        <w:t xml:space="preserve">solamente </w:t>
      </w:r>
      <w:r w:rsidR="00E3389D" w:rsidRPr="00440233">
        <w:rPr>
          <w:rFonts w:ascii="Arial" w:hAnsi="Arial" w:cs="Arial"/>
          <w:color w:val="000000"/>
          <w:sz w:val="22"/>
          <w:szCs w:val="22"/>
          <w:lang w:val="es-ES_tradnl"/>
        </w:rPr>
        <w:t>20% de los contribuyentes</w:t>
      </w:r>
      <w:r w:rsidRPr="00440233">
        <w:rPr>
          <w:rFonts w:ascii="Arial" w:hAnsi="Arial" w:cs="Arial"/>
          <w:color w:val="000000"/>
          <w:sz w:val="22"/>
          <w:szCs w:val="22"/>
          <w:lang w:val="es-ES_tradnl"/>
        </w:rPr>
        <w:t xml:space="preserve">. Esto hace con que solamente </w:t>
      </w:r>
      <w:r w:rsidR="00E3389D" w:rsidRPr="00440233">
        <w:rPr>
          <w:rFonts w:ascii="Arial" w:hAnsi="Arial" w:cs="Arial"/>
          <w:color w:val="000000"/>
          <w:sz w:val="22"/>
          <w:szCs w:val="22"/>
          <w:lang w:val="es-ES_tradnl"/>
        </w:rPr>
        <w:t>20</w:t>
      </w:r>
      <w:r w:rsidRPr="00440233">
        <w:rPr>
          <w:rFonts w:ascii="Arial" w:hAnsi="Arial" w:cs="Arial"/>
          <w:color w:val="000000"/>
          <w:sz w:val="22"/>
          <w:szCs w:val="22"/>
          <w:lang w:val="es-ES_tradnl"/>
        </w:rPr>
        <w:t xml:space="preserve">% de la recaudación </w:t>
      </w:r>
      <w:r w:rsidR="00E3389D" w:rsidRPr="00440233">
        <w:rPr>
          <w:rFonts w:ascii="Arial" w:hAnsi="Arial" w:cs="Arial"/>
          <w:color w:val="000000"/>
          <w:sz w:val="22"/>
          <w:szCs w:val="22"/>
          <w:lang w:val="es-ES_tradnl"/>
        </w:rPr>
        <w:t>sea</w:t>
      </w:r>
      <w:r w:rsidRPr="00440233">
        <w:rPr>
          <w:rFonts w:ascii="Arial" w:hAnsi="Arial" w:cs="Arial"/>
          <w:color w:val="000000"/>
          <w:sz w:val="22"/>
          <w:szCs w:val="22"/>
          <w:lang w:val="es-ES_tradnl"/>
        </w:rPr>
        <w:t xml:space="preserve"> efectivamente fiscalizada.</w:t>
      </w:r>
    </w:p>
    <w:p w14:paraId="7C513E2A" w14:textId="4C23D7F3" w:rsidR="00B63B13" w:rsidRPr="00D03701" w:rsidRDefault="00B63B13"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pPr>
      <w:r w:rsidRPr="00440233">
        <w:rPr>
          <w:rFonts w:ascii="Arial" w:hAnsi="Arial" w:cs="Arial"/>
          <w:color w:val="000000"/>
          <w:sz w:val="22"/>
          <w:szCs w:val="22"/>
          <w:lang w:val="es-ES_tradnl"/>
        </w:rPr>
        <w:t xml:space="preserve">A partir del aumento del </w:t>
      </w:r>
      <w:r w:rsidR="00E22035" w:rsidRPr="00440233">
        <w:rPr>
          <w:rFonts w:ascii="Arial" w:hAnsi="Arial" w:cs="Arial"/>
          <w:color w:val="000000"/>
          <w:sz w:val="22"/>
          <w:szCs w:val="22"/>
          <w:lang w:val="es-ES_tradnl"/>
        </w:rPr>
        <w:t>porcentaje</w:t>
      </w:r>
      <w:r w:rsidRPr="00440233">
        <w:rPr>
          <w:rFonts w:ascii="Arial" w:hAnsi="Arial" w:cs="Arial"/>
          <w:color w:val="000000"/>
          <w:sz w:val="22"/>
          <w:szCs w:val="22"/>
          <w:lang w:val="es-ES_tradnl"/>
        </w:rPr>
        <w:t xml:space="preserve"> de la recaudación fiscalizada</w:t>
      </w:r>
      <w:r w:rsidR="006F1F8F" w:rsidRPr="00440233">
        <w:rPr>
          <w:rFonts w:ascii="Arial" w:hAnsi="Arial" w:cs="Arial"/>
          <w:color w:val="000000"/>
          <w:sz w:val="22"/>
          <w:szCs w:val="22"/>
          <w:lang w:val="es-ES_tradnl"/>
        </w:rPr>
        <w:t xml:space="preserve"> a</w:t>
      </w:r>
      <w:r w:rsidRPr="00440233">
        <w:rPr>
          <w:rFonts w:ascii="Arial" w:hAnsi="Arial" w:cs="Arial"/>
          <w:color w:val="000000"/>
          <w:sz w:val="22"/>
          <w:szCs w:val="22"/>
          <w:lang w:val="es-ES_tradnl"/>
        </w:rPr>
        <w:t xml:space="preserve"> </w:t>
      </w:r>
      <w:r w:rsidR="00E3389D" w:rsidRPr="00440233">
        <w:rPr>
          <w:rFonts w:ascii="Arial" w:hAnsi="Arial" w:cs="Arial"/>
          <w:color w:val="000000"/>
          <w:sz w:val="22"/>
          <w:szCs w:val="22"/>
          <w:lang w:val="es-ES_tradnl"/>
        </w:rPr>
        <w:t>50</w:t>
      </w:r>
      <w:r w:rsidRPr="00440233">
        <w:rPr>
          <w:rFonts w:ascii="Arial" w:hAnsi="Arial" w:cs="Arial"/>
          <w:color w:val="000000"/>
          <w:sz w:val="22"/>
          <w:szCs w:val="22"/>
          <w:lang w:val="es-ES_tradnl"/>
        </w:rPr>
        <w:t>% en 20</w:t>
      </w:r>
      <w:r w:rsidR="00543A76" w:rsidRPr="00440233">
        <w:rPr>
          <w:rFonts w:ascii="Arial" w:hAnsi="Arial" w:cs="Arial"/>
          <w:color w:val="000000"/>
          <w:sz w:val="22"/>
          <w:szCs w:val="22"/>
          <w:lang w:val="es-ES_tradnl"/>
        </w:rPr>
        <w:t>2</w:t>
      </w:r>
      <w:r w:rsidR="00E3389D" w:rsidRPr="00440233">
        <w:rPr>
          <w:rFonts w:ascii="Arial" w:hAnsi="Arial" w:cs="Arial"/>
          <w:color w:val="000000"/>
          <w:sz w:val="22"/>
          <w:szCs w:val="22"/>
          <w:lang w:val="es-ES_tradnl"/>
        </w:rPr>
        <w:t>1</w:t>
      </w:r>
      <w:r w:rsidRPr="00440233">
        <w:rPr>
          <w:rFonts w:ascii="Arial" w:hAnsi="Arial" w:cs="Arial"/>
          <w:color w:val="000000"/>
          <w:sz w:val="22"/>
          <w:szCs w:val="22"/>
          <w:lang w:val="es-ES_tradnl"/>
        </w:rPr>
        <w:t xml:space="preserve"> (línea 3), </w:t>
      </w:r>
      <w:r w:rsidR="00CA7C2B" w:rsidRPr="00440233">
        <w:rPr>
          <w:rFonts w:ascii="Arial" w:hAnsi="Arial" w:cs="Arial"/>
          <w:color w:val="000000"/>
          <w:sz w:val="22"/>
          <w:szCs w:val="22"/>
          <w:lang w:val="es-ES_tradnl"/>
        </w:rPr>
        <w:t>equivalente</w:t>
      </w:r>
      <w:r w:rsidRPr="00440233">
        <w:rPr>
          <w:rFonts w:ascii="Arial" w:hAnsi="Arial" w:cs="Arial"/>
          <w:color w:val="000000"/>
          <w:sz w:val="22"/>
          <w:szCs w:val="22"/>
          <w:lang w:val="es-ES_tradnl"/>
        </w:rPr>
        <w:t xml:space="preserve"> a US$</w:t>
      </w:r>
      <w:r w:rsidR="00E3389D" w:rsidRPr="00440233">
        <w:rPr>
          <w:rFonts w:ascii="Arial" w:hAnsi="Arial" w:cs="Arial"/>
          <w:color w:val="000000"/>
          <w:sz w:val="22"/>
          <w:szCs w:val="22"/>
          <w:lang w:val="es-ES_tradnl"/>
        </w:rPr>
        <w:t>16</w:t>
      </w:r>
      <w:r w:rsidR="00647581" w:rsidRPr="00440233">
        <w:rPr>
          <w:rFonts w:ascii="Arial" w:hAnsi="Arial" w:cs="Arial"/>
          <w:color w:val="000000"/>
          <w:sz w:val="22"/>
          <w:szCs w:val="22"/>
          <w:lang w:val="es-ES_tradnl"/>
        </w:rPr>
        <w:t>.</w:t>
      </w:r>
      <w:r w:rsidR="00E3389D" w:rsidRPr="00440233">
        <w:rPr>
          <w:rFonts w:ascii="Arial" w:hAnsi="Arial" w:cs="Arial"/>
          <w:color w:val="000000"/>
          <w:sz w:val="22"/>
          <w:szCs w:val="22"/>
          <w:lang w:val="es-ES_tradnl"/>
        </w:rPr>
        <w:t xml:space="preserve">4 </w:t>
      </w:r>
      <w:r w:rsidR="00647581" w:rsidRPr="00440233">
        <w:rPr>
          <w:rFonts w:ascii="Arial" w:hAnsi="Arial" w:cs="Arial"/>
          <w:color w:val="000000"/>
          <w:sz w:val="22"/>
          <w:szCs w:val="22"/>
          <w:lang w:val="es-ES_tradnl"/>
        </w:rPr>
        <w:t>b</w:t>
      </w:r>
      <w:r w:rsidR="00E3389D" w:rsidRPr="00440233">
        <w:rPr>
          <w:rFonts w:ascii="Arial" w:hAnsi="Arial" w:cs="Arial"/>
          <w:color w:val="000000"/>
          <w:sz w:val="22"/>
          <w:szCs w:val="22"/>
          <w:lang w:val="es-ES_tradnl"/>
        </w:rPr>
        <w:t>illones</w:t>
      </w:r>
      <w:r w:rsidR="00543A76" w:rsidRPr="00440233">
        <w:rPr>
          <w:rFonts w:ascii="Arial" w:hAnsi="Arial" w:cs="Arial"/>
          <w:color w:val="000000"/>
          <w:sz w:val="22"/>
          <w:szCs w:val="22"/>
          <w:lang w:val="es-ES_tradnl"/>
        </w:rPr>
        <w:t xml:space="preserve"> </w:t>
      </w:r>
      <w:r w:rsidRPr="00440233">
        <w:rPr>
          <w:rFonts w:ascii="Arial" w:hAnsi="Arial" w:cs="Arial"/>
          <w:color w:val="000000"/>
          <w:sz w:val="22"/>
          <w:szCs w:val="22"/>
          <w:lang w:val="es-ES_tradnl"/>
        </w:rPr>
        <w:t xml:space="preserve">(línea 4), </w:t>
      </w:r>
      <w:r w:rsidR="00CA7C2B" w:rsidRPr="00440233">
        <w:rPr>
          <w:rFonts w:ascii="Arial" w:hAnsi="Arial" w:cs="Arial"/>
          <w:color w:val="000000"/>
          <w:sz w:val="22"/>
          <w:szCs w:val="22"/>
          <w:lang w:val="es-ES_tradnl"/>
        </w:rPr>
        <w:t xml:space="preserve">y </w:t>
      </w:r>
      <w:r w:rsidRPr="00440233">
        <w:rPr>
          <w:rFonts w:ascii="Arial" w:hAnsi="Arial" w:cs="Arial"/>
          <w:color w:val="000000"/>
          <w:sz w:val="22"/>
          <w:szCs w:val="22"/>
          <w:lang w:val="es-ES_tradnl"/>
        </w:rPr>
        <w:t>considerando el costo anual de los auditores</w:t>
      </w:r>
      <w:r w:rsidR="00CA7C2B" w:rsidRPr="00440233">
        <w:rPr>
          <w:rFonts w:ascii="Arial" w:hAnsi="Arial" w:cs="Arial"/>
          <w:color w:val="000000"/>
          <w:sz w:val="22"/>
          <w:szCs w:val="22"/>
          <w:lang w:val="es-ES_tradnl"/>
        </w:rPr>
        <w:t xml:space="preserve"> fiscales</w:t>
      </w:r>
      <w:r w:rsidRPr="00440233">
        <w:rPr>
          <w:rFonts w:ascii="Arial" w:hAnsi="Arial" w:cs="Arial"/>
          <w:color w:val="000000"/>
          <w:sz w:val="22"/>
          <w:szCs w:val="22"/>
          <w:lang w:val="es-ES_tradnl"/>
        </w:rPr>
        <w:t xml:space="preserve"> de US$</w:t>
      </w:r>
      <w:r w:rsidR="00653EC1" w:rsidRPr="00440233">
        <w:rPr>
          <w:rFonts w:ascii="Arial" w:hAnsi="Arial" w:cs="Arial"/>
          <w:color w:val="000000"/>
          <w:sz w:val="22"/>
          <w:szCs w:val="22"/>
          <w:lang w:val="es-ES_tradnl"/>
        </w:rPr>
        <w:t>60</w:t>
      </w:r>
      <w:r w:rsidR="00CA7C2B" w:rsidRPr="00440233">
        <w:rPr>
          <w:rFonts w:ascii="Arial" w:hAnsi="Arial" w:cs="Arial"/>
          <w:color w:val="000000"/>
          <w:sz w:val="22"/>
          <w:szCs w:val="22"/>
          <w:lang w:val="es-ES_tradnl"/>
        </w:rPr>
        <w:t>.</w:t>
      </w:r>
      <w:r w:rsidR="00653EC1" w:rsidRPr="00440233">
        <w:rPr>
          <w:rFonts w:ascii="Arial" w:hAnsi="Arial" w:cs="Arial"/>
          <w:color w:val="000000"/>
          <w:sz w:val="22"/>
          <w:szCs w:val="22"/>
          <w:lang w:val="es-ES_tradnl"/>
        </w:rPr>
        <w:t>5</w:t>
      </w:r>
      <w:r w:rsidR="00E3389D" w:rsidRPr="00440233">
        <w:rPr>
          <w:rFonts w:ascii="Arial" w:hAnsi="Arial" w:cs="Arial"/>
          <w:color w:val="000000"/>
          <w:sz w:val="22"/>
          <w:szCs w:val="22"/>
          <w:lang w:val="es-ES_tradnl"/>
        </w:rPr>
        <w:t xml:space="preserve"> </w:t>
      </w:r>
      <w:r w:rsidRPr="00440233">
        <w:rPr>
          <w:rFonts w:ascii="Arial" w:hAnsi="Arial" w:cs="Arial"/>
          <w:color w:val="000000"/>
          <w:sz w:val="22"/>
          <w:szCs w:val="22"/>
          <w:lang w:val="es-ES_tradnl"/>
        </w:rPr>
        <w:t>millones (línea 7), se estima que en 20</w:t>
      </w:r>
      <w:r w:rsidR="00543A76" w:rsidRPr="00440233">
        <w:rPr>
          <w:rFonts w:ascii="Arial" w:hAnsi="Arial" w:cs="Arial"/>
          <w:color w:val="000000"/>
          <w:sz w:val="22"/>
          <w:szCs w:val="22"/>
          <w:lang w:val="es-ES_tradnl"/>
        </w:rPr>
        <w:t>2</w:t>
      </w:r>
      <w:r w:rsidR="00E3389D" w:rsidRPr="00440233">
        <w:rPr>
          <w:rFonts w:ascii="Arial" w:hAnsi="Arial" w:cs="Arial"/>
          <w:color w:val="000000"/>
          <w:sz w:val="22"/>
          <w:szCs w:val="22"/>
          <w:lang w:val="es-ES_tradnl"/>
        </w:rPr>
        <w:t>1</w:t>
      </w:r>
      <w:r w:rsidRPr="00440233">
        <w:rPr>
          <w:rFonts w:ascii="Arial" w:hAnsi="Arial" w:cs="Arial"/>
          <w:color w:val="000000"/>
          <w:sz w:val="22"/>
          <w:szCs w:val="22"/>
          <w:lang w:val="es-ES_tradnl"/>
        </w:rPr>
        <w:t xml:space="preserve"> el costo</w:t>
      </w:r>
      <w:r w:rsidRPr="00D03701">
        <w:rPr>
          <w:rFonts w:ascii="Arial" w:hAnsi="Arial" w:cs="Arial"/>
          <w:color w:val="000000"/>
          <w:sz w:val="22"/>
          <w:szCs w:val="22"/>
          <w:lang w:val="es-ES_tradnl"/>
        </w:rPr>
        <w:t xml:space="preserve"> para </w:t>
      </w:r>
      <w:r w:rsidRPr="00D03701">
        <w:rPr>
          <w:rFonts w:ascii="Arial" w:hAnsi="Arial" w:cs="Arial"/>
          <w:color w:val="000000"/>
          <w:sz w:val="22"/>
          <w:szCs w:val="22"/>
          <w:lang w:val="es-ES_tradnl"/>
        </w:rPr>
        <w:lastRenderedPageBreak/>
        <w:t>recaudar US$1 será de US$ 0</w:t>
      </w:r>
      <w:r w:rsidR="002328DF" w:rsidRPr="00D03701">
        <w:rPr>
          <w:rFonts w:ascii="Arial" w:hAnsi="Arial" w:cs="Arial"/>
          <w:color w:val="000000"/>
          <w:sz w:val="22"/>
          <w:szCs w:val="22"/>
          <w:lang w:val="es-ES_tradnl"/>
        </w:rPr>
        <w:t>,</w:t>
      </w:r>
      <w:r w:rsidRPr="00D03701">
        <w:rPr>
          <w:rFonts w:ascii="Arial" w:hAnsi="Arial" w:cs="Arial"/>
          <w:color w:val="000000"/>
          <w:sz w:val="22"/>
          <w:szCs w:val="22"/>
          <w:lang w:val="es-ES_tradnl"/>
        </w:rPr>
        <w:t>0</w:t>
      </w:r>
      <w:r w:rsidR="00E3389D" w:rsidRPr="00D03701">
        <w:rPr>
          <w:rFonts w:ascii="Arial" w:hAnsi="Arial" w:cs="Arial"/>
          <w:color w:val="000000"/>
          <w:sz w:val="22"/>
          <w:szCs w:val="22"/>
          <w:lang w:val="es-ES_tradnl"/>
        </w:rPr>
        <w:t>0</w:t>
      </w:r>
      <w:r w:rsidR="00653EC1" w:rsidRPr="00D03701">
        <w:rPr>
          <w:rFonts w:ascii="Arial" w:hAnsi="Arial" w:cs="Arial"/>
          <w:color w:val="000000"/>
          <w:sz w:val="22"/>
          <w:szCs w:val="22"/>
          <w:lang w:val="es-ES_tradnl"/>
        </w:rPr>
        <w:t>4</w:t>
      </w:r>
      <w:r w:rsidRPr="00D03701">
        <w:rPr>
          <w:rFonts w:ascii="Arial" w:hAnsi="Arial" w:cs="Arial"/>
          <w:color w:val="000000"/>
          <w:sz w:val="22"/>
          <w:szCs w:val="22"/>
          <w:lang w:val="es-ES_tradnl"/>
        </w:rPr>
        <w:t xml:space="preserve"> (línea</w:t>
      </w:r>
      <w:r w:rsidR="006F6DE7" w:rsidRPr="00D03701">
        <w:rPr>
          <w:rFonts w:ascii="Arial" w:hAnsi="Arial" w:cs="Arial"/>
          <w:color w:val="000000"/>
          <w:sz w:val="22"/>
          <w:szCs w:val="22"/>
          <w:lang w:val="es-ES_tradnl"/>
        </w:rPr>
        <w:t xml:space="preserve"> 9)</w:t>
      </w:r>
      <w:r w:rsidRPr="00D03701">
        <w:rPr>
          <w:rFonts w:ascii="Arial" w:hAnsi="Arial" w:cs="Arial"/>
          <w:color w:val="000000"/>
          <w:sz w:val="22"/>
          <w:szCs w:val="22"/>
          <w:lang w:val="es-ES_tradnl"/>
        </w:rPr>
        <w:t>.</w:t>
      </w:r>
      <w:r w:rsidR="002328DF" w:rsidRPr="00D03701">
        <w:rPr>
          <w:rFonts w:ascii="Arial" w:hAnsi="Arial" w:cs="Arial"/>
          <w:color w:val="000000"/>
          <w:sz w:val="22"/>
          <w:szCs w:val="22"/>
          <w:lang w:val="es-ES_tradnl"/>
        </w:rPr>
        <w:t xml:space="preserve"> En el año 202</w:t>
      </w:r>
      <w:r w:rsidR="00E3389D" w:rsidRPr="00D03701">
        <w:rPr>
          <w:rFonts w:ascii="Arial" w:hAnsi="Arial" w:cs="Arial"/>
          <w:color w:val="000000"/>
          <w:sz w:val="22"/>
          <w:szCs w:val="22"/>
          <w:lang w:val="es-ES_tradnl"/>
        </w:rPr>
        <w:t>6</w:t>
      </w:r>
      <w:r w:rsidR="002328DF" w:rsidRPr="00D03701">
        <w:rPr>
          <w:rFonts w:ascii="Arial" w:hAnsi="Arial" w:cs="Arial"/>
          <w:color w:val="000000"/>
          <w:sz w:val="22"/>
          <w:szCs w:val="22"/>
          <w:lang w:val="es-ES_tradnl"/>
        </w:rPr>
        <w:t xml:space="preserve"> este valor será de US$ 0,0</w:t>
      </w:r>
      <w:r w:rsidR="00406D7D" w:rsidRPr="00D03701">
        <w:rPr>
          <w:rFonts w:ascii="Arial" w:hAnsi="Arial" w:cs="Arial"/>
          <w:color w:val="000000"/>
          <w:sz w:val="22"/>
          <w:szCs w:val="22"/>
          <w:lang w:val="es-ES_tradnl"/>
        </w:rPr>
        <w:t>0</w:t>
      </w:r>
      <w:r w:rsidR="00653EC1" w:rsidRPr="00D03701">
        <w:rPr>
          <w:rFonts w:ascii="Arial" w:hAnsi="Arial" w:cs="Arial"/>
          <w:color w:val="000000"/>
          <w:sz w:val="22"/>
          <w:szCs w:val="22"/>
          <w:lang w:val="es-ES_tradnl"/>
        </w:rPr>
        <w:t>2</w:t>
      </w:r>
      <w:r w:rsidR="002328DF" w:rsidRPr="00D03701">
        <w:rPr>
          <w:rFonts w:ascii="Arial" w:hAnsi="Arial" w:cs="Arial"/>
          <w:color w:val="000000"/>
          <w:sz w:val="22"/>
          <w:szCs w:val="22"/>
          <w:lang w:val="es-ES_tradnl"/>
        </w:rPr>
        <w:t>.</w:t>
      </w:r>
    </w:p>
    <w:p w14:paraId="53CABECD" w14:textId="1620735A" w:rsidR="00406D7D" w:rsidRPr="00D03701" w:rsidRDefault="00CA7C2B"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sectPr w:rsidR="00406D7D" w:rsidRPr="00D03701">
          <w:pgSz w:w="11906" w:h="16838"/>
          <w:pgMar w:top="994" w:right="1440" w:bottom="1166" w:left="1354" w:header="720" w:footer="720" w:gutter="0"/>
          <w:cols w:space="720"/>
          <w:docGrid w:linePitch="360"/>
        </w:sectPr>
      </w:pPr>
      <w:r w:rsidRPr="00D03701">
        <w:rPr>
          <w:rFonts w:ascii="Arial" w:hAnsi="Arial" w:cs="Arial"/>
          <w:color w:val="000000"/>
          <w:sz w:val="22"/>
          <w:szCs w:val="22"/>
          <w:lang w:val="es-ES_tradnl"/>
        </w:rPr>
        <w:t>En c</w:t>
      </w:r>
      <w:r w:rsidR="00B63B13" w:rsidRPr="00D03701">
        <w:rPr>
          <w:rFonts w:ascii="Arial" w:hAnsi="Arial" w:cs="Arial"/>
          <w:color w:val="000000"/>
          <w:sz w:val="22"/>
          <w:szCs w:val="22"/>
          <w:lang w:val="es-ES_tradnl"/>
        </w:rPr>
        <w:t>onclusión, se estima que en 20</w:t>
      </w:r>
      <w:r w:rsidR="00543A76" w:rsidRPr="00D03701">
        <w:rPr>
          <w:rFonts w:ascii="Arial" w:hAnsi="Arial" w:cs="Arial"/>
          <w:color w:val="000000"/>
          <w:sz w:val="22"/>
          <w:szCs w:val="22"/>
          <w:lang w:val="es-ES_tradnl"/>
        </w:rPr>
        <w:t>2</w:t>
      </w:r>
      <w:r w:rsidR="00406D7D" w:rsidRPr="00D03701">
        <w:rPr>
          <w:rFonts w:ascii="Arial" w:hAnsi="Arial" w:cs="Arial"/>
          <w:color w:val="000000"/>
          <w:sz w:val="22"/>
          <w:szCs w:val="22"/>
          <w:lang w:val="es-ES_tradnl"/>
        </w:rPr>
        <w:t>1</w:t>
      </w:r>
      <w:r w:rsidR="00B63B13" w:rsidRPr="00D03701">
        <w:rPr>
          <w:rFonts w:ascii="Arial" w:hAnsi="Arial" w:cs="Arial"/>
          <w:color w:val="000000"/>
          <w:sz w:val="22"/>
          <w:szCs w:val="22"/>
          <w:lang w:val="es-ES_tradnl"/>
        </w:rPr>
        <w:t xml:space="preserve"> </w:t>
      </w:r>
      <w:r w:rsidR="002328DF" w:rsidRPr="00D03701">
        <w:rPr>
          <w:rFonts w:ascii="Arial" w:hAnsi="Arial" w:cs="Arial"/>
          <w:color w:val="000000"/>
          <w:sz w:val="22"/>
          <w:szCs w:val="22"/>
          <w:lang w:val="es-ES_tradnl"/>
        </w:rPr>
        <w:t>la diferencia del costo para recaudar US$1 será de 0,</w:t>
      </w:r>
      <w:r w:rsidR="00406D7D" w:rsidRPr="00D03701">
        <w:rPr>
          <w:rFonts w:ascii="Arial" w:hAnsi="Arial" w:cs="Arial"/>
          <w:color w:val="000000"/>
          <w:sz w:val="22"/>
          <w:szCs w:val="22"/>
          <w:lang w:val="es-ES_tradnl"/>
        </w:rPr>
        <w:t>00</w:t>
      </w:r>
      <w:r w:rsidR="00653EC1" w:rsidRPr="00D03701">
        <w:rPr>
          <w:rFonts w:ascii="Arial" w:hAnsi="Arial" w:cs="Arial"/>
          <w:color w:val="000000"/>
          <w:sz w:val="22"/>
          <w:szCs w:val="22"/>
          <w:lang w:val="es-ES_tradnl"/>
        </w:rPr>
        <w:t>6</w:t>
      </w:r>
      <w:r w:rsidR="002328DF" w:rsidRPr="00D03701">
        <w:rPr>
          <w:rFonts w:ascii="Arial" w:hAnsi="Arial" w:cs="Arial"/>
          <w:color w:val="000000"/>
          <w:sz w:val="22"/>
          <w:szCs w:val="22"/>
          <w:lang w:val="es-ES_tradnl"/>
        </w:rPr>
        <w:t xml:space="preserve"> (línea 10), correspondientes a US$ </w:t>
      </w:r>
      <w:r w:rsidR="00653EC1" w:rsidRPr="00D03701">
        <w:rPr>
          <w:rFonts w:ascii="Arial" w:hAnsi="Arial" w:cs="Arial"/>
          <w:color w:val="000000"/>
          <w:sz w:val="22"/>
          <w:szCs w:val="22"/>
          <w:lang w:val="es-ES_tradnl"/>
        </w:rPr>
        <w:t>334,584</w:t>
      </w:r>
      <w:r w:rsidR="002328DF" w:rsidRPr="00D03701">
        <w:rPr>
          <w:rFonts w:ascii="Arial" w:hAnsi="Arial" w:cs="Arial"/>
          <w:color w:val="000000"/>
          <w:sz w:val="22"/>
          <w:szCs w:val="22"/>
          <w:lang w:val="es-ES_tradnl"/>
        </w:rPr>
        <w:t xml:space="preserve"> (línea 11). En el año 202</w:t>
      </w:r>
      <w:r w:rsidR="00406D7D" w:rsidRPr="00D03701">
        <w:rPr>
          <w:rFonts w:ascii="Arial" w:hAnsi="Arial" w:cs="Arial"/>
          <w:color w:val="000000"/>
          <w:sz w:val="22"/>
          <w:szCs w:val="22"/>
          <w:lang w:val="es-ES_tradnl"/>
        </w:rPr>
        <w:t>6</w:t>
      </w:r>
      <w:r w:rsidR="002328DF" w:rsidRPr="00D03701">
        <w:rPr>
          <w:rFonts w:ascii="Arial" w:hAnsi="Arial" w:cs="Arial"/>
          <w:color w:val="000000"/>
          <w:sz w:val="22"/>
          <w:szCs w:val="22"/>
          <w:lang w:val="es-ES_tradnl"/>
        </w:rPr>
        <w:t xml:space="preserve"> la diferencia será de US$ 0.</w:t>
      </w:r>
      <w:r w:rsidR="00406D7D" w:rsidRPr="00D03701">
        <w:rPr>
          <w:rFonts w:ascii="Arial" w:hAnsi="Arial" w:cs="Arial"/>
          <w:color w:val="000000"/>
          <w:sz w:val="22"/>
          <w:szCs w:val="22"/>
          <w:lang w:val="es-ES_tradnl"/>
        </w:rPr>
        <w:t>00</w:t>
      </w:r>
      <w:r w:rsidR="00653EC1" w:rsidRPr="00D03701">
        <w:rPr>
          <w:rFonts w:ascii="Arial" w:hAnsi="Arial" w:cs="Arial"/>
          <w:color w:val="000000"/>
          <w:sz w:val="22"/>
          <w:szCs w:val="22"/>
          <w:lang w:val="es-ES_tradnl"/>
        </w:rPr>
        <w:t>6</w:t>
      </w:r>
      <w:r w:rsidR="002328DF" w:rsidRPr="00D03701">
        <w:rPr>
          <w:rFonts w:ascii="Arial" w:hAnsi="Arial" w:cs="Arial"/>
          <w:color w:val="000000"/>
          <w:sz w:val="22"/>
          <w:szCs w:val="22"/>
          <w:lang w:val="es-ES_tradnl"/>
        </w:rPr>
        <w:t>, correspondientes a US$</w:t>
      </w:r>
      <w:r w:rsidR="00653EC1" w:rsidRPr="00D03701">
        <w:rPr>
          <w:rFonts w:ascii="Arial" w:hAnsi="Arial" w:cs="Arial"/>
          <w:color w:val="000000"/>
          <w:sz w:val="22"/>
          <w:szCs w:val="22"/>
          <w:lang w:val="es-ES_tradnl"/>
        </w:rPr>
        <w:t>397,932</w:t>
      </w:r>
      <w:r w:rsidR="002328DF" w:rsidRPr="00D03701">
        <w:rPr>
          <w:rFonts w:ascii="Arial" w:hAnsi="Arial" w:cs="Arial"/>
          <w:color w:val="000000"/>
          <w:sz w:val="22"/>
          <w:szCs w:val="22"/>
          <w:lang w:val="es-ES_tradnl"/>
        </w:rPr>
        <w:t>.</w:t>
      </w:r>
    </w:p>
    <w:p w14:paraId="2406ADE5" w14:textId="75F5F0A6" w:rsidR="00406D7D" w:rsidRPr="00D03701" w:rsidRDefault="002036C3" w:rsidP="00406D7D">
      <w:pPr>
        <w:pStyle w:val="Paragraph"/>
        <w:numPr>
          <w:ilvl w:val="0"/>
          <w:numId w:val="0"/>
        </w:numPr>
        <w:tabs>
          <w:tab w:val="num" w:pos="2196"/>
        </w:tabs>
        <w:ind w:left="1296" w:hanging="1296"/>
        <w:outlineLvl w:val="9"/>
        <w:rPr>
          <w:rFonts w:ascii="Arial" w:hAnsi="Arial" w:cs="Arial"/>
          <w:sz w:val="22"/>
          <w:szCs w:val="22"/>
          <w:lang w:val="es-ES_tradnl"/>
        </w:rPr>
        <w:sectPr w:rsidR="00406D7D" w:rsidRPr="00D03701" w:rsidSect="00406D7D">
          <w:pgSz w:w="16838" w:h="11906" w:orient="landscape"/>
          <w:pgMar w:top="1440" w:right="1166" w:bottom="1354" w:left="994" w:header="720" w:footer="720" w:gutter="0"/>
          <w:cols w:space="720"/>
          <w:docGrid w:linePitch="360"/>
        </w:sectPr>
      </w:pPr>
      <w:r w:rsidRPr="00D03701">
        <w:rPr>
          <w:noProof/>
          <w:lang w:val="es-ES_tradnl"/>
        </w:rPr>
        <w:lastRenderedPageBreak/>
        <w:drawing>
          <wp:inline distT="0" distB="0" distL="0" distR="0" wp14:anchorId="04C857EF" wp14:editId="51A60A9E">
            <wp:extent cx="9320530" cy="36471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20530" cy="3647164"/>
                    </a:xfrm>
                    <a:prstGeom prst="rect">
                      <a:avLst/>
                    </a:prstGeom>
                    <a:noFill/>
                    <a:ln>
                      <a:noFill/>
                    </a:ln>
                  </pic:spPr>
                </pic:pic>
              </a:graphicData>
            </a:graphic>
          </wp:inline>
        </w:drawing>
      </w:r>
    </w:p>
    <w:p w14:paraId="2F49E17D" w14:textId="77777777" w:rsidR="008073A8" w:rsidRPr="00D03701" w:rsidRDefault="008073A8" w:rsidP="006A7030">
      <w:pPr>
        <w:pStyle w:val="Heading2"/>
        <w:numPr>
          <w:ilvl w:val="0"/>
          <w:numId w:val="6"/>
        </w:numPr>
        <w:ind w:left="720"/>
        <w:rPr>
          <w:rFonts w:ascii="Arial" w:hAnsi="Arial" w:cs="Arial"/>
          <w:sz w:val="22"/>
          <w:szCs w:val="22"/>
          <w:lang w:val="es-ES_tradnl"/>
        </w:rPr>
      </w:pPr>
      <w:bookmarkStart w:id="13" w:name="_Toc522741997"/>
      <w:r w:rsidRPr="00D03701">
        <w:rPr>
          <w:rFonts w:ascii="Arial" w:hAnsi="Arial" w:cs="Arial"/>
          <w:sz w:val="22"/>
          <w:szCs w:val="22"/>
          <w:lang w:val="es-ES_tradnl"/>
        </w:rPr>
        <w:lastRenderedPageBreak/>
        <w:t xml:space="preserve">Supuesto 3 </w:t>
      </w:r>
      <w:r w:rsidR="006E6D11" w:rsidRPr="00D03701">
        <w:rPr>
          <w:rFonts w:ascii="Arial" w:hAnsi="Arial" w:cs="Arial"/>
          <w:sz w:val="22"/>
          <w:szCs w:val="22"/>
          <w:lang w:val="es-ES_tradnl"/>
        </w:rPr>
        <w:t>–</w:t>
      </w:r>
      <w:r w:rsidRPr="00D03701">
        <w:rPr>
          <w:rFonts w:ascii="Arial" w:hAnsi="Arial" w:cs="Arial"/>
          <w:sz w:val="22"/>
          <w:szCs w:val="22"/>
          <w:lang w:val="es-ES_tradnl"/>
        </w:rPr>
        <w:t xml:space="preserve"> </w:t>
      </w:r>
      <w:r w:rsidR="00F80258" w:rsidRPr="00D03701">
        <w:rPr>
          <w:rFonts w:ascii="Arial" w:hAnsi="Arial" w:cs="Arial"/>
          <w:sz w:val="22"/>
          <w:szCs w:val="22"/>
          <w:lang w:val="es-ES_tradnl"/>
        </w:rPr>
        <w:t>Disminución del tiempo del despacho aduanero</w:t>
      </w:r>
      <w:r w:rsidR="006E6D11" w:rsidRPr="00D03701">
        <w:rPr>
          <w:rFonts w:ascii="Arial" w:hAnsi="Arial" w:cs="Arial"/>
          <w:sz w:val="22"/>
          <w:szCs w:val="22"/>
          <w:lang w:val="es-ES_tradnl"/>
        </w:rPr>
        <w:t>.</w:t>
      </w:r>
      <w:bookmarkEnd w:id="13"/>
    </w:p>
    <w:tbl>
      <w:tblPr>
        <w:tblStyle w:val="TableGrid"/>
        <w:tblW w:w="0" w:type="auto"/>
        <w:tblInd w:w="360" w:type="dxa"/>
        <w:tblLook w:val="04A0" w:firstRow="1" w:lastRow="0" w:firstColumn="1" w:lastColumn="0" w:noHBand="0" w:noVBand="1"/>
      </w:tblPr>
      <w:tblGrid>
        <w:gridCol w:w="8742"/>
      </w:tblGrid>
      <w:tr w:rsidR="006E6D11" w:rsidRPr="00BE7955" w14:paraId="57F12248" w14:textId="77777777" w:rsidTr="00E233B1">
        <w:tc>
          <w:tcPr>
            <w:tcW w:w="8742" w:type="dxa"/>
          </w:tcPr>
          <w:p w14:paraId="405C5433" w14:textId="77777777" w:rsidR="006E6D11" w:rsidRPr="00D03701" w:rsidRDefault="006E6D11" w:rsidP="00553D78">
            <w:pPr>
              <w:pStyle w:val="Paragraph"/>
              <w:numPr>
                <w:ilvl w:val="0"/>
                <w:numId w:val="0"/>
              </w:numPr>
              <w:ind w:left="1296" w:hanging="1296"/>
              <w:outlineLvl w:val="9"/>
              <w:rPr>
                <w:rFonts w:ascii="Arial" w:hAnsi="Arial" w:cs="Arial"/>
                <w:b/>
                <w:i/>
                <w:sz w:val="22"/>
                <w:szCs w:val="22"/>
                <w:lang w:val="es-ES_tradnl"/>
              </w:rPr>
            </w:pPr>
            <w:r w:rsidRPr="00D03701">
              <w:rPr>
                <w:rFonts w:ascii="Arial" w:hAnsi="Arial" w:cs="Arial"/>
                <w:b/>
                <w:i/>
                <w:sz w:val="22"/>
                <w:szCs w:val="22"/>
                <w:lang w:val="es-ES_tradnl"/>
              </w:rPr>
              <w:t xml:space="preserve">Supuesto 3 - Economías </w:t>
            </w:r>
            <w:r w:rsidR="00F80258" w:rsidRPr="00D03701">
              <w:rPr>
                <w:rFonts w:ascii="Arial" w:hAnsi="Arial" w:cs="Arial"/>
                <w:b/>
                <w:i/>
                <w:sz w:val="22"/>
                <w:szCs w:val="22"/>
                <w:lang w:val="es-ES_tradnl"/>
              </w:rPr>
              <w:t>para los usuarios del comercio exterior (importadores y exportadores)</w:t>
            </w:r>
            <w:r w:rsidRPr="00D03701">
              <w:rPr>
                <w:rFonts w:ascii="Arial" w:hAnsi="Arial" w:cs="Arial"/>
                <w:b/>
                <w:i/>
                <w:sz w:val="22"/>
                <w:szCs w:val="22"/>
                <w:lang w:val="es-ES_tradnl"/>
              </w:rPr>
              <w:t xml:space="preserve">. </w:t>
            </w:r>
          </w:p>
          <w:p w14:paraId="3116EF90" w14:textId="77777777" w:rsidR="006E6D11" w:rsidRPr="00D03701" w:rsidRDefault="006E6D11" w:rsidP="00553D78">
            <w:pPr>
              <w:pStyle w:val="Paragraph"/>
              <w:numPr>
                <w:ilvl w:val="0"/>
                <w:numId w:val="0"/>
              </w:numPr>
              <w:outlineLvl w:val="9"/>
              <w:rPr>
                <w:rFonts w:ascii="Arial" w:hAnsi="Arial" w:cs="Arial"/>
                <w:b/>
                <w:sz w:val="22"/>
                <w:szCs w:val="22"/>
                <w:lang w:val="es-ES_tradnl"/>
              </w:rPr>
            </w:pPr>
            <w:r w:rsidRPr="00D03701">
              <w:rPr>
                <w:rFonts w:ascii="Arial" w:hAnsi="Arial" w:cs="Arial"/>
                <w:i/>
                <w:sz w:val="22"/>
                <w:szCs w:val="22"/>
                <w:lang w:val="es-ES_tradnl"/>
              </w:rPr>
              <w:t>A partir de la mejora</w:t>
            </w:r>
            <w:r w:rsidR="00933D3C" w:rsidRPr="00D03701">
              <w:rPr>
                <w:rFonts w:ascii="Arial" w:hAnsi="Arial" w:cs="Arial"/>
                <w:i/>
                <w:sz w:val="22"/>
                <w:szCs w:val="22"/>
                <w:lang w:val="es-ES_tradnl"/>
              </w:rPr>
              <w:t xml:space="preserve"> de los procedimientos, sistemas y equipamientos de apoyo al despacho aduanero, tanto para importaciones como para exportaciones, </w:t>
            </w:r>
            <w:r w:rsidR="00653EC1" w:rsidRPr="00D03701">
              <w:rPr>
                <w:rFonts w:ascii="Arial" w:hAnsi="Arial" w:cs="Arial"/>
                <w:i/>
                <w:sz w:val="22"/>
                <w:szCs w:val="22"/>
                <w:lang w:val="es-ES_tradnl"/>
              </w:rPr>
              <w:t xml:space="preserve">así como </w:t>
            </w:r>
            <w:r w:rsidR="00933D3C" w:rsidRPr="00D03701">
              <w:rPr>
                <w:rFonts w:ascii="Arial" w:hAnsi="Arial" w:cs="Arial"/>
                <w:i/>
                <w:sz w:val="22"/>
                <w:szCs w:val="22"/>
                <w:lang w:val="es-ES_tradnl"/>
              </w:rPr>
              <w:t xml:space="preserve">con la utilización de análisis de riesgo en tiempo real, será posible seleccionar con precisión para inspección física solamente aquellos contribuyentes/mercancías que presenten riesgos substantivos o inconsistencia en su información. Adicionalmente, con la utilización de equipamiento de alta tecnología para apoyar las inspecciones físicas, se espera reducir de forma substancial los tiempos de importación y exportación de mercancías. </w:t>
            </w:r>
          </w:p>
        </w:tc>
      </w:tr>
    </w:tbl>
    <w:p w14:paraId="58BCFC1F" w14:textId="2E414EA8" w:rsidR="00A9306A" w:rsidRPr="00D03701" w:rsidRDefault="00E233B1" w:rsidP="001137D4">
      <w:pPr>
        <w:pStyle w:val="Paragraph"/>
        <w:numPr>
          <w:ilvl w:val="1"/>
          <w:numId w:val="38"/>
        </w:numPr>
        <w:tabs>
          <w:tab w:val="num" w:pos="1800"/>
          <w:tab w:val="num" w:pos="2196"/>
        </w:tabs>
        <w:ind w:left="720" w:hanging="720"/>
        <w:outlineLvl w:val="9"/>
        <w:rPr>
          <w:rFonts w:ascii="Arial" w:hAnsi="Arial" w:cs="Arial"/>
          <w:color w:val="000000" w:themeColor="text1"/>
          <w:sz w:val="22"/>
          <w:szCs w:val="22"/>
          <w:lang w:val="es-ES_tradnl"/>
        </w:rPr>
      </w:pPr>
      <w:r w:rsidRPr="00D03701">
        <w:rPr>
          <w:rFonts w:ascii="Arial" w:hAnsi="Arial" w:cs="Arial"/>
          <w:b/>
          <w:color w:val="000000" w:themeColor="text1"/>
          <w:sz w:val="22"/>
          <w:szCs w:val="22"/>
          <w:lang w:val="es-ES_tradnl"/>
        </w:rPr>
        <w:t>Descripción de la metodología.</w:t>
      </w:r>
      <w:r w:rsidRPr="00D03701">
        <w:rPr>
          <w:rFonts w:ascii="Arial" w:hAnsi="Arial" w:cs="Arial"/>
          <w:color w:val="000000" w:themeColor="text1"/>
          <w:sz w:val="22"/>
          <w:szCs w:val="22"/>
          <w:lang w:val="es-ES_tradnl"/>
        </w:rPr>
        <w:t xml:space="preserve"> </w:t>
      </w:r>
      <w:r w:rsidR="000B7385" w:rsidRPr="00D03701">
        <w:rPr>
          <w:rFonts w:ascii="Arial" w:hAnsi="Arial" w:cs="Arial"/>
          <w:color w:val="000000" w:themeColor="text1"/>
          <w:sz w:val="22"/>
          <w:szCs w:val="22"/>
          <w:lang w:val="es-ES_tradnl"/>
        </w:rPr>
        <w:t>De acuerdo con el Cuadro 4, l</w:t>
      </w:r>
      <w:r w:rsidR="00933D3C" w:rsidRPr="00D03701">
        <w:rPr>
          <w:rFonts w:ascii="Arial" w:hAnsi="Arial" w:cs="Arial"/>
          <w:color w:val="000000" w:themeColor="text1"/>
          <w:sz w:val="22"/>
          <w:szCs w:val="22"/>
          <w:lang w:val="es-ES_tradnl"/>
        </w:rPr>
        <w:t>a metodología</w:t>
      </w:r>
      <w:r w:rsidR="000B7385" w:rsidRPr="00D03701">
        <w:rPr>
          <w:rFonts w:ascii="Arial" w:hAnsi="Arial" w:cs="Arial"/>
          <w:color w:val="000000" w:themeColor="text1"/>
          <w:sz w:val="22"/>
          <w:szCs w:val="22"/>
          <w:lang w:val="es-ES_tradnl"/>
        </w:rPr>
        <w:t>:</w:t>
      </w:r>
      <w:r w:rsidR="00933D3C" w:rsidRPr="00D03701">
        <w:rPr>
          <w:rFonts w:ascii="Arial" w:hAnsi="Arial" w:cs="Arial"/>
          <w:color w:val="000000" w:themeColor="text1"/>
          <w:sz w:val="22"/>
          <w:szCs w:val="22"/>
          <w:lang w:val="es-ES_tradnl"/>
        </w:rPr>
        <w:t xml:space="preserve"> </w:t>
      </w:r>
      <w:r w:rsidR="008E3BA4" w:rsidRPr="00D03701">
        <w:rPr>
          <w:rFonts w:ascii="Arial" w:hAnsi="Arial" w:cs="Arial"/>
          <w:color w:val="000000" w:themeColor="text1"/>
          <w:sz w:val="22"/>
          <w:szCs w:val="22"/>
          <w:lang w:val="es-ES_tradnl"/>
        </w:rPr>
        <w:t xml:space="preserve">(i) </w:t>
      </w:r>
      <w:r w:rsidR="00F57F07" w:rsidRPr="00D03701">
        <w:rPr>
          <w:rFonts w:ascii="Arial" w:hAnsi="Arial" w:cs="Arial"/>
          <w:color w:val="000000" w:themeColor="text1"/>
          <w:sz w:val="22"/>
          <w:szCs w:val="22"/>
          <w:lang w:val="es-ES_tradnl"/>
        </w:rPr>
        <w:t xml:space="preserve">estima los montos de importación/exportación </w:t>
      </w:r>
      <w:r w:rsidR="0058450F" w:rsidRPr="00D03701">
        <w:rPr>
          <w:rFonts w:ascii="Arial" w:hAnsi="Arial" w:cs="Arial"/>
          <w:color w:val="000000" w:themeColor="text1"/>
          <w:sz w:val="22"/>
          <w:szCs w:val="22"/>
          <w:lang w:val="es-ES_tradnl"/>
        </w:rPr>
        <w:t>para el periodo 2017-20</w:t>
      </w:r>
      <w:r w:rsidR="008E336B" w:rsidRPr="00D03701">
        <w:rPr>
          <w:rFonts w:ascii="Arial" w:hAnsi="Arial" w:cs="Arial"/>
          <w:color w:val="000000" w:themeColor="text1"/>
          <w:sz w:val="22"/>
          <w:szCs w:val="22"/>
          <w:lang w:val="es-ES_tradnl"/>
        </w:rPr>
        <w:t>2</w:t>
      </w:r>
      <w:r w:rsidR="0058450F" w:rsidRPr="00D03701">
        <w:rPr>
          <w:rFonts w:ascii="Arial" w:hAnsi="Arial" w:cs="Arial"/>
          <w:color w:val="000000" w:themeColor="text1"/>
          <w:sz w:val="22"/>
          <w:szCs w:val="22"/>
          <w:lang w:val="es-ES_tradnl"/>
        </w:rPr>
        <w:t xml:space="preserve">6, </w:t>
      </w:r>
      <w:r w:rsidR="008E336B" w:rsidRPr="00D03701">
        <w:rPr>
          <w:rFonts w:ascii="Arial" w:hAnsi="Arial" w:cs="Arial"/>
          <w:color w:val="000000" w:themeColor="text1"/>
          <w:sz w:val="22"/>
          <w:szCs w:val="22"/>
          <w:lang w:val="es-ES_tradnl"/>
        </w:rPr>
        <w:t xml:space="preserve">ajustados </w:t>
      </w:r>
      <w:r w:rsidR="0058450F" w:rsidRPr="00D03701">
        <w:rPr>
          <w:rFonts w:ascii="Arial" w:hAnsi="Arial" w:cs="Arial"/>
          <w:color w:val="000000" w:themeColor="text1"/>
          <w:sz w:val="22"/>
          <w:szCs w:val="22"/>
          <w:lang w:val="es-ES_tradnl"/>
        </w:rPr>
        <w:t>con base en la evolución del crecimiento económico del país</w:t>
      </w:r>
      <w:r w:rsidR="008E3BA4" w:rsidRPr="00D03701">
        <w:rPr>
          <w:rFonts w:ascii="Arial" w:hAnsi="Arial" w:cs="Arial"/>
          <w:color w:val="000000" w:themeColor="text1"/>
          <w:sz w:val="22"/>
          <w:szCs w:val="22"/>
          <w:lang w:val="es-ES_tradnl"/>
        </w:rPr>
        <w:t xml:space="preserve">; </w:t>
      </w:r>
      <w:r w:rsidR="0058450F" w:rsidRPr="00D03701">
        <w:rPr>
          <w:rFonts w:ascii="Arial" w:hAnsi="Arial" w:cs="Arial"/>
          <w:color w:val="000000" w:themeColor="text1"/>
          <w:sz w:val="22"/>
          <w:szCs w:val="22"/>
          <w:lang w:val="es-ES_tradnl"/>
        </w:rPr>
        <w:t xml:space="preserve">(ii) estima la diferencia de los tiempos del despacho aduanero con y sin proyecto; </w:t>
      </w:r>
      <w:r w:rsidR="008E3BA4" w:rsidRPr="00D03701">
        <w:rPr>
          <w:rFonts w:ascii="Arial" w:hAnsi="Arial" w:cs="Arial"/>
          <w:color w:val="000000" w:themeColor="text1"/>
          <w:sz w:val="22"/>
          <w:szCs w:val="22"/>
          <w:lang w:val="es-ES_tradnl"/>
        </w:rPr>
        <w:t>(ii</w:t>
      </w:r>
      <w:r w:rsidR="0058450F" w:rsidRPr="00D03701">
        <w:rPr>
          <w:rFonts w:ascii="Arial" w:hAnsi="Arial" w:cs="Arial"/>
          <w:color w:val="000000" w:themeColor="text1"/>
          <w:sz w:val="22"/>
          <w:szCs w:val="22"/>
          <w:lang w:val="es-ES_tradnl"/>
        </w:rPr>
        <w:t>i</w:t>
      </w:r>
      <w:r w:rsidR="008E3BA4" w:rsidRPr="00D03701">
        <w:rPr>
          <w:rFonts w:ascii="Arial" w:hAnsi="Arial" w:cs="Arial"/>
          <w:color w:val="000000" w:themeColor="text1"/>
          <w:sz w:val="22"/>
          <w:szCs w:val="22"/>
          <w:lang w:val="es-ES_tradnl"/>
        </w:rPr>
        <w:t xml:space="preserve">) </w:t>
      </w:r>
      <w:r w:rsidR="0058450F" w:rsidRPr="00D03701">
        <w:rPr>
          <w:rFonts w:ascii="Arial" w:hAnsi="Arial" w:cs="Arial"/>
          <w:color w:val="000000" w:themeColor="text1"/>
          <w:sz w:val="22"/>
          <w:szCs w:val="22"/>
          <w:lang w:val="es-ES_tradnl"/>
        </w:rPr>
        <w:t xml:space="preserve">calcula </w:t>
      </w:r>
      <w:r w:rsidR="008E3BA4" w:rsidRPr="00D03701">
        <w:rPr>
          <w:rFonts w:ascii="Arial" w:hAnsi="Arial" w:cs="Arial"/>
          <w:color w:val="000000" w:themeColor="text1"/>
          <w:sz w:val="22"/>
          <w:szCs w:val="22"/>
          <w:lang w:val="es-ES_tradnl"/>
        </w:rPr>
        <w:t>cuanto est</w:t>
      </w:r>
      <w:r w:rsidR="0058450F" w:rsidRPr="00D03701">
        <w:rPr>
          <w:rFonts w:ascii="Arial" w:hAnsi="Arial" w:cs="Arial"/>
          <w:color w:val="000000" w:themeColor="text1"/>
          <w:sz w:val="22"/>
          <w:szCs w:val="22"/>
          <w:lang w:val="es-ES_tradnl"/>
        </w:rPr>
        <w:t>as diferencias</w:t>
      </w:r>
      <w:r w:rsidR="008E3BA4" w:rsidRPr="00D03701">
        <w:rPr>
          <w:rFonts w:ascii="Arial" w:hAnsi="Arial" w:cs="Arial"/>
          <w:color w:val="000000" w:themeColor="text1"/>
          <w:sz w:val="22"/>
          <w:szCs w:val="22"/>
          <w:lang w:val="es-ES_tradnl"/>
        </w:rPr>
        <w:t xml:space="preserve"> representa</w:t>
      </w:r>
      <w:r w:rsidR="0058450F" w:rsidRPr="00D03701">
        <w:rPr>
          <w:rFonts w:ascii="Arial" w:hAnsi="Arial" w:cs="Arial"/>
          <w:color w:val="000000" w:themeColor="text1"/>
          <w:sz w:val="22"/>
          <w:szCs w:val="22"/>
          <w:lang w:val="es-ES_tradnl"/>
        </w:rPr>
        <w:t>n</w:t>
      </w:r>
      <w:r w:rsidR="008E3BA4" w:rsidRPr="00D03701">
        <w:rPr>
          <w:rFonts w:ascii="Arial" w:hAnsi="Arial" w:cs="Arial"/>
          <w:color w:val="000000" w:themeColor="text1"/>
          <w:sz w:val="22"/>
          <w:szCs w:val="22"/>
          <w:lang w:val="es-ES_tradnl"/>
        </w:rPr>
        <w:t xml:space="preserve"> en términos de monto de importación/exportación; y (iii) calcula el costo de oportunidad del monto de importación/exportación </w:t>
      </w:r>
      <w:r w:rsidR="008E336B" w:rsidRPr="00D03701">
        <w:rPr>
          <w:rFonts w:ascii="Arial" w:hAnsi="Arial" w:cs="Arial"/>
          <w:color w:val="000000" w:themeColor="text1"/>
          <w:sz w:val="22"/>
          <w:szCs w:val="22"/>
          <w:lang w:val="es-ES_tradnl"/>
        </w:rPr>
        <w:t xml:space="preserve">que </w:t>
      </w:r>
      <w:r w:rsidR="0058450F" w:rsidRPr="00D03701">
        <w:rPr>
          <w:rFonts w:ascii="Arial" w:hAnsi="Arial" w:cs="Arial"/>
          <w:color w:val="000000" w:themeColor="text1"/>
          <w:sz w:val="22"/>
          <w:szCs w:val="22"/>
          <w:lang w:val="es-ES_tradnl"/>
        </w:rPr>
        <w:t>va</w:t>
      </w:r>
      <w:r w:rsidR="00CA2EA0" w:rsidRPr="00D03701">
        <w:rPr>
          <w:rFonts w:ascii="Arial" w:hAnsi="Arial" w:cs="Arial"/>
          <w:color w:val="000000" w:themeColor="text1"/>
          <w:sz w:val="22"/>
          <w:szCs w:val="22"/>
          <w:lang w:val="es-ES_tradnl"/>
        </w:rPr>
        <w:t xml:space="preserve"> a</w:t>
      </w:r>
      <w:r w:rsidR="0058450F" w:rsidRPr="00D03701">
        <w:rPr>
          <w:rFonts w:ascii="Arial" w:hAnsi="Arial" w:cs="Arial"/>
          <w:color w:val="000000" w:themeColor="text1"/>
          <w:sz w:val="22"/>
          <w:szCs w:val="22"/>
          <w:lang w:val="es-ES_tradnl"/>
        </w:rPr>
        <w:t xml:space="preserve"> </w:t>
      </w:r>
      <w:r w:rsidR="003F616C" w:rsidRPr="00D03701">
        <w:rPr>
          <w:rFonts w:ascii="Arial" w:hAnsi="Arial" w:cs="Arial"/>
          <w:color w:val="000000" w:themeColor="text1"/>
          <w:sz w:val="22"/>
          <w:szCs w:val="22"/>
          <w:lang w:val="es-ES_tradnl"/>
        </w:rPr>
        <w:t>ser despachad</w:t>
      </w:r>
      <w:r w:rsidR="000744C4" w:rsidRPr="00D03701">
        <w:rPr>
          <w:rFonts w:ascii="Arial" w:hAnsi="Arial" w:cs="Arial"/>
          <w:color w:val="000000" w:themeColor="text1"/>
          <w:sz w:val="22"/>
          <w:szCs w:val="22"/>
          <w:lang w:val="es-ES_tradnl"/>
        </w:rPr>
        <w:t>o</w:t>
      </w:r>
      <w:r w:rsidR="0058450F" w:rsidRPr="00D03701">
        <w:rPr>
          <w:rFonts w:ascii="Arial" w:hAnsi="Arial" w:cs="Arial"/>
          <w:color w:val="000000" w:themeColor="text1"/>
          <w:sz w:val="22"/>
          <w:szCs w:val="22"/>
          <w:lang w:val="es-ES_tradnl"/>
        </w:rPr>
        <w:t xml:space="preserve"> </w:t>
      </w:r>
      <w:r w:rsidR="008E3BA4" w:rsidRPr="00D03701">
        <w:rPr>
          <w:rFonts w:ascii="Arial" w:hAnsi="Arial" w:cs="Arial"/>
          <w:color w:val="000000" w:themeColor="text1"/>
          <w:sz w:val="22"/>
          <w:szCs w:val="22"/>
          <w:lang w:val="es-ES_tradnl"/>
        </w:rPr>
        <w:t>más rápid</w:t>
      </w:r>
      <w:r w:rsidR="00CA2EA0" w:rsidRPr="00D03701">
        <w:rPr>
          <w:rFonts w:ascii="Arial" w:hAnsi="Arial" w:cs="Arial"/>
          <w:color w:val="000000" w:themeColor="text1"/>
          <w:sz w:val="22"/>
          <w:szCs w:val="22"/>
          <w:lang w:val="es-ES_tradnl"/>
        </w:rPr>
        <w:t>amente</w:t>
      </w:r>
      <w:r w:rsidR="008E3BA4" w:rsidRPr="00D03701">
        <w:rPr>
          <w:rFonts w:ascii="Arial" w:hAnsi="Arial" w:cs="Arial"/>
          <w:color w:val="000000" w:themeColor="text1"/>
          <w:sz w:val="22"/>
          <w:szCs w:val="22"/>
          <w:lang w:val="es-ES_tradnl"/>
        </w:rPr>
        <w:t xml:space="preserve"> por l</w:t>
      </w:r>
      <w:r w:rsidR="003F616C" w:rsidRPr="00D03701">
        <w:rPr>
          <w:rFonts w:ascii="Arial" w:hAnsi="Arial" w:cs="Arial"/>
          <w:color w:val="000000" w:themeColor="text1"/>
          <w:sz w:val="22"/>
          <w:szCs w:val="22"/>
          <w:lang w:val="es-ES_tradnl"/>
        </w:rPr>
        <w:t>as</w:t>
      </w:r>
      <w:r w:rsidR="008E3BA4" w:rsidRPr="00D03701">
        <w:rPr>
          <w:rFonts w:ascii="Arial" w:hAnsi="Arial" w:cs="Arial"/>
          <w:color w:val="000000" w:themeColor="text1"/>
          <w:sz w:val="22"/>
          <w:szCs w:val="22"/>
          <w:lang w:val="es-ES_tradnl"/>
        </w:rPr>
        <w:t xml:space="preserve"> aduan</w:t>
      </w:r>
      <w:r w:rsidR="003F616C" w:rsidRPr="00D03701">
        <w:rPr>
          <w:rFonts w:ascii="Arial" w:hAnsi="Arial" w:cs="Arial"/>
          <w:color w:val="000000" w:themeColor="text1"/>
          <w:sz w:val="22"/>
          <w:szCs w:val="22"/>
          <w:lang w:val="es-ES_tradnl"/>
        </w:rPr>
        <w:t>as</w:t>
      </w:r>
      <w:r w:rsidR="0058450F" w:rsidRPr="00D03701">
        <w:rPr>
          <w:rFonts w:ascii="Arial" w:hAnsi="Arial" w:cs="Arial"/>
          <w:color w:val="000000" w:themeColor="text1"/>
          <w:sz w:val="22"/>
          <w:szCs w:val="22"/>
          <w:lang w:val="es-ES_tradnl"/>
        </w:rPr>
        <w:t xml:space="preserve">, </w:t>
      </w:r>
      <w:r w:rsidR="008E336B" w:rsidRPr="00D03701">
        <w:rPr>
          <w:rFonts w:ascii="Arial" w:hAnsi="Arial" w:cs="Arial"/>
          <w:color w:val="000000" w:themeColor="text1"/>
          <w:sz w:val="22"/>
          <w:szCs w:val="22"/>
          <w:lang w:val="es-ES_tradnl"/>
        </w:rPr>
        <w:t>aplicándose</w:t>
      </w:r>
      <w:r w:rsidR="0058450F" w:rsidRPr="00D03701">
        <w:rPr>
          <w:rFonts w:ascii="Arial" w:hAnsi="Arial" w:cs="Arial"/>
          <w:color w:val="000000" w:themeColor="text1"/>
          <w:sz w:val="22"/>
          <w:szCs w:val="22"/>
          <w:lang w:val="es-ES_tradnl"/>
        </w:rPr>
        <w:t xml:space="preserve"> la tasa de interés provista en el sistema financiero del país</w:t>
      </w:r>
      <w:r w:rsidR="008E3BA4" w:rsidRPr="00D03701">
        <w:rPr>
          <w:rFonts w:ascii="Arial" w:hAnsi="Arial" w:cs="Arial"/>
          <w:color w:val="000000" w:themeColor="text1"/>
          <w:sz w:val="22"/>
          <w:szCs w:val="22"/>
          <w:lang w:val="es-ES_tradnl"/>
        </w:rPr>
        <w:t>.</w:t>
      </w:r>
    </w:p>
    <w:p w14:paraId="6521148A" w14:textId="22883F0E" w:rsidR="008E3BA4" w:rsidRPr="00D03701" w:rsidRDefault="008E3BA4" w:rsidP="001137D4">
      <w:pPr>
        <w:pStyle w:val="Paragraph"/>
        <w:numPr>
          <w:ilvl w:val="1"/>
          <w:numId w:val="38"/>
        </w:numPr>
        <w:tabs>
          <w:tab w:val="num" w:pos="1800"/>
          <w:tab w:val="num" w:pos="2196"/>
        </w:tabs>
        <w:ind w:left="720" w:hanging="720"/>
        <w:outlineLvl w:val="9"/>
        <w:rPr>
          <w:rFonts w:ascii="Arial" w:hAnsi="Arial" w:cs="Arial"/>
          <w:color w:val="000000" w:themeColor="text1"/>
          <w:sz w:val="22"/>
          <w:szCs w:val="22"/>
          <w:lang w:val="es-ES_tradnl"/>
        </w:rPr>
      </w:pPr>
      <w:r w:rsidRPr="00D03701">
        <w:rPr>
          <w:rFonts w:ascii="Arial" w:hAnsi="Arial" w:cs="Arial"/>
          <w:color w:val="000000" w:themeColor="text1"/>
          <w:sz w:val="22"/>
          <w:szCs w:val="22"/>
          <w:lang w:val="es-ES_tradnl"/>
        </w:rPr>
        <w:t xml:space="preserve">Las líneas 1 y 2 presentan la estimación de los montos </w:t>
      </w:r>
      <w:r w:rsidR="008E336B" w:rsidRPr="00D03701">
        <w:rPr>
          <w:rFonts w:ascii="Arial" w:hAnsi="Arial" w:cs="Arial"/>
          <w:color w:val="000000" w:themeColor="text1"/>
          <w:sz w:val="22"/>
          <w:szCs w:val="22"/>
          <w:lang w:val="es-ES_tradnl"/>
        </w:rPr>
        <w:t>de importaciones/exportaciones</w:t>
      </w:r>
      <w:r w:rsidRPr="00D03701">
        <w:rPr>
          <w:rFonts w:ascii="Arial" w:hAnsi="Arial" w:cs="Arial"/>
          <w:color w:val="000000" w:themeColor="text1"/>
          <w:sz w:val="22"/>
          <w:szCs w:val="22"/>
          <w:lang w:val="es-ES_tradnl"/>
        </w:rPr>
        <w:t xml:space="preserve"> en el periodo </w:t>
      </w:r>
      <w:hyperlink r:id="rId17" w:history="1">
        <w:r w:rsidRPr="00D03701">
          <w:rPr>
            <w:rStyle w:val="Hyperlink"/>
            <w:rFonts w:ascii="Arial" w:hAnsi="Arial" w:cs="Arial"/>
            <w:color w:val="000000" w:themeColor="text1"/>
            <w:sz w:val="22"/>
            <w:szCs w:val="22"/>
            <w:lang w:val="es-ES_tradnl"/>
          </w:rPr>
          <w:t>2017-2025</w:t>
        </w:r>
      </w:hyperlink>
      <w:r w:rsidR="008E336B" w:rsidRPr="00D03701">
        <w:rPr>
          <w:rFonts w:ascii="Arial" w:hAnsi="Arial" w:cs="Arial"/>
          <w:color w:val="000000" w:themeColor="text1"/>
          <w:sz w:val="22"/>
          <w:szCs w:val="22"/>
          <w:lang w:val="es-ES_tradnl"/>
        </w:rPr>
        <w:t xml:space="preserve"> (INE</w:t>
      </w:r>
      <w:r w:rsidR="00941779" w:rsidRPr="00D03701">
        <w:rPr>
          <w:rFonts w:ascii="Arial" w:hAnsi="Arial" w:cs="Arial"/>
          <w:color w:val="000000" w:themeColor="text1"/>
          <w:sz w:val="22"/>
          <w:szCs w:val="22"/>
          <w:lang w:val="es-ES_tradnl"/>
        </w:rPr>
        <w:t>I</w:t>
      </w:r>
      <w:r w:rsidR="008E336B" w:rsidRPr="00D03701">
        <w:rPr>
          <w:rFonts w:ascii="Arial" w:hAnsi="Arial" w:cs="Arial"/>
          <w:color w:val="000000" w:themeColor="text1"/>
          <w:sz w:val="22"/>
          <w:szCs w:val="22"/>
          <w:lang w:val="es-ES_tradnl"/>
        </w:rPr>
        <w:t>)</w:t>
      </w:r>
      <w:r w:rsidRPr="00D03701">
        <w:rPr>
          <w:rFonts w:ascii="Arial" w:hAnsi="Arial" w:cs="Arial"/>
          <w:color w:val="000000" w:themeColor="text1"/>
          <w:sz w:val="22"/>
          <w:szCs w:val="22"/>
          <w:lang w:val="es-ES_tradnl"/>
        </w:rPr>
        <w:t>. En</w:t>
      </w:r>
      <w:r w:rsidR="00C1461A" w:rsidRPr="00D03701">
        <w:rPr>
          <w:rFonts w:ascii="Arial" w:hAnsi="Arial" w:cs="Arial"/>
          <w:color w:val="000000" w:themeColor="text1"/>
          <w:sz w:val="22"/>
          <w:szCs w:val="22"/>
          <w:lang w:val="es-ES_tradnl"/>
        </w:rPr>
        <w:t xml:space="preserve"> el año</w:t>
      </w:r>
      <w:r w:rsidRPr="00D03701">
        <w:rPr>
          <w:rFonts w:ascii="Arial" w:hAnsi="Arial" w:cs="Arial"/>
          <w:color w:val="000000" w:themeColor="text1"/>
          <w:sz w:val="22"/>
          <w:szCs w:val="22"/>
          <w:lang w:val="es-ES_tradnl"/>
        </w:rPr>
        <w:t xml:space="preserve"> 2021 (tercer año de ejecución del proyecto), </w:t>
      </w:r>
      <w:r w:rsidR="0058450F" w:rsidRPr="00D03701">
        <w:rPr>
          <w:rFonts w:ascii="Arial" w:hAnsi="Arial" w:cs="Arial"/>
          <w:color w:val="000000" w:themeColor="text1"/>
          <w:sz w:val="22"/>
          <w:szCs w:val="22"/>
          <w:lang w:val="es-ES_tradnl"/>
        </w:rPr>
        <w:t>los montos serán de aproximadamente US$4</w:t>
      </w:r>
      <w:r w:rsidR="006650C7" w:rsidRPr="00D03701">
        <w:rPr>
          <w:rFonts w:ascii="Arial" w:hAnsi="Arial" w:cs="Arial"/>
          <w:color w:val="000000" w:themeColor="text1"/>
          <w:sz w:val="22"/>
          <w:szCs w:val="22"/>
          <w:lang w:val="es-ES_tradnl"/>
        </w:rPr>
        <w:t>.</w:t>
      </w:r>
      <w:r w:rsidR="0058450F" w:rsidRPr="00D03701">
        <w:rPr>
          <w:rFonts w:ascii="Arial" w:hAnsi="Arial" w:cs="Arial"/>
          <w:color w:val="000000" w:themeColor="text1"/>
          <w:sz w:val="22"/>
          <w:szCs w:val="22"/>
          <w:lang w:val="es-ES_tradnl"/>
        </w:rPr>
        <w:t>0 y US$4</w:t>
      </w:r>
      <w:r w:rsidR="006650C7" w:rsidRPr="00D03701">
        <w:rPr>
          <w:rFonts w:ascii="Arial" w:hAnsi="Arial" w:cs="Arial"/>
          <w:color w:val="000000" w:themeColor="text1"/>
          <w:sz w:val="22"/>
          <w:szCs w:val="22"/>
          <w:lang w:val="es-ES_tradnl"/>
        </w:rPr>
        <w:t>.</w:t>
      </w:r>
      <w:r w:rsidR="0058450F" w:rsidRPr="00D03701">
        <w:rPr>
          <w:rFonts w:ascii="Arial" w:hAnsi="Arial" w:cs="Arial"/>
          <w:color w:val="000000" w:themeColor="text1"/>
          <w:sz w:val="22"/>
          <w:szCs w:val="22"/>
          <w:lang w:val="es-ES_tradnl"/>
        </w:rPr>
        <w:t xml:space="preserve">3 </w:t>
      </w:r>
      <w:r w:rsidR="006650C7" w:rsidRPr="00D03701">
        <w:rPr>
          <w:rFonts w:ascii="Arial" w:hAnsi="Arial" w:cs="Arial"/>
          <w:color w:val="000000" w:themeColor="text1"/>
          <w:sz w:val="22"/>
          <w:szCs w:val="22"/>
          <w:lang w:val="es-ES_tradnl"/>
        </w:rPr>
        <w:t>b</w:t>
      </w:r>
      <w:r w:rsidR="0058450F" w:rsidRPr="00D03701">
        <w:rPr>
          <w:rFonts w:ascii="Arial" w:hAnsi="Arial" w:cs="Arial"/>
          <w:color w:val="000000" w:themeColor="text1"/>
          <w:sz w:val="22"/>
          <w:szCs w:val="22"/>
          <w:lang w:val="es-ES_tradnl"/>
        </w:rPr>
        <w:t>illones</w:t>
      </w:r>
      <w:r w:rsidR="006650C7" w:rsidRPr="00D03701">
        <w:rPr>
          <w:rFonts w:ascii="Arial" w:hAnsi="Arial" w:cs="Arial"/>
          <w:color w:val="000000" w:themeColor="text1"/>
          <w:sz w:val="22"/>
          <w:szCs w:val="22"/>
          <w:lang w:val="es-ES_tradnl"/>
        </w:rPr>
        <w:t>,</w:t>
      </w:r>
      <w:r w:rsidR="0058450F" w:rsidRPr="00D03701">
        <w:rPr>
          <w:rFonts w:ascii="Arial" w:hAnsi="Arial" w:cs="Arial"/>
          <w:color w:val="000000" w:themeColor="text1"/>
          <w:sz w:val="22"/>
          <w:szCs w:val="22"/>
          <w:lang w:val="es-ES_tradnl"/>
        </w:rPr>
        <w:t xml:space="preserve"> respectivamente.</w:t>
      </w:r>
    </w:p>
    <w:p w14:paraId="411DE5D3" w14:textId="6B47E11E" w:rsidR="0058450F" w:rsidRPr="00D03701" w:rsidRDefault="0058450F" w:rsidP="001137D4">
      <w:pPr>
        <w:pStyle w:val="Paragraph"/>
        <w:numPr>
          <w:ilvl w:val="1"/>
          <w:numId w:val="38"/>
        </w:numPr>
        <w:tabs>
          <w:tab w:val="num" w:pos="1800"/>
          <w:tab w:val="num" w:pos="2196"/>
        </w:tabs>
        <w:ind w:left="720" w:hanging="720"/>
        <w:outlineLvl w:val="9"/>
        <w:rPr>
          <w:rFonts w:ascii="Arial" w:hAnsi="Arial" w:cs="Arial"/>
          <w:color w:val="000000" w:themeColor="text1"/>
          <w:sz w:val="22"/>
          <w:szCs w:val="22"/>
          <w:lang w:val="es-ES_tradnl"/>
        </w:rPr>
      </w:pPr>
      <w:r w:rsidRPr="00D03701">
        <w:rPr>
          <w:rFonts w:ascii="Arial" w:hAnsi="Arial" w:cs="Arial"/>
          <w:color w:val="000000" w:themeColor="text1"/>
          <w:sz w:val="22"/>
          <w:szCs w:val="22"/>
          <w:lang w:val="es-ES_tradnl"/>
        </w:rPr>
        <w:t>Las líneas 3,</w:t>
      </w:r>
      <w:r w:rsidR="00992181" w:rsidRPr="00D03701">
        <w:rPr>
          <w:rFonts w:ascii="Arial" w:hAnsi="Arial" w:cs="Arial"/>
          <w:color w:val="000000" w:themeColor="text1"/>
          <w:sz w:val="22"/>
          <w:szCs w:val="22"/>
          <w:lang w:val="es-ES_tradnl"/>
        </w:rPr>
        <w:t xml:space="preserve"> </w:t>
      </w:r>
      <w:r w:rsidRPr="00D03701">
        <w:rPr>
          <w:rFonts w:ascii="Arial" w:hAnsi="Arial" w:cs="Arial"/>
          <w:color w:val="000000" w:themeColor="text1"/>
          <w:sz w:val="22"/>
          <w:szCs w:val="22"/>
          <w:lang w:val="es-ES_tradnl"/>
        </w:rPr>
        <w:t>4,</w:t>
      </w:r>
      <w:r w:rsidR="00992181" w:rsidRPr="00D03701">
        <w:rPr>
          <w:rFonts w:ascii="Arial" w:hAnsi="Arial" w:cs="Arial"/>
          <w:color w:val="000000" w:themeColor="text1"/>
          <w:sz w:val="22"/>
          <w:szCs w:val="22"/>
          <w:lang w:val="es-ES_tradnl"/>
        </w:rPr>
        <w:t xml:space="preserve"> </w:t>
      </w:r>
      <w:r w:rsidRPr="00D03701">
        <w:rPr>
          <w:rFonts w:ascii="Arial" w:hAnsi="Arial" w:cs="Arial"/>
          <w:color w:val="000000" w:themeColor="text1"/>
          <w:sz w:val="22"/>
          <w:szCs w:val="22"/>
          <w:lang w:val="es-ES_tradnl"/>
        </w:rPr>
        <w:t>5 y 6 presentan la estimación de los tiempos para importar y exportar en el periodo 2017-2026</w:t>
      </w:r>
      <w:r w:rsidR="00FF7BF9" w:rsidRPr="00D03701">
        <w:rPr>
          <w:rFonts w:ascii="Arial" w:hAnsi="Arial" w:cs="Arial"/>
          <w:color w:val="000000" w:themeColor="text1"/>
          <w:sz w:val="22"/>
          <w:szCs w:val="22"/>
          <w:lang w:val="es-ES_tradnl"/>
        </w:rPr>
        <w:t>, con y sin proyecto</w:t>
      </w:r>
      <w:r w:rsidRPr="00D03701">
        <w:rPr>
          <w:rFonts w:ascii="Arial" w:hAnsi="Arial" w:cs="Arial"/>
          <w:color w:val="000000" w:themeColor="text1"/>
          <w:sz w:val="22"/>
          <w:szCs w:val="22"/>
          <w:lang w:val="es-ES_tradnl"/>
        </w:rPr>
        <w:t xml:space="preserve">. En 2021 los tiempos sin proyecto serán de 100 </w:t>
      </w:r>
      <w:r w:rsidR="00FF7BF9" w:rsidRPr="00D03701">
        <w:rPr>
          <w:rFonts w:ascii="Arial" w:hAnsi="Arial" w:cs="Arial"/>
          <w:color w:val="000000" w:themeColor="text1"/>
          <w:sz w:val="22"/>
          <w:szCs w:val="22"/>
          <w:lang w:val="es-ES_tradnl"/>
        </w:rPr>
        <w:t>y</w:t>
      </w:r>
      <w:r w:rsidRPr="00D03701">
        <w:rPr>
          <w:rFonts w:ascii="Arial" w:hAnsi="Arial" w:cs="Arial"/>
          <w:color w:val="000000" w:themeColor="text1"/>
          <w:sz w:val="22"/>
          <w:szCs w:val="22"/>
          <w:lang w:val="es-ES_tradnl"/>
        </w:rPr>
        <w:t xml:space="preserve"> 24 horas</w:t>
      </w:r>
      <w:r w:rsidR="00FF7BF9" w:rsidRPr="00D03701">
        <w:rPr>
          <w:rFonts w:ascii="Arial" w:hAnsi="Arial" w:cs="Arial"/>
          <w:color w:val="000000" w:themeColor="text1"/>
          <w:sz w:val="22"/>
          <w:szCs w:val="22"/>
          <w:lang w:val="es-ES_tradnl"/>
        </w:rPr>
        <w:t>,</w:t>
      </w:r>
      <w:r w:rsidR="00747EF3" w:rsidRPr="00D03701">
        <w:rPr>
          <w:rFonts w:ascii="Arial" w:hAnsi="Arial" w:cs="Arial"/>
          <w:color w:val="000000" w:themeColor="text1"/>
          <w:sz w:val="22"/>
          <w:szCs w:val="22"/>
          <w:lang w:val="es-ES_tradnl"/>
        </w:rPr>
        <w:t xml:space="preserve"> </w:t>
      </w:r>
      <w:r w:rsidRPr="00D03701">
        <w:rPr>
          <w:rFonts w:ascii="Arial" w:hAnsi="Arial" w:cs="Arial"/>
          <w:color w:val="000000" w:themeColor="text1"/>
          <w:sz w:val="22"/>
          <w:szCs w:val="22"/>
          <w:lang w:val="es-ES_tradnl"/>
        </w:rPr>
        <w:t>respectivamente, mientras que los tiempos con proyecto será</w:t>
      </w:r>
      <w:r w:rsidR="008E336B" w:rsidRPr="00D03701">
        <w:rPr>
          <w:rFonts w:ascii="Arial" w:hAnsi="Arial" w:cs="Arial"/>
          <w:color w:val="000000" w:themeColor="text1"/>
          <w:sz w:val="22"/>
          <w:szCs w:val="22"/>
          <w:lang w:val="es-ES_tradnl"/>
        </w:rPr>
        <w:t>n</w:t>
      </w:r>
      <w:r w:rsidRPr="00D03701">
        <w:rPr>
          <w:rFonts w:ascii="Arial" w:hAnsi="Arial" w:cs="Arial"/>
          <w:color w:val="000000" w:themeColor="text1"/>
          <w:sz w:val="22"/>
          <w:szCs w:val="22"/>
          <w:lang w:val="es-ES_tradnl"/>
        </w:rPr>
        <w:t xml:space="preserve"> de </w:t>
      </w:r>
      <w:r w:rsidR="0014064A" w:rsidRPr="00D03701">
        <w:rPr>
          <w:rFonts w:ascii="Arial" w:hAnsi="Arial" w:cs="Arial"/>
          <w:color w:val="000000" w:themeColor="text1"/>
          <w:sz w:val="22"/>
          <w:szCs w:val="22"/>
          <w:lang w:val="es-ES_tradnl"/>
        </w:rPr>
        <w:t>90</w:t>
      </w:r>
      <w:r w:rsidRPr="00D03701">
        <w:rPr>
          <w:rFonts w:ascii="Arial" w:hAnsi="Arial" w:cs="Arial"/>
          <w:color w:val="000000" w:themeColor="text1"/>
          <w:sz w:val="22"/>
          <w:szCs w:val="22"/>
          <w:lang w:val="es-ES_tradnl"/>
        </w:rPr>
        <w:t xml:space="preserve"> y 20 horas respectivamente.</w:t>
      </w:r>
      <w:r w:rsidR="0014064A" w:rsidRPr="00D03701">
        <w:rPr>
          <w:rFonts w:ascii="Arial" w:hAnsi="Arial" w:cs="Arial"/>
          <w:color w:val="000000" w:themeColor="text1"/>
          <w:sz w:val="22"/>
          <w:szCs w:val="22"/>
          <w:lang w:val="es-ES_tradnl"/>
        </w:rPr>
        <w:t xml:space="preserve"> En 2023 (quinto año de ejecución) los tiempos serán de 50 y 12 horas respectivamente.</w:t>
      </w:r>
    </w:p>
    <w:p w14:paraId="33069483" w14:textId="7242D749" w:rsidR="0058450F" w:rsidRPr="00D03701" w:rsidRDefault="0058450F" w:rsidP="001137D4">
      <w:pPr>
        <w:pStyle w:val="Paragraph"/>
        <w:numPr>
          <w:ilvl w:val="1"/>
          <w:numId w:val="38"/>
        </w:numPr>
        <w:tabs>
          <w:tab w:val="num" w:pos="1800"/>
          <w:tab w:val="num" w:pos="2196"/>
        </w:tabs>
        <w:ind w:left="720" w:hanging="720"/>
        <w:outlineLvl w:val="9"/>
        <w:rPr>
          <w:rFonts w:ascii="Arial" w:hAnsi="Arial" w:cs="Arial"/>
          <w:color w:val="000000" w:themeColor="text1"/>
          <w:sz w:val="22"/>
          <w:szCs w:val="22"/>
          <w:lang w:val="es-ES_tradnl"/>
        </w:rPr>
      </w:pPr>
      <w:r w:rsidRPr="00D03701">
        <w:rPr>
          <w:rFonts w:ascii="Arial" w:hAnsi="Arial" w:cs="Arial"/>
          <w:color w:val="000000" w:themeColor="text1"/>
          <w:sz w:val="22"/>
          <w:szCs w:val="22"/>
          <w:lang w:val="es-ES_tradnl"/>
        </w:rPr>
        <w:t>La</w:t>
      </w:r>
      <w:r w:rsidR="00A60A19" w:rsidRPr="00D03701">
        <w:rPr>
          <w:rFonts w:ascii="Arial" w:hAnsi="Arial" w:cs="Arial"/>
          <w:color w:val="000000" w:themeColor="text1"/>
          <w:sz w:val="22"/>
          <w:szCs w:val="22"/>
          <w:lang w:val="es-ES_tradnl"/>
        </w:rPr>
        <w:t>s</w:t>
      </w:r>
      <w:r w:rsidRPr="00D03701">
        <w:rPr>
          <w:rFonts w:ascii="Arial" w:hAnsi="Arial" w:cs="Arial"/>
          <w:color w:val="000000" w:themeColor="text1"/>
          <w:sz w:val="22"/>
          <w:szCs w:val="22"/>
          <w:lang w:val="es-ES_tradnl"/>
        </w:rPr>
        <w:t xml:space="preserve"> líneas 7 y 8 presentan </w:t>
      </w:r>
      <w:r w:rsidR="00A60A19" w:rsidRPr="00D03701">
        <w:rPr>
          <w:rFonts w:ascii="Arial" w:hAnsi="Arial" w:cs="Arial"/>
          <w:color w:val="000000" w:themeColor="text1"/>
          <w:sz w:val="22"/>
          <w:szCs w:val="22"/>
          <w:lang w:val="es-ES_tradnl"/>
        </w:rPr>
        <w:t>las diferencias</w:t>
      </w:r>
      <w:r w:rsidRPr="00D03701">
        <w:rPr>
          <w:rFonts w:ascii="Arial" w:hAnsi="Arial" w:cs="Arial"/>
          <w:color w:val="000000" w:themeColor="text1"/>
          <w:sz w:val="22"/>
          <w:szCs w:val="22"/>
          <w:lang w:val="es-ES_tradnl"/>
        </w:rPr>
        <w:t xml:space="preserve"> de tiempos para importar y exportar con y sin proyecto. </w:t>
      </w:r>
      <w:r w:rsidR="0046741D" w:rsidRPr="00D03701">
        <w:rPr>
          <w:rFonts w:ascii="Arial" w:hAnsi="Arial" w:cs="Arial"/>
          <w:color w:val="000000" w:themeColor="text1"/>
          <w:sz w:val="22"/>
          <w:szCs w:val="22"/>
          <w:lang w:val="es-ES_tradnl"/>
        </w:rPr>
        <w:t>Con proyecto, e</w:t>
      </w:r>
      <w:r w:rsidRPr="00D03701">
        <w:rPr>
          <w:rFonts w:ascii="Arial" w:hAnsi="Arial" w:cs="Arial"/>
          <w:color w:val="000000" w:themeColor="text1"/>
          <w:sz w:val="22"/>
          <w:szCs w:val="22"/>
          <w:lang w:val="es-ES_tradnl"/>
        </w:rPr>
        <w:t xml:space="preserve">n 2021 </w:t>
      </w:r>
      <w:r w:rsidR="00A60A19" w:rsidRPr="00D03701">
        <w:rPr>
          <w:rFonts w:ascii="Arial" w:hAnsi="Arial" w:cs="Arial"/>
          <w:color w:val="000000" w:themeColor="text1"/>
          <w:sz w:val="22"/>
          <w:szCs w:val="22"/>
          <w:lang w:val="es-ES_tradnl"/>
        </w:rPr>
        <w:t>las diferencias</w:t>
      </w:r>
      <w:r w:rsidRPr="00D03701">
        <w:rPr>
          <w:rFonts w:ascii="Arial" w:hAnsi="Arial" w:cs="Arial"/>
          <w:color w:val="000000" w:themeColor="text1"/>
          <w:sz w:val="22"/>
          <w:szCs w:val="22"/>
          <w:lang w:val="es-ES_tradnl"/>
        </w:rPr>
        <w:t xml:space="preserve"> serán de </w:t>
      </w:r>
      <w:r w:rsidR="0014064A" w:rsidRPr="00D03701">
        <w:rPr>
          <w:rFonts w:ascii="Arial" w:hAnsi="Arial" w:cs="Arial"/>
          <w:color w:val="000000" w:themeColor="text1"/>
          <w:sz w:val="22"/>
          <w:szCs w:val="22"/>
          <w:lang w:val="es-ES_tradnl"/>
        </w:rPr>
        <w:t>10</w:t>
      </w:r>
      <w:r w:rsidRPr="00D03701">
        <w:rPr>
          <w:rFonts w:ascii="Arial" w:hAnsi="Arial" w:cs="Arial"/>
          <w:color w:val="000000" w:themeColor="text1"/>
          <w:sz w:val="22"/>
          <w:szCs w:val="22"/>
          <w:lang w:val="es-ES_tradnl"/>
        </w:rPr>
        <w:t xml:space="preserve"> y 4 horas</w:t>
      </w:r>
      <w:r w:rsidR="0046741D" w:rsidRPr="00D03701">
        <w:rPr>
          <w:rFonts w:ascii="Arial" w:hAnsi="Arial" w:cs="Arial"/>
          <w:color w:val="000000" w:themeColor="text1"/>
          <w:sz w:val="22"/>
          <w:szCs w:val="22"/>
          <w:lang w:val="es-ES_tradnl"/>
        </w:rPr>
        <w:t xml:space="preserve"> menos, </w:t>
      </w:r>
      <w:r w:rsidRPr="00D03701">
        <w:rPr>
          <w:rFonts w:ascii="Arial" w:hAnsi="Arial" w:cs="Arial"/>
          <w:color w:val="000000" w:themeColor="text1"/>
          <w:sz w:val="22"/>
          <w:szCs w:val="22"/>
          <w:lang w:val="es-ES_tradnl"/>
        </w:rPr>
        <w:t xml:space="preserve">respectivamente. </w:t>
      </w:r>
      <w:r w:rsidR="0014064A" w:rsidRPr="00D03701">
        <w:rPr>
          <w:rFonts w:ascii="Arial" w:hAnsi="Arial" w:cs="Arial"/>
          <w:color w:val="000000" w:themeColor="text1"/>
          <w:sz w:val="22"/>
          <w:szCs w:val="22"/>
          <w:lang w:val="es-ES_tradnl"/>
        </w:rPr>
        <w:t>En 2023</w:t>
      </w:r>
      <w:r w:rsidR="007164E4" w:rsidRPr="00D03701">
        <w:rPr>
          <w:rFonts w:ascii="Arial" w:hAnsi="Arial" w:cs="Arial"/>
          <w:color w:val="000000" w:themeColor="text1"/>
          <w:sz w:val="22"/>
          <w:szCs w:val="22"/>
          <w:lang w:val="es-ES_tradnl"/>
        </w:rPr>
        <w:t>, estas diferencias serán de 50 y 12 horas respectivamente.</w:t>
      </w:r>
    </w:p>
    <w:p w14:paraId="1E7C3CA9" w14:textId="6C33E036" w:rsidR="00A60A19" w:rsidRPr="00D03701" w:rsidRDefault="00A60A19" w:rsidP="001137D4">
      <w:pPr>
        <w:pStyle w:val="Paragraph"/>
        <w:numPr>
          <w:ilvl w:val="1"/>
          <w:numId w:val="38"/>
        </w:numPr>
        <w:tabs>
          <w:tab w:val="num" w:pos="1800"/>
          <w:tab w:val="num" w:pos="2196"/>
        </w:tabs>
        <w:ind w:left="720" w:hanging="720"/>
        <w:outlineLvl w:val="9"/>
        <w:rPr>
          <w:rFonts w:ascii="Arial" w:hAnsi="Arial" w:cs="Arial"/>
          <w:color w:val="000000" w:themeColor="text1"/>
          <w:sz w:val="22"/>
          <w:szCs w:val="22"/>
          <w:lang w:val="es-ES_tradnl"/>
        </w:rPr>
      </w:pPr>
      <w:r w:rsidRPr="00D03701">
        <w:rPr>
          <w:rFonts w:ascii="Arial" w:hAnsi="Arial" w:cs="Arial"/>
          <w:color w:val="000000" w:themeColor="text1"/>
          <w:sz w:val="22"/>
          <w:szCs w:val="22"/>
          <w:lang w:val="es-ES_tradnl"/>
        </w:rPr>
        <w:t xml:space="preserve">Las líneas 9 presenta la tasa de interés </w:t>
      </w:r>
      <w:r w:rsidR="006B4BC8" w:rsidRPr="00D03701">
        <w:rPr>
          <w:rFonts w:ascii="Arial" w:hAnsi="Arial" w:cs="Arial"/>
          <w:color w:val="000000" w:themeColor="text1"/>
          <w:sz w:val="22"/>
          <w:szCs w:val="22"/>
          <w:lang w:val="es-ES_tradnl"/>
        </w:rPr>
        <w:t>d</w:t>
      </w:r>
      <w:r w:rsidRPr="00D03701">
        <w:rPr>
          <w:rFonts w:ascii="Arial" w:hAnsi="Arial" w:cs="Arial"/>
          <w:color w:val="000000" w:themeColor="text1"/>
          <w:sz w:val="22"/>
          <w:szCs w:val="22"/>
          <w:lang w:val="es-ES_tradnl"/>
        </w:rPr>
        <w:t xml:space="preserve">el sistema financiero en Perú. En 2021 es de </w:t>
      </w:r>
      <w:r w:rsidR="007164E4" w:rsidRPr="00D03701">
        <w:rPr>
          <w:rFonts w:ascii="Arial" w:hAnsi="Arial" w:cs="Arial"/>
          <w:color w:val="000000" w:themeColor="text1"/>
          <w:sz w:val="22"/>
          <w:szCs w:val="22"/>
          <w:lang w:val="es-ES_tradnl"/>
        </w:rPr>
        <w:t xml:space="preserve">aproximadamente </w:t>
      </w:r>
      <w:r w:rsidRPr="00D03701">
        <w:rPr>
          <w:rFonts w:ascii="Arial" w:hAnsi="Arial" w:cs="Arial"/>
          <w:color w:val="000000" w:themeColor="text1"/>
          <w:sz w:val="22"/>
          <w:szCs w:val="22"/>
          <w:lang w:val="es-ES_tradnl"/>
        </w:rPr>
        <w:t>6.5% anuales.</w:t>
      </w:r>
    </w:p>
    <w:p w14:paraId="1F2FD56C" w14:textId="04AA60C2" w:rsidR="00A60A19" w:rsidRPr="00D03701" w:rsidRDefault="00A60A19" w:rsidP="001137D4">
      <w:pPr>
        <w:pStyle w:val="Paragraph"/>
        <w:numPr>
          <w:ilvl w:val="1"/>
          <w:numId w:val="38"/>
        </w:numPr>
        <w:tabs>
          <w:tab w:val="num" w:pos="1800"/>
          <w:tab w:val="num" w:pos="2196"/>
        </w:tabs>
        <w:ind w:left="720" w:hanging="720"/>
        <w:outlineLvl w:val="9"/>
        <w:rPr>
          <w:rFonts w:ascii="Arial" w:hAnsi="Arial" w:cs="Arial"/>
          <w:color w:val="000000" w:themeColor="text1"/>
          <w:sz w:val="22"/>
          <w:szCs w:val="22"/>
          <w:lang w:val="es-ES_tradnl"/>
        </w:rPr>
      </w:pPr>
      <w:r w:rsidRPr="00D03701">
        <w:rPr>
          <w:rFonts w:ascii="Arial" w:hAnsi="Arial" w:cs="Arial"/>
          <w:color w:val="000000" w:themeColor="text1"/>
          <w:sz w:val="22"/>
          <w:szCs w:val="22"/>
          <w:lang w:val="es-ES_tradnl"/>
        </w:rPr>
        <w:t>Las líneas 10 y 12, calculan la tasa de interés</w:t>
      </w:r>
      <w:r w:rsidR="00BF6B9F" w:rsidRPr="00D03701">
        <w:rPr>
          <w:rFonts w:ascii="Arial" w:hAnsi="Arial" w:cs="Arial"/>
          <w:color w:val="000000" w:themeColor="text1"/>
          <w:sz w:val="22"/>
          <w:szCs w:val="22"/>
          <w:lang w:val="es-ES_tradnl"/>
        </w:rPr>
        <w:t xml:space="preserve"> o costo de oportunidad correspondiente a las horas ahorradas en tiempo de importación y exportación</w:t>
      </w:r>
      <w:r w:rsidRPr="00D03701">
        <w:rPr>
          <w:rFonts w:ascii="Arial" w:hAnsi="Arial" w:cs="Arial"/>
          <w:color w:val="000000" w:themeColor="text1"/>
          <w:sz w:val="22"/>
          <w:szCs w:val="22"/>
          <w:lang w:val="es-ES_tradnl"/>
        </w:rPr>
        <w:t xml:space="preserve">. En 2021 la tasa de oportunidad para importar es = </w:t>
      </w:r>
      <w:hyperlink r:id="rId18" w:history="1">
        <w:r w:rsidRPr="00D03701">
          <w:rPr>
            <w:rFonts w:ascii="Arial" w:hAnsi="Arial" w:cs="Arial"/>
            <w:color w:val="000000" w:themeColor="text1"/>
            <w:sz w:val="22"/>
            <w:szCs w:val="22"/>
            <w:lang w:val="es-ES_tradnl"/>
          </w:rPr>
          <w:t>tasa de oportunidad anual (6.5%)</w:t>
        </w:r>
      </w:hyperlink>
      <w:r w:rsidRPr="00D03701">
        <w:rPr>
          <w:rFonts w:ascii="Arial" w:hAnsi="Arial" w:cs="Arial"/>
          <w:color w:val="000000" w:themeColor="text1"/>
          <w:sz w:val="22"/>
          <w:szCs w:val="22"/>
          <w:lang w:val="es-ES_tradnl"/>
        </w:rPr>
        <w:t xml:space="preserve"> * diferencia en tiempo para importar (20 horas) / número de horas del a</w:t>
      </w:r>
      <w:r w:rsidR="00F0194F" w:rsidRPr="00D03701">
        <w:rPr>
          <w:rFonts w:ascii="Arial" w:hAnsi="Arial" w:cs="Arial"/>
          <w:color w:val="000000" w:themeColor="text1"/>
          <w:sz w:val="22"/>
          <w:szCs w:val="22"/>
          <w:lang w:val="es-ES_tradnl"/>
        </w:rPr>
        <w:t>ñ</w:t>
      </w:r>
      <w:r w:rsidRPr="00D03701">
        <w:rPr>
          <w:rFonts w:ascii="Arial" w:hAnsi="Arial" w:cs="Arial"/>
          <w:color w:val="000000" w:themeColor="text1"/>
          <w:sz w:val="22"/>
          <w:szCs w:val="22"/>
          <w:lang w:val="es-ES_tradnl"/>
        </w:rPr>
        <w:t>o (365*24) = 0.0</w:t>
      </w:r>
      <w:r w:rsidR="007164E4" w:rsidRPr="00D03701">
        <w:rPr>
          <w:rFonts w:ascii="Arial" w:hAnsi="Arial" w:cs="Arial"/>
          <w:color w:val="000000" w:themeColor="text1"/>
          <w:sz w:val="22"/>
          <w:szCs w:val="22"/>
          <w:lang w:val="es-ES_tradnl"/>
        </w:rPr>
        <w:t>074</w:t>
      </w:r>
      <w:r w:rsidRPr="00D03701">
        <w:rPr>
          <w:rFonts w:ascii="Arial" w:hAnsi="Arial" w:cs="Arial"/>
          <w:color w:val="000000" w:themeColor="text1"/>
          <w:sz w:val="22"/>
          <w:szCs w:val="22"/>
          <w:lang w:val="es-ES_tradnl"/>
        </w:rPr>
        <w:t xml:space="preserve">%. </w:t>
      </w:r>
      <w:r w:rsidR="00F0194F" w:rsidRPr="00D03701">
        <w:rPr>
          <w:rFonts w:ascii="Arial" w:hAnsi="Arial" w:cs="Arial"/>
          <w:color w:val="000000" w:themeColor="text1"/>
          <w:sz w:val="22"/>
          <w:szCs w:val="22"/>
          <w:lang w:val="es-ES_tradnl"/>
        </w:rPr>
        <w:t>L</w:t>
      </w:r>
      <w:r w:rsidRPr="00D03701">
        <w:rPr>
          <w:rFonts w:ascii="Arial" w:hAnsi="Arial" w:cs="Arial"/>
          <w:color w:val="000000" w:themeColor="text1"/>
          <w:sz w:val="22"/>
          <w:szCs w:val="22"/>
          <w:lang w:val="es-ES_tradnl"/>
        </w:rPr>
        <w:t>a tasa de oportunidad para exportar es = tasa de oportunidad anual (6.5%) * diferencia en tiempo para importar (4 horas) / número de horas del a</w:t>
      </w:r>
      <w:r w:rsidR="004F17F0" w:rsidRPr="00D03701">
        <w:rPr>
          <w:rFonts w:ascii="Arial" w:hAnsi="Arial" w:cs="Arial"/>
          <w:color w:val="000000" w:themeColor="text1"/>
          <w:sz w:val="22"/>
          <w:szCs w:val="22"/>
          <w:lang w:val="es-ES_tradnl"/>
        </w:rPr>
        <w:t>ñ</w:t>
      </w:r>
      <w:r w:rsidRPr="00D03701">
        <w:rPr>
          <w:rFonts w:ascii="Arial" w:hAnsi="Arial" w:cs="Arial"/>
          <w:color w:val="000000" w:themeColor="text1"/>
          <w:sz w:val="22"/>
          <w:szCs w:val="22"/>
          <w:lang w:val="es-ES_tradnl"/>
        </w:rPr>
        <w:t>o (365*24) = 0.0030%.</w:t>
      </w:r>
    </w:p>
    <w:p w14:paraId="091B424A" w14:textId="0AA6E224" w:rsidR="00322343" w:rsidRPr="00D03701" w:rsidRDefault="00A60A19"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pPr>
      <w:r w:rsidRPr="00D03701">
        <w:rPr>
          <w:rFonts w:ascii="Arial" w:hAnsi="Arial" w:cs="Arial"/>
          <w:color w:val="000000"/>
          <w:sz w:val="22"/>
          <w:szCs w:val="22"/>
          <w:lang w:val="es-ES_tradnl"/>
        </w:rPr>
        <w:t>Las líneas 11 y 13, calculan el monto re</w:t>
      </w:r>
      <w:r w:rsidR="00F733DA" w:rsidRPr="00D03701">
        <w:rPr>
          <w:rFonts w:ascii="Arial" w:hAnsi="Arial" w:cs="Arial"/>
          <w:color w:val="000000"/>
          <w:sz w:val="22"/>
          <w:szCs w:val="22"/>
          <w:lang w:val="es-ES_tradnl"/>
        </w:rPr>
        <w:t>lacionado</w:t>
      </w:r>
      <w:r w:rsidRPr="00D03701">
        <w:rPr>
          <w:rFonts w:ascii="Arial" w:hAnsi="Arial" w:cs="Arial"/>
          <w:color w:val="000000"/>
          <w:sz w:val="22"/>
          <w:szCs w:val="22"/>
          <w:lang w:val="es-ES_tradnl"/>
        </w:rPr>
        <w:t xml:space="preserve"> al costo de oportunidad para importar/exportar. En 2021 el monto del costo de oportunidad para importar</w:t>
      </w:r>
      <w:r w:rsidR="003A473F" w:rsidRPr="00D03701">
        <w:rPr>
          <w:rFonts w:ascii="Arial" w:hAnsi="Arial" w:cs="Arial"/>
          <w:color w:val="000000"/>
          <w:sz w:val="22"/>
          <w:szCs w:val="22"/>
          <w:lang w:val="es-ES_tradnl"/>
        </w:rPr>
        <w:t xml:space="preserve"> es equivalente a la </w:t>
      </w:r>
      <w:r w:rsidRPr="00D03701">
        <w:rPr>
          <w:rFonts w:ascii="Arial" w:hAnsi="Arial" w:cs="Arial"/>
          <w:color w:val="000000"/>
          <w:sz w:val="22"/>
          <w:szCs w:val="22"/>
          <w:lang w:val="es-ES_tradnl"/>
        </w:rPr>
        <w:t>tasa de oportunidad para importar (0.0</w:t>
      </w:r>
      <w:r w:rsidR="007164E4" w:rsidRPr="00D03701">
        <w:rPr>
          <w:rFonts w:ascii="Arial" w:hAnsi="Arial" w:cs="Arial"/>
          <w:color w:val="000000"/>
          <w:sz w:val="22"/>
          <w:szCs w:val="22"/>
          <w:lang w:val="es-ES_tradnl"/>
        </w:rPr>
        <w:t>074</w:t>
      </w:r>
      <w:r w:rsidRPr="00D03701">
        <w:rPr>
          <w:rFonts w:ascii="Arial" w:hAnsi="Arial" w:cs="Arial"/>
          <w:color w:val="000000"/>
          <w:sz w:val="22"/>
          <w:szCs w:val="22"/>
          <w:lang w:val="es-ES_tradnl"/>
        </w:rPr>
        <w:t xml:space="preserve">%) </w:t>
      </w:r>
      <w:r w:rsidR="00A446A3" w:rsidRPr="00D03701">
        <w:rPr>
          <w:rFonts w:ascii="Arial" w:hAnsi="Arial" w:cs="Arial"/>
          <w:color w:val="000000"/>
          <w:sz w:val="22"/>
          <w:szCs w:val="22"/>
          <w:lang w:val="es-ES_tradnl"/>
        </w:rPr>
        <w:t>*</w:t>
      </w:r>
      <w:r w:rsidRPr="00D03701">
        <w:rPr>
          <w:rFonts w:ascii="Arial" w:hAnsi="Arial" w:cs="Arial"/>
          <w:color w:val="000000"/>
          <w:sz w:val="22"/>
          <w:szCs w:val="22"/>
          <w:lang w:val="es-ES_tradnl"/>
        </w:rPr>
        <w:t xml:space="preserve"> </w:t>
      </w:r>
      <w:r w:rsidR="00322343" w:rsidRPr="00D03701">
        <w:rPr>
          <w:rFonts w:ascii="Arial" w:hAnsi="Arial" w:cs="Arial"/>
          <w:color w:val="000000"/>
          <w:sz w:val="22"/>
          <w:szCs w:val="22"/>
          <w:lang w:val="es-ES_tradnl"/>
        </w:rPr>
        <w:t xml:space="preserve">Monto </w:t>
      </w:r>
      <w:r w:rsidR="001546D1" w:rsidRPr="00D03701">
        <w:rPr>
          <w:rFonts w:ascii="Arial" w:hAnsi="Arial" w:cs="Arial"/>
          <w:color w:val="000000"/>
          <w:sz w:val="22"/>
          <w:szCs w:val="22"/>
          <w:lang w:val="es-ES_tradnl"/>
        </w:rPr>
        <w:t>i</w:t>
      </w:r>
      <w:r w:rsidR="00322343" w:rsidRPr="00D03701">
        <w:rPr>
          <w:rFonts w:ascii="Arial" w:hAnsi="Arial" w:cs="Arial"/>
          <w:color w:val="000000"/>
          <w:sz w:val="22"/>
          <w:szCs w:val="22"/>
          <w:lang w:val="es-ES_tradnl"/>
        </w:rPr>
        <w:t>mportado (US$ 4</w:t>
      </w:r>
      <w:r w:rsidR="00A446A3" w:rsidRPr="00D03701">
        <w:rPr>
          <w:rFonts w:ascii="Arial" w:hAnsi="Arial" w:cs="Arial"/>
          <w:color w:val="000000"/>
          <w:sz w:val="22"/>
          <w:szCs w:val="22"/>
          <w:lang w:val="es-ES_tradnl"/>
        </w:rPr>
        <w:t>.</w:t>
      </w:r>
      <w:r w:rsidR="00322343" w:rsidRPr="00D03701">
        <w:rPr>
          <w:rFonts w:ascii="Arial" w:hAnsi="Arial" w:cs="Arial"/>
          <w:color w:val="000000"/>
          <w:sz w:val="22"/>
          <w:szCs w:val="22"/>
          <w:lang w:val="es-ES_tradnl"/>
        </w:rPr>
        <w:t xml:space="preserve">0 </w:t>
      </w:r>
      <w:r w:rsidR="00A446A3" w:rsidRPr="00D03701">
        <w:rPr>
          <w:rFonts w:ascii="Arial" w:hAnsi="Arial" w:cs="Arial"/>
          <w:color w:val="000000"/>
          <w:sz w:val="22"/>
          <w:szCs w:val="22"/>
          <w:lang w:val="es-ES_tradnl"/>
        </w:rPr>
        <w:t>b</w:t>
      </w:r>
      <w:r w:rsidR="00322343" w:rsidRPr="00D03701">
        <w:rPr>
          <w:rFonts w:ascii="Arial" w:hAnsi="Arial" w:cs="Arial"/>
          <w:color w:val="000000"/>
          <w:sz w:val="22"/>
          <w:szCs w:val="22"/>
          <w:lang w:val="es-ES_tradnl"/>
        </w:rPr>
        <w:t xml:space="preserve">illones) </w:t>
      </w:r>
      <w:r w:rsidRPr="00D03701">
        <w:rPr>
          <w:rFonts w:ascii="Arial" w:hAnsi="Arial" w:cs="Arial"/>
          <w:color w:val="000000"/>
          <w:sz w:val="22"/>
          <w:szCs w:val="22"/>
          <w:lang w:val="es-ES_tradnl"/>
        </w:rPr>
        <w:t xml:space="preserve">= </w:t>
      </w:r>
      <w:r w:rsidR="00322343" w:rsidRPr="00D03701">
        <w:rPr>
          <w:rFonts w:ascii="Arial" w:hAnsi="Arial" w:cs="Arial"/>
          <w:color w:val="000000"/>
          <w:sz w:val="22"/>
          <w:szCs w:val="22"/>
          <w:lang w:val="es-ES_tradnl"/>
        </w:rPr>
        <w:t xml:space="preserve">US$ </w:t>
      </w:r>
      <w:r w:rsidR="007164E4" w:rsidRPr="00D03701">
        <w:rPr>
          <w:rFonts w:ascii="Arial" w:hAnsi="Arial" w:cs="Arial"/>
          <w:color w:val="000000"/>
          <w:sz w:val="22"/>
          <w:szCs w:val="22"/>
          <w:lang w:val="es-ES_tradnl"/>
        </w:rPr>
        <w:t>297,566</w:t>
      </w:r>
      <w:r w:rsidR="00322343" w:rsidRPr="00D03701">
        <w:rPr>
          <w:rFonts w:ascii="Arial" w:hAnsi="Arial" w:cs="Arial"/>
          <w:color w:val="000000"/>
          <w:sz w:val="22"/>
          <w:szCs w:val="22"/>
          <w:lang w:val="es-ES_tradnl"/>
        </w:rPr>
        <w:t xml:space="preserve">. El monto del costo de oportunidad para exportar </w:t>
      </w:r>
      <w:r w:rsidR="001546D1" w:rsidRPr="00D03701">
        <w:rPr>
          <w:rFonts w:ascii="Arial" w:hAnsi="Arial" w:cs="Arial"/>
          <w:color w:val="000000"/>
          <w:sz w:val="22"/>
          <w:szCs w:val="22"/>
          <w:lang w:val="es-ES_tradnl"/>
        </w:rPr>
        <w:t xml:space="preserve">es equivalente a la </w:t>
      </w:r>
      <w:r w:rsidR="00322343" w:rsidRPr="00D03701">
        <w:rPr>
          <w:rFonts w:ascii="Arial" w:hAnsi="Arial" w:cs="Arial"/>
          <w:color w:val="000000"/>
          <w:sz w:val="22"/>
          <w:szCs w:val="22"/>
          <w:lang w:val="es-ES_tradnl"/>
        </w:rPr>
        <w:t xml:space="preserve">tasa de oportunidad para importar (0.0030%) </w:t>
      </w:r>
      <w:r w:rsidR="001546D1" w:rsidRPr="00D03701">
        <w:rPr>
          <w:rFonts w:ascii="Arial" w:hAnsi="Arial" w:cs="Arial"/>
          <w:color w:val="000000"/>
          <w:sz w:val="22"/>
          <w:szCs w:val="22"/>
          <w:lang w:val="es-ES_tradnl"/>
        </w:rPr>
        <w:t>*</w:t>
      </w:r>
      <w:r w:rsidR="00322343" w:rsidRPr="00D03701">
        <w:rPr>
          <w:rFonts w:ascii="Arial" w:hAnsi="Arial" w:cs="Arial"/>
          <w:color w:val="000000"/>
          <w:sz w:val="22"/>
          <w:szCs w:val="22"/>
          <w:lang w:val="es-ES_tradnl"/>
        </w:rPr>
        <w:t xml:space="preserve"> Monto </w:t>
      </w:r>
      <w:r w:rsidR="001546D1" w:rsidRPr="00D03701">
        <w:rPr>
          <w:rFonts w:ascii="Arial" w:hAnsi="Arial" w:cs="Arial"/>
          <w:color w:val="000000"/>
          <w:sz w:val="22"/>
          <w:szCs w:val="22"/>
          <w:lang w:val="es-ES_tradnl"/>
        </w:rPr>
        <w:t>ex</w:t>
      </w:r>
      <w:r w:rsidR="00322343" w:rsidRPr="00D03701">
        <w:rPr>
          <w:rFonts w:ascii="Arial" w:hAnsi="Arial" w:cs="Arial"/>
          <w:color w:val="000000"/>
          <w:sz w:val="22"/>
          <w:szCs w:val="22"/>
          <w:lang w:val="es-ES_tradnl"/>
        </w:rPr>
        <w:t>portado (US$ 4</w:t>
      </w:r>
      <w:r w:rsidR="001546D1" w:rsidRPr="00D03701">
        <w:rPr>
          <w:rFonts w:ascii="Arial" w:hAnsi="Arial" w:cs="Arial"/>
          <w:color w:val="000000"/>
          <w:sz w:val="22"/>
          <w:szCs w:val="22"/>
          <w:lang w:val="es-ES_tradnl"/>
        </w:rPr>
        <w:t>.4</w:t>
      </w:r>
      <w:r w:rsidR="00322343" w:rsidRPr="00D03701">
        <w:rPr>
          <w:rFonts w:ascii="Arial" w:hAnsi="Arial" w:cs="Arial"/>
          <w:color w:val="000000"/>
          <w:sz w:val="22"/>
          <w:szCs w:val="22"/>
          <w:lang w:val="es-ES_tradnl"/>
        </w:rPr>
        <w:t xml:space="preserve"> </w:t>
      </w:r>
      <w:r w:rsidR="001546D1" w:rsidRPr="00D03701">
        <w:rPr>
          <w:rFonts w:ascii="Arial" w:hAnsi="Arial" w:cs="Arial"/>
          <w:color w:val="000000"/>
          <w:sz w:val="22"/>
          <w:szCs w:val="22"/>
          <w:lang w:val="es-ES_tradnl"/>
        </w:rPr>
        <w:t>b</w:t>
      </w:r>
      <w:r w:rsidR="00322343" w:rsidRPr="00D03701">
        <w:rPr>
          <w:rFonts w:ascii="Arial" w:hAnsi="Arial" w:cs="Arial"/>
          <w:color w:val="000000"/>
          <w:sz w:val="22"/>
          <w:szCs w:val="22"/>
          <w:lang w:val="es-ES_tradnl"/>
        </w:rPr>
        <w:t xml:space="preserve">illones) = US$ 130,485. </w:t>
      </w:r>
    </w:p>
    <w:p w14:paraId="75CAD13E" w14:textId="62704A5C" w:rsidR="00322343" w:rsidRPr="00D03701" w:rsidRDefault="00322343" w:rsidP="001137D4">
      <w:pPr>
        <w:pStyle w:val="Paragraph"/>
        <w:numPr>
          <w:ilvl w:val="1"/>
          <w:numId w:val="38"/>
        </w:numPr>
        <w:tabs>
          <w:tab w:val="num" w:pos="1800"/>
          <w:tab w:val="num" w:pos="2196"/>
        </w:tabs>
        <w:ind w:left="720" w:hanging="720"/>
        <w:outlineLvl w:val="9"/>
        <w:rPr>
          <w:rFonts w:ascii="Arial" w:hAnsi="Arial" w:cs="Arial"/>
          <w:color w:val="000000"/>
          <w:sz w:val="22"/>
          <w:szCs w:val="22"/>
          <w:lang w:val="es-ES_tradnl"/>
        </w:rPr>
        <w:sectPr w:rsidR="00322343" w:rsidRPr="00D03701">
          <w:pgSz w:w="11906" w:h="16838"/>
          <w:pgMar w:top="994" w:right="1440" w:bottom="1166" w:left="1354" w:header="720" w:footer="720" w:gutter="0"/>
          <w:cols w:space="720"/>
          <w:docGrid w:linePitch="360"/>
        </w:sectPr>
      </w:pPr>
      <w:r w:rsidRPr="00D03701">
        <w:rPr>
          <w:rFonts w:ascii="Arial" w:hAnsi="Arial" w:cs="Arial"/>
          <w:color w:val="000000"/>
          <w:sz w:val="22"/>
          <w:szCs w:val="22"/>
          <w:lang w:val="es-ES_tradnl"/>
        </w:rPr>
        <w:t xml:space="preserve">La línea 14 presenta el costo de oportunidad total. En 2021 = línea 11 + línea 13 = US$ </w:t>
      </w:r>
      <w:r w:rsidR="007164E4" w:rsidRPr="00D03701">
        <w:rPr>
          <w:rFonts w:ascii="Arial" w:hAnsi="Arial" w:cs="Arial"/>
          <w:color w:val="000000"/>
          <w:sz w:val="22"/>
          <w:szCs w:val="22"/>
          <w:lang w:val="es-ES_tradnl"/>
        </w:rPr>
        <w:t>428,050</w:t>
      </w:r>
      <w:r w:rsidRPr="00D03701">
        <w:rPr>
          <w:rFonts w:ascii="Arial" w:hAnsi="Arial" w:cs="Arial"/>
          <w:color w:val="000000"/>
          <w:sz w:val="22"/>
          <w:szCs w:val="22"/>
          <w:lang w:val="es-ES_tradnl"/>
        </w:rPr>
        <w:t>. En 202</w:t>
      </w:r>
      <w:r w:rsidR="007164E4" w:rsidRPr="00D03701">
        <w:rPr>
          <w:rFonts w:ascii="Arial" w:hAnsi="Arial" w:cs="Arial"/>
          <w:color w:val="000000"/>
          <w:sz w:val="22"/>
          <w:szCs w:val="22"/>
          <w:lang w:val="es-ES_tradnl"/>
        </w:rPr>
        <w:t>3</w:t>
      </w:r>
      <w:r w:rsidRPr="00D03701">
        <w:rPr>
          <w:rFonts w:ascii="Arial" w:hAnsi="Arial" w:cs="Arial"/>
          <w:color w:val="000000"/>
          <w:sz w:val="22"/>
          <w:szCs w:val="22"/>
          <w:lang w:val="es-ES_tradnl"/>
        </w:rPr>
        <w:t xml:space="preserve"> este monto será de</w:t>
      </w:r>
      <w:r w:rsidR="00351E68" w:rsidRPr="00D03701">
        <w:rPr>
          <w:rFonts w:ascii="Arial" w:hAnsi="Arial" w:cs="Arial"/>
          <w:color w:val="000000"/>
          <w:sz w:val="22"/>
          <w:szCs w:val="22"/>
          <w:lang w:val="es-ES_tradnl"/>
        </w:rPr>
        <w:t xml:space="preserve"> </w:t>
      </w:r>
      <w:r w:rsidR="007164E4" w:rsidRPr="00D03701">
        <w:rPr>
          <w:rFonts w:ascii="Arial" w:hAnsi="Arial" w:cs="Arial"/>
          <w:color w:val="000000"/>
          <w:sz w:val="22"/>
          <w:szCs w:val="22"/>
          <w:lang w:val="es-ES_tradnl"/>
        </w:rPr>
        <w:t xml:space="preserve">aproximadamente </w:t>
      </w:r>
      <w:r w:rsidR="00351E68" w:rsidRPr="00D03701">
        <w:rPr>
          <w:rFonts w:ascii="Arial" w:hAnsi="Arial" w:cs="Arial"/>
          <w:color w:val="000000"/>
          <w:sz w:val="22"/>
          <w:szCs w:val="22"/>
          <w:lang w:val="es-ES_tradnl"/>
        </w:rPr>
        <w:t>US$</w:t>
      </w:r>
      <w:r w:rsidRPr="00D03701">
        <w:rPr>
          <w:rFonts w:ascii="Arial" w:hAnsi="Arial" w:cs="Arial"/>
          <w:color w:val="000000"/>
          <w:sz w:val="22"/>
          <w:szCs w:val="22"/>
          <w:lang w:val="es-ES_tradnl"/>
        </w:rPr>
        <w:t xml:space="preserve"> 2</w:t>
      </w:r>
      <w:r w:rsidR="00351E68" w:rsidRPr="00D03701">
        <w:rPr>
          <w:rFonts w:ascii="Arial" w:hAnsi="Arial" w:cs="Arial"/>
          <w:color w:val="000000"/>
          <w:sz w:val="22"/>
          <w:szCs w:val="22"/>
          <w:lang w:val="es-ES_tradnl"/>
        </w:rPr>
        <w:t>.</w:t>
      </w:r>
      <w:r w:rsidR="007164E4" w:rsidRPr="00D03701">
        <w:rPr>
          <w:rFonts w:ascii="Arial" w:hAnsi="Arial" w:cs="Arial"/>
          <w:color w:val="000000"/>
          <w:sz w:val="22"/>
          <w:szCs w:val="22"/>
          <w:lang w:val="es-ES_tradnl"/>
        </w:rPr>
        <w:t>03</w:t>
      </w:r>
      <w:r w:rsidRPr="00D03701">
        <w:rPr>
          <w:rFonts w:ascii="Arial" w:hAnsi="Arial" w:cs="Arial"/>
          <w:color w:val="000000"/>
          <w:sz w:val="22"/>
          <w:szCs w:val="22"/>
          <w:lang w:val="es-ES_tradnl"/>
        </w:rPr>
        <w:t xml:space="preserve"> millones.</w:t>
      </w:r>
    </w:p>
    <w:p w14:paraId="00CA38DB" w14:textId="0B87FD62" w:rsidR="00322343" w:rsidRPr="00D03701" w:rsidRDefault="007164E4" w:rsidP="00322343">
      <w:pPr>
        <w:pStyle w:val="Paragraph"/>
        <w:numPr>
          <w:ilvl w:val="0"/>
          <w:numId w:val="0"/>
        </w:numPr>
        <w:tabs>
          <w:tab w:val="num" w:pos="2196"/>
        </w:tabs>
        <w:ind w:left="1296" w:hanging="1296"/>
        <w:outlineLvl w:val="9"/>
        <w:rPr>
          <w:rFonts w:ascii="Arial" w:hAnsi="Arial" w:cs="Arial"/>
          <w:color w:val="000000"/>
          <w:sz w:val="22"/>
          <w:szCs w:val="22"/>
          <w:lang w:val="es-ES_tradnl"/>
        </w:rPr>
        <w:sectPr w:rsidR="00322343" w:rsidRPr="00D03701" w:rsidSect="00322343">
          <w:pgSz w:w="16838" w:h="11906" w:orient="landscape"/>
          <w:pgMar w:top="1440" w:right="1166" w:bottom="1354" w:left="994" w:header="720" w:footer="720" w:gutter="0"/>
          <w:cols w:space="720"/>
          <w:docGrid w:linePitch="360"/>
        </w:sectPr>
      </w:pPr>
      <w:r w:rsidRPr="00D03701">
        <w:rPr>
          <w:noProof/>
          <w:lang w:val="es-ES_tradnl"/>
        </w:rPr>
        <w:lastRenderedPageBreak/>
        <w:drawing>
          <wp:inline distT="0" distB="0" distL="0" distR="0" wp14:anchorId="79C099BC" wp14:editId="6B92310A">
            <wp:extent cx="9575165" cy="3255264"/>
            <wp:effectExtent l="0" t="0" r="698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93580" cy="3261524"/>
                    </a:xfrm>
                    <a:prstGeom prst="rect">
                      <a:avLst/>
                    </a:prstGeom>
                    <a:noFill/>
                    <a:ln>
                      <a:noFill/>
                    </a:ln>
                  </pic:spPr>
                </pic:pic>
              </a:graphicData>
            </a:graphic>
          </wp:inline>
        </w:drawing>
      </w:r>
    </w:p>
    <w:p w14:paraId="68F3CA73" w14:textId="77777777" w:rsidR="00F10D9A" w:rsidRPr="00D03701" w:rsidRDefault="007E781F" w:rsidP="001137D4">
      <w:pPr>
        <w:pStyle w:val="Chapter"/>
        <w:numPr>
          <w:ilvl w:val="0"/>
          <w:numId w:val="38"/>
        </w:numPr>
        <w:ind w:left="900" w:hanging="792"/>
        <w:jc w:val="left"/>
        <w:outlineLvl w:val="0"/>
        <w:rPr>
          <w:rFonts w:ascii="Arial" w:hAnsi="Arial" w:cs="Arial"/>
          <w:sz w:val="22"/>
          <w:szCs w:val="22"/>
          <w:lang w:val="es-ES_tradnl"/>
        </w:rPr>
      </w:pPr>
      <w:bookmarkStart w:id="14" w:name="_Toc522741998"/>
      <w:r w:rsidRPr="00D03701">
        <w:rPr>
          <w:rFonts w:ascii="Arial" w:hAnsi="Arial" w:cs="Arial"/>
          <w:sz w:val="22"/>
          <w:szCs w:val="22"/>
          <w:lang w:val="es-ES_tradnl"/>
        </w:rPr>
        <w:lastRenderedPageBreak/>
        <w:t>Costos del Proyecto</w:t>
      </w:r>
      <w:bookmarkEnd w:id="14"/>
    </w:p>
    <w:p w14:paraId="6BAA9403" w14:textId="77777777" w:rsidR="00F10D9A" w:rsidRPr="00D03701" w:rsidRDefault="007E781F" w:rsidP="001137D4">
      <w:pPr>
        <w:pStyle w:val="Paragraph"/>
        <w:numPr>
          <w:ilvl w:val="1"/>
          <w:numId w:val="38"/>
        </w:numPr>
        <w:tabs>
          <w:tab w:val="num" w:pos="1800"/>
          <w:tab w:val="num" w:pos="2196"/>
        </w:tabs>
        <w:ind w:left="720" w:hanging="720"/>
        <w:outlineLvl w:val="9"/>
        <w:rPr>
          <w:rFonts w:ascii="Arial" w:hAnsi="Arial" w:cs="Arial"/>
          <w:sz w:val="22"/>
          <w:szCs w:val="22"/>
          <w:lang w:val="es-ES_tradnl"/>
        </w:rPr>
      </w:pPr>
      <w:r w:rsidRPr="00D03701">
        <w:rPr>
          <w:rFonts w:ascii="Arial" w:hAnsi="Arial" w:cs="Arial"/>
          <w:sz w:val="22"/>
          <w:szCs w:val="22"/>
          <w:lang w:val="es-ES_tradnl"/>
        </w:rPr>
        <w:t xml:space="preserve">Para el cálculo del beneficio neto del proyecto </w:t>
      </w:r>
      <w:r w:rsidR="004713DE" w:rsidRPr="00D03701">
        <w:rPr>
          <w:rFonts w:ascii="Arial" w:hAnsi="Arial" w:cs="Arial"/>
          <w:sz w:val="22"/>
          <w:szCs w:val="22"/>
          <w:lang w:val="es-ES_tradnl"/>
        </w:rPr>
        <w:t>l</w:t>
      </w:r>
      <w:r w:rsidRPr="00D03701">
        <w:rPr>
          <w:rFonts w:ascii="Arial" w:hAnsi="Arial" w:cs="Arial"/>
          <w:sz w:val="22"/>
          <w:szCs w:val="22"/>
          <w:lang w:val="es-ES_tradnl"/>
        </w:rPr>
        <w:t>os costos considerados</w:t>
      </w:r>
      <w:r w:rsidR="004713DE" w:rsidRPr="00D03701">
        <w:rPr>
          <w:rFonts w:ascii="Arial" w:hAnsi="Arial" w:cs="Arial"/>
          <w:sz w:val="22"/>
          <w:szCs w:val="22"/>
          <w:lang w:val="es-ES_tradnl"/>
        </w:rPr>
        <w:t xml:space="preserve"> fueron</w:t>
      </w:r>
      <w:r w:rsidRPr="00D03701">
        <w:rPr>
          <w:rFonts w:ascii="Arial" w:hAnsi="Arial" w:cs="Arial"/>
          <w:sz w:val="22"/>
          <w:szCs w:val="22"/>
          <w:lang w:val="es-ES_tradnl"/>
        </w:rPr>
        <w:t xml:space="preserve">: (i) los costos </w:t>
      </w:r>
      <w:r w:rsidRPr="00D03701">
        <w:rPr>
          <w:rFonts w:ascii="Arial" w:hAnsi="Arial" w:cs="Arial"/>
          <w:color w:val="000000"/>
          <w:sz w:val="22"/>
          <w:szCs w:val="22"/>
          <w:lang w:val="es-ES_tradnl"/>
        </w:rPr>
        <w:t>económicos</w:t>
      </w:r>
      <w:r w:rsidRPr="00D03701">
        <w:rPr>
          <w:rFonts w:ascii="Arial" w:hAnsi="Arial" w:cs="Arial"/>
          <w:sz w:val="22"/>
          <w:szCs w:val="22"/>
          <w:lang w:val="es-ES_tradnl"/>
        </w:rPr>
        <w:t xml:space="preserve"> de </w:t>
      </w:r>
      <w:r w:rsidRPr="00D03701">
        <w:rPr>
          <w:rFonts w:ascii="Arial" w:hAnsi="Arial" w:cs="Arial"/>
          <w:bCs/>
          <w:color w:val="000000"/>
          <w:sz w:val="22"/>
          <w:szCs w:val="22"/>
          <w:lang w:val="es-ES_tradnl"/>
        </w:rPr>
        <w:t>inversión</w:t>
      </w:r>
      <w:r w:rsidRPr="00D03701">
        <w:rPr>
          <w:rFonts w:ascii="Arial" w:hAnsi="Arial" w:cs="Arial"/>
          <w:sz w:val="22"/>
          <w:szCs w:val="22"/>
          <w:lang w:val="es-ES_tradnl"/>
        </w:rPr>
        <w:t xml:space="preserve">; y (ii) los costos </w:t>
      </w:r>
      <w:r w:rsidR="00DF2E49" w:rsidRPr="00D03701">
        <w:rPr>
          <w:rFonts w:ascii="Arial" w:hAnsi="Arial" w:cs="Arial"/>
          <w:sz w:val="22"/>
          <w:szCs w:val="22"/>
          <w:lang w:val="es-ES_tradnl"/>
        </w:rPr>
        <w:t>económicos</w:t>
      </w:r>
      <w:r w:rsidRPr="00D03701">
        <w:rPr>
          <w:rFonts w:ascii="Arial" w:hAnsi="Arial" w:cs="Arial"/>
          <w:sz w:val="22"/>
          <w:szCs w:val="22"/>
          <w:lang w:val="es-ES_tradnl"/>
        </w:rPr>
        <w:t xml:space="preserve"> de mantenimiento. El Anexo I de este documento presenta los cálculos detallados de dichos costos.</w:t>
      </w:r>
    </w:p>
    <w:p w14:paraId="09FD3486" w14:textId="77777777" w:rsidR="00F10D9A" w:rsidRPr="00D03701" w:rsidRDefault="007E781F" w:rsidP="0088781C">
      <w:pPr>
        <w:pStyle w:val="Paragraph"/>
        <w:numPr>
          <w:ilvl w:val="2"/>
          <w:numId w:val="7"/>
        </w:numPr>
        <w:tabs>
          <w:tab w:val="clear" w:pos="2304"/>
        </w:tabs>
        <w:ind w:left="1170" w:hanging="540"/>
        <w:outlineLvl w:val="9"/>
        <w:rPr>
          <w:rFonts w:ascii="Arial" w:hAnsi="Arial" w:cs="Arial"/>
          <w:sz w:val="22"/>
          <w:szCs w:val="22"/>
          <w:lang w:val="es-ES_tradnl"/>
        </w:rPr>
      </w:pPr>
      <w:r w:rsidRPr="00D03701">
        <w:rPr>
          <w:rFonts w:ascii="Arial" w:hAnsi="Arial" w:cs="Arial"/>
          <w:sz w:val="22"/>
          <w:szCs w:val="22"/>
          <w:lang w:val="es-ES_tradnl"/>
        </w:rPr>
        <w:t>Costos económicos de inversión:</w:t>
      </w:r>
    </w:p>
    <w:tbl>
      <w:tblPr>
        <w:tblW w:w="9961" w:type="dxa"/>
        <w:tblInd w:w="-275" w:type="dxa"/>
        <w:tblLook w:val="04A0" w:firstRow="1" w:lastRow="0" w:firstColumn="1" w:lastColumn="0" w:noHBand="0" w:noVBand="1"/>
      </w:tblPr>
      <w:tblGrid>
        <w:gridCol w:w="2160"/>
        <w:gridCol w:w="1195"/>
        <w:gridCol w:w="1219"/>
        <w:gridCol w:w="1318"/>
        <w:gridCol w:w="1318"/>
        <w:gridCol w:w="1318"/>
        <w:gridCol w:w="1426"/>
        <w:gridCol w:w="7"/>
      </w:tblGrid>
      <w:tr w:rsidR="00F10D9A" w:rsidRPr="00BE7955" w14:paraId="6744C78C" w14:textId="77777777" w:rsidTr="00AA273C">
        <w:trPr>
          <w:trHeight w:val="148"/>
        </w:trPr>
        <w:tc>
          <w:tcPr>
            <w:tcW w:w="9961" w:type="dxa"/>
            <w:gridSpan w:val="8"/>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1D4AEDA" w14:textId="77777777" w:rsidR="00F10D9A" w:rsidRPr="00D03701" w:rsidRDefault="007E781F">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 xml:space="preserve">Cuadro </w:t>
            </w:r>
            <w:r w:rsidR="00AA273C" w:rsidRPr="00D03701">
              <w:rPr>
                <w:rFonts w:ascii="Arial" w:hAnsi="Arial" w:cs="Arial"/>
                <w:b/>
                <w:color w:val="000000"/>
                <w:sz w:val="18"/>
                <w:szCs w:val="18"/>
                <w:lang w:val="es-ES_tradnl"/>
              </w:rPr>
              <w:t>4</w:t>
            </w:r>
            <w:r w:rsidRPr="00D03701">
              <w:rPr>
                <w:rFonts w:ascii="Arial" w:hAnsi="Arial" w:cs="Arial"/>
                <w:b/>
                <w:color w:val="000000"/>
                <w:sz w:val="18"/>
                <w:szCs w:val="18"/>
                <w:lang w:val="es-ES_tradnl"/>
              </w:rPr>
              <w:t xml:space="preserve"> - Costos del proyecto</w:t>
            </w:r>
            <w:r w:rsidR="007B42AF" w:rsidRPr="00D03701">
              <w:rPr>
                <w:rFonts w:ascii="Arial" w:eastAsia="Times New Roman" w:hAnsi="Arial" w:cs="Arial"/>
                <w:b/>
                <w:bCs/>
                <w:color w:val="000000"/>
                <w:sz w:val="18"/>
                <w:szCs w:val="18"/>
                <w:lang w:val="es-ES_tradnl"/>
              </w:rPr>
              <w:t xml:space="preserve"> (US$)</w:t>
            </w:r>
          </w:p>
        </w:tc>
      </w:tr>
      <w:tr w:rsidR="00AA273C" w:rsidRPr="00D03701" w14:paraId="5FCEE552" w14:textId="77777777" w:rsidTr="00AA273C">
        <w:trPr>
          <w:gridAfter w:val="1"/>
          <w:wAfter w:w="7" w:type="dxa"/>
          <w:trHeight w:val="112"/>
        </w:trPr>
        <w:tc>
          <w:tcPr>
            <w:tcW w:w="2160" w:type="dxa"/>
            <w:tcBorders>
              <w:top w:val="nil"/>
              <w:left w:val="single" w:sz="4" w:space="0" w:color="auto"/>
              <w:bottom w:val="single" w:sz="4" w:space="0" w:color="auto"/>
              <w:right w:val="single" w:sz="4" w:space="0" w:color="auto"/>
            </w:tcBorders>
            <w:shd w:val="clear" w:color="000000" w:fill="C0C0C0"/>
            <w:vAlign w:val="bottom"/>
            <w:hideMark/>
          </w:tcPr>
          <w:p w14:paraId="54A82458" w14:textId="77777777" w:rsidR="00AA273C" w:rsidRPr="00D03701" w:rsidRDefault="00AA273C" w:rsidP="00AA273C">
            <w:pPr>
              <w:spacing w:after="0" w:line="240" w:lineRule="auto"/>
              <w:jc w:val="center"/>
              <w:rPr>
                <w:rFonts w:ascii="Arial" w:hAnsi="Arial" w:cs="Arial"/>
                <w:b/>
                <w:color w:val="000000"/>
                <w:sz w:val="18"/>
                <w:szCs w:val="18"/>
                <w:lang w:val="es-ES_tradnl"/>
              </w:rPr>
            </w:pPr>
            <w:r w:rsidRPr="00D03701">
              <w:rPr>
                <w:rFonts w:ascii="Arial" w:eastAsia="Times New Roman" w:hAnsi="Arial" w:cs="Arial"/>
                <w:b/>
                <w:bCs/>
                <w:color w:val="000000"/>
                <w:sz w:val="18"/>
                <w:szCs w:val="18"/>
                <w:lang w:val="es-ES_tradnl"/>
              </w:rPr>
              <w:t>Categorías</w:t>
            </w:r>
          </w:p>
        </w:tc>
        <w:tc>
          <w:tcPr>
            <w:tcW w:w="1195" w:type="dxa"/>
            <w:tcBorders>
              <w:top w:val="nil"/>
              <w:left w:val="nil"/>
              <w:bottom w:val="single" w:sz="4" w:space="0" w:color="auto"/>
              <w:right w:val="single" w:sz="4" w:space="0" w:color="auto"/>
            </w:tcBorders>
            <w:shd w:val="clear" w:color="000000" w:fill="C0C0C0"/>
            <w:vAlign w:val="bottom"/>
            <w:hideMark/>
          </w:tcPr>
          <w:p w14:paraId="51871FAE" w14:textId="77777777" w:rsidR="00AA273C" w:rsidRPr="00D03701" w:rsidRDefault="00AA273C" w:rsidP="00AA273C">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2018</w:t>
            </w:r>
          </w:p>
        </w:tc>
        <w:tc>
          <w:tcPr>
            <w:tcW w:w="1219" w:type="dxa"/>
            <w:tcBorders>
              <w:top w:val="nil"/>
              <w:left w:val="nil"/>
              <w:bottom w:val="single" w:sz="4" w:space="0" w:color="auto"/>
              <w:right w:val="single" w:sz="4" w:space="0" w:color="auto"/>
            </w:tcBorders>
            <w:shd w:val="clear" w:color="000000" w:fill="C0C0C0"/>
            <w:vAlign w:val="bottom"/>
            <w:hideMark/>
          </w:tcPr>
          <w:p w14:paraId="47D73CA3" w14:textId="77777777" w:rsidR="00AA273C" w:rsidRPr="00D03701" w:rsidRDefault="00AA273C" w:rsidP="00AA273C">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2019</w:t>
            </w:r>
          </w:p>
        </w:tc>
        <w:tc>
          <w:tcPr>
            <w:tcW w:w="1318" w:type="dxa"/>
            <w:tcBorders>
              <w:top w:val="nil"/>
              <w:left w:val="nil"/>
              <w:bottom w:val="single" w:sz="4" w:space="0" w:color="auto"/>
              <w:right w:val="single" w:sz="4" w:space="0" w:color="auto"/>
            </w:tcBorders>
            <w:shd w:val="clear" w:color="000000" w:fill="C0C0C0"/>
            <w:vAlign w:val="bottom"/>
            <w:hideMark/>
          </w:tcPr>
          <w:p w14:paraId="273E1EAB" w14:textId="77777777" w:rsidR="00AA273C" w:rsidRPr="00D03701" w:rsidRDefault="00AA273C" w:rsidP="00AA273C">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2020</w:t>
            </w:r>
          </w:p>
        </w:tc>
        <w:tc>
          <w:tcPr>
            <w:tcW w:w="1318" w:type="dxa"/>
            <w:tcBorders>
              <w:top w:val="nil"/>
              <w:left w:val="nil"/>
              <w:bottom w:val="single" w:sz="4" w:space="0" w:color="auto"/>
              <w:right w:val="single" w:sz="4" w:space="0" w:color="auto"/>
            </w:tcBorders>
            <w:shd w:val="clear" w:color="000000" w:fill="C0C0C0"/>
            <w:vAlign w:val="bottom"/>
            <w:hideMark/>
          </w:tcPr>
          <w:p w14:paraId="152B5DB7" w14:textId="77777777" w:rsidR="00AA273C" w:rsidRPr="00D03701" w:rsidRDefault="00AA273C" w:rsidP="00AA273C">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2021</w:t>
            </w:r>
          </w:p>
        </w:tc>
        <w:tc>
          <w:tcPr>
            <w:tcW w:w="1318" w:type="dxa"/>
            <w:tcBorders>
              <w:top w:val="nil"/>
              <w:left w:val="nil"/>
              <w:bottom w:val="single" w:sz="4" w:space="0" w:color="auto"/>
              <w:right w:val="single" w:sz="4" w:space="0" w:color="auto"/>
            </w:tcBorders>
            <w:shd w:val="clear" w:color="000000" w:fill="C0C0C0"/>
            <w:vAlign w:val="bottom"/>
            <w:hideMark/>
          </w:tcPr>
          <w:p w14:paraId="3BB6F5EB" w14:textId="77777777" w:rsidR="00AA273C" w:rsidRPr="00D03701" w:rsidRDefault="00AA273C" w:rsidP="00AA273C">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2022</w:t>
            </w:r>
          </w:p>
        </w:tc>
        <w:tc>
          <w:tcPr>
            <w:tcW w:w="1426" w:type="dxa"/>
            <w:tcBorders>
              <w:top w:val="nil"/>
              <w:left w:val="nil"/>
              <w:bottom w:val="single" w:sz="4" w:space="0" w:color="auto"/>
              <w:right w:val="single" w:sz="4" w:space="0" w:color="auto"/>
            </w:tcBorders>
            <w:shd w:val="clear" w:color="000000" w:fill="C0C0C0"/>
            <w:vAlign w:val="bottom"/>
          </w:tcPr>
          <w:p w14:paraId="75051A4D" w14:textId="77777777" w:rsidR="00AA273C" w:rsidRPr="00D03701" w:rsidRDefault="00AA273C" w:rsidP="00AA273C">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Total</w:t>
            </w:r>
          </w:p>
        </w:tc>
      </w:tr>
      <w:tr w:rsidR="007164E4" w:rsidRPr="00D03701" w14:paraId="0213E63D" w14:textId="77777777" w:rsidTr="000B7385">
        <w:trPr>
          <w:gridAfter w:val="1"/>
          <w:wAfter w:w="7" w:type="dxa"/>
          <w:trHeight w:val="121"/>
        </w:trPr>
        <w:tc>
          <w:tcPr>
            <w:tcW w:w="2160" w:type="dxa"/>
            <w:tcBorders>
              <w:top w:val="nil"/>
              <w:left w:val="single" w:sz="4" w:space="0" w:color="auto"/>
              <w:bottom w:val="single" w:sz="4" w:space="0" w:color="auto"/>
              <w:right w:val="single" w:sz="4" w:space="0" w:color="auto"/>
            </w:tcBorders>
            <w:shd w:val="clear" w:color="auto" w:fill="auto"/>
            <w:vAlign w:val="center"/>
            <w:hideMark/>
          </w:tcPr>
          <w:p w14:paraId="1F40639E" w14:textId="77777777" w:rsidR="007164E4" w:rsidRPr="00D03701" w:rsidRDefault="007164E4" w:rsidP="007164E4">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 xml:space="preserve">Costos financieros </w:t>
            </w:r>
          </w:p>
        </w:tc>
        <w:tc>
          <w:tcPr>
            <w:tcW w:w="1195" w:type="dxa"/>
            <w:tcBorders>
              <w:top w:val="nil"/>
              <w:left w:val="nil"/>
              <w:bottom w:val="single" w:sz="4" w:space="0" w:color="auto"/>
              <w:right w:val="single" w:sz="4" w:space="0" w:color="auto"/>
            </w:tcBorders>
            <w:shd w:val="clear" w:color="auto" w:fill="auto"/>
            <w:vAlign w:val="bottom"/>
            <w:hideMark/>
          </w:tcPr>
          <w:p w14:paraId="043A5C4D" w14:textId="4573C148"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7,570,583</w:t>
            </w:r>
          </w:p>
        </w:tc>
        <w:tc>
          <w:tcPr>
            <w:tcW w:w="1219" w:type="dxa"/>
            <w:tcBorders>
              <w:top w:val="nil"/>
              <w:left w:val="nil"/>
              <w:bottom w:val="single" w:sz="4" w:space="0" w:color="auto"/>
              <w:right w:val="single" w:sz="4" w:space="0" w:color="auto"/>
            </w:tcBorders>
            <w:shd w:val="clear" w:color="auto" w:fill="auto"/>
            <w:vAlign w:val="bottom"/>
            <w:hideMark/>
          </w:tcPr>
          <w:p w14:paraId="4DF3966B" w14:textId="725D7CAB"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15,658,726</w:t>
            </w:r>
          </w:p>
        </w:tc>
        <w:tc>
          <w:tcPr>
            <w:tcW w:w="1318" w:type="dxa"/>
            <w:tcBorders>
              <w:top w:val="nil"/>
              <w:left w:val="nil"/>
              <w:bottom w:val="single" w:sz="4" w:space="0" w:color="auto"/>
              <w:right w:val="single" w:sz="4" w:space="0" w:color="auto"/>
            </w:tcBorders>
            <w:shd w:val="clear" w:color="auto" w:fill="auto"/>
            <w:vAlign w:val="bottom"/>
            <w:hideMark/>
          </w:tcPr>
          <w:p w14:paraId="14DE534D" w14:textId="03EB6AE9"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46,539,805</w:t>
            </w:r>
          </w:p>
        </w:tc>
        <w:tc>
          <w:tcPr>
            <w:tcW w:w="1318" w:type="dxa"/>
            <w:tcBorders>
              <w:top w:val="nil"/>
              <w:left w:val="nil"/>
              <w:bottom w:val="single" w:sz="4" w:space="0" w:color="auto"/>
              <w:right w:val="single" w:sz="4" w:space="0" w:color="auto"/>
            </w:tcBorders>
            <w:shd w:val="clear" w:color="auto" w:fill="auto"/>
            <w:vAlign w:val="bottom"/>
            <w:hideMark/>
          </w:tcPr>
          <w:p w14:paraId="302E6EF1" w14:textId="0157D48E"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18,510,380</w:t>
            </w:r>
          </w:p>
        </w:tc>
        <w:tc>
          <w:tcPr>
            <w:tcW w:w="1318" w:type="dxa"/>
            <w:tcBorders>
              <w:top w:val="nil"/>
              <w:left w:val="nil"/>
              <w:bottom w:val="single" w:sz="4" w:space="0" w:color="auto"/>
              <w:right w:val="single" w:sz="4" w:space="0" w:color="auto"/>
            </w:tcBorders>
            <w:shd w:val="clear" w:color="auto" w:fill="auto"/>
            <w:vAlign w:val="bottom"/>
            <w:hideMark/>
          </w:tcPr>
          <w:p w14:paraId="0062CF59" w14:textId="10C735A6"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9,133,411</w:t>
            </w:r>
          </w:p>
        </w:tc>
        <w:tc>
          <w:tcPr>
            <w:tcW w:w="1426" w:type="dxa"/>
            <w:tcBorders>
              <w:top w:val="nil"/>
              <w:left w:val="nil"/>
              <w:bottom w:val="single" w:sz="4" w:space="0" w:color="auto"/>
              <w:right w:val="single" w:sz="4" w:space="0" w:color="auto"/>
            </w:tcBorders>
            <w:shd w:val="clear" w:color="auto" w:fill="auto"/>
            <w:vAlign w:val="bottom"/>
          </w:tcPr>
          <w:p w14:paraId="69B93ADB" w14:textId="3D66E3B0"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101,482,348</w:t>
            </w:r>
          </w:p>
        </w:tc>
      </w:tr>
      <w:tr w:rsidR="007164E4" w:rsidRPr="00D03701" w14:paraId="12E216E8" w14:textId="77777777" w:rsidTr="000B7385">
        <w:trPr>
          <w:gridAfter w:val="1"/>
          <w:wAfter w:w="7" w:type="dxa"/>
          <w:trHeight w:val="67"/>
        </w:trPr>
        <w:tc>
          <w:tcPr>
            <w:tcW w:w="2160" w:type="dxa"/>
            <w:tcBorders>
              <w:top w:val="nil"/>
              <w:left w:val="single" w:sz="4" w:space="0" w:color="auto"/>
              <w:bottom w:val="single" w:sz="4" w:space="0" w:color="auto"/>
              <w:right w:val="single" w:sz="4" w:space="0" w:color="auto"/>
            </w:tcBorders>
            <w:shd w:val="clear" w:color="auto" w:fill="auto"/>
            <w:vAlign w:val="center"/>
            <w:hideMark/>
          </w:tcPr>
          <w:p w14:paraId="50746BA1" w14:textId="77777777" w:rsidR="007164E4" w:rsidRPr="00D03701" w:rsidRDefault="007164E4" w:rsidP="007164E4">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Costos sociales</w:t>
            </w:r>
          </w:p>
        </w:tc>
        <w:tc>
          <w:tcPr>
            <w:tcW w:w="1195" w:type="dxa"/>
            <w:tcBorders>
              <w:top w:val="nil"/>
              <w:left w:val="nil"/>
              <w:bottom w:val="single" w:sz="4" w:space="0" w:color="auto"/>
              <w:right w:val="single" w:sz="4" w:space="0" w:color="auto"/>
            </w:tcBorders>
            <w:shd w:val="clear" w:color="auto" w:fill="auto"/>
            <w:vAlign w:val="bottom"/>
            <w:hideMark/>
          </w:tcPr>
          <w:p w14:paraId="1D51E58C" w14:textId="1D429BA8" w:rsidR="007164E4" w:rsidRPr="00D03701" w:rsidRDefault="007164E4" w:rsidP="007164E4">
            <w:pPr>
              <w:spacing w:after="0" w:line="240" w:lineRule="auto"/>
              <w:jc w:val="right"/>
              <w:rPr>
                <w:rFonts w:ascii="Arial" w:hAnsi="Arial" w:cs="Arial"/>
                <w:b/>
                <w:color w:val="000000"/>
                <w:sz w:val="18"/>
                <w:szCs w:val="18"/>
                <w:highlight w:val="yellow"/>
                <w:lang w:val="es-ES_tradnl"/>
              </w:rPr>
            </w:pPr>
            <w:r w:rsidRPr="00D03701">
              <w:rPr>
                <w:rFonts w:ascii="Arial" w:hAnsi="Arial" w:cs="Arial"/>
                <w:color w:val="000000"/>
                <w:sz w:val="18"/>
                <w:szCs w:val="18"/>
                <w:lang w:val="es-ES_tradnl"/>
              </w:rPr>
              <w:t>6,842,761</w:t>
            </w:r>
          </w:p>
        </w:tc>
        <w:tc>
          <w:tcPr>
            <w:tcW w:w="1219" w:type="dxa"/>
            <w:tcBorders>
              <w:top w:val="nil"/>
              <w:left w:val="nil"/>
              <w:bottom w:val="single" w:sz="4" w:space="0" w:color="auto"/>
              <w:right w:val="single" w:sz="4" w:space="0" w:color="auto"/>
            </w:tcBorders>
            <w:shd w:val="clear" w:color="auto" w:fill="auto"/>
            <w:vAlign w:val="bottom"/>
            <w:hideMark/>
          </w:tcPr>
          <w:p w14:paraId="69DFDF1C" w14:textId="641F25E7" w:rsidR="007164E4" w:rsidRPr="00D03701" w:rsidRDefault="007164E4" w:rsidP="007164E4">
            <w:pPr>
              <w:spacing w:after="0" w:line="240" w:lineRule="auto"/>
              <w:jc w:val="right"/>
              <w:rPr>
                <w:rFonts w:ascii="Arial" w:hAnsi="Arial" w:cs="Arial"/>
                <w:b/>
                <w:color w:val="000000"/>
                <w:sz w:val="18"/>
                <w:szCs w:val="18"/>
                <w:highlight w:val="yellow"/>
                <w:lang w:val="es-ES_tradnl"/>
              </w:rPr>
            </w:pPr>
            <w:r w:rsidRPr="00D03701">
              <w:rPr>
                <w:rFonts w:ascii="Arial" w:hAnsi="Arial" w:cs="Arial"/>
                <w:color w:val="000000"/>
                <w:sz w:val="18"/>
                <w:szCs w:val="18"/>
                <w:lang w:val="es-ES_tradnl"/>
              </w:rPr>
              <w:t>14,153,324</w:t>
            </w:r>
          </w:p>
        </w:tc>
        <w:tc>
          <w:tcPr>
            <w:tcW w:w="1318" w:type="dxa"/>
            <w:tcBorders>
              <w:top w:val="nil"/>
              <w:left w:val="nil"/>
              <w:bottom w:val="single" w:sz="4" w:space="0" w:color="auto"/>
              <w:right w:val="single" w:sz="4" w:space="0" w:color="auto"/>
            </w:tcBorders>
            <w:shd w:val="clear" w:color="auto" w:fill="auto"/>
            <w:vAlign w:val="bottom"/>
            <w:hideMark/>
          </w:tcPr>
          <w:p w14:paraId="4C7F184D" w14:textId="3F1EB1E5" w:rsidR="007164E4" w:rsidRPr="00D03701" w:rsidRDefault="007164E4" w:rsidP="007164E4">
            <w:pPr>
              <w:spacing w:after="0" w:line="240" w:lineRule="auto"/>
              <w:jc w:val="right"/>
              <w:rPr>
                <w:rFonts w:ascii="Arial" w:hAnsi="Arial" w:cs="Arial"/>
                <w:b/>
                <w:color w:val="000000"/>
                <w:sz w:val="18"/>
                <w:szCs w:val="18"/>
                <w:highlight w:val="yellow"/>
                <w:lang w:val="es-ES_tradnl"/>
              </w:rPr>
            </w:pPr>
            <w:r w:rsidRPr="00D03701">
              <w:rPr>
                <w:rFonts w:ascii="Arial" w:hAnsi="Arial" w:cs="Arial"/>
                <w:color w:val="000000"/>
                <w:sz w:val="18"/>
                <w:szCs w:val="18"/>
                <w:lang w:val="es-ES_tradnl"/>
              </w:rPr>
              <w:t>42,065,551</w:t>
            </w:r>
          </w:p>
        </w:tc>
        <w:tc>
          <w:tcPr>
            <w:tcW w:w="1318" w:type="dxa"/>
            <w:tcBorders>
              <w:top w:val="nil"/>
              <w:left w:val="nil"/>
              <w:bottom w:val="single" w:sz="4" w:space="0" w:color="auto"/>
              <w:right w:val="single" w:sz="4" w:space="0" w:color="auto"/>
            </w:tcBorders>
            <w:shd w:val="clear" w:color="auto" w:fill="auto"/>
            <w:vAlign w:val="bottom"/>
            <w:hideMark/>
          </w:tcPr>
          <w:p w14:paraId="42D427BA" w14:textId="4363F08D" w:rsidR="007164E4" w:rsidRPr="00D03701" w:rsidRDefault="007164E4" w:rsidP="007164E4">
            <w:pPr>
              <w:spacing w:after="0" w:line="240" w:lineRule="auto"/>
              <w:jc w:val="right"/>
              <w:rPr>
                <w:rFonts w:ascii="Arial" w:hAnsi="Arial" w:cs="Arial"/>
                <w:b/>
                <w:color w:val="000000"/>
                <w:sz w:val="18"/>
                <w:szCs w:val="18"/>
                <w:highlight w:val="yellow"/>
                <w:lang w:val="es-ES_tradnl"/>
              </w:rPr>
            </w:pPr>
            <w:r w:rsidRPr="00D03701">
              <w:rPr>
                <w:rFonts w:ascii="Arial" w:hAnsi="Arial" w:cs="Arial"/>
                <w:color w:val="000000"/>
                <w:sz w:val="18"/>
                <w:szCs w:val="18"/>
                <w:lang w:val="es-ES_tradnl"/>
              </w:rPr>
              <w:t>16,730,826</w:t>
            </w:r>
          </w:p>
        </w:tc>
        <w:tc>
          <w:tcPr>
            <w:tcW w:w="1318" w:type="dxa"/>
            <w:tcBorders>
              <w:top w:val="nil"/>
              <w:left w:val="nil"/>
              <w:bottom w:val="single" w:sz="4" w:space="0" w:color="auto"/>
              <w:right w:val="single" w:sz="4" w:space="0" w:color="auto"/>
            </w:tcBorders>
            <w:shd w:val="clear" w:color="auto" w:fill="auto"/>
            <w:vAlign w:val="bottom"/>
            <w:hideMark/>
          </w:tcPr>
          <w:p w14:paraId="6004D7AB" w14:textId="434DF69D" w:rsidR="007164E4" w:rsidRPr="00D03701" w:rsidRDefault="007164E4" w:rsidP="007164E4">
            <w:pPr>
              <w:spacing w:after="0" w:line="240" w:lineRule="auto"/>
              <w:jc w:val="right"/>
              <w:rPr>
                <w:rFonts w:ascii="Arial" w:hAnsi="Arial" w:cs="Arial"/>
                <w:b/>
                <w:color w:val="000000"/>
                <w:sz w:val="18"/>
                <w:szCs w:val="18"/>
                <w:highlight w:val="yellow"/>
                <w:lang w:val="es-ES_tradnl"/>
              </w:rPr>
            </w:pPr>
            <w:r w:rsidRPr="00D03701">
              <w:rPr>
                <w:rFonts w:ascii="Arial" w:hAnsi="Arial" w:cs="Arial"/>
                <w:color w:val="000000"/>
                <w:sz w:val="18"/>
                <w:szCs w:val="18"/>
                <w:lang w:val="es-ES_tradnl"/>
              </w:rPr>
              <w:t>8,255,342</w:t>
            </w:r>
          </w:p>
        </w:tc>
        <w:tc>
          <w:tcPr>
            <w:tcW w:w="1426" w:type="dxa"/>
            <w:tcBorders>
              <w:top w:val="nil"/>
              <w:left w:val="nil"/>
              <w:bottom w:val="single" w:sz="4" w:space="0" w:color="auto"/>
              <w:right w:val="single" w:sz="4" w:space="0" w:color="auto"/>
            </w:tcBorders>
            <w:shd w:val="clear" w:color="auto" w:fill="auto"/>
            <w:vAlign w:val="bottom"/>
          </w:tcPr>
          <w:p w14:paraId="34D2B7CE" w14:textId="4F092294" w:rsidR="007164E4" w:rsidRPr="00D03701" w:rsidRDefault="007164E4" w:rsidP="007164E4">
            <w:pPr>
              <w:spacing w:after="0" w:line="240" w:lineRule="auto"/>
              <w:jc w:val="right"/>
              <w:rPr>
                <w:rFonts w:ascii="Arial" w:hAnsi="Arial" w:cs="Arial"/>
                <w:b/>
                <w:color w:val="000000"/>
                <w:sz w:val="18"/>
                <w:szCs w:val="18"/>
                <w:highlight w:val="yellow"/>
                <w:lang w:val="es-ES_tradnl"/>
              </w:rPr>
            </w:pPr>
            <w:r w:rsidRPr="00D03701">
              <w:rPr>
                <w:rFonts w:ascii="Arial" w:hAnsi="Arial" w:cs="Arial"/>
                <w:color w:val="000000"/>
                <w:sz w:val="18"/>
                <w:szCs w:val="18"/>
                <w:lang w:val="es-ES_tradnl"/>
              </w:rPr>
              <w:t>91,726,017</w:t>
            </w:r>
          </w:p>
        </w:tc>
      </w:tr>
      <w:tr w:rsidR="007470FD" w:rsidRPr="00D03701" w14:paraId="08B389DD" w14:textId="77777777" w:rsidTr="00AA273C">
        <w:trPr>
          <w:gridAfter w:val="1"/>
          <w:wAfter w:w="7" w:type="dxa"/>
          <w:trHeight w:val="50"/>
        </w:trPr>
        <w:tc>
          <w:tcPr>
            <w:tcW w:w="2160" w:type="dxa"/>
            <w:tcBorders>
              <w:top w:val="nil"/>
              <w:left w:val="single" w:sz="4" w:space="0" w:color="auto"/>
              <w:bottom w:val="single" w:sz="4" w:space="0" w:color="auto"/>
              <w:right w:val="single" w:sz="4" w:space="0" w:color="auto"/>
            </w:tcBorders>
            <w:shd w:val="clear" w:color="000000" w:fill="A6A6A6"/>
            <w:vAlign w:val="bottom"/>
            <w:hideMark/>
          </w:tcPr>
          <w:p w14:paraId="0695772F" w14:textId="77777777" w:rsidR="007470FD" w:rsidRPr="00D03701" w:rsidRDefault="007470FD" w:rsidP="007470FD">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w:t>
            </w:r>
          </w:p>
        </w:tc>
        <w:tc>
          <w:tcPr>
            <w:tcW w:w="1195" w:type="dxa"/>
            <w:tcBorders>
              <w:top w:val="nil"/>
              <w:left w:val="nil"/>
              <w:bottom w:val="single" w:sz="4" w:space="0" w:color="auto"/>
              <w:right w:val="single" w:sz="4" w:space="0" w:color="auto"/>
            </w:tcBorders>
            <w:shd w:val="clear" w:color="000000" w:fill="BFBFBF"/>
            <w:vAlign w:val="bottom"/>
            <w:hideMark/>
          </w:tcPr>
          <w:p w14:paraId="2F0A02B1" w14:textId="77777777" w:rsidR="007470FD" w:rsidRPr="00D03701" w:rsidRDefault="007470FD" w:rsidP="007470FD">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10</w:t>
            </w:r>
          </w:p>
        </w:tc>
        <w:tc>
          <w:tcPr>
            <w:tcW w:w="1219" w:type="dxa"/>
            <w:tcBorders>
              <w:top w:val="nil"/>
              <w:left w:val="nil"/>
              <w:bottom w:val="single" w:sz="4" w:space="0" w:color="auto"/>
              <w:right w:val="single" w:sz="4" w:space="0" w:color="auto"/>
            </w:tcBorders>
            <w:shd w:val="clear" w:color="000000" w:fill="BFBFBF"/>
            <w:vAlign w:val="bottom"/>
            <w:hideMark/>
          </w:tcPr>
          <w:p w14:paraId="2E16181E" w14:textId="77777777" w:rsidR="007470FD" w:rsidRPr="00D03701" w:rsidRDefault="007470FD" w:rsidP="007470FD">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15</w:t>
            </w:r>
          </w:p>
        </w:tc>
        <w:tc>
          <w:tcPr>
            <w:tcW w:w="1318" w:type="dxa"/>
            <w:tcBorders>
              <w:top w:val="nil"/>
              <w:left w:val="nil"/>
              <w:bottom w:val="single" w:sz="4" w:space="0" w:color="auto"/>
              <w:right w:val="single" w:sz="4" w:space="0" w:color="auto"/>
            </w:tcBorders>
            <w:shd w:val="clear" w:color="000000" w:fill="BFBFBF"/>
            <w:vAlign w:val="bottom"/>
            <w:hideMark/>
          </w:tcPr>
          <w:p w14:paraId="20A80C3E" w14:textId="77777777" w:rsidR="007470FD" w:rsidRPr="00D03701" w:rsidRDefault="007470FD" w:rsidP="007470FD">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25</w:t>
            </w:r>
          </w:p>
        </w:tc>
        <w:tc>
          <w:tcPr>
            <w:tcW w:w="1318" w:type="dxa"/>
            <w:tcBorders>
              <w:top w:val="nil"/>
              <w:left w:val="nil"/>
              <w:bottom w:val="single" w:sz="4" w:space="0" w:color="auto"/>
              <w:right w:val="single" w:sz="4" w:space="0" w:color="auto"/>
            </w:tcBorders>
            <w:shd w:val="clear" w:color="000000" w:fill="BFBFBF"/>
            <w:vAlign w:val="bottom"/>
            <w:hideMark/>
          </w:tcPr>
          <w:p w14:paraId="69EA7C17" w14:textId="77777777" w:rsidR="007470FD" w:rsidRPr="00D03701" w:rsidRDefault="007470FD" w:rsidP="007470FD">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30</w:t>
            </w:r>
          </w:p>
        </w:tc>
        <w:tc>
          <w:tcPr>
            <w:tcW w:w="1318" w:type="dxa"/>
            <w:tcBorders>
              <w:top w:val="nil"/>
              <w:left w:val="nil"/>
              <w:bottom w:val="single" w:sz="4" w:space="0" w:color="auto"/>
              <w:right w:val="single" w:sz="4" w:space="0" w:color="auto"/>
            </w:tcBorders>
            <w:shd w:val="clear" w:color="000000" w:fill="BFBFBF"/>
            <w:vAlign w:val="bottom"/>
            <w:hideMark/>
          </w:tcPr>
          <w:p w14:paraId="63A768D4" w14:textId="77777777" w:rsidR="007470FD" w:rsidRPr="00D03701" w:rsidRDefault="007470FD" w:rsidP="007470FD">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20</w:t>
            </w:r>
          </w:p>
        </w:tc>
        <w:tc>
          <w:tcPr>
            <w:tcW w:w="1426" w:type="dxa"/>
            <w:tcBorders>
              <w:top w:val="nil"/>
              <w:left w:val="nil"/>
              <w:bottom w:val="single" w:sz="4" w:space="0" w:color="auto"/>
              <w:right w:val="single" w:sz="4" w:space="0" w:color="auto"/>
            </w:tcBorders>
            <w:shd w:val="clear" w:color="000000" w:fill="BFBFBF"/>
            <w:vAlign w:val="bottom"/>
          </w:tcPr>
          <w:p w14:paraId="286D6B21" w14:textId="77777777" w:rsidR="007470FD" w:rsidRPr="00D03701" w:rsidRDefault="007470FD" w:rsidP="007470FD">
            <w:pPr>
              <w:spacing w:after="0" w:line="240" w:lineRule="auto"/>
              <w:jc w:val="center"/>
              <w:rPr>
                <w:rFonts w:ascii="Arial" w:hAnsi="Arial" w:cs="Arial"/>
                <w:b/>
                <w:color w:val="000000"/>
                <w:sz w:val="18"/>
                <w:szCs w:val="18"/>
                <w:lang w:val="es-ES_tradnl"/>
              </w:rPr>
            </w:pPr>
            <w:r w:rsidRPr="00D03701">
              <w:rPr>
                <w:rFonts w:ascii="Arial" w:hAnsi="Arial" w:cs="Arial"/>
                <w:color w:val="000000"/>
                <w:sz w:val="18"/>
                <w:szCs w:val="18"/>
                <w:lang w:val="es-ES_tradnl"/>
              </w:rPr>
              <w:t>100</w:t>
            </w:r>
          </w:p>
        </w:tc>
      </w:tr>
      <w:tr w:rsidR="007F5067" w:rsidRPr="00BE7955" w14:paraId="5F2A316F" w14:textId="77777777" w:rsidTr="00AA273C">
        <w:trPr>
          <w:trHeight w:val="50"/>
        </w:trPr>
        <w:tc>
          <w:tcPr>
            <w:tcW w:w="9961"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6ABC9197" w14:textId="77777777" w:rsidR="007F5067" w:rsidRPr="00D03701" w:rsidRDefault="007F5067" w:rsidP="00D74597">
            <w:pPr>
              <w:spacing w:after="0" w:line="240" w:lineRule="auto"/>
              <w:rPr>
                <w:rFonts w:ascii="Arial" w:hAnsi="Arial" w:cs="Arial"/>
                <w:b/>
                <w:color w:val="000000"/>
                <w:sz w:val="18"/>
                <w:szCs w:val="18"/>
                <w:lang w:val="es-ES_tradnl"/>
              </w:rPr>
            </w:pPr>
            <w:r w:rsidRPr="00D03701">
              <w:rPr>
                <w:rFonts w:ascii="Arial" w:hAnsi="Arial" w:cs="Arial"/>
                <w:b/>
                <w:color w:val="000000"/>
                <w:sz w:val="18"/>
                <w:szCs w:val="18"/>
                <w:lang w:val="es-ES_tradnl"/>
              </w:rPr>
              <w:t>Fuente: PEP/POA del proyecto</w:t>
            </w:r>
          </w:p>
        </w:tc>
      </w:tr>
    </w:tbl>
    <w:p w14:paraId="70B75885" w14:textId="77777777" w:rsidR="003366F5" w:rsidRPr="00D03701" w:rsidRDefault="003366F5" w:rsidP="00D74597">
      <w:pPr>
        <w:pStyle w:val="Paragraph"/>
        <w:numPr>
          <w:ilvl w:val="0"/>
          <w:numId w:val="0"/>
        </w:numPr>
        <w:ind w:left="1296" w:hanging="1296"/>
        <w:outlineLvl w:val="9"/>
        <w:rPr>
          <w:rFonts w:ascii="Arial" w:hAnsi="Arial" w:cs="Arial"/>
          <w:sz w:val="22"/>
          <w:szCs w:val="22"/>
          <w:lang w:val="es-ES_tradnl"/>
        </w:rPr>
      </w:pPr>
    </w:p>
    <w:p w14:paraId="44CBE76B" w14:textId="77777777" w:rsidR="00F10D9A" w:rsidRPr="00D03701" w:rsidRDefault="007E781F" w:rsidP="00D74597">
      <w:pPr>
        <w:pStyle w:val="Paragraph"/>
        <w:keepNext/>
        <w:numPr>
          <w:ilvl w:val="2"/>
          <w:numId w:val="7"/>
        </w:numPr>
        <w:tabs>
          <w:tab w:val="clear" w:pos="2304"/>
        </w:tabs>
        <w:ind w:left="1181" w:hanging="547"/>
        <w:outlineLvl w:val="9"/>
        <w:rPr>
          <w:rFonts w:ascii="Arial" w:hAnsi="Arial" w:cs="Arial"/>
          <w:sz w:val="22"/>
          <w:szCs w:val="22"/>
          <w:lang w:val="es-ES_tradnl"/>
        </w:rPr>
      </w:pPr>
      <w:r w:rsidRPr="00D03701">
        <w:rPr>
          <w:rFonts w:ascii="Arial" w:hAnsi="Arial" w:cs="Arial"/>
          <w:sz w:val="22"/>
          <w:szCs w:val="22"/>
          <w:lang w:val="es-ES_tradnl"/>
        </w:rPr>
        <w:t>Costos económicos de mantenimiento:</w:t>
      </w:r>
    </w:p>
    <w:tbl>
      <w:tblPr>
        <w:tblW w:w="8040" w:type="dxa"/>
        <w:tblInd w:w="805" w:type="dxa"/>
        <w:tblLook w:val="04A0" w:firstRow="1" w:lastRow="0" w:firstColumn="1" w:lastColumn="0" w:noHBand="0" w:noVBand="1"/>
      </w:tblPr>
      <w:tblGrid>
        <w:gridCol w:w="2780"/>
        <w:gridCol w:w="1540"/>
        <w:gridCol w:w="1960"/>
        <w:gridCol w:w="1760"/>
      </w:tblGrid>
      <w:tr w:rsidR="00F10D9A" w:rsidRPr="00BE7955" w14:paraId="24A792DC" w14:textId="77777777" w:rsidTr="00927B67">
        <w:trPr>
          <w:trHeight w:val="50"/>
        </w:trPr>
        <w:tc>
          <w:tcPr>
            <w:tcW w:w="8040" w:type="dxa"/>
            <w:gridSpan w:val="4"/>
            <w:tcBorders>
              <w:top w:val="single" w:sz="4" w:space="0" w:color="auto"/>
              <w:left w:val="single" w:sz="4" w:space="0" w:color="auto"/>
              <w:bottom w:val="single" w:sz="4" w:space="0" w:color="auto"/>
              <w:right w:val="single" w:sz="4" w:space="0" w:color="000000"/>
            </w:tcBorders>
            <w:shd w:val="clear" w:color="000000" w:fill="C0C0C0"/>
            <w:vAlign w:val="bottom"/>
            <w:hideMark/>
          </w:tcPr>
          <w:p w14:paraId="5D79CC83" w14:textId="77777777" w:rsidR="00F10D9A" w:rsidRPr="00D03701" w:rsidRDefault="007E781F">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 xml:space="preserve">Cuadro </w:t>
            </w:r>
            <w:r w:rsidR="00AA273C" w:rsidRPr="00D03701">
              <w:rPr>
                <w:rFonts w:ascii="Arial" w:eastAsia="Times New Roman" w:hAnsi="Arial" w:cs="Arial"/>
                <w:b/>
                <w:bCs/>
                <w:color w:val="000000"/>
                <w:sz w:val="18"/>
                <w:szCs w:val="18"/>
                <w:lang w:val="es-ES_tradnl"/>
              </w:rPr>
              <w:t>5</w:t>
            </w:r>
            <w:r w:rsidRPr="00D03701">
              <w:rPr>
                <w:rFonts w:ascii="Arial" w:eastAsia="Times New Roman" w:hAnsi="Arial" w:cs="Arial"/>
                <w:b/>
                <w:bCs/>
                <w:color w:val="000000"/>
                <w:sz w:val="18"/>
                <w:szCs w:val="18"/>
                <w:lang w:val="es-ES_tradnl"/>
              </w:rPr>
              <w:t xml:space="preserve"> - Costos de mantenimiento (US$)</w:t>
            </w:r>
          </w:p>
        </w:tc>
      </w:tr>
      <w:tr w:rsidR="00F10D9A" w:rsidRPr="00D03701" w14:paraId="7A1DFC8B" w14:textId="77777777" w:rsidTr="00927B67">
        <w:trPr>
          <w:trHeight w:val="50"/>
        </w:trPr>
        <w:tc>
          <w:tcPr>
            <w:tcW w:w="2780" w:type="dxa"/>
            <w:tcBorders>
              <w:top w:val="nil"/>
              <w:left w:val="single" w:sz="4" w:space="0" w:color="auto"/>
              <w:bottom w:val="single" w:sz="4" w:space="0" w:color="auto"/>
              <w:right w:val="single" w:sz="4" w:space="0" w:color="auto"/>
            </w:tcBorders>
            <w:shd w:val="clear" w:color="000000" w:fill="C0C0C0"/>
            <w:vAlign w:val="bottom"/>
            <w:hideMark/>
          </w:tcPr>
          <w:p w14:paraId="4BB9D085" w14:textId="77777777" w:rsidR="00F10D9A" w:rsidRPr="00D03701" w:rsidRDefault="007E781F">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Activos</w:t>
            </w:r>
          </w:p>
        </w:tc>
        <w:tc>
          <w:tcPr>
            <w:tcW w:w="1540" w:type="dxa"/>
            <w:tcBorders>
              <w:top w:val="nil"/>
              <w:left w:val="nil"/>
              <w:bottom w:val="single" w:sz="4" w:space="0" w:color="auto"/>
              <w:right w:val="single" w:sz="4" w:space="0" w:color="auto"/>
            </w:tcBorders>
            <w:shd w:val="clear" w:color="000000" w:fill="C0C0C0"/>
            <w:vAlign w:val="bottom"/>
            <w:hideMark/>
          </w:tcPr>
          <w:p w14:paraId="32816CE9" w14:textId="77777777" w:rsidR="00F10D9A" w:rsidRPr="00D03701" w:rsidRDefault="007E781F">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Anos</w:t>
            </w:r>
          </w:p>
        </w:tc>
        <w:tc>
          <w:tcPr>
            <w:tcW w:w="1960" w:type="dxa"/>
            <w:tcBorders>
              <w:top w:val="nil"/>
              <w:left w:val="nil"/>
              <w:bottom w:val="single" w:sz="4" w:space="0" w:color="auto"/>
              <w:right w:val="single" w:sz="4" w:space="0" w:color="auto"/>
            </w:tcBorders>
            <w:shd w:val="clear" w:color="000000" w:fill="C0C0C0"/>
            <w:vAlign w:val="bottom"/>
            <w:hideMark/>
          </w:tcPr>
          <w:p w14:paraId="2A3C0462" w14:textId="77777777" w:rsidR="00F10D9A" w:rsidRPr="00D03701" w:rsidRDefault="007E781F">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Inv. Fin.</w:t>
            </w:r>
          </w:p>
        </w:tc>
        <w:tc>
          <w:tcPr>
            <w:tcW w:w="1760" w:type="dxa"/>
            <w:tcBorders>
              <w:top w:val="nil"/>
              <w:left w:val="nil"/>
              <w:bottom w:val="single" w:sz="4" w:space="0" w:color="auto"/>
              <w:right w:val="single" w:sz="4" w:space="0" w:color="auto"/>
            </w:tcBorders>
            <w:shd w:val="clear" w:color="000000" w:fill="C0C0C0"/>
            <w:vAlign w:val="bottom"/>
            <w:hideMark/>
          </w:tcPr>
          <w:p w14:paraId="5B80DFFE" w14:textId="77777777" w:rsidR="00F10D9A" w:rsidRPr="00D03701" w:rsidRDefault="007E781F">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Inv. Social</w:t>
            </w:r>
          </w:p>
        </w:tc>
      </w:tr>
      <w:tr w:rsidR="007164E4" w:rsidRPr="00D03701" w14:paraId="1C780579" w14:textId="77777777" w:rsidTr="00927B67">
        <w:trPr>
          <w:trHeight w:val="50"/>
        </w:trPr>
        <w:tc>
          <w:tcPr>
            <w:tcW w:w="2780" w:type="dxa"/>
            <w:tcBorders>
              <w:top w:val="nil"/>
              <w:left w:val="single" w:sz="4" w:space="0" w:color="auto"/>
              <w:bottom w:val="single" w:sz="4" w:space="0" w:color="auto"/>
              <w:right w:val="single" w:sz="4" w:space="0" w:color="auto"/>
            </w:tcBorders>
            <w:shd w:val="clear" w:color="auto" w:fill="auto"/>
            <w:vAlign w:val="bottom"/>
            <w:hideMark/>
          </w:tcPr>
          <w:p w14:paraId="6B6E6890" w14:textId="77777777" w:rsidR="007164E4" w:rsidRPr="00D03701" w:rsidRDefault="007164E4" w:rsidP="007164E4">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Servicios</w:t>
            </w:r>
          </w:p>
        </w:tc>
        <w:tc>
          <w:tcPr>
            <w:tcW w:w="1540" w:type="dxa"/>
            <w:tcBorders>
              <w:top w:val="nil"/>
              <w:left w:val="nil"/>
              <w:bottom w:val="single" w:sz="4" w:space="0" w:color="auto"/>
              <w:right w:val="single" w:sz="4" w:space="0" w:color="auto"/>
            </w:tcBorders>
            <w:shd w:val="clear" w:color="auto" w:fill="auto"/>
            <w:vAlign w:val="bottom"/>
            <w:hideMark/>
          </w:tcPr>
          <w:p w14:paraId="05AE5720" w14:textId="77777777" w:rsidR="007164E4" w:rsidRPr="00D03701" w:rsidRDefault="007164E4" w:rsidP="007164E4">
            <w:pPr>
              <w:spacing w:after="0" w:line="240" w:lineRule="auto"/>
              <w:jc w:val="center"/>
              <w:rPr>
                <w:rFonts w:ascii="Arial" w:hAnsi="Arial" w:cs="Arial"/>
                <w:color w:val="000000"/>
                <w:sz w:val="18"/>
                <w:szCs w:val="18"/>
                <w:lang w:val="es-ES_tradnl"/>
              </w:rPr>
            </w:pPr>
            <w:r w:rsidRPr="00D03701">
              <w:rPr>
                <w:rFonts w:ascii="Arial" w:hAnsi="Arial" w:cs="Arial"/>
                <w:color w:val="000000"/>
                <w:sz w:val="18"/>
                <w:szCs w:val="18"/>
                <w:lang w:val="es-ES_tradnl"/>
              </w:rPr>
              <w:t>5 años</w:t>
            </w:r>
          </w:p>
        </w:tc>
        <w:tc>
          <w:tcPr>
            <w:tcW w:w="1960" w:type="dxa"/>
            <w:tcBorders>
              <w:top w:val="nil"/>
              <w:left w:val="nil"/>
              <w:bottom w:val="single" w:sz="4" w:space="0" w:color="auto"/>
              <w:right w:val="single" w:sz="4" w:space="0" w:color="auto"/>
            </w:tcBorders>
            <w:shd w:val="clear" w:color="auto" w:fill="auto"/>
            <w:vAlign w:val="bottom"/>
            <w:hideMark/>
          </w:tcPr>
          <w:p w14:paraId="0C510F04" w14:textId="4CFE6C47"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5,393,137</w:t>
            </w:r>
          </w:p>
        </w:tc>
        <w:tc>
          <w:tcPr>
            <w:tcW w:w="1760" w:type="dxa"/>
            <w:tcBorders>
              <w:top w:val="nil"/>
              <w:left w:val="nil"/>
              <w:bottom w:val="single" w:sz="4" w:space="0" w:color="auto"/>
              <w:right w:val="single" w:sz="4" w:space="0" w:color="auto"/>
            </w:tcBorders>
            <w:shd w:val="clear" w:color="auto" w:fill="auto"/>
            <w:vAlign w:val="bottom"/>
            <w:hideMark/>
          </w:tcPr>
          <w:p w14:paraId="1CB9BC43" w14:textId="4C7270C2"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5,292,448</w:t>
            </w:r>
          </w:p>
        </w:tc>
      </w:tr>
      <w:tr w:rsidR="007164E4" w:rsidRPr="00D03701" w14:paraId="35955EEC" w14:textId="77777777" w:rsidTr="00927B67">
        <w:trPr>
          <w:trHeight w:val="50"/>
        </w:trPr>
        <w:tc>
          <w:tcPr>
            <w:tcW w:w="2780" w:type="dxa"/>
            <w:tcBorders>
              <w:top w:val="nil"/>
              <w:left w:val="single" w:sz="4" w:space="0" w:color="auto"/>
              <w:bottom w:val="single" w:sz="4" w:space="0" w:color="auto"/>
              <w:right w:val="single" w:sz="4" w:space="0" w:color="auto"/>
            </w:tcBorders>
            <w:shd w:val="clear" w:color="auto" w:fill="auto"/>
            <w:vAlign w:val="bottom"/>
            <w:hideMark/>
          </w:tcPr>
          <w:p w14:paraId="4376B019" w14:textId="77777777" w:rsidR="007164E4" w:rsidRPr="00D03701" w:rsidRDefault="007164E4" w:rsidP="007164E4">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Sistemas de Computador</w:t>
            </w:r>
          </w:p>
        </w:tc>
        <w:tc>
          <w:tcPr>
            <w:tcW w:w="1540" w:type="dxa"/>
            <w:tcBorders>
              <w:top w:val="nil"/>
              <w:left w:val="nil"/>
              <w:bottom w:val="single" w:sz="4" w:space="0" w:color="auto"/>
              <w:right w:val="single" w:sz="4" w:space="0" w:color="auto"/>
            </w:tcBorders>
            <w:shd w:val="clear" w:color="auto" w:fill="auto"/>
            <w:vAlign w:val="bottom"/>
            <w:hideMark/>
          </w:tcPr>
          <w:p w14:paraId="3B4E9150" w14:textId="77777777" w:rsidR="007164E4" w:rsidRPr="00D03701" w:rsidRDefault="007164E4" w:rsidP="007164E4">
            <w:pPr>
              <w:spacing w:after="0" w:line="240" w:lineRule="auto"/>
              <w:jc w:val="center"/>
              <w:rPr>
                <w:rFonts w:ascii="Arial" w:hAnsi="Arial" w:cs="Arial"/>
                <w:color w:val="000000"/>
                <w:sz w:val="18"/>
                <w:szCs w:val="18"/>
                <w:lang w:val="es-ES_tradnl"/>
              </w:rPr>
            </w:pPr>
            <w:r w:rsidRPr="00D03701">
              <w:rPr>
                <w:rFonts w:ascii="Arial" w:hAnsi="Arial" w:cs="Arial"/>
                <w:color w:val="000000"/>
                <w:sz w:val="18"/>
                <w:szCs w:val="18"/>
                <w:lang w:val="es-ES_tradnl"/>
              </w:rPr>
              <w:t>10 años</w:t>
            </w:r>
          </w:p>
        </w:tc>
        <w:tc>
          <w:tcPr>
            <w:tcW w:w="1960" w:type="dxa"/>
            <w:tcBorders>
              <w:top w:val="nil"/>
              <w:left w:val="nil"/>
              <w:bottom w:val="single" w:sz="4" w:space="0" w:color="auto"/>
              <w:right w:val="single" w:sz="4" w:space="0" w:color="auto"/>
            </w:tcBorders>
            <w:shd w:val="clear" w:color="auto" w:fill="auto"/>
            <w:vAlign w:val="bottom"/>
            <w:hideMark/>
          </w:tcPr>
          <w:p w14:paraId="502988EC" w14:textId="430596B2"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20,296,470</w:t>
            </w:r>
          </w:p>
        </w:tc>
        <w:tc>
          <w:tcPr>
            <w:tcW w:w="1760" w:type="dxa"/>
            <w:tcBorders>
              <w:top w:val="nil"/>
              <w:left w:val="nil"/>
              <w:bottom w:val="single" w:sz="4" w:space="0" w:color="auto"/>
              <w:right w:val="single" w:sz="4" w:space="0" w:color="auto"/>
            </w:tcBorders>
            <w:shd w:val="clear" w:color="auto" w:fill="auto"/>
            <w:vAlign w:val="bottom"/>
            <w:hideMark/>
          </w:tcPr>
          <w:p w14:paraId="64769DEC" w14:textId="7F163F51"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19,147,613</w:t>
            </w:r>
          </w:p>
        </w:tc>
      </w:tr>
      <w:tr w:rsidR="007164E4" w:rsidRPr="00D03701" w14:paraId="54A68A34" w14:textId="77777777" w:rsidTr="00927B67">
        <w:trPr>
          <w:trHeight w:val="50"/>
        </w:trPr>
        <w:tc>
          <w:tcPr>
            <w:tcW w:w="2780" w:type="dxa"/>
            <w:tcBorders>
              <w:top w:val="nil"/>
              <w:left w:val="single" w:sz="4" w:space="0" w:color="auto"/>
              <w:bottom w:val="single" w:sz="4" w:space="0" w:color="auto"/>
              <w:right w:val="single" w:sz="4" w:space="0" w:color="auto"/>
            </w:tcBorders>
            <w:shd w:val="clear" w:color="auto" w:fill="auto"/>
            <w:vAlign w:val="bottom"/>
            <w:hideMark/>
          </w:tcPr>
          <w:p w14:paraId="3E6744B3" w14:textId="77777777" w:rsidR="007164E4" w:rsidRPr="00D03701" w:rsidRDefault="007164E4" w:rsidP="007164E4">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Equipos Informáticos</w:t>
            </w:r>
          </w:p>
        </w:tc>
        <w:tc>
          <w:tcPr>
            <w:tcW w:w="1540" w:type="dxa"/>
            <w:tcBorders>
              <w:top w:val="nil"/>
              <w:left w:val="nil"/>
              <w:bottom w:val="single" w:sz="4" w:space="0" w:color="auto"/>
              <w:right w:val="single" w:sz="4" w:space="0" w:color="auto"/>
            </w:tcBorders>
            <w:shd w:val="clear" w:color="auto" w:fill="auto"/>
            <w:vAlign w:val="bottom"/>
            <w:hideMark/>
          </w:tcPr>
          <w:p w14:paraId="1AC34D03" w14:textId="77777777" w:rsidR="007164E4" w:rsidRPr="00D03701" w:rsidRDefault="007164E4" w:rsidP="007164E4">
            <w:pPr>
              <w:spacing w:after="0" w:line="240" w:lineRule="auto"/>
              <w:jc w:val="center"/>
              <w:rPr>
                <w:rFonts w:ascii="Arial" w:hAnsi="Arial" w:cs="Arial"/>
                <w:color w:val="000000"/>
                <w:sz w:val="18"/>
                <w:szCs w:val="18"/>
                <w:lang w:val="es-ES_tradnl"/>
              </w:rPr>
            </w:pPr>
            <w:r w:rsidRPr="00D03701">
              <w:rPr>
                <w:rFonts w:ascii="Arial" w:hAnsi="Arial" w:cs="Arial"/>
                <w:color w:val="000000"/>
                <w:sz w:val="18"/>
                <w:szCs w:val="18"/>
                <w:lang w:val="es-ES_tradnl"/>
              </w:rPr>
              <w:t>10 años</w:t>
            </w:r>
          </w:p>
        </w:tc>
        <w:tc>
          <w:tcPr>
            <w:tcW w:w="1960" w:type="dxa"/>
            <w:tcBorders>
              <w:top w:val="nil"/>
              <w:left w:val="nil"/>
              <w:bottom w:val="single" w:sz="4" w:space="0" w:color="auto"/>
              <w:right w:val="single" w:sz="4" w:space="0" w:color="auto"/>
            </w:tcBorders>
            <w:shd w:val="clear" w:color="auto" w:fill="auto"/>
            <w:vAlign w:val="bottom"/>
            <w:hideMark/>
          </w:tcPr>
          <w:p w14:paraId="516E3897" w14:textId="643C829E"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32,000,429</w:t>
            </w:r>
          </w:p>
        </w:tc>
        <w:tc>
          <w:tcPr>
            <w:tcW w:w="1760" w:type="dxa"/>
            <w:tcBorders>
              <w:top w:val="nil"/>
              <w:left w:val="nil"/>
              <w:bottom w:val="single" w:sz="4" w:space="0" w:color="auto"/>
              <w:right w:val="single" w:sz="4" w:space="0" w:color="auto"/>
            </w:tcBorders>
            <w:shd w:val="clear" w:color="auto" w:fill="auto"/>
            <w:vAlign w:val="bottom"/>
            <w:hideMark/>
          </w:tcPr>
          <w:p w14:paraId="0C7DE428" w14:textId="410C30E4" w:rsidR="007164E4" w:rsidRPr="00D03701" w:rsidRDefault="007164E4" w:rsidP="007164E4">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30,189,084</w:t>
            </w:r>
          </w:p>
        </w:tc>
      </w:tr>
      <w:tr w:rsidR="004E2DF2" w:rsidRPr="00BE7955" w14:paraId="62686852" w14:textId="77777777" w:rsidTr="00927B67">
        <w:trPr>
          <w:trHeight w:val="50"/>
        </w:trPr>
        <w:tc>
          <w:tcPr>
            <w:tcW w:w="80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410C529" w14:textId="77777777" w:rsidR="004E2DF2" w:rsidRPr="00D03701" w:rsidRDefault="004E2DF2" w:rsidP="00D74597">
            <w:pPr>
              <w:spacing w:after="0" w:line="240" w:lineRule="auto"/>
              <w:rPr>
                <w:rFonts w:ascii="Arial" w:hAnsi="Arial" w:cs="Arial"/>
                <w:b/>
                <w:color w:val="000000"/>
                <w:sz w:val="18"/>
                <w:szCs w:val="18"/>
                <w:lang w:val="es-ES_tradnl"/>
              </w:rPr>
            </w:pPr>
            <w:r w:rsidRPr="00D03701">
              <w:rPr>
                <w:rFonts w:ascii="Arial" w:hAnsi="Arial" w:cs="Arial"/>
                <w:b/>
                <w:color w:val="000000"/>
                <w:sz w:val="18"/>
                <w:szCs w:val="18"/>
                <w:lang w:val="es-ES_tradnl"/>
              </w:rPr>
              <w:t>Fuente: Estimación propia, de acuerdo con las mejores prácticas</w:t>
            </w:r>
          </w:p>
        </w:tc>
      </w:tr>
    </w:tbl>
    <w:p w14:paraId="5A76F4FE" w14:textId="77777777" w:rsidR="00F10D9A" w:rsidRPr="00D03701" w:rsidRDefault="007E781F" w:rsidP="001137D4">
      <w:pPr>
        <w:pStyle w:val="Chapter"/>
        <w:numPr>
          <w:ilvl w:val="0"/>
          <w:numId w:val="38"/>
        </w:numPr>
        <w:ind w:left="900" w:hanging="792"/>
        <w:jc w:val="left"/>
        <w:outlineLvl w:val="0"/>
        <w:rPr>
          <w:rFonts w:ascii="Arial" w:hAnsi="Arial" w:cs="Arial"/>
          <w:sz w:val="22"/>
          <w:szCs w:val="22"/>
          <w:lang w:val="es-ES_tradnl"/>
        </w:rPr>
      </w:pPr>
      <w:bookmarkStart w:id="15" w:name="_Toc522741999"/>
      <w:r w:rsidRPr="00D03701">
        <w:rPr>
          <w:rFonts w:ascii="Arial" w:hAnsi="Arial" w:cs="Arial"/>
          <w:sz w:val="22"/>
          <w:szCs w:val="22"/>
          <w:lang w:val="es-ES_tradnl"/>
        </w:rPr>
        <w:t>Estimación del Beneficio Económico en Valor Presente</w:t>
      </w:r>
      <w:bookmarkEnd w:id="15"/>
    </w:p>
    <w:p w14:paraId="20A1A0FF" w14:textId="2A25E806" w:rsidR="004F5C13" w:rsidRPr="00D03701" w:rsidRDefault="007E781F" w:rsidP="001137D4">
      <w:pPr>
        <w:pStyle w:val="Paragraph"/>
        <w:numPr>
          <w:ilvl w:val="1"/>
          <w:numId w:val="38"/>
        </w:numPr>
        <w:ind w:left="720" w:hanging="720"/>
        <w:outlineLvl w:val="9"/>
        <w:rPr>
          <w:rFonts w:ascii="Arial" w:hAnsi="Arial" w:cs="Arial"/>
          <w:sz w:val="22"/>
          <w:szCs w:val="22"/>
          <w:lang w:val="es-ES_tradnl"/>
        </w:rPr>
      </w:pPr>
      <w:r w:rsidRPr="00D03701">
        <w:rPr>
          <w:rFonts w:ascii="Arial" w:hAnsi="Arial" w:cs="Arial"/>
          <w:sz w:val="22"/>
          <w:szCs w:val="22"/>
          <w:lang w:val="es-ES_tradnl"/>
        </w:rPr>
        <w:t xml:space="preserve">De acuerdo con el Cuadro </w:t>
      </w:r>
      <w:r w:rsidR="00AA273C" w:rsidRPr="00D03701">
        <w:rPr>
          <w:rFonts w:ascii="Arial" w:hAnsi="Arial" w:cs="Arial"/>
          <w:sz w:val="22"/>
          <w:szCs w:val="22"/>
          <w:lang w:val="es-ES_tradnl"/>
        </w:rPr>
        <w:t>6</w:t>
      </w:r>
      <w:r w:rsidRPr="00D03701">
        <w:rPr>
          <w:rFonts w:ascii="Arial" w:hAnsi="Arial" w:cs="Arial"/>
          <w:sz w:val="22"/>
          <w:szCs w:val="22"/>
          <w:lang w:val="es-ES_tradnl"/>
        </w:rPr>
        <w:t>, al final del año 2028 (10 años desde el inicio de la ejecución de las actividades del Programa) las inversiones del Programa estarán generando un VPN</w:t>
      </w:r>
      <w:r w:rsidR="006C3A51" w:rsidRPr="00D03701">
        <w:rPr>
          <w:rStyle w:val="FootnoteReference"/>
          <w:rFonts w:ascii="Arial" w:hAnsi="Arial" w:cs="Arial"/>
          <w:sz w:val="22"/>
          <w:szCs w:val="22"/>
          <w:lang w:val="es-ES_tradnl"/>
        </w:rPr>
        <w:footnoteReference w:id="29"/>
      </w:r>
      <w:r w:rsidRPr="00D03701">
        <w:rPr>
          <w:rFonts w:ascii="Arial" w:hAnsi="Arial" w:cs="Arial"/>
          <w:sz w:val="22"/>
          <w:szCs w:val="22"/>
          <w:lang w:val="es-ES_tradnl"/>
        </w:rPr>
        <w:t xml:space="preserve"> de US$</w:t>
      </w:r>
      <w:r w:rsidR="007164E4" w:rsidRPr="00D03701">
        <w:rPr>
          <w:rFonts w:ascii="Arial" w:hAnsi="Arial" w:cs="Arial"/>
          <w:sz w:val="22"/>
          <w:szCs w:val="22"/>
          <w:lang w:val="es-ES_tradnl"/>
        </w:rPr>
        <w:t>54,9</w:t>
      </w:r>
      <w:r w:rsidRPr="00D03701">
        <w:rPr>
          <w:rFonts w:ascii="Arial" w:hAnsi="Arial" w:cs="Arial"/>
          <w:sz w:val="22"/>
          <w:szCs w:val="22"/>
          <w:lang w:val="es-ES_tradnl"/>
        </w:rPr>
        <w:t xml:space="preserve"> millones con una Tasa Interna de Retorno del </w:t>
      </w:r>
      <w:r w:rsidR="00322343" w:rsidRPr="00D03701">
        <w:rPr>
          <w:rFonts w:ascii="Arial" w:hAnsi="Arial" w:cs="Arial"/>
          <w:sz w:val="22"/>
          <w:szCs w:val="22"/>
          <w:lang w:val="es-ES_tradnl"/>
        </w:rPr>
        <w:t>3</w:t>
      </w:r>
      <w:r w:rsidR="007164E4" w:rsidRPr="00D03701">
        <w:rPr>
          <w:rFonts w:ascii="Arial" w:hAnsi="Arial" w:cs="Arial"/>
          <w:sz w:val="22"/>
          <w:szCs w:val="22"/>
          <w:lang w:val="es-ES_tradnl"/>
        </w:rPr>
        <w:t>1</w:t>
      </w:r>
      <w:r w:rsidR="00C57F18" w:rsidRPr="00D03701">
        <w:rPr>
          <w:rFonts w:ascii="Arial" w:hAnsi="Arial" w:cs="Arial"/>
          <w:sz w:val="22"/>
          <w:szCs w:val="22"/>
          <w:lang w:val="es-ES_tradnl"/>
        </w:rPr>
        <w:t>%</w:t>
      </w:r>
      <w:r w:rsidRPr="00D03701">
        <w:rPr>
          <w:rFonts w:ascii="Arial" w:hAnsi="Arial" w:cs="Arial"/>
          <w:sz w:val="22"/>
          <w:szCs w:val="22"/>
          <w:lang w:val="es-ES_tradnl"/>
        </w:rPr>
        <w:t xml:space="preserve">. </w:t>
      </w:r>
    </w:p>
    <w:p w14:paraId="73AA1F9D" w14:textId="45A55BBD" w:rsidR="00F10D9A" w:rsidRPr="00D03701" w:rsidRDefault="007E781F" w:rsidP="002E36C3">
      <w:pPr>
        <w:pStyle w:val="Paragraph"/>
        <w:numPr>
          <w:ilvl w:val="0"/>
          <w:numId w:val="0"/>
        </w:numPr>
        <w:ind w:left="990" w:right="-788" w:hanging="1836"/>
        <w:outlineLvl w:val="9"/>
        <w:rPr>
          <w:rFonts w:ascii="Arial" w:hAnsi="Arial" w:cs="Arial"/>
          <w:sz w:val="22"/>
          <w:szCs w:val="22"/>
          <w:lang w:val="es-ES_tradnl"/>
        </w:rPr>
      </w:pPr>
      <w:r w:rsidRPr="00D03701">
        <w:rPr>
          <w:rFonts w:ascii="Arial" w:hAnsi="Arial" w:cs="Arial"/>
          <w:sz w:val="22"/>
          <w:szCs w:val="22"/>
          <w:lang w:val="es-ES_tradnl"/>
        </w:rPr>
        <w:t xml:space="preserve">  </w:t>
      </w:r>
      <w:r w:rsidR="007164E4" w:rsidRPr="00D03701">
        <w:rPr>
          <w:noProof/>
          <w:lang w:val="es-ES_tradnl"/>
        </w:rPr>
        <w:drawing>
          <wp:inline distT="0" distB="0" distL="0" distR="0" wp14:anchorId="6A9C1702" wp14:editId="19A8A3AD">
            <wp:extent cx="6685915" cy="3343046"/>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01410" cy="3350794"/>
                    </a:xfrm>
                    <a:prstGeom prst="rect">
                      <a:avLst/>
                    </a:prstGeom>
                    <a:noFill/>
                    <a:ln>
                      <a:noFill/>
                    </a:ln>
                  </pic:spPr>
                </pic:pic>
              </a:graphicData>
            </a:graphic>
          </wp:inline>
        </w:drawing>
      </w:r>
    </w:p>
    <w:p w14:paraId="608BC717" w14:textId="77777777" w:rsidR="00D101E0" w:rsidRPr="00D03701" w:rsidRDefault="00D101E0" w:rsidP="00927B67">
      <w:pPr>
        <w:pStyle w:val="Paragraph"/>
        <w:numPr>
          <w:ilvl w:val="0"/>
          <w:numId w:val="0"/>
        </w:numPr>
        <w:ind w:left="990" w:right="-788" w:hanging="990"/>
        <w:outlineLvl w:val="9"/>
        <w:rPr>
          <w:rFonts w:ascii="Arial" w:hAnsi="Arial" w:cs="Arial"/>
          <w:sz w:val="22"/>
          <w:szCs w:val="22"/>
          <w:lang w:val="es-ES_tradnl"/>
        </w:rPr>
      </w:pPr>
    </w:p>
    <w:p w14:paraId="6D619D56" w14:textId="77777777" w:rsidR="00F10D9A" w:rsidRPr="00D03701" w:rsidRDefault="007E781F" w:rsidP="001137D4">
      <w:pPr>
        <w:pStyle w:val="Chapter"/>
        <w:numPr>
          <w:ilvl w:val="0"/>
          <w:numId w:val="38"/>
        </w:numPr>
        <w:ind w:left="900" w:hanging="792"/>
        <w:jc w:val="left"/>
        <w:outlineLvl w:val="0"/>
        <w:rPr>
          <w:rFonts w:ascii="Arial" w:hAnsi="Arial" w:cs="Arial"/>
          <w:sz w:val="22"/>
          <w:szCs w:val="22"/>
          <w:lang w:val="es-ES_tradnl"/>
        </w:rPr>
      </w:pPr>
      <w:bookmarkStart w:id="16" w:name="_Toc506126054"/>
      <w:bookmarkStart w:id="17" w:name="_Toc506126083"/>
      <w:bookmarkStart w:id="18" w:name="_Toc506126107"/>
      <w:bookmarkStart w:id="19" w:name="_Toc506126055"/>
      <w:bookmarkStart w:id="20" w:name="_Toc506126084"/>
      <w:bookmarkStart w:id="21" w:name="_Toc506126108"/>
      <w:bookmarkStart w:id="22" w:name="_Toc522742000"/>
      <w:bookmarkEnd w:id="16"/>
      <w:bookmarkEnd w:id="17"/>
      <w:bookmarkEnd w:id="18"/>
      <w:bookmarkEnd w:id="19"/>
      <w:bookmarkEnd w:id="20"/>
      <w:bookmarkEnd w:id="21"/>
      <w:r w:rsidRPr="00D03701">
        <w:rPr>
          <w:rFonts w:ascii="Arial" w:hAnsi="Arial" w:cs="Arial"/>
          <w:sz w:val="22"/>
          <w:szCs w:val="22"/>
          <w:lang w:val="es-ES_tradnl"/>
        </w:rPr>
        <w:t>Análisis de Sensibilidad</w:t>
      </w:r>
      <w:bookmarkEnd w:id="22"/>
    </w:p>
    <w:p w14:paraId="54DDE03B" w14:textId="38943E12" w:rsidR="00B544A9" w:rsidRPr="00D03701" w:rsidRDefault="00B544A9" w:rsidP="001137D4">
      <w:pPr>
        <w:pStyle w:val="Paragraph"/>
        <w:numPr>
          <w:ilvl w:val="1"/>
          <w:numId w:val="38"/>
        </w:numPr>
        <w:ind w:left="720" w:hanging="720"/>
        <w:outlineLvl w:val="9"/>
        <w:rPr>
          <w:rFonts w:ascii="Arial" w:hAnsi="Arial" w:cs="Arial"/>
          <w:sz w:val="22"/>
          <w:szCs w:val="22"/>
          <w:lang w:val="es-ES_tradnl"/>
        </w:rPr>
      </w:pPr>
      <w:r w:rsidRPr="00D03701">
        <w:rPr>
          <w:rFonts w:ascii="Arial" w:hAnsi="Arial" w:cs="Arial"/>
          <w:sz w:val="22"/>
          <w:szCs w:val="22"/>
          <w:lang w:val="es-ES_tradnl"/>
        </w:rPr>
        <w:t xml:space="preserve">Considerando que la Matriz de Riesgo </w:t>
      </w:r>
      <w:r w:rsidR="00462765" w:rsidRPr="00D03701">
        <w:rPr>
          <w:rFonts w:ascii="Arial" w:hAnsi="Arial" w:cs="Arial"/>
          <w:sz w:val="22"/>
          <w:szCs w:val="22"/>
          <w:lang w:val="es-ES_tradnl"/>
        </w:rPr>
        <w:t xml:space="preserve">del proyecto </w:t>
      </w:r>
      <w:r w:rsidRPr="00D03701">
        <w:rPr>
          <w:rFonts w:ascii="Arial" w:hAnsi="Arial" w:cs="Arial"/>
          <w:sz w:val="22"/>
          <w:szCs w:val="22"/>
          <w:lang w:val="es-ES_tradnl"/>
        </w:rPr>
        <w:t>identificó que existe un riesgo</w:t>
      </w:r>
      <w:r w:rsidR="008247F6" w:rsidRPr="00D03701">
        <w:rPr>
          <w:rFonts w:ascii="Arial" w:hAnsi="Arial" w:cs="Arial"/>
          <w:sz w:val="22"/>
          <w:szCs w:val="22"/>
          <w:lang w:val="es-ES_tradnl"/>
        </w:rPr>
        <w:t xml:space="preserve"> medio</w:t>
      </w:r>
      <w:r w:rsidRPr="00D03701">
        <w:rPr>
          <w:rFonts w:ascii="Arial" w:hAnsi="Arial" w:cs="Arial"/>
          <w:sz w:val="22"/>
          <w:szCs w:val="22"/>
          <w:lang w:val="es-ES_tradnl"/>
        </w:rPr>
        <w:t xml:space="preserve">, en la categoría de desarrollo, </w:t>
      </w:r>
      <w:r w:rsidR="00DA565E" w:rsidRPr="00D03701">
        <w:rPr>
          <w:rFonts w:ascii="Arial" w:hAnsi="Arial" w:cs="Arial"/>
          <w:sz w:val="22"/>
          <w:szCs w:val="22"/>
          <w:lang w:val="es-ES_tradnl"/>
        </w:rPr>
        <w:t xml:space="preserve">de </w:t>
      </w:r>
      <w:r w:rsidRPr="00D03701">
        <w:rPr>
          <w:rFonts w:ascii="Arial" w:hAnsi="Arial" w:cs="Arial"/>
          <w:sz w:val="22"/>
          <w:szCs w:val="22"/>
          <w:lang w:val="es-ES_tradnl"/>
        </w:rPr>
        <w:t xml:space="preserve">que ocurran retrasos en la ejecución del </w:t>
      </w:r>
      <w:r w:rsidRPr="00D03701">
        <w:rPr>
          <w:rFonts w:ascii="Arial" w:hAnsi="Arial" w:cs="Arial"/>
          <w:sz w:val="22"/>
          <w:szCs w:val="22"/>
          <w:lang w:val="es-ES_tradnl"/>
        </w:rPr>
        <w:lastRenderedPageBreak/>
        <w:t xml:space="preserve">proyecto debido a que </w:t>
      </w:r>
      <w:r w:rsidR="008247F6" w:rsidRPr="00D03701">
        <w:rPr>
          <w:rFonts w:ascii="Arial" w:hAnsi="Arial" w:cs="Arial"/>
          <w:sz w:val="22"/>
          <w:szCs w:val="22"/>
          <w:lang w:val="es-ES_tradnl"/>
        </w:rPr>
        <w:t xml:space="preserve">SUNAT </w:t>
      </w:r>
      <w:r w:rsidRPr="00D03701">
        <w:rPr>
          <w:rFonts w:ascii="Arial" w:hAnsi="Arial" w:cs="Arial"/>
          <w:sz w:val="22"/>
          <w:szCs w:val="22"/>
          <w:lang w:val="es-ES_tradnl"/>
        </w:rPr>
        <w:t xml:space="preserve">no cuente con </w:t>
      </w:r>
      <w:r w:rsidR="008247F6" w:rsidRPr="00D03701">
        <w:rPr>
          <w:rFonts w:ascii="Arial" w:hAnsi="Arial" w:cs="Arial"/>
          <w:sz w:val="22"/>
          <w:szCs w:val="22"/>
          <w:lang w:val="es-ES_tradnl"/>
        </w:rPr>
        <w:t>la capacidad</w:t>
      </w:r>
      <w:r w:rsidRPr="00D03701">
        <w:rPr>
          <w:rFonts w:ascii="Arial" w:hAnsi="Arial" w:cs="Arial"/>
          <w:sz w:val="22"/>
          <w:szCs w:val="22"/>
          <w:lang w:val="es-ES_tradnl"/>
        </w:rPr>
        <w:t xml:space="preserve"> suficiente para</w:t>
      </w:r>
      <w:r w:rsidR="008247F6" w:rsidRPr="00D03701">
        <w:rPr>
          <w:rFonts w:ascii="Arial" w:hAnsi="Arial" w:cs="Arial"/>
          <w:sz w:val="22"/>
          <w:szCs w:val="22"/>
          <w:lang w:val="es-ES_tradnl"/>
        </w:rPr>
        <w:t xml:space="preserve"> especificar e implementar los productos de innovación tecnológica</w:t>
      </w:r>
      <w:r w:rsidRPr="00D03701">
        <w:rPr>
          <w:rFonts w:ascii="Arial" w:hAnsi="Arial" w:cs="Arial"/>
          <w:sz w:val="22"/>
          <w:szCs w:val="22"/>
          <w:lang w:val="es-ES_tradnl"/>
        </w:rPr>
        <w:t xml:space="preserve">, el equipo de proyecto estimó cual </w:t>
      </w:r>
      <w:r w:rsidR="00DA565E" w:rsidRPr="00D03701">
        <w:rPr>
          <w:rFonts w:ascii="Arial" w:hAnsi="Arial" w:cs="Arial"/>
          <w:sz w:val="22"/>
          <w:szCs w:val="22"/>
          <w:lang w:val="es-ES_tradnl"/>
        </w:rPr>
        <w:t>sería</w:t>
      </w:r>
      <w:r w:rsidRPr="00D03701">
        <w:rPr>
          <w:rFonts w:ascii="Arial" w:hAnsi="Arial" w:cs="Arial"/>
          <w:sz w:val="22"/>
          <w:szCs w:val="22"/>
          <w:lang w:val="es-ES_tradnl"/>
        </w:rPr>
        <w:t xml:space="preserve"> </w:t>
      </w:r>
      <w:r w:rsidR="00DA565E" w:rsidRPr="00D03701">
        <w:rPr>
          <w:rFonts w:ascii="Arial" w:hAnsi="Arial" w:cs="Arial"/>
          <w:sz w:val="22"/>
          <w:szCs w:val="22"/>
          <w:lang w:val="es-ES_tradnl"/>
        </w:rPr>
        <w:t xml:space="preserve">el retraso máximo </w:t>
      </w:r>
      <w:r w:rsidR="00462765" w:rsidRPr="00D03701">
        <w:rPr>
          <w:rFonts w:ascii="Arial" w:hAnsi="Arial" w:cs="Arial"/>
          <w:sz w:val="22"/>
          <w:szCs w:val="22"/>
          <w:lang w:val="es-ES_tradnl"/>
        </w:rPr>
        <w:t xml:space="preserve">que podría ocurrir </w:t>
      </w:r>
      <w:r w:rsidRPr="00D03701">
        <w:rPr>
          <w:rFonts w:ascii="Arial" w:hAnsi="Arial" w:cs="Arial"/>
          <w:sz w:val="22"/>
          <w:szCs w:val="22"/>
          <w:lang w:val="es-ES_tradnl"/>
        </w:rPr>
        <w:t xml:space="preserve">para que el proyecto </w:t>
      </w:r>
      <w:r w:rsidR="00DA565E" w:rsidRPr="00D03701">
        <w:rPr>
          <w:rFonts w:ascii="Arial" w:hAnsi="Arial" w:cs="Arial"/>
          <w:sz w:val="22"/>
          <w:szCs w:val="22"/>
          <w:lang w:val="es-ES_tradnl"/>
        </w:rPr>
        <w:t>siguiera presentando una TIR alrededor de 1</w:t>
      </w:r>
      <w:r w:rsidR="007164E4" w:rsidRPr="00D03701">
        <w:rPr>
          <w:rFonts w:ascii="Arial" w:hAnsi="Arial" w:cs="Arial"/>
          <w:sz w:val="22"/>
          <w:szCs w:val="22"/>
          <w:lang w:val="es-ES_tradnl"/>
        </w:rPr>
        <w:t>8</w:t>
      </w:r>
      <w:r w:rsidR="00DA565E" w:rsidRPr="00D03701">
        <w:rPr>
          <w:rFonts w:ascii="Arial" w:hAnsi="Arial" w:cs="Arial"/>
          <w:sz w:val="22"/>
          <w:szCs w:val="22"/>
          <w:lang w:val="es-ES_tradnl"/>
        </w:rPr>
        <w:t xml:space="preserve">%, compatible con la tasa de descuento utilizada.  </w:t>
      </w:r>
      <w:r w:rsidRPr="00D03701">
        <w:rPr>
          <w:rFonts w:ascii="Arial" w:hAnsi="Arial" w:cs="Arial"/>
          <w:sz w:val="22"/>
          <w:szCs w:val="22"/>
          <w:lang w:val="es-ES_tradnl"/>
        </w:rPr>
        <w:t xml:space="preserve"> </w:t>
      </w:r>
    </w:p>
    <w:p w14:paraId="5EF0182A" w14:textId="5FBADDBD" w:rsidR="00F10D9A" w:rsidRPr="00D03701" w:rsidRDefault="00663924" w:rsidP="001137D4">
      <w:pPr>
        <w:pStyle w:val="Paragraph"/>
        <w:numPr>
          <w:ilvl w:val="1"/>
          <w:numId w:val="38"/>
        </w:numPr>
        <w:ind w:left="720" w:hanging="720"/>
        <w:outlineLvl w:val="9"/>
        <w:rPr>
          <w:rFonts w:ascii="Arial" w:hAnsi="Arial" w:cs="Arial"/>
          <w:sz w:val="22"/>
          <w:szCs w:val="22"/>
          <w:lang w:val="es-ES_tradnl"/>
        </w:rPr>
      </w:pPr>
      <w:r w:rsidRPr="00D03701">
        <w:rPr>
          <w:rFonts w:ascii="Arial" w:hAnsi="Arial" w:cs="Arial"/>
          <w:sz w:val="22"/>
          <w:szCs w:val="22"/>
          <w:lang w:val="es-ES_tradnl"/>
        </w:rPr>
        <w:t xml:space="preserve">De acuerdo con los Cuadros </w:t>
      </w:r>
      <w:r w:rsidR="00910BE0" w:rsidRPr="00D03701">
        <w:rPr>
          <w:rFonts w:ascii="Arial" w:hAnsi="Arial" w:cs="Arial"/>
          <w:sz w:val="22"/>
          <w:szCs w:val="22"/>
          <w:lang w:val="es-ES_tradnl"/>
        </w:rPr>
        <w:t xml:space="preserve">7, </w:t>
      </w:r>
      <w:r w:rsidRPr="00D03701">
        <w:rPr>
          <w:rFonts w:ascii="Arial" w:hAnsi="Arial" w:cs="Arial"/>
          <w:sz w:val="22"/>
          <w:szCs w:val="22"/>
          <w:lang w:val="es-ES_tradnl"/>
        </w:rPr>
        <w:t>8</w:t>
      </w:r>
      <w:r w:rsidR="00FD0059" w:rsidRPr="00D03701">
        <w:rPr>
          <w:rFonts w:ascii="Arial" w:hAnsi="Arial" w:cs="Arial"/>
          <w:sz w:val="22"/>
          <w:szCs w:val="22"/>
          <w:lang w:val="es-ES_tradnl"/>
        </w:rPr>
        <w:t>,</w:t>
      </w:r>
      <w:r w:rsidR="00A21474" w:rsidRPr="00D03701">
        <w:rPr>
          <w:rFonts w:ascii="Arial" w:hAnsi="Arial" w:cs="Arial"/>
          <w:sz w:val="22"/>
          <w:szCs w:val="22"/>
          <w:lang w:val="es-ES_tradnl"/>
        </w:rPr>
        <w:t xml:space="preserve"> 9</w:t>
      </w:r>
      <w:r w:rsidR="00FD0059" w:rsidRPr="00D03701">
        <w:rPr>
          <w:rFonts w:ascii="Arial" w:hAnsi="Arial" w:cs="Arial"/>
          <w:sz w:val="22"/>
          <w:szCs w:val="22"/>
          <w:lang w:val="es-ES_tradnl"/>
        </w:rPr>
        <w:t xml:space="preserve"> y 10</w:t>
      </w:r>
      <w:r w:rsidR="00A21474" w:rsidRPr="00D03701">
        <w:rPr>
          <w:rFonts w:ascii="Arial" w:hAnsi="Arial" w:cs="Arial"/>
          <w:sz w:val="22"/>
          <w:szCs w:val="22"/>
          <w:lang w:val="es-ES_tradnl"/>
        </w:rPr>
        <w:t xml:space="preserve"> </w:t>
      </w:r>
      <w:r w:rsidRPr="00D03701">
        <w:rPr>
          <w:rFonts w:ascii="Arial" w:hAnsi="Arial" w:cs="Arial"/>
          <w:sz w:val="22"/>
          <w:szCs w:val="22"/>
          <w:lang w:val="es-ES_tradnl"/>
        </w:rPr>
        <w:t xml:space="preserve">a continuación, el análisis de sensibilidad estima </w:t>
      </w:r>
      <w:r w:rsidR="00D03701" w:rsidRPr="00D03701">
        <w:rPr>
          <w:rFonts w:ascii="Arial" w:hAnsi="Arial" w:cs="Arial"/>
          <w:sz w:val="22"/>
          <w:szCs w:val="22"/>
          <w:lang w:val="es-ES_tradnl"/>
        </w:rPr>
        <w:t>que,</w:t>
      </w:r>
      <w:r w:rsidR="00DA565E" w:rsidRPr="00D03701">
        <w:rPr>
          <w:rFonts w:ascii="Arial" w:hAnsi="Arial" w:cs="Arial"/>
          <w:sz w:val="22"/>
          <w:szCs w:val="22"/>
          <w:lang w:val="es-ES_tradnl"/>
        </w:rPr>
        <w:t xml:space="preserve"> en</w:t>
      </w:r>
      <w:r w:rsidRPr="00D03701">
        <w:rPr>
          <w:rFonts w:ascii="Arial" w:hAnsi="Arial" w:cs="Arial"/>
          <w:sz w:val="22"/>
          <w:szCs w:val="22"/>
          <w:lang w:val="es-ES_tradnl"/>
        </w:rPr>
        <w:t xml:space="preserve"> </w:t>
      </w:r>
      <w:r w:rsidR="00DD1AD6" w:rsidRPr="00D03701">
        <w:rPr>
          <w:rFonts w:ascii="Arial" w:hAnsi="Arial" w:cs="Arial"/>
          <w:sz w:val="22"/>
          <w:szCs w:val="22"/>
          <w:lang w:val="es-ES_tradnl"/>
        </w:rPr>
        <w:t>el</w:t>
      </w:r>
      <w:r w:rsidRPr="00D03701">
        <w:rPr>
          <w:rFonts w:ascii="Arial" w:hAnsi="Arial" w:cs="Arial"/>
          <w:sz w:val="22"/>
          <w:szCs w:val="22"/>
          <w:lang w:val="es-ES_tradnl"/>
        </w:rPr>
        <w:t xml:space="preserve"> peor </w:t>
      </w:r>
      <w:r w:rsidR="00DD1AD6" w:rsidRPr="00D03701">
        <w:rPr>
          <w:rFonts w:ascii="Arial" w:hAnsi="Arial" w:cs="Arial"/>
          <w:sz w:val="22"/>
          <w:szCs w:val="22"/>
          <w:lang w:val="es-ES_tradnl"/>
        </w:rPr>
        <w:t>escenario</w:t>
      </w:r>
      <w:r w:rsidR="007470FD" w:rsidRPr="00D03701">
        <w:rPr>
          <w:rFonts w:ascii="Arial" w:hAnsi="Arial" w:cs="Arial"/>
          <w:sz w:val="22"/>
          <w:szCs w:val="22"/>
          <w:lang w:val="es-ES_tradnl"/>
        </w:rPr>
        <w:t>,</w:t>
      </w:r>
      <w:r w:rsidRPr="00D03701">
        <w:rPr>
          <w:rFonts w:ascii="Arial" w:hAnsi="Arial" w:cs="Arial"/>
          <w:sz w:val="22"/>
          <w:szCs w:val="22"/>
          <w:lang w:val="es-ES_tradnl"/>
        </w:rPr>
        <w:t xml:space="preserve"> </w:t>
      </w:r>
      <w:r w:rsidR="00DD1AD6" w:rsidRPr="00D03701">
        <w:rPr>
          <w:rFonts w:ascii="Arial" w:hAnsi="Arial" w:cs="Arial"/>
          <w:sz w:val="22"/>
          <w:szCs w:val="22"/>
          <w:lang w:val="es-ES_tradnl"/>
        </w:rPr>
        <w:t>y bajo</w:t>
      </w:r>
      <w:r w:rsidR="000B7385" w:rsidRPr="00D03701">
        <w:rPr>
          <w:rFonts w:ascii="Arial" w:hAnsi="Arial" w:cs="Arial"/>
          <w:sz w:val="22"/>
          <w:szCs w:val="22"/>
          <w:lang w:val="es-ES_tradnl"/>
        </w:rPr>
        <w:t xml:space="preserve"> </w:t>
      </w:r>
      <w:r w:rsidR="00B25440" w:rsidRPr="00D03701">
        <w:rPr>
          <w:rFonts w:ascii="Arial" w:hAnsi="Arial" w:cs="Arial"/>
          <w:sz w:val="22"/>
          <w:szCs w:val="22"/>
          <w:lang w:val="es-ES_tradnl"/>
        </w:rPr>
        <w:t xml:space="preserve">los 3 </w:t>
      </w:r>
      <w:r w:rsidR="00DD1AD6" w:rsidRPr="00D03701">
        <w:rPr>
          <w:rFonts w:ascii="Arial" w:hAnsi="Arial" w:cs="Arial"/>
          <w:sz w:val="22"/>
          <w:szCs w:val="22"/>
          <w:lang w:val="es-ES_tradnl"/>
        </w:rPr>
        <w:t xml:space="preserve">mismos </w:t>
      </w:r>
      <w:r w:rsidR="00B25440" w:rsidRPr="00D03701">
        <w:rPr>
          <w:rFonts w:ascii="Arial" w:hAnsi="Arial" w:cs="Arial"/>
          <w:sz w:val="22"/>
          <w:szCs w:val="22"/>
          <w:lang w:val="es-ES_tradnl"/>
        </w:rPr>
        <w:t>supuestos</w:t>
      </w:r>
      <w:r w:rsidR="00DD1AD6" w:rsidRPr="00D03701">
        <w:rPr>
          <w:rFonts w:ascii="Arial" w:hAnsi="Arial" w:cs="Arial"/>
          <w:sz w:val="22"/>
          <w:szCs w:val="22"/>
          <w:lang w:val="es-ES_tradnl"/>
        </w:rPr>
        <w:t xml:space="preserve">, se empezaría a </w:t>
      </w:r>
      <w:r w:rsidR="00B25440" w:rsidRPr="00D03701">
        <w:rPr>
          <w:rFonts w:ascii="Arial" w:hAnsi="Arial" w:cs="Arial"/>
          <w:sz w:val="22"/>
          <w:szCs w:val="22"/>
          <w:lang w:val="es-ES_tradnl"/>
        </w:rPr>
        <w:t xml:space="preserve">generar beneficios en el </w:t>
      </w:r>
      <w:r w:rsidR="007470FD" w:rsidRPr="00D03701">
        <w:rPr>
          <w:rFonts w:ascii="Arial" w:hAnsi="Arial" w:cs="Arial"/>
          <w:sz w:val="22"/>
          <w:szCs w:val="22"/>
          <w:lang w:val="es-ES_tradnl"/>
        </w:rPr>
        <w:t>quinto año de proyecto</w:t>
      </w:r>
      <w:r w:rsidR="00DD1AD6" w:rsidRPr="00D03701">
        <w:rPr>
          <w:rFonts w:ascii="Arial" w:hAnsi="Arial" w:cs="Arial"/>
          <w:sz w:val="22"/>
          <w:szCs w:val="22"/>
          <w:lang w:val="es-ES_tradnl"/>
        </w:rPr>
        <w:t>.</w:t>
      </w:r>
      <w:r w:rsidR="007470FD" w:rsidRPr="00D03701">
        <w:rPr>
          <w:rFonts w:ascii="Arial" w:hAnsi="Arial" w:cs="Arial"/>
          <w:sz w:val="22"/>
          <w:szCs w:val="22"/>
          <w:lang w:val="es-ES_tradnl"/>
        </w:rPr>
        <w:t xml:space="preserve"> </w:t>
      </w:r>
      <w:r w:rsidR="00DD1AD6" w:rsidRPr="00D03701">
        <w:rPr>
          <w:rFonts w:ascii="Arial" w:hAnsi="Arial" w:cs="Arial"/>
          <w:sz w:val="22"/>
          <w:szCs w:val="22"/>
          <w:lang w:val="es-ES_tradnl"/>
        </w:rPr>
        <w:t>A</w:t>
      </w:r>
      <w:r w:rsidR="007470FD" w:rsidRPr="00D03701">
        <w:rPr>
          <w:rFonts w:ascii="Arial" w:hAnsi="Arial" w:cs="Arial"/>
          <w:sz w:val="22"/>
          <w:szCs w:val="22"/>
          <w:lang w:val="es-ES_tradnl"/>
        </w:rPr>
        <w:t>simismo</w:t>
      </w:r>
      <w:r w:rsidR="00DD1AD6" w:rsidRPr="00D03701">
        <w:rPr>
          <w:rFonts w:ascii="Arial" w:hAnsi="Arial" w:cs="Arial"/>
          <w:sz w:val="22"/>
          <w:szCs w:val="22"/>
          <w:lang w:val="es-ES_tradnl"/>
        </w:rPr>
        <w:t>,</w:t>
      </w:r>
      <w:r w:rsidR="007470FD" w:rsidRPr="00D03701">
        <w:rPr>
          <w:rFonts w:ascii="Arial" w:hAnsi="Arial" w:cs="Arial"/>
          <w:sz w:val="22"/>
          <w:szCs w:val="22"/>
          <w:lang w:val="es-ES_tradnl"/>
        </w:rPr>
        <w:t xml:space="preserve"> se obtendría una TIR de 1</w:t>
      </w:r>
      <w:r w:rsidR="00D03701" w:rsidRPr="00D03701">
        <w:rPr>
          <w:rFonts w:ascii="Arial" w:hAnsi="Arial" w:cs="Arial"/>
          <w:sz w:val="22"/>
          <w:szCs w:val="22"/>
          <w:lang w:val="es-ES_tradnl"/>
        </w:rPr>
        <w:t>8</w:t>
      </w:r>
      <w:r w:rsidR="007470FD" w:rsidRPr="00D03701">
        <w:rPr>
          <w:rFonts w:ascii="Arial" w:hAnsi="Arial" w:cs="Arial"/>
          <w:sz w:val="22"/>
          <w:szCs w:val="22"/>
          <w:lang w:val="es-ES_tradnl"/>
        </w:rPr>
        <w:t>% con un VPN de US$</w:t>
      </w:r>
      <w:r w:rsidR="00D03701" w:rsidRPr="00D03701">
        <w:rPr>
          <w:rFonts w:ascii="Arial" w:hAnsi="Arial" w:cs="Arial"/>
          <w:sz w:val="22"/>
          <w:szCs w:val="22"/>
          <w:lang w:val="es-ES_tradnl"/>
        </w:rPr>
        <w:t>18,1</w:t>
      </w:r>
      <w:r w:rsidR="007470FD" w:rsidRPr="00D03701">
        <w:rPr>
          <w:rFonts w:ascii="Arial" w:hAnsi="Arial" w:cs="Arial"/>
          <w:sz w:val="22"/>
          <w:szCs w:val="22"/>
          <w:lang w:val="es-ES_tradnl"/>
        </w:rPr>
        <w:t xml:space="preserve"> millones.</w:t>
      </w:r>
    </w:p>
    <w:p w14:paraId="3BDBF034" w14:textId="1ED98E87" w:rsidR="00910BE0" w:rsidRPr="00D03701" w:rsidRDefault="00910BE0" w:rsidP="00910BE0">
      <w:pPr>
        <w:pStyle w:val="Paragraph"/>
        <w:numPr>
          <w:ilvl w:val="0"/>
          <w:numId w:val="0"/>
        </w:numPr>
        <w:ind w:left="720"/>
        <w:outlineLvl w:val="9"/>
        <w:rPr>
          <w:rFonts w:ascii="Arial" w:hAnsi="Arial" w:cs="Arial"/>
          <w:sz w:val="22"/>
          <w:szCs w:val="22"/>
          <w:lang w:val="es-ES_tradnl"/>
        </w:rPr>
      </w:pPr>
    </w:p>
    <w:p w14:paraId="7F9AD8C6" w14:textId="1EDF1362" w:rsidR="002E36C3" w:rsidRPr="00D03701" w:rsidRDefault="002E36C3" w:rsidP="003366F5">
      <w:pPr>
        <w:pStyle w:val="Paragraph"/>
        <w:numPr>
          <w:ilvl w:val="0"/>
          <w:numId w:val="0"/>
        </w:numPr>
        <w:ind w:left="-810" w:right="-248"/>
        <w:outlineLvl w:val="9"/>
        <w:rPr>
          <w:rFonts w:ascii="Arial" w:hAnsi="Arial" w:cs="Arial"/>
          <w:sz w:val="22"/>
          <w:szCs w:val="22"/>
          <w:lang w:val="es-ES_tradnl"/>
        </w:rPr>
      </w:pPr>
    </w:p>
    <w:p w14:paraId="727B149E" w14:textId="6DB6767C" w:rsidR="007470FD" w:rsidRPr="00D03701" w:rsidRDefault="00D03701" w:rsidP="00001532">
      <w:pPr>
        <w:pStyle w:val="Paragraph"/>
        <w:numPr>
          <w:ilvl w:val="0"/>
          <w:numId w:val="0"/>
        </w:numPr>
        <w:ind w:left="-720"/>
        <w:outlineLvl w:val="9"/>
        <w:rPr>
          <w:rFonts w:ascii="Arial" w:hAnsi="Arial" w:cs="Arial"/>
          <w:sz w:val="22"/>
          <w:szCs w:val="22"/>
          <w:lang w:val="es-ES_tradnl"/>
        </w:rPr>
        <w:sectPr w:rsidR="007470FD" w:rsidRPr="00D03701">
          <w:pgSz w:w="11906" w:h="16838"/>
          <w:pgMar w:top="994" w:right="1440" w:bottom="1166" w:left="1354" w:header="720" w:footer="720" w:gutter="0"/>
          <w:cols w:space="720"/>
          <w:docGrid w:linePitch="360"/>
        </w:sectPr>
      </w:pPr>
      <w:r w:rsidRPr="00D03701">
        <w:rPr>
          <w:noProof/>
          <w:lang w:val="es-ES_tradnl"/>
        </w:rPr>
        <w:drawing>
          <wp:inline distT="0" distB="0" distL="0" distR="0" wp14:anchorId="2CC5A320" wp14:editId="3B1B2D5F">
            <wp:extent cx="6766560" cy="360639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782380" cy="3614826"/>
                    </a:xfrm>
                    <a:prstGeom prst="rect">
                      <a:avLst/>
                    </a:prstGeom>
                    <a:noFill/>
                    <a:ln>
                      <a:noFill/>
                    </a:ln>
                  </pic:spPr>
                </pic:pic>
              </a:graphicData>
            </a:graphic>
          </wp:inline>
        </w:drawing>
      </w:r>
    </w:p>
    <w:p w14:paraId="76D2F8CA" w14:textId="77777777" w:rsidR="00013F9F" w:rsidRPr="00D03701" w:rsidRDefault="00013F9F" w:rsidP="00663924">
      <w:pPr>
        <w:pStyle w:val="Paragraph"/>
        <w:numPr>
          <w:ilvl w:val="0"/>
          <w:numId w:val="0"/>
        </w:numPr>
        <w:ind w:left="1296" w:hanging="1926"/>
        <w:outlineLvl w:val="9"/>
        <w:rPr>
          <w:rFonts w:ascii="Arial" w:hAnsi="Arial" w:cs="Arial"/>
          <w:sz w:val="22"/>
          <w:szCs w:val="22"/>
          <w:lang w:val="es-ES_tradnl"/>
        </w:rPr>
      </w:pPr>
    </w:p>
    <w:p w14:paraId="169F6648" w14:textId="4339A792" w:rsidR="007470FD" w:rsidRPr="00D03701" w:rsidRDefault="00FD0059" w:rsidP="00663924">
      <w:pPr>
        <w:pStyle w:val="Paragraph"/>
        <w:numPr>
          <w:ilvl w:val="0"/>
          <w:numId w:val="0"/>
        </w:numPr>
        <w:ind w:left="1296" w:hanging="1926"/>
        <w:outlineLvl w:val="9"/>
        <w:rPr>
          <w:rFonts w:ascii="Arial" w:hAnsi="Arial" w:cs="Arial"/>
          <w:sz w:val="22"/>
          <w:szCs w:val="22"/>
          <w:lang w:val="es-ES_tradnl"/>
        </w:rPr>
      </w:pPr>
      <w:r w:rsidRPr="00D03701">
        <w:rPr>
          <w:rFonts w:ascii="Arial" w:hAnsi="Arial" w:cs="Arial"/>
          <w:lang w:val="es-ES_tradnl"/>
        </w:rPr>
        <w:t xml:space="preserve"> </w:t>
      </w:r>
      <w:r w:rsidRPr="00D03701">
        <w:rPr>
          <w:noProof/>
          <w:lang w:val="es-ES_tradnl"/>
        </w:rPr>
        <w:drawing>
          <wp:inline distT="0" distB="0" distL="0" distR="0" wp14:anchorId="38BD5876" wp14:editId="315FC566">
            <wp:extent cx="9320161" cy="2018996"/>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333998" cy="2021993"/>
                    </a:xfrm>
                    <a:prstGeom prst="rect">
                      <a:avLst/>
                    </a:prstGeom>
                    <a:noFill/>
                    <a:ln>
                      <a:noFill/>
                    </a:ln>
                  </pic:spPr>
                </pic:pic>
              </a:graphicData>
            </a:graphic>
          </wp:inline>
        </w:drawing>
      </w:r>
    </w:p>
    <w:p w14:paraId="7C23863C" w14:textId="77777777" w:rsidR="007470FD" w:rsidRPr="00D03701" w:rsidRDefault="007470FD" w:rsidP="00663924">
      <w:pPr>
        <w:pStyle w:val="Paragraph"/>
        <w:numPr>
          <w:ilvl w:val="0"/>
          <w:numId w:val="0"/>
        </w:numPr>
        <w:ind w:left="1296" w:hanging="1926"/>
        <w:outlineLvl w:val="9"/>
        <w:rPr>
          <w:rFonts w:ascii="Arial" w:hAnsi="Arial" w:cs="Arial"/>
          <w:sz w:val="22"/>
          <w:szCs w:val="22"/>
          <w:lang w:val="es-ES_tradnl"/>
        </w:rPr>
      </w:pPr>
    </w:p>
    <w:p w14:paraId="79E1A0D5" w14:textId="2BAC10FE" w:rsidR="007470FD" w:rsidRPr="00D03701" w:rsidRDefault="00FD0059" w:rsidP="00663924">
      <w:pPr>
        <w:pStyle w:val="Paragraph"/>
        <w:numPr>
          <w:ilvl w:val="0"/>
          <w:numId w:val="0"/>
        </w:numPr>
        <w:ind w:left="1296" w:hanging="1926"/>
        <w:outlineLvl w:val="9"/>
        <w:rPr>
          <w:rFonts w:ascii="Arial" w:hAnsi="Arial" w:cs="Arial"/>
          <w:sz w:val="22"/>
          <w:szCs w:val="22"/>
          <w:lang w:val="es-ES_tradnl"/>
        </w:rPr>
      </w:pPr>
      <w:r w:rsidRPr="00D03701">
        <w:rPr>
          <w:rFonts w:ascii="Arial" w:hAnsi="Arial" w:cs="Arial"/>
          <w:lang w:val="es-ES_tradnl"/>
        </w:rPr>
        <w:t xml:space="preserve"> </w:t>
      </w:r>
      <w:r w:rsidRPr="00D03701">
        <w:rPr>
          <w:noProof/>
          <w:lang w:val="es-ES_tradnl"/>
        </w:rPr>
        <w:drawing>
          <wp:inline distT="0" distB="0" distL="0" distR="0" wp14:anchorId="4A157F8D" wp14:editId="239089E5">
            <wp:extent cx="9318686" cy="318211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23793" cy="3183856"/>
                    </a:xfrm>
                    <a:prstGeom prst="rect">
                      <a:avLst/>
                    </a:prstGeom>
                    <a:noFill/>
                    <a:ln>
                      <a:noFill/>
                    </a:ln>
                  </pic:spPr>
                </pic:pic>
              </a:graphicData>
            </a:graphic>
          </wp:inline>
        </w:drawing>
      </w:r>
    </w:p>
    <w:p w14:paraId="5FE40117" w14:textId="1CA8731A" w:rsidR="007470FD" w:rsidRPr="00D03701" w:rsidRDefault="00A5505C" w:rsidP="00663924">
      <w:pPr>
        <w:pStyle w:val="Paragraph"/>
        <w:numPr>
          <w:ilvl w:val="0"/>
          <w:numId w:val="0"/>
        </w:numPr>
        <w:ind w:left="1296" w:hanging="1926"/>
        <w:outlineLvl w:val="9"/>
        <w:rPr>
          <w:rFonts w:ascii="Arial" w:hAnsi="Arial" w:cs="Arial"/>
          <w:sz w:val="22"/>
          <w:szCs w:val="22"/>
          <w:lang w:val="es-ES_tradnl"/>
        </w:rPr>
      </w:pPr>
      <w:r w:rsidRPr="00D03701">
        <w:rPr>
          <w:rFonts w:ascii="Arial" w:hAnsi="Arial" w:cs="Arial"/>
          <w:lang w:val="es-ES_tradnl"/>
        </w:rPr>
        <w:lastRenderedPageBreak/>
        <w:t xml:space="preserve"> </w:t>
      </w:r>
    </w:p>
    <w:p w14:paraId="490AB6FB" w14:textId="77777777" w:rsidR="007470FD" w:rsidRPr="00D03701" w:rsidRDefault="007470FD" w:rsidP="00663924">
      <w:pPr>
        <w:pStyle w:val="Paragraph"/>
        <w:numPr>
          <w:ilvl w:val="0"/>
          <w:numId w:val="0"/>
        </w:numPr>
        <w:ind w:left="1296" w:hanging="1926"/>
        <w:outlineLvl w:val="9"/>
        <w:rPr>
          <w:rFonts w:ascii="Arial" w:hAnsi="Arial" w:cs="Arial"/>
          <w:sz w:val="22"/>
          <w:szCs w:val="22"/>
          <w:lang w:val="es-ES_tradnl"/>
        </w:rPr>
      </w:pPr>
    </w:p>
    <w:p w14:paraId="3B1A9D0A" w14:textId="77777777" w:rsidR="007470FD" w:rsidRPr="00D03701" w:rsidRDefault="007470FD" w:rsidP="00663924">
      <w:pPr>
        <w:pStyle w:val="Paragraph"/>
        <w:numPr>
          <w:ilvl w:val="0"/>
          <w:numId w:val="0"/>
        </w:numPr>
        <w:ind w:left="1296" w:hanging="1926"/>
        <w:outlineLvl w:val="9"/>
        <w:rPr>
          <w:rFonts w:ascii="Arial" w:hAnsi="Arial" w:cs="Arial"/>
          <w:sz w:val="22"/>
          <w:szCs w:val="22"/>
          <w:lang w:val="es-ES_tradnl"/>
        </w:rPr>
      </w:pPr>
    </w:p>
    <w:p w14:paraId="07076B04" w14:textId="659E90AA" w:rsidR="007470FD" w:rsidRPr="00D03701" w:rsidRDefault="00D03701" w:rsidP="00663924">
      <w:pPr>
        <w:pStyle w:val="Paragraph"/>
        <w:numPr>
          <w:ilvl w:val="0"/>
          <w:numId w:val="0"/>
        </w:numPr>
        <w:ind w:left="1296" w:hanging="1926"/>
        <w:outlineLvl w:val="9"/>
        <w:rPr>
          <w:rFonts w:ascii="Arial" w:hAnsi="Arial" w:cs="Arial"/>
          <w:sz w:val="22"/>
          <w:szCs w:val="22"/>
          <w:lang w:val="es-ES_tradnl"/>
        </w:rPr>
        <w:sectPr w:rsidR="007470FD" w:rsidRPr="00D03701" w:rsidSect="007470FD">
          <w:pgSz w:w="16838" w:h="11906" w:orient="landscape"/>
          <w:pgMar w:top="1440" w:right="1166" w:bottom="1354" w:left="994" w:header="720" w:footer="720" w:gutter="0"/>
          <w:cols w:space="720"/>
          <w:docGrid w:linePitch="360"/>
        </w:sectPr>
      </w:pPr>
      <w:r w:rsidRPr="00D03701">
        <w:rPr>
          <w:noProof/>
          <w:lang w:val="es-ES_tradnl"/>
        </w:rPr>
        <w:drawing>
          <wp:inline distT="0" distB="0" distL="0" distR="0" wp14:anchorId="05CBD336" wp14:editId="334EE99E">
            <wp:extent cx="9999345" cy="2428646"/>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009763" cy="2431176"/>
                    </a:xfrm>
                    <a:prstGeom prst="rect">
                      <a:avLst/>
                    </a:prstGeom>
                    <a:noFill/>
                    <a:ln>
                      <a:noFill/>
                    </a:ln>
                  </pic:spPr>
                </pic:pic>
              </a:graphicData>
            </a:graphic>
          </wp:inline>
        </w:drawing>
      </w:r>
    </w:p>
    <w:p w14:paraId="42A13EE3" w14:textId="77777777" w:rsidR="00910BE0" w:rsidRPr="00D03701" w:rsidRDefault="00910BE0" w:rsidP="00663924">
      <w:pPr>
        <w:pStyle w:val="Paragraph"/>
        <w:numPr>
          <w:ilvl w:val="0"/>
          <w:numId w:val="0"/>
        </w:numPr>
        <w:ind w:left="1296" w:hanging="1926"/>
        <w:outlineLvl w:val="9"/>
        <w:rPr>
          <w:rFonts w:ascii="Arial" w:hAnsi="Arial" w:cs="Arial"/>
          <w:sz w:val="22"/>
          <w:szCs w:val="22"/>
          <w:lang w:val="es-ES_tradnl"/>
        </w:rPr>
      </w:pPr>
    </w:p>
    <w:p w14:paraId="3EF65A6A" w14:textId="77777777" w:rsidR="00F10D9A" w:rsidRPr="00D03701" w:rsidRDefault="007E781F">
      <w:pPr>
        <w:pStyle w:val="Heading1"/>
        <w:rPr>
          <w:rFonts w:cs="Arial"/>
          <w:b w:val="0"/>
          <w:sz w:val="22"/>
          <w:szCs w:val="22"/>
          <w:lang w:val="es-ES_tradnl"/>
        </w:rPr>
      </w:pPr>
      <w:bookmarkStart w:id="23" w:name="_Toc479116397"/>
      <w:bookmarkStart w:id="24" w:name="_Toc522742001"/>
      <w:r w:rsidRPr="00D03701">
        <w:rPr>
          <w:rFonts w:cs="Arial"/>
          <w:sz w:val="22"/>
          <w:szCs w:val="22"/>
          <w:lang w:val="es-ES_tradnl"/>
        </w:rPr>
        <w:t>ANEXO I – Precios Sombra - Estimación de los Costos Económicos de Inversión y Mantenimiento</w:t>
      </w:r>
      <w:bookmarkEnd w:id="23"/>
      <w:bookmarkEnd w:id="24"/>
    </w:p>
    <w:p w14:paraId="0BF76715" w14:textId="77777777" w:rsidR="00F10D9A" w:rsidRPr="00D03701" w:rsidRDefault="007E781F" w:rsidP="0088781C">
      <w:pPr>
        <w:pStyle w:val="Heading2"/>
        <w:numPr>
          <w:ilvl w:val="0"/>
          <w:numId w:val="8"/>
        </w:numPr>
        <w:ind w:left="540"/>
        <w:rPr>
          <w:rFonts w:ascii="Arial" w:hAnsi="Arial" w:cs="Arial"/>
          <w:bCs w:val="0"/>
          <w:sz w:val="22"/>
          <w:szCs w:val="22"/>
          <w:lang w:val="es-ES_tradnl"/>
        </w:rPr>
      </w:pPr>
      <w:bookmarkStart w:id="25" w:name="_Toc479116398"/>
      <w:bookmarkStart w:id="26" w:name="_Toc522742002"/>
      <w:r w:rsidRPr="00D03701">
        <w:rPr>
          <w:rFonts w:ascii="Arial" w:hAnsi="Arial" w:cs="Arial"/>
          <w:sz w:val="22"/>
          <w:szCs w:val="22"/>
          <w:lang w:val="es-ES_tradnl"/>
        </w:rPr>
        <w:t>Costos</w:t>
      </w:r>
      <w:r w:rsidRPr="00D03701">
        <w:rPr>
          <w:rFonts w:ascii="Arial" w:hAnsi="Arial" w:cs="Arial"/>
          <w:spacing w:val="-4"/>
          <w:sz w:val="22"/>
          <w:szCs w:val="22"/>
          <w:lang w:val="es-ES_tradnl"/>
        </w:rPr>
        <w:t xml:space="preserve"> </w:t>
      </w:r>
      <w:r w:rsidRPr="00D03701">
        <w:rPr>
          <w:rFonts w:ascii="Arial" w:hAnsi="Arial" w:cs="Arial"/>
          <w:sz w:val="22"/>
          <w:szCs w:val="22"/>
          <w:lang w:val="es-ES_tradnl"/>
        </w:rPr>
        <w:t>de</w:t>
      </w:r>
      <w:r w:rsidRPr="00D03701">
        <w:rPr>
          <w:rFonts w:ascii="Arial" w:hAnsi="Arial" w:cs="Arial"/>
          <w:spacing w:val="-4"/>
          <w:sz w:val="22"/>
          <w:szCs w:val="22"/>
          <w:lang w:val="es-ES_tradnl"/>
        </w:rPr>
        <w:t xml:space="preserve"> </w:t>
      </w:r>
      <w:r w:rsidRPr="00D03701">
        <w:rPr>
          <w:rFonts w:ascii="Arial" w:hAnsi="Arial" w:cs="Arial"/>
          <w:spacing w:val="-1"/>
          <w:sz w:val="22"/>
          <w:szCs w:val="22"/>
          <w:lang w:val="es-ES_tradnl"/>
        </w:rPr>
        <w:t>Inversión</w:t>
      </w:r>
      <w:bookmarkEnd w:id="25"/>
      <w:bookmarkEnd w:id="26"/>
    </w:p>
    <w:p w14:paraId="2D3A4A8D" w14:textId="77777777" w:rsidR="00F10D9A" w:rsidRPr="00D03701" w:rsidRDefault="007E781F">
      <w:pPr>
        <w:pStyle w:val="Paragraph"/>
        <w:numPr>
          <w:ilvl w:val="1"/>
          <w:numId w:val="3"/>
        </w:numPr>
        <w:ind w:left="540" w:hanging="540"/>
        <w:outlineLvl w:val="9"/>
        <w:rPr>
          <w:rFonts w:ascii="Arial" w:hAnsi="Arial" w:cs="Arial"/>
          <w:sz w:val="22"/>
          <w:szCs w:val="22"/>
          <w:lang w:val="es-ES_tradnl"/>
        </w:rPr>
      </w:pPr>
      <w:r w:rsidRPr="00D03701">
        <w:rPr>
          <w:rFonts w:ascii="Arial" w:hAnsi="Arial" w:cs="Arial"/>
          <w:sz w:val="22"/>
          <w:szCs w:val="22"/>
          <w:lang w:val="es-ES_tradnl"/>
        </w:rPr>
        <w:t>Los costos de inversión incluyen los costos directos de equipos y costos indirectos, tales como costos de supervisión, capacitación y otros servicios, así como imprevistos. Los precios unitarios fueron tomados del Plan Operativo Anual (POA) del Programa.</w:t>
      </w:r>
    </w:p>
    <w:p w14:paraId="304AC65C" w14:textId="77777777" w:rsidR="00F10D9A" w:rsidRPr="00D03701" w:rsidRDefault="007E781F">
      <w:pPr>
        <w:pStyle w:val="Paragraph"/>
        <w:numPr>
          <w:ilvl w:val="1"/>
          <w:numId w:val="3"/>
        </w:numPr>
        <w:ind w:left="540" w:hanging="540"/>
        <w:outlineLvl w:val="9"/>
        <w:rPr>
          <w:rFonts w:ascii="Arial" w:hAnsi="Arial" w:cs="Arial"/>
          <w:sz w:val="22"/>
          <w:szCs w:val="22"/>
          <w:lang w:val="es-ES_tradnl"/>
        </w:rPr>
      </w:pPr>
      <w:bookmarkStart w:id="27" w:name="Cuadro_2:_Costos_de_inversión_por_catego"/>
      <w:bookmarkEnd w:id="27"/>
      <w:r w:rsidRPr="00D03701">
        <w:rPr>
          <w:rFonts w:ascii="Arial" w:hAnsi="Arial" w:cs="Arial"/>
          <w:sz w:val="22"/>
          <w:szCs w:val="22"/>
          <w:lang w:val="es-ES_tradnl"/>
        </w:rPr>
        <w:t>El valor total de las inversiones planeadas a precios de mercado alcanza US$</w:t>
      </w:r>
      <w:r w:rsidR="00141DBD" w:rsidRPr="00D03701">
        <w:rPr>
          <w:rFonts w:ascii="Arial" w:hAnsi="Arial" w:cs="Arial"/>
          <w:sz w:val="22"/>
          <w:szCs w:val="22"/>
          <w:lang w:val="es-ES_tradnl"/>
        </w:rPr>
        <w:t>42,0</w:t>
      </w:r>
      <w:r w:rsidRPr="00D03701">
        <w:rPr>
          <w:rFonts w:ascii="Arial" w:hAnsi="Arial" w:cs="Arial"/>
          <w:sz w:val="22"/>
          <w:szCs w:val="22"/>
          <w:lang w:val="es-ES_tradnl"/>
        </w:rPr>
        <w:t xml:space="preserve"> millones. El detalle de los costos de inversión se presenta en el Cuadro 1.</w:t>
      </w:r>
    </w:p>
    <w:tbl>
      <w:tblPr>
        <w:tblpPr w:leftFromText="180" w:rightFromText="180" w:vertAnchor="text" w:horzAnchor="page" w:tblpX="2956" w:tblpY="172"/>
        <w:tblW w:w="5945" w:type="dxa"/>
        <w:tblLook w:val="04A0" w:firstRow="1" w:lastRow="0" w:firstColumn="1" w:lastColumn="0" w:noHBand="0" w:noVBand="1"/>
      </w:tblPr>
      <w:tblGrid>
        <w:gridCol w:w="4405"/>
        <w:gridCol w:w="1540"/>
      </w:tblGrid>
      <w:tr w:rsidR="00F10D9A" w:rsidRPr="00BE7955" w14:paraId="3F699991" w14:textId="77777777" w:rsidTr="005654A4">
        <w:trPr>
          <w:trHeight w:val="255"/>
        </w:trPr>
        <w:tc>
          <w:tcPr>
            <w:tcW w:w="5945" w:type="dxa"/>
            <w:gridSpan w:val="2"/>
            <w:tcBorders>
              <w:top w:val="single" w:sz="4" w:space="0" w:color="auto"/>
              <w:left w:val="single" w:sz="4" w:space="0" w:color="auto"/>
              <w:bottom w:val="single" w:sz="4" w:space="0" w:color="auto"/>
              <w:right w:val="single" w:sz="4" w:space="0" w:color="000000"/>
            </w:tcBorders>
            <w:shd w:val="clear" w:color="000000" w:fill="C0C0C0"/>
            <w:vAlign w:val="bottom"/>
            <w:hideMark/>
          </w:tcPr>
          <w:p w14:paraId="3FA887AC" w14:textId="77777777" w:rsidR="00F10D9A" w:rsidRPr="00D03701" w:rsidRDefault="007E781F" w:rsidP="005654A4">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Cuadro 1: Costos de inversión por categoría (US$)</w:t>
            </w:r>
          </w:p>
        </w:tc>
      </w:tr>
      <w:tr w:rsidR="00F10D9A" w:rsidRPr="00D03701" w14:paraId="2CD92C2B" w14:textId="77777777" w:rsidTr="005654A4">
        <w:trPr>
          <w:trHeight w:val="264"/>
        </w:trPr>
        <w:tc>
          <w:tcPr>
            <w:tcW w:w="4405" w:type="dxa"/>
            <w:tcBorders>
              <w:top w:val="nil"/>
              <w:left w:val="single" w:sz="4" w:space="0" w:color="auto"/>
              <w:bottom w:val="single" w:sz="4" w:space="0" w:color="auto"/>
              <w:right w:val="single" w:sz="4" w:space="0" w:color="auto"/>
            </w:tcBorders>
            <w:shd w:val="clear" w:color="000000" w:fill="C0C0C0"/>
            <w:vAlign w:val="bottom"/>
            <w:hideMark/>
          </w:tcPr>
          <w:p w14:paraId="51351F79" w14:textId="77777777" w:rsidR="00F10D9A" w:rsidRPr="00D03701" w:rsidRDefault="007E781F" w:rsidP="005654A4">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Categoría</w:t>
            </w:r>
          </w:p>
        </w:tc>
        <w:tc>
          <w:tcPr>
            <w:tcW w:w="1540" w:type="dxa"/>
            <w:tcBorders>
              <w:top w:val="nil"/>
              <w:left w:val="nil"/>
              <w:bottom w:val="single" w:sz="4" w:space="0" w:color="auto"/>
              <w:right w:val="single" w:sz="4" w:space="0" w:color="auto"/>
            </w:tcBorders>
            <w:shd w:val="clear" w:color="000000" w:fill="C0C0C0"/>
            <w:vAlign w:val="bottom"/>
            <w:hideMark/>
          </w:tcPr>
          <w:p w14:paraId="7E054FF3" w14:textId="77777777" w:rsidR="00F10D9A" w:rsidRPr="00D03701" w:rsidRDefault="007E781F" w:rsidP="005654A4">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Costo</w:t>
            </w:r>
          </w:p>
        </w:tc>
      </w:tr>
      <w:tr w:rsidR="00D03701" w:rsidRPr="00D03701" w14:paraId="5A87B8A2" w14:textId="77777777" w:rsidTr="005654A4">
        <w:trPr>
          <w:trHeight w:val="264"/>
        </w:trPr>
        <w:tc>
          <w:tcPr>
            <w:tcW w:w="4405" w:type="dxa"/>
            <w:tcBorders>
              <w:top w:val="nil"/>
              <w:left w:val="single" w:sz="4" w:space="0" w:color="auto"/>
              <w:bottom w:val="single" w:sz="4" w:space="0" w:color="auto"/>
              <w:right w:val="single" w:sz="4" w:space="0" w:color="auto"/>
            </w:tcBorders>
            <w:shd w:val="clear" w:color="auto" w:fill="auto"/>
            <w:vAlign w:val="bottom"/>
            <w:hideMark/>
          </w:tcPr>
          <w:p w14:paraId="22803016"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Sistemas de computador y aplicativos</w:t>
            </w:r>
          </w:p>
        </w:tc>
        <w:tc>
          <w:tcPr>
            <w:tcW w:w="1540" w:type="dxa"/>
            <w:tcBorders>
              <w:top w:val="nil"/>
              <w:left w:val="nil"/>
              <w:bottom w:val="single" w:sz="4" w:space="0" w:color="auto"/>
              <w:right w:val="single" w:sz="4" w:space="0" w:color="auto"/>
            </w:tcBorders>
            <w:shd w:val="clear" w:color="auto" w:fill="auto"/>
            <w:vAlign w:val="bottom"/>
            <w:hideMark/>
          </w:tcPr>
          <w:p w14:paraId="2AC173E4" w14:textId="33F3B716" w:rsidR="00D03701" w:rsidRPr="00D03701" w:rsidRDefault="00D03701" w:rsidP="00D03701">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20,296,470</w:t>
            </w:r>
          </w:p>
        </w:tc>
      </w:tr>
      <w:tr w:rsidR="00D03701" w:rsidRPr="00D03701" w14:paraId="4E2B3A70" w14:textId="77777777" w:rsidTr="005654A4">
        <w:trPr>
          <w:trHeight w:val="264"/>
        </w:trPr>
        <w:tc>
          <w:tcPr>
            <w:tcW w:w="4405" w:type="dxa"/>
            <w:tcBorders>
              <w:top w:val="nil"/>
              <w:left w:val="single" w:sz="4" w:space="0" w:color="auto"/>
              <w:bottom w:val="single" w:sz="4" w:space="0" w:color="auto"/>
              <w:right w:val="single" w:sz="4" w:space="0" w:color="auto"/>
            </w:tcBorders>
            <w:shd w:val="clear" w:color="auto" w:fill="auto"/>
            <w:vAlign w:val="bottom"/>
            <w:hideMark/>
          </w:tcPr>
          <w:p w14:paraId="23C311A5"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Computadoras, servidores y hardware diversos</w:t>
            </w:r>
          </w:p>
        </w:tc>
        <w:tc>
          <w:tcPr>
            <w:tcW w:w="1540" w:type="dxa"/>
            <w:tcBorders>
              <w:top w:val="nil"/>
              <w:left w:val="nil"/>
              <w:bottom w:val="single" w:sz="4" w:space="0" w:color="auto"/>
              <w:right w:val="single" w:sz="4" w:space="0" w:color="auto"/>
            </w:tcBorders>
            <w:shd w:val="clear" w:color="auto" w:fill="auto"/>
            <w:vAlign w:val="bottom"/>
            <w:hideMark/>
          </w:tcPr>
          <w:p w14:paraId="0D88A4E9" w14:textId="12CACD6C" w:rsidR="00D03701" w:rsidRPr="00D03701" w:rsidRDefault="00D03701" w:rsidP="00D03701">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32,000,429</w:t>
            </w:r>
          </w:p>
        </w:tc>
      </w:tr>
      <w:tr w:rsidR="00D03701" w:rsidRPr="00D03701" w14:paraId="4DD134B6" w14:textId="77777777" w:rsidTr="005654A4">
        <w:trPr>
          <w:trHeight w:val="264"/>
        </w:trPr>
        <w:tc>
          <w:tcPr>
            <w:tcW w:w="4405" w:type="dxa"/>
            <w:tcBorders>
              <w:top w:val="nil"/>
              <w:left w:val="single" w:sz="4" w:space="0" w:color="auto"/>
              <w:bottom w:val="single" w:sz="4" w:space="0" w:color="auto"/>
              <w:right w:val="single" w:sz="4" w:space="0" w:color="auto"/>
            </w:tcBorders>
            <w:shd w:val="clear" w:color="auto" w:fill="auto"/>
            <w:vAlign w:val="bottom"/>
            <w:hideMark/>
          </w:tcPr>
          <w:p w14:paraId="6B6DB293"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Servicios Generales</w:t>
            </w:r>
          </w:p>
        </w:tc>
        <w:tc>
          <w:tcPr>
            <w:tcW w:w="1540" w:type="dxa"/>
            <w:tcBorders>
              <w:top w:val="nil"/>
              <w:left w:val="nil"/>
              <w:bottom w:val="single" w:sz="4" w:space="0" w:color="auto"/>
              <w:right w:val="single" w:sz="4" w:space="0" w:color="auto"/>
            </w:tcBorders>
            <w:shd w:val="clear" w:color="000000" w:fill="FFFFFF"/>
            <w:vAlign w:val="bottom"/>
            <w:hideMark/>
          </w:tcPr>
          <w:p w14:paraId="6A68B413" w14:textId="2CB79BED" w:rsidR="00D03701" w:rsidRPr="00D03701" w:rsidRDefault="00D03701" w:rsidP="00D03701">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13,482,843</w:t>
            </w:r>
          </w:p>
        </w:tc>
      </w:tr>
      <w:tr w:rsidR="00D03701" w:rsidRPr="00D03701" w14:paraId="02DE6E7F" w14:textId="77777777" w:rsidTr="005654A4">
        <w:trPr>
          <w:trHeight w:val="264"/>
        </w:trPr>
        <w:tc>
          <w:tcPr>
            <w:tcW w:w="4405" w:type="dxa"/>
            <w:tcBorders>
              <w:top w:val="nil"/>
              <w:left w:val="single" w:sz="4" w:space="0" w:color="auto"/>
              <w:bottom w:val="single" w:sz="4" w:space="0" w:color="auto"/>
              <w:right w:val="single" w:sz="4" w:space="0" w:color="auto"/>
            </w:tcBorders>
            <w:shd w:val="clear" w:color="auto" w:fill="auto"/>
            <w:vAlign w:val="bottom"/>
            <w:hideMark/>
          </w:tcPr>
          <w:p w14:paraId="6DE014F6"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Mano de obra</w:t>
            </w:r>
          </w:p>
        </w:tc>
        <w:tc>
          <w:tcPr>
            <w:tcW w:w="1540" w:type="dxa"/>
            <w:tcBorders>
              <w:top w:val="nil"/>
              <w:left w:val="nil"/>
              <w:bottom w:val="single" w:sz="4" w:space="0" w:color="auto"/>
              <w:right w:val="single" w:sz="4" w:space="0" w:color="auto"/>
            </w:tcBorders>
            <w:shd w:val="clear" w:color="000000" w:fill="FFFFFF"/>
            <w:vAlign w:val="bottom"/>
            <w:hideMark/>
          </w:tcPr>
          <w:p w14:paraId="48912252" w14:textId="77F4872F" w:rsidR="00D03701" w:rsidRPr="00D03701" w:rsidRDefault="00D03701" w:rsidP="00D03701">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35,703,418</w:t>
            </w:r>
          </w:p>
        </w:tc>
      </w:tr>
      <w:tr w:rsidR="00D03701" w:rsidRPr="00D03701" w14:paraId="342745CA" w14:textId="77777777" w:rsidTr="00D74597">
        <w:trPr>
          <w:trHeight w:val="264"/>
        </w:trPr>
        <w:tc>
          <w:tcPr>
            <w:tcW w:w="4405" w:type="dxa"/>
            <w:tcBorders>
              <w:top w:val="nil"/>
              <w:left w:val="single" w:sz="4" w:space="0" w:color="auto"/>
              <w:bottom w:val="single" w:sz="4" w:space="0" w:color="auto"/>
              <w:right w:val="single" w:sz="4" w:space="0" w:color="auto"/>
            </w:tcBorders>
            <w:shd w:val="clear" w:color="auto" w:fill="auto"/>
            <w:vAlign w:val="bottom"/>
            <w:hideMark/>
          </w:tcPr>
          <w:p w14:paraId="2A41B549" w14:textId="77777777" w:rsidR="00D03701" w:rsidRPr="00D03701" w:rsidRDefault="00D03701" w:rsidP="00D03701">
            <w:pPr>
              <w:spacing w:after="0" w:line="240" w:lineRule="auto"/>
              <w:rPr>
                <w:rFonts w:ascii="Arial" w:hAnsi="Arial" w:cs="Arial"/>
                <w:b/>
                <w:color w:val="000000"/>
                <w:sz w:val="18"/>
                <w:szCs w:val="18"/>
                <w:lang w:val="es-ES_tradnl"/>
              </w:rPr>
            </w:pPr>
            <w:r w:rsidRPr="00D03701">
              <w:rPr>
                <w:rFonts w:ascii="Arial" w:hAnsi="Arial" w:cs="Arial"/>
                <w:color w:val="000000"/>
                <w:sz w:val="18"/>
                <w:szCs w:val="18"/>
                <w:lang w:val="es-ES_tradnl"/>
              </w:rPr>
              <w:t>Imprevisto</w:t>
            </w:r>
          </w:p>
        </w:tc>
        <w:tc>
          <w:tcPr>
            <w:tcW w:w="1540" w:type="dxa"/>
            <w:tcBorders>
              <w:top w:val="nil"/>
              <w:left w:val="nil"/>
              <w:bottom w:val="single" w:sz="4" w:space="0" w:color="auto"/>
              <w:right w:val="single" w:sz="4" w:space="0" w:color="auto"/>
            </w:tcBorders>
            <w:shd w:val="clear" w:color="auto" w:fill="auto"/>
            <w:vAlign w:val="bottom"/>
            <w:hideMark/>
          </w:tcPr>
          <w:p w14:paraId="35D47F60" w14:textId="5A3778B6" w:rsidR="00D03701" w:rsidRPr="00D03701" w:rsidRDefault="00D03701" w:rsidP="00D03701">
            <w:pPr>
              <w:spacing w:after="0" w:line="240" w:lineRule="auto"/>
              <w:jc w:val="right"/>
              <w:rPr>
                <w:rFonts w:ascii="Arial" w:hAnsi="Arial" w:cs="Arial"/>
                <w:b/>
                <w:color w:val="000000"/>
                <w:sz w:val="18"/>
                <w:szCs w:val="18"/>
                <w:highlight w:val="yellow"/>
                <w:lang w:val="es-ES_tradnl"/>
              </w:rPr>
            </w:pPr>
            <w:r w:rsidRPr="00D03701">
              <w:rPr>
                <w:rFonts w:ascii="Arial" w:hAnsi="Arial" w:cs="Arial"/>
                <w:color w:val="000000"/>
                <w:sz w:val="18"/>
                <w:szCs w:val="18"/>
                <w:lang w:val="es-ES_tradnl"/>
              </w:rPr>
              <w:t>0</w:t>
            </w:r>
          </w:p>
        </w:tc>
      </w:tr>
      <w:tr w:rsidR="00D03701" w:rsidRPr="00D03701" w14:paraId="2069AC05" w14:textId="77777777" w:rsidTr="00D74597">
        <w:trPr>
          <w:trHeight w:val="264"/>
        </w:trPr>
        <w:tc>
          <w:tcPr>
            <w:tcW w:w="4405" w:type="dxa"/>
            <w:tcBorders>
              <w:top w:val="nil"/>
              <w:left w:val="single" w:sz="4" w:space="0" w:color="auto"/>
              <w:bottom w:val="single" w:sz="4" w:space="0" w:color="auto"/>
              <w:right w:val="single" w:sz="4" w:space="0" w:color="auto"/>
            </w:tcBorders>
            <w:shd w:val="clear" w:color="auto" w:fill="auto"/>
            <w:vAlign w:val="bottom"/>
          </w:tcPr>
          <w:p w14:paraId="61AD2DE6"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b/>
                <w:bCs/>
                <w:color w:val="000000"/>
                <w:sz w:val="18"/>
                <w:szCs w:val="18"/>
                <w:lang w:val="es-ES_tradnl"/>
              </w:rPr>
              <w:t>Total</w:t>
            </w:r>
          </w:p>
        </w:tc>
        <w:tc>
          <w:tcPr>
            <w:tcW w:w="1540" w:type="dxa"/>
            <w:tcBorders>
              <w:top w:val="nil"/>
              <w:left w:val="nil"/>
              <w:bottom w:val="single" w:sz="4" w:space="0" w:color="auto"/>
              <w:right w:val="single" w:sz="4" w:space="0" w:color="auto"/>
            </w:tcBorders>
            <w:shd w:val="clear" w:color="auto" w:fill="auto"/>
            <w:vAlign w:val="bottom"/>
          </w:tcPr>
          <w:p w14:paraId="4BC6B063" w14:textId="4135E4A3" w:rsidR="00D03701" w:rsidRPr="00D03701" w:rsidRDefault="00D03701" w:rsidP="00D03701">
            <w:pPr>
              <w:spacing w:after="0" w:line="240" w:lineRule="auto"/>
              <w:jc w:val="right"/>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101,483,160</w:t>
            </w:r>
          </w:p>
        </w:tc>
      </w:tr>
      <w:tr w:rsidR="002040E0" w:rsidRPr="00D03701" w14:paraId="3B4587CB" w14:textId="77777777" w:rsidTr="00D74597">
        <w:trPr>
          <w:trHeight w:val="264"/>
        </w:trPr>
        <w:tc>
          <w:tcPr>
            <w:tcW w:w="59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0F8FE6E" w14:textId="77777777" w:rsidR="002040E0" w:rsidRPr="00D03701" w:rsidRDefault="002040E0" w:rsidP="00D74597">
            <w:pPr>
              <w:spacing w:after="0" w:line="240" w:lineRule="auto"/>
              <w:rPr>
                <w:rFonts w:ascii="Arial" w:hAnsi="Arial" w:cs="Arial"/>
                <w:b/>
                <w:color w:val="000000"/>
                <w:sz w:val="18"/>
                <w:szCs w:val="18"/>
                <w:lang w:val="es-ES_tradnl"/>
              </w:rPr>
            </w:pPr>
            <w:r w:rsidRPr="00D03701">
              <w:rPr>
                <w:rFonts w:ascii="Arial" w:hAnsi="Arial" w:cs="Arial"/>
                <w:b/>
                <w:color w:val="000000"/>
                <w:sz w:val="18"/>
                <w:szCs w:val="18"/>
                <w:lang w:val="es-ES_tradnl"/>
              </w:rPr>
              <w:t>Fuente: POA del Proyecto</w:t>
            </w:r>
          </w:p>
        </w:tc>
      </w:tr>
    </w:tbl>
    <w:p w14:paraId="75775BAC" w14:textId="77777777" w:rsidR="00F10D9A" w:rsidRPr="00D03701" w:rsidRDefault="00F10D9A">
      <w:pPr>
        <w:pStyle w:val="Paragraph"/>
        <w:numPr>
          <w:ilvl w:val="0"/>
          <w:numId w:val="0"/>
        </w:numPr>
        <w:ind w:left="1296" w:hanging="1296"/>
        <w:outlineLvl w:val="9"/>
        <w:rPr>
          <w:rFonts w:ascii="Arial" w:hAnsi="Arial" w:cs="Arial"/>
          <w:sz w:val="22"/>
          <w:szCs w:val="22"/>
          <w:lang w:val="es-ES_tradnl"/>
        </w:rPr>
      </w:pPr>
    </w:p>
    <w:p w14:paraId="7F04C905" w14:textId="77777777" w:rsidR="00F10D9A" w:rsidRPr="00D03701" w:rsidRDefault="00F10D9A">
      <w:pPr>
        <w:pStyle w:val="Paragraph"/>
        <w:numPr>
          <w:ilvl w:val="0"/>
          <w:numId w:val="0"/>
        </w:numPr>
        <w:ind w:left="1296" w:hanging="1296"/>
        <w:outlineLvl w:val="9"/>
        <w:rPr>
          <w:rFonts w:ascii="Arial" w:hAnsi="Arial" w:cs="Arial"/>
          <w:sz w:val="22"/>
          <w:szCs w:val="22"/>
          <w:lang w:val="es-ES_tradnl"/>
        </w:rPr>
      </w:pPr>
    </w:p>
    <w:p w14:paraId="75A0C89D" w14:textId="77777777" w:rsidR="00F10D9A" w:rsidRPr="00D03701" w:rsidRDefault="00F10D9A">
      <w:pPr>
        <w:pStyle w:val="Paragraph"/>
        <w:numPr>
          <w:ilvl w:val="0"/>
          <w:numId w:val="0"/>
        </w:numPr>
        <w:ind w:left="188"/>
        <w:outlineLvl w:val="9"/>
        <w:rPr>
          <w:rFonts w:ascii="Arial" w:hAnsi="Arial" w:cs="Arial"/>
          <w:sz w:val="22"/>
          <w:szCs w:val="22"/>
          <w:lang w:val="es-ES_tradnl"/>
        </w:rPr>
      </w:pPr>
    </w:p>
    <w:p w14:paraId="343D1C5B" w14:textId="77777777" w:rsidR="004713DE" w:rsidRPr="00D03701" w:rsidRDefault="004713DE">
      <w:pPr>
        <w:spacing w:before="120" w:after="120"/>
        <w:ind w:left="990" w:firstLine="1800"/>
        <w:contextualSpacing/>
        <w:jc w:val="both"/>
        <w:rPr>
          <w:rFonts w:ascii="Arial" w:hAnsi="Arial" w:cs="Arial"/>
          <w:lang w:val="es-ES_tradnl"/>
        </w:rPr>
      </w:pPr>
    </w:p>
    <w:p w14:paraId="2775A980" w14:textId="77777777" w:rsidR="00F10D9A" w:rsidRPr="00D03701" w:rsidRDefault="007E781F">
      <w:pPr>
        <w:pStyle w:val="Paragraph"/>
        <w:numPr>
          <w:ilvl w:val="1"/>
          <w:numId w:val="3"/>
        </w:numPr>
        <w:ind w:left="540" w:hanging="540"/>
        <w:outlineLvl w:val="9"/>
        <w:rPr>
          <w:rFonts w:ascii="Arial" w:hAnsi="Arial" w:cs="Arial"/>
          <w:sz w:val="22"/>
          <w:szCs w:val="22"/>
          <w:lang w:val="es-ES_tradnl"/>
        </w:rPr>
      </w:pPr>
      <w:r w:rsidRPr="00D03701">
        <w:rPr>
          <w:rFonts w:ascii="Arial" w:hAnsi="Arial" w:cs="Arial"/>
          <w:sz w:val="22"/>
          <w:szCs w:val="22"/>
          <w:lang w:val="es-ES_tradnl"/>
        </w:rPr>
        <w:t>En el Cuadro 2 se muestra el valor de los costos financieros a través del tiempo en US$.</w:t>
      </w:r>
    </w:p>
    <w:tbl>
      <w:tblPr>
        <w:tblW w:w="1029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195"/>
        <w:gridCol w:w="1207"/>
        <w:gridCol w:w="1318"/>
        <w:gridCol w:w="1318"/>
        <w:gridCol w:w="1318"/>
        <w:gridCol w:w="1318"/>
        <w:gridCol w:w="6"/>
      </w:tblGrid>
      <w:tr w:rsidR="00F10D9A" w:rsidRPr="00BE7955" w14:paraId="22B54696" w14:textId="77777777" w:rsidTr="00141DBD">
        <w:trPr>
          <w:trHeight w:val="243"/>
        </w:trPr>
        <w:tc>
          <w:tcPr>
            <w:tcW w:w="10290" w:type="dxa"/>
            <w:gridSpan w:val="8"/>
            <w:shd w:val="clear" w:color="000000" w:fill="C0C0C0"/>
            <w:vAlign w:val="bottom"/>
            <w:hideMark/>
          </w:tcPr>
          <w:p w14:paraId="67F45031" w14:textId="77777777" w:rsidR="00F10D9A" w:rsidRPr="00D03701" w:rsidRDefault="007E781F">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 xml:space="preserve">Cuadro 2 - Costos de </w:t>
            </w:r>
            <w:r w:rsidR="00B1716B" w:rsidRPr="00D03701">
              <w:rPr>
                <w:rFonts w:ascii="Arial" w:eastAsia="Times New Roman" w:hAnsi="Arial" w:cs="Arial"/>
                <w:b/>
                <w:bCs/>
                <w:color w:val="000000"/>
                <w:sz w:val="18"/>
                <w:szCs w:val="18"/>
                <w:lang w:val="es-ES_tradnl"/>
              </w:rPr>
              <w:t>financieros</w:t>
            </w:r>
            <w:r w:rsidRPr="00D03701">
              <w:rPr>
                <w:rFonts w:ascii="Arial" w:eastAsia="Times New Roman" w:hAnsi="Arial" w:cs="Arial"/>
                <w:b/>
                <w:bCs/>
                <w:color w:val="000000"/>
                <w:sz w:val="18"/>
                <w:szCs w:val="18"/>
                <w:lang w:val="es-ES_tradnl"/>
              </w:rPr>
              <w:t>, por año de ejecución (US$)</w:t>
            </w:r>
          </w:p>
        </w:tc>
      </w:tr>
      <w:tr w:rsidR="00B21662" w:rsidRPr="00D03701" w14:paraId="0A2D435D" w14:textId="77777777" w:rsidTr="00141DBD">
        <w:trPr>
          <w:gridAfter w:val="1"/>
          <w:wAfter w:w="6" w:type="dxa"/>
          <w:trHeight w:val="252"/>
        </w:trPr>
        <w:tc>
          <w:tcPr>
            <w:tcW w:w="2610" w:type="dxa"/>
            <w:shd w:val="clear" w:color="000000" w:fill="C0C0C0"/>
            <w:vAlign w:val="bottom"/>
            <w:hideMark/>
          </w:tcPr>
          <w:p w14:paraId="1F61B9B7" w14:textId="77777777" w:rsidR="00B21662" w:rsidRPr="00D03701" w:rsidRDefault="00B21662">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Categoría</w:t>
            </w:r>
          </w:p>
        </w:tc>
        <w:tc>
          <w:tcPr>
            <w:tcW w:w="1195" w:type="dxa"/>
            <w:shd w:val="clear" w:color="000000" w:fill="C0C0C0"/>
            <w:vAlign w:val="bottom"/>
            <w:hideMark/>
          </w:tcPr>
          <w:p w14:paraId="031E776D" w14:textId="77777777" w:rsidR="00B21662" w:rsidRPr="00D03701" w:rsidRDefault="0069601C">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2019</w:t>
            </w:r>
          </w:p>
        </w:tc>
        <w:tc>
          <w:tcPr>
            <w:tcW w:w="1207" w:type="dxa"/>
            <w:shd w:val="clear" w:color="000000" w:fill="C0C0C0"/>
            <w:vAlign w:val="bottom"/>
            <w:hideMark/>
          </w:tcPr>
          <w:p w14:paraId="42D85130" w14:textId="77777777" w:rsidR="00B21662" w:rsidRPr="00D03701" w:rsidRDefault="0069601C">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2020</w:t>
            </w:r>
          </w:p>
        </w:tc>
        <w:tc>
          <w:tcPr>
            <w:tcW w:w="1318" w:type="dxa"/>
            <w:shd w:val="clear" w:color="000000" w:fill="C0C0C0"/>
            <w:vAlign w:val="bottom"/>
            <w:hideMark/>
          </w:tcPr>
          <w:p w14:paraId="7FAF67F1" w14:textId="77777777" w:rsidR="00B21662" w:rsidRPr="00D03701" w:rsidRDefault="0069601C">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202</w:t>
            </w:r>
          </w:p>
        </w:tc>
        <w:tc>
          <w:tcPr>
            <w:tcW w:w="1318" w:type="dxa"/>
            <w:shd w:val="clear" w:color="000000" w:fill="C0C0C0"/>
            <w:vAlign w:val="bottom"/>
            <w:hideMark/>
          </w:tcPr>
          <w:p w14:paraId="073380AA" w14:textId="77777777" w:rsidR="00B21662" w:rsidRPr="00D03701" w:rsidRDefault="0069601C">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`2022</w:t>
            </w:r>
          </w:p>
        </w:tc>
        <w:tc>
          <w:tcPr>
            <w:tcW w:w="1318" w:type="dxa"/>
            <w:shd w:val="clear" w:color="000000" w:fill="C0C0C0"/>
            <w:vAlign w:val="bottom"/>
            <w:hideMark/>
          </w:tcPr>
          <w:p w14:paraId="5DDBB3D3" w14:textId="77777777" w:rsidR="00B21662" w:rsidRPr="00D03701" w:rsidRDefault="0069601C">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2023</w:t>
            </w:r>
          </w:p>
        </w:tc>
        <w:tc>
          <w:tcPr>
            <w:tcW w:w="1318" w:type="dxa"/>
            <w:shd w:val="clear" w:color="000000" w:fill="C0C0C0"/>
            <w:vAlign w:val="bottom"/>
            <w:hideMark/>
          </w:tcPr>
          <w:p w14:paraId="508E9D16" w14:textId="77777777" w:rsidR="00B21662" w:rsidRPr="00D03701" w:rsidRDefault="00B21662">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Total</w:t>
            </w:r>
          </w:p>
        </w:tc>
      </w:tr>
      <w:tr w:rsidR="00D03701" w:rsidRPr="00D03701" w14:paraId="0C069F15" w14:textId="77777777" w:rsidTr="00141DBD">
        <w:trPr>
          <w:gridAfter w:val="1"/>
          <w:wAfter w:w="6" w:type="dxa"/>
          <w:trHeight w:val="252"/>
        </w:trPr>
        <w:tc>
          <w:tcPr>
            <w:tcW w:w="2610" w:type="dxa"/>
            <w:shd w:val="clear" w:color="auto" w:fill="auto"/>
            <w:vAlign w:val="bottom"/>
            <w:hideMark/>
          </w:tcPr>
          <w:p w14:paraId="057E0F9F"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Costo de inversión en US$</w:t>
            </w:r>
          </w:p>
        </w:tc>
        <w:tc>
          <w:tcPr>
            <w:tcW w:w="1195" w:type="dxa"/>
            <w:shd w:val="clear" w:color="auto" w:fill="auto"/>
            <w:vAlign w:val="bottom"/>
            <w:hideMark/>
          </w:tcPr>
          <w:p w14:paraId="5029E927" w14:textId="2FE48BCE" w:rsidR="00D03701" w:rsidRPr="00D03701" w:rsidRDefault="00D03701" w:rsidP="00D03701">
            <w:pPr>
              <w:spacing w:after="0" w:line="240" w:lineRule="auto"/>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7,570,583</w:t>
            </w:r>
          </w:p>
        </w:tc>
        <w:tc>
          <w:tcPr>
            <w:tcW w:w="1207" w:type="dxa"/>
            <w:shd w:val="clear" w:color="auto" w:fill="auto"/>
            <w:vAlign w:val="bottom"/>
            <w:hideMark/>
          </w:tcPr>
          <w:p w14:paraId="72E26551" w14:textId="7FD64B9F" w:rsidR="00D03701" w:rsidRPr="00D03701" w:rsidRDefault="00D03701" w:rsidP="00D03701">
            <w:pPr>
              <w:spacing w:after="0" w:line="240" w:lineRule="auto"/>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15,658,726</w:t>
            </w:r>
          </w:p>
        </w:tc>
        <w:tc>
          <w:tcPr>
            <w:tcW w:w="1318" w:type="dxa"/>
            <w:shd w:val="clear" w:color="auto" w:fill="auto"/>
            <w:vAlign w:val="bottom"/>
            <w:hideMark/>
          </w:tcPr>
          <w:p w14:paraId="7255C0B2" w14:textId="78B25D68" w:rsidR="00D03701" w:rsidRPr="00D03701" w:rsidRDefault="00D03701" w:rsidP="00D03701">
            <w:pPr>
              <w:spacing w:after="0" w:line="240" w:lineRule="auto"/>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46,539,805</w:t>
            </w:r>
          </w:p>
        </w:tc>
        <w:tc>
          <w:tcPr>
            <w:tcW w:w="1318" w:type="dxa"/>
            <w:shd w:val="clear" w:color="auto" w:fill="auto"/>
            <w:vAlign w:val="bottom"/>
            <w:hideMark/>
          </w:tcPr>
          <w:p w14:paraId="5ECE58A2" w14:textId="053EFFB7" w:rsidR="00D03701" w:rsidRPr="00D03701" w:rsidRDefault="00D03701" w:rsidP="00D03701">
            <w:pPr>
              <w:spacing w:after="0" w:line="240" w:lineRule="auto"/>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18,510,380</w:t>
            </w:r>
          </w:p>
        </w:tc>
        <w:tc>
          <w:tcPr>
            <w:tcW w:w="1318" w:type="dxa"/>
            <w:shd w:val="clear" w:color="auto" w:fill="auto"/>
            <w:vAlign w:val="bottom"/>
            <w:hideMark/>
          </w:tcPr>
          <w:p w14:paraId="2D2B3551" w14:textId="4C71A132" w:rsidR="00D03701" w:rsidRPr="00D03701" w:rsidRDefault="00D03701" w:rsidP="00D03701">
            <w:pPr>
              <w:spacing w:after="0" w:line="240" w:lineRule="auto"/>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9,133,411</w:t>
            </w:r>
          </w:p>
        </w:tc>
        <w:tc>
          <w:tcPr>
            <w:tcW w:w="1318" w:type="dxa"/>
            <w:shd w:val="clear" w:color="auto" w:fill="auto"/>
            <w:vAlign w:val="bottom"/>
            <w:hideMark/>
          </w:tcPr>
          <w:p w14:paraId="6DA91E91" w14:textId="00898289" w:rsidR="00D03701" w:rsidRPr="00D03701" w:rsidRDefault="00D03701" w:rsidP="00D03701">
            <w:pPr>
              <w:spacing w:after="0" w:line="240" w:lineRule="auto"/>
              <w:rPr>
                <w:rFonts w:ascii="Arial" w:hAnsi="Arial" w:cs="Arial"/>
                <w:color w:val="000000"/>
                <w:sz w:val="18"/>
                <w:szCs w:val="18"/>
                <w:highlight w:val="yellow"/>
                <w:lang w:val="es-ES_tradnl"/>
              </w:rPr>
            </w:pPr>
            <w:r w:rsidRPr="00D03701">
              <w:rPr>
                <w:rFonts w:ascii="Arial" w:hAnsi="Arial" w:cs="Arial"/>
                <w:color w:val="000000"/>
                <w:sz w:val="18"/>
                <w:szCs w:val="18"/>
                <w:lang w:val="es-ES_tradnl"/>
              </w:rPr>
              <w:t>#########</w:t>
            </w:r>
          </w:p>
        </w:tc>
      </w:tr>
      <w:tr w:rsidR="00D03701" w:rsidRPr="00D03701" w14:paraId="56537184" w14:textId="77777777" w:rsidTr="0069601C">
        <w:trPr>
          <w:gridAfter w:val="1"/>
          <w:wAfter w:w="6" w:type="dxa"/>
          <w:trHeight w:val="263"/>
        </w:trPr>
        <w:tc>
          <w:tcPr>
            <w:tcW w:w="2610" w:type="dxa"/>
            <w:shd w:val="clear" w:color="000000" w:fill="A6A6A6"/>
            <w:vAlign w:val="bottom"/>
            <w:hideMark/>
          </w:tcPr>
          <w:p w14:paraId="7511AC96" w14:textId="77777777" w:rsidR="00D03701" w:rsidRPr="00D03701" w:rsidRDefault="00D03701" w:rsidP="00D03701">
            <w:pPr>
              <w:spacing w:after="0" w:line="240" w:lineRule="auto"/>
              <w:jc w:val="center"/>
              <w:rPr>
                <w:rFonts w:ascii="Arial" w:hAnsi="Arial" w:cs="Arial"/>
                <w:b/>
                <w:color w:val="000000"/>
                <w:sz w:val="18"/>
                <w:szCs w:val="18"/>
                <w:lang w:val="es-ES_tradnl"/>
              </w:rPr>
            </w:pPr>
            <w:r w:rsidRPr="00D03701">
              <w:rPr>
                <w:rFonts w:ascii="Arial" w:hAnsi="Arial" w:cs="Arial"/>
                <w:color w:val="000000"/>
                <w:sz w:val="18"/>
                <w:szCs w:val="18"/>
                <w:lang w:val="es-ES_tradnl"/>
              </w:rPr>
              <w:t>%</w:t>
            </w:r>
          </w:p>
        </w:tc>
        <w:tc>
          <w:tcPr>
            <w:tcW w:w="1195" w:type="dxa"/>
            <w:shd w:val="clear" w:color="000000" w:fill="BFBFBF"/>
            <w:vAlign w:val="center"/>
            <w:hideMark/>
          </w:tcPr>
          <w:p w14:paraId="4216ED07" w14:textId="5590AFE7" w:rsidR="00D03701" w:rsidRPr="00D03701" w:rsidRDefault="00D03701" w:rsidP="00D03701">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7.46</w:t>
            </w:r>
          </w:p>
        </w:tc>
        <w:tc>
          <w:tcPr>
            <w:tcW w:w="1207" w:type="dxa"/>
            <w:shd w:val="clear" w:color="000000" w:fill="BFBFBF"/>
            <w:vAlign w:val="center"/>
            <w:hideMark/>
          </w:tcPr>
          <w:p w14:paraId="04900D2C" w14:textId="17A228DE" w:rsidR="00D03701" w:rsidRPr="00D03701" w:rsidRDefault="00D03701" w:rsidP="00D03701">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15.43</w:t>
            </w:r>
          </w:p>
        </w:tc>
        <w:tc>
          <w:tcPr>
            <w:tcW w:w="1318" w:type="dxa"/>
            <w:shd w:val="clear" w:color="000000" w:fill="BFBFBF"/>
            <w:vAlign w:val="center"/>
            <w:hideMark/>
          </w:tcPr>
          <w:p w14:paraId="25560C7B" w14:textId="6CD56D21" w:rsidR="00D03701" w:rsidRPr="00D03701" w:rsidRDefault="00D03701" w:rsidP="00D03701">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45.86</w:t>
            </w:r>
          </w:p>
        </w:tc>
        <w:tc>
          <w:tcPr>
            <w:tcW w:w="1318" w:type="dxa"/>
            <w:shd w:val="clear" w:color="000000" w:fill="BFBFBF"/>
            <w:vAlign w:val="center"/>
            <w:hideMark/>
          </w:tcPr>
          <w:p w14:paraId="712986B3" w14:textId="7009E5B8" w:rsidR="00D03701" w:rsidRPr="00D03701" w:rsidRDefault="00D03701" w:rsidP="00D03701">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18.24</w:t>
            </w:r>
          </w:p>
        </w:tc>
        <w:tc>
          <w:tcPr>
            <w:tcW w:w="1318" w:type="dxa"/>
            <w:shd w:val="clear" w:color="000000" w:fill="BFBFBF"/>
            <w:vAlign w:val="center"/>
            <w:hideMark/>
          </w:tcPr>
          <w:p w14:paraId="61216DD2" w14:textId="1CB391DE" w:rsidR="00D03701" w:rsidRPr="00D03701" w:rsidRDefault="00D03701" w:rsidP="00D03701">
            <w:pPr>
              <w:spacing w:after="0" w:line="240" w:lineRule="auto"/>
              <w:jc w:val="center"/>
              <w:rPr>
                <w:rFonts w:ascii="Arial" w:hAnsi="Arial" w:cs="Arial"/>
                <w:b/>
                <w:color w:val="000000"/>
                <w:sz w:val="18"/>
                <w:szCs w:val="18"/>
                <w:lang w:val="es-ES_tradnl"/>
              </w:rPr>
            </w:pPr>
            <w:r w:rsidRPr="00D03701">
              <w:rPr>
                <w:rFonts w:ascii="Arial" w:hAnsi="Arial" w:cs="Arial"/>
                <w:b/>
                <w:bCs/>
                <w:color w:val="000000"/>
                <w:sz w:val="18"/>
                <w:szCs w:val="18"/>
                <w:lang w:val="es-ES_tradnl"/>
              </w:rPr>
              <w:t>9</w:t>
            </w:r>
          </w:p>
        </w:tc>
        <w:tc>
          <w:tcPr>
            <w:tcW w:w="1318" w:type="dxa"/>
            <w:shd w:val="clear" w:color="000000" w:fill="BFBFBF"/>
            <w:vAlign w:val="center"/>
            <w:hideMark/>
          </w:tcPr>
          <w:p w14:paraId="5A7F0799" w14:textId="1B7881F1" w:rsidR="00D03701" w:rsidRPr="00D03701" w:rsidRDefault="00D03701" w:rsidP="00D03701">
            <w:pPr>
              <w:spacing w:after="0" w:line="240" w:lineRule="auto"/>
              <w:jc w:val="center"/>
              <w:rPr>
                <w:rFonts w:ascii="Arial" w:hAnsi="Arial" w:cs="Arial"/>
                <w:b/>
                <w:color w:val="000000"/>
                <w:sz w:val="18"/>
                <w:szCs w:val="18"/>
                <w:lang w:val="es-ES_tradnl"/>
              </w:rPr>
            </w:pPr>
            <w:r w:rsidRPr="00D03701">
              <w:rPr>
                <w:rFonts w:ascii="Arial" w:hAnsi="Arial" w:cs="Arial"/>
                <w:color w:val="000000"/>
                <w:sz w:val="18"/>
                <w:szCs w:val="18"/>
                <w:lang w:val="es-ES_tradnl"/>
              </w:rPr>
              <w:t>100</w:t>
            </w:r>
          </w:p>
        </w:tc>
      </w:tr>
      <w:tr w:rsidR="002040E0" w:rsidRPr="00D03701" w14:paraId="7FD3A84B" w14:textId="77777777" w:rsidTr="00141DBD">
        <w:trPr>
          <w:trHeight w:val="263"/>
        </w:trPr>
        <w:tc>
          <w:tcPr>
            <w:tcW w:w="10290" w:type="dxa"/>
            <w:gridSpan w:val="8"/>
            <w:shd w:val="clear" w:color="auto" w:fill="auto"/>
            <w:vAlign w:val="bottom"/>
          </w:tcPr>
          <w:p w14:paraId="5A36B53C" w14:textId="77777777" w:rsidR="002040E0" w:rsidRPr="00D03701" w:rsidRDefault="002040E0" w:rsidP="00D74597">
            <w:pPr>
              <w:spacing w:after="0" w:line="240" w:lineRule="auto"/>
              <w:rPr>
                <w:rFonts w:ascii="Arial" w:hAnsi="Arial" w:cs="Arial"/>
                <w:b/>
                <w:color w:val="000000"/>
                <w:sz w:val="18"/>
                <w:szCs w:val="18"/>
                <w:lang w:val="es-ES_tradnl"/>
              </w:rPr>
            </w:pPr>
            <w:r w:rsidRPr="00D03701">
              <w:rPr>
                <w:rFonts w:ascii="Arial" w:hAnsi="Arial" w:cs="Arial"/>
                <w:b/>
                <w:color w:val="000000"/>
                <w:sz w:val="18"/>
                <w:szCs w:val="18"/>
                <w:lang w:val="es-ES_tradnl"/>
              </w:rPr>
              <w:t>Fuente: PEP del Proyecto</w:t>
            </w:r>
          </w:p>
        </w:tc>
      </w:tr>
    </w:tbl>
    <w:p w14:paraId="75EC3BDB" w14:textId="77777777" w:rsidR="00F10D9A" w:rsidRPr="00D03701" w:rsidRDefault="007E781F">
      <w:pPr>
        <w:pStyle w:val="Paragraph"/>
        <w:numPr>
          <w:ilvl w:val="1"/>
          <w:numId w:val="3"/>
        </w:numPr>
        <w:ind w:left="540" w:hanging="540"/>
        <w:outlineLvl w:val="9"/>
        <w:rPr>
          <w:rFonts w:ascii="Arial" w:hAnsi="Arial" w:cs="Arial"/>
          <w:sz w:val="22"/>
          <w:szCs w:val="22"/>
          <w:lang w:val="es-ES_tradnl"/>
        </w:rPr>
      </w:pPr>
      <w:r w:rsidRPr="00D03701">
        <w:rPr>
          <w:rFonts w:ascii="Arial" w:hAnsi="Arial" w:cs="Arial"/>
          <w:sz w:val="22"/>
          <w:szCs w:val="22"/>
          <w:lang w:val="es-ES_tradnl"/>
        </w:rPr>
        <w:t>A fin de convertir los costos de inversión de precios de mercado a precios sociales, se realizó una desagregación de los costos en materiales y equipos nacionales, materiales y equipos importados, mano de obra calificada y mano de obra no calificada. Esta clasificación se presenta en el Cuadro 3.</w:t>
      </w:r>
    </w:p>
    <w:p w14:paraId="02C12F15" w14:textId="77777777" w:rsidR="00F10D9A" w:rsidRPr="00D03701" w:rsidRDefault="00F10D9A">
      <w:pPr>
        <w:pStyle w:val="Paragraph"/>
        <w:numPr>
          <w:ilvl w:val="0"/>
          <w:numId w:val="0"/>
        </w:numPr>
        <w:ind w:left="1296" w:hanging="1296"/>
        <w:outlineLvl w:val="9"/>
        <w:rPr>
          <w:rFonts w:ascii="Arial" w:hAnsi="Arial" w:cs="Arial"/>
          <w:sz w:val="22"/>
          <w:szCs w:val="22"/>
          <w:lang w:val="es-ES_tradnl"/>
        </w:rPr>
      </w:pPr>
    </w:p>
    <w:tbl>
      <w:tblPr>
        <w:tblW w:w="7655" w:type="dxa"/>
        <w:tblInd w:w="535" w:type="dxa"/>
        <w:tblLook w:val="04A0" w:firstRow="1" w:lastRow="0" w:firstColumn="1" w:lastColumn="0" w:noHBand="0" w:noVBand="1"/>
      </w:tblPr>
      <w:tblGrid>
        <w:gridCol w:w="5670"/>
        <w:gridCol w:w="1985"/>
      </w:tblGrid>
      <w:tr w:rsidR="00663924" w:rsidRPr="00BE7955" w14:paraId="23F69EA8" w14:textId="77777777" w:rsidTr="00141DBD">
        <w:trPr>
          <w:trHeight w:val="300"/>
        </w:trPr>
        <w:tc>
          <w:tcPr>
            <w:tcW w:w="7655" w:type="dxa"/>
            <w:gridSpan w:val="2"/>
            <w:tcBorders>
              <w:top w:val="single" w:sz="4" w:space="0" w:color="auto"/>
              <w:left w:val="single" w:sz="4" w:space="0" w:color="auto"/>
              <w:bottom w:val="single" w:sz="4" w:space="0" w:color="auto"/>
              <w:right w:val="single" w:sz="4" w:space="0" w:color="000000"/>
            </w:tcBorders>
            <w:shd w:val="clear" w:color="000000" w:fill="C0C0C0"/>
            <w:vAlign w:val="bottom"/>
            <w:hideMark/>
          </w:tcPr>
          <w:p w14:paraId="4837E91B" w14:textId="77777777" w:rsidR="00663924" w:rsidRPr="00D03701" w:rsidRDefault="00663924" w:rsidP="00663924">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Cuadro 3: Costos de inversión por insumo económico (en US$)</w:t>
            </w:r>
          </w:p>
        </w:tc>
      </w:tr>
      <w:tr w:rsidR="00663924" w:rsidRPr="00D03701" w14:paraId="642A436A" w14:textId="77777777" w:rsidTr="00001532">
        <w:trPr>
          <w:trHeight w:val="525"/>
        </w:trPr>
        <w:tc>
          <w:tcPr>
            <w:tcW w:w="5670" w:type="dxa"/>
            <w:tcBorders>
              <w:top w:val="nil"/>
              <w:left w:val="single" w:sz="4" w:space="0" w:color="auto"/>
              <w:bottom w:val="single" w:sz="4" w:space="0" w:color="auto"/>
              <w:right w:val="single" w:sz="4" w:space="0" w:color="auto"/>
            </w:tcBorders>
            <w:shd w:val="clear" w:color="000000" w:fill="C0C0C0"/>
            <w:vAlign w:val="bottom"/>
            <w:hideMark/>
          </w:tcPr>
          <w:p w14:paraId="47316873" w14:textId="77777777" w:rsidR="00663924" w:rsidRPr="00D03701" w:rsidRDefault="00663924" w:rsidP="00663924">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Insumo económico</w:t>
            </w:r>
          </w:p>
        </w:tc>
        <w:tc>
          <w:tcPr>
            <w:tcW w:w="1985" w:type="dxa"/>
            <w:tcBorders>
              <w:top w:val="nil"/>
              <w:left w:val="nil"/>
              <w:bottom w:val="single" w:sz="4" w:space="0" w:color="auto"/>
              <w:right w:val="single" w:sz="4" w:space="0" w:color="auto"/>
            </w:tcBorders>
            <w:shd w:val="clear" w:color="000000" w:fill="C0C0C0"/>
            <w:vAlign w:val="bottom"/>
            <w:hideMark/>
          </w:tcPr>
          <w:p w14:paraId="4D80E050" w14:textId="77777777" w:rsidR="00663924" w:rsidRPr="00D03701" w:rsidRDefault="00663924" w:rsidP="00663924">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Costo financiero</w:t>
            </w:r>
          </w:p>
        </w:tc>
      </w:tr>
      <w:tr w:rsidR="00D03701" w:rsidRPr="00D03701" w14:paraId="011217FA"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446917FE"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Sistemas de computador y aplicativos de origen nacional</w:t>
            </w:r>
          </w:p>
        </w:tc>
        <w:tc>
          <w:tcPr>
            <w:tcW w:w="1985" w:type="dxa"/>
            <w:tcBorders>
              <w:top w:val="nil"/>
              <w:left w:val="nil"/>
              <w:bottom w:val="single" w:sz="4" w:space="0" w:color="auto"/>
              <w:right w:val="single" w:sz="4" w:space="0" w:color="auto"/>
            </w:tcBorders>
            <w:shd w:val="clear" w:color="auto" w:fill="auto"/>
            <w:vAlign w:val="bottom"/>
            <w:hideMark/>
          </w:tcPr>
          <w:p w14:paraId="0ECA46FD" w14:textId="79432886"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0</w:t>
            </w:r>
          </w:p>
        </w:tc>
      </w:tr>
      <w:tr w:rsidR="00D03701" w:rsidRPr="00D03701" w14:paraId="251A7A1A"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2E2E90E9"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Sistemas de computador y aplicativos de origen importado</w:t>
            </w:r>
          </w:p>
        </w:tc>
        <w:tc>
          <w:tcPr>
            <w:tcW w:w="1985" w:type="dxa"/>
            <w:tcBorders>
              <w:top w:val="nil"/>
              <w:left w:val="nil"/>
              <w:bottom w:val="single" w:sz="4" w:space="0" w:color="auto"/>
              <w:right w:val="single" w:sz="4" w:space="0" w:color="auto"/>
            </w:tcBorders>
            <w:shd w:val="clear" w:color="auto" w:fill="auto"/>
            <w:vAlign w:val="bottom"/>
            <w:hideMark/>
          </w:tcPr>
          <w:p w14:paraId="4B7A123D" w14:textId="006AA77E"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20,296,470</w:t>
            </w:r>
          </w:p>
        </w:tc>
      </w:tr>
      <w:tr w:rsidR="00D03701" w:rsidRPr="00D03701" w14:paraId="0702910C"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03CB01A1"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Equipos de origen nacional</w:t>
            </w:r>
          </w:p>
        </w:tc>
        <w:tc>
          <w:tcPr>
            <w:tcW w:w="1985" w:type="dxa"/>
            <w:tcBorders>
              <w:top w:val="nil"/>
              <w:left w:val="nil"/>
              <w:bottom w:val="single" w:sz="4" w:space="0" w:color="auto"/>
              <w:right w:val="single" w:sz="4" w:space="0" w:color="auto"/>
            </w:tcBorders>
            <w:shd w:val="clear" w:color="auto" w:fill="auto"/>
            <w:vAlign w:val="bottom"/>
            <w:hideMark/>
          </w:tcPr>
          <w:p w14:paraId="1E0A2A39" w14:textId="4EC713A8"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0</w:t>
            </w:r>
          </w:p>
        </w:tc>
      </w:tr>
      <w:tr w:rsidR="00D03701" w:rsidRPr="00D03701" w14:paraId="2E2DF224"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08831FA7"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Equipos de origen importado</w:t>
            </w:r>
          </w:p>
        </w:tc>
        <w:tc>
          <w:tcPr>
            <w:tcW w:w="1985" w:type="dxa"/>
            <w:tcBorders>
              <w:top w:val="nil"/>
              <w:left w:val="nil"/>
              <w:bottom w:val="single" w:sz="4" w:space="0" w:color="auto"/>
              <w:right w:val="single" w:sz="4" w:space="0" w:color="auto"/>
            </w:tcBorders>
            <w:shd w:val="clear" w:color="auto" w:fill="auto"/>
            <w:vAlign w:val="bottom"/>
            <w:hideMark/>
          </w:tcPr>
          <w:p w14:paraId="2961F62D" w14:textId="1E63B822"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32,000,429</w:t>
            </w:r>
          </w:p>
        </w:tc>
      </w:tr>
      <w:tr w:rsidR="00D03701" w:rsidRPr="00D03701" w14:paraId="1CDF9F97"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33AF2818"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Servicio de origen nacional</w:t>
            </w:r>
          </w:p>
        </w:tc>
        <w:tc>
          <w:tcPr>
            <w:tcW w:w="1985" w:type="dxa"/>
            <w:tcBorders>
              <w:top w:val="nil"/>
              <w:left w:val="nil"/>
              <w:bottom w:val="single" w:sz="4" w:space="0" w:color="auto"/>
              <w:right w:val="single" w:sz="4" w:space="0" w:color="auto"/>
            </w:tcBorders>
            <w:shd w:val="clear" w:color="auto" w:fill="auto"/>
            <w:vAlign w:val="bottom"/>
            <w:hideMark/>
          </w:tcPr>
          <w:p w14:paraId="61A1F277" w14:textId="5BC5A133"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8,089,706</w:t>
            </w:r>
          </w:p>
        </w:tc>
      </w:tr>
      <w:tr w:rsidR="00D03701" w:rsidRPr="00D03701" w14:paraId="36E68A98"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49FA2DF6"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Servicios de origen importada</w:t>
            </w:r>
          </w:p>
        </w:tc>
        <w:tc>
          <w:tcPr>
            <w:tcW w:w="1985" w:type="dxa"/>
            <w:tcBorders>
              <w:top w:val="nil"/>
              <w:left w:val="nil"/>
              <w:bottom w:val="single" w:sz="4" w:space="0" w:color="auto"/>
              <w:right w:val="single" w:sz="4" w:space="0" w:color="auto"/>
            </w:tcBorders>
            <w:shd w:val="clear" w:color="auto" w:fill="auto"/>
            <w:vAlign w:val="bottom"/>
            <w:hideMark/>
          </w:tcPr>
          <w:p w14:paraId="1DC2027F" w14:textId="1182943D"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5,393,137</w:t>
            </w:r>
          </w:p>
        </w:tc>
      </w:tr>
      <w:tr w:rsidR="00D03701" w:rsidRPr="00D03701" w14:paraId="5C6EE871"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455FB57F"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Mano de obra no calificada</w:t>
            </w:r>
          </w:p>
        </w:tc>
        <w:tc>
          <w:tcPr>
            <w:tcW w:w="1985" w:type="dxa"/>
            <w:tcBorders>
              <w:top w:val="nil"/>
              <w:left w:val="nil"/>
              <w:bottom w:val="single" w:sz="4" w:space="0" w:color="auto"/>
              <w:right w:val="single" w:sz="4" w:space="0" w:color="auto"/>
            </w:tcBorders>
            <w:shd w:val="clear" w:color="auto" w:fill="auto"/>
            <w:vAlign w:val="bottom"/>
            <w:hideMark/>
          </w:tcPr>
          <w:p w14:paraId="03C29F88" w14:textId="41DCD87E"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0</w:t>
            </w:r>
          </w:p>
        </w:tc>
      </w:tr>
      <w:tr w:rsidR="00D03701" w:rsidRPr="00D03701" w14:paraId="1D273FD4"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25D80E32"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Mano de obra calificada</w:t>
            </w:r>
          </w:p>
        </w:tc>
        <w:tc>
          <w:tcPr>
            <w:tcW w:w="1985" w:type="dxa"/>
            <w:tcBorders>
              <w:top w:val="nil"/>
              <w:left w:val="nil"/>
              <w:bottom w:val="single" w:sz="4" w:space="0" w:color="auto"/>
              <w:right w:val="single" w:sz="4" w:space="0" w:color="auto"/>
            </w:tcBorders>
            <w:shd w:val="clear" w:color="auto" w:fill="auto"/>
            <w:vAlign w:val="bottom"/>
            <w:hideMark/>
          </w:tcPr>
          <w:p w14:paraId="6CA55127" w14:textId="141FED29"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35,703,418</w:t>
            </w:r>
          </w:p>
        </w:tc>
      </w:tr>
      <w:tr w:rsidR="00D03701" w:rsidRPr="00D03701" w14:paraId="31A80958"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05C868D5"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Imprevistos</w:t>
            </w:r>
          </w:p>
        </w:tc>
        <w:tc>
          <w:tcPr>
            <w:tcW w:w="1985" w:type="dxa"/>
            <w:tcBorders>
              <w:top w:val="nil"/>
              <w:left w:val="nil"/>
              <w:bottom w:val="single" w:sz="4" w:space="0" w:color="auto"/>
              <w:right w:val="single" w:sz="4" w:space="0" w:color="auto"/>
            </w:tcBorders>
            <w:shd w:val="clear" w:color="auto" w:fill="auto"/>
            <w:vAlign w:val="bottom"/>
            <w:hideMark/>
          </w:tcPr>
          <w:p w14:paraId="746A6B6C" w14:textId="6FF95094"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0</w:t>
            </w:r>
          </w:p>
        </w:tc>
      </w:tr>
      <w:tr w:rsidR="00D03701" w:rsidRPr="00D03701" w14:paraId="4E0E1FE4" w14:textId="77777777" w:rsidTr="00001532">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167B393B"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Total</w:t>
            </w:r>
          </w:p>
        </w:tc>
        <w:tc>
          <w:tcPr>
            <w:tcW w:w="1985" w:type="dxa"/>
            <w:tcBorders>
              <w:top w:val="nil"/>
              <w:left w:val="nil"/>
              <w:bottom w:val="single" w:sz="4" w:space="0" w:color="auto"/>
              <w:right w:val="single" w:sz="4" w:space="0" w:color="auto"/>
            </w:tcBorders>
            <w:shd w:val="clear" w:color="auto" w:fill="auto"/>
            <w:vAlign w:val="bottom"/>
            <w:hideMark/>
          </w:tcPr>
          <w:p w14:paraId="104F521F" w14:textId="55BFDB28" w:rsidR="00D03701" w:rsidRPr="00D03701" w:rsidRDefault="00D03701" w:rsidP="00D03701">
            <w:pPr>
              <w:spacing w:after="0" w:line="240" w:lineRule="auto"/>
              <w:jc w:val="right"/>
              <w:rPr>
                <w:rFonts w:ascii="Arial" w:eastAsia="Times New Roman" w:hAnsi="Arial" w:cs="Arial"/>
                <w:color w:val="000000"/>
                <w:sz w:val="18"/>
                <w:szCs w:val="18"/>
                <w:highlight w:val="yellow"/>
                <w:lang w:val="es-ES_tradnl"/>
              </w:rPr>
            </w:pPr>
            <w:r w:rsidRPr="00D03701">
              <w:rPr>
                <w:rFonts w:ascii="Arial" w:hAnsi="Arial" w:cs="Arial"/>
                <w:color w:val="000000"/>
                <w:sz w:val="18"/>
                <w:szCs w:val="18"/>
                <w:lang w:val="es-ES_tradnl"/>
              </w:rPr>
              <w:t>101,483,160</w:t>
            </w:r>
          </w:p>
        </w:tc>
      </w:tr>
      <w:tr w:rsidR="00F055B4" w:rsidRPr="00BE7955" w14:paraId="4C22A46C" w14:textId="77777777" w:rsidTr="00141DBD">
        <w:trPr>
          <w:trHeight w:val="30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EEA4340" w14:textId="77777777" w:rsidR="00F055B4" w:rsidRPr="00D03701" w:rsidRDefault="00F055B4" w:rsidP="00D74597">
            <w:pPr>
              <w:spacing w:after="0" w:line="240" w:lineRule="auto"/>
              <w:rPr>
                <w:rFonts w:ascii="Arial" w:eastAsia="Times New Roman" w:hAnsi="Arial" w:cs="Arial"/>
                <w:b/>
                <w:color w:val="000000"/>
                <w:sz w:val="18"/>
                <w:szCs w:val="18"/>
                <w:lang w:val="es-ES_tradnl"/>
              </w:rPr>
            </w:pPr>
            <w:r w:rsidRPr="00D03701">
              <w:rPr>
                <w:rFonts w:ascii="Arial" w:eastAsia="Times New Roman" w:hAnsi="Arial" w:cs="Arial"/>
                <w:b/>
                <w:color w:val="000000"/>
                <w:sz w:val="18"/>
                <w:szCs w:val="18"/>
                <w:lang w:val="es-ES_tradnl"/>
              </w:rPr>
              <w:t xml:space="preserve">Fuente: </w:t>
            </w:r>
            <w:r w:rsidR="004E2DF2" w:rsidRPr="00D03701">
              <w:rPr>
                <w:rFonts w:ascii="Arial" w:eastAsia="Times New Roman" w:hAnsi="Arial" w:cs="Arial"/>
                <w:b/>
                <w:color w:val="000000"/>
                <w:sz w:val="18"/>
                <w:szCs w:val="18"/>
                <w:lang w:val="es-ES_tradnl"/>
              </w:rPr>
              <w:t>Plan</w:t>
            </w:r>
            <w:r w:rsidR="002040E0" w:rsidRPr="00D03701">
              <w:rPr>
                <w:rFonts w:ascii="Arial" w:eastAsia="Times New Roman" w:hAnsi="Arial" w:cs="Arial"/>
                <w:b/>
                <w:color w:val="000000"/>
                <w:sz w:val="18"/>
                <w:szCs w:val="18"/>
                <w:lang w:val="es-ES_tradnl"/>
              </w:rPr>
              <w:t xml:space="preserve"> </w:t>
            </w:r>
            <w:r w:rsidR="004E2DF2" w:rsidRPr="00D03701">
              <w:rPr>
                <w:rFonts w:ascii="Arial" w:eastAsia="Times New Roman" w:hAnsi="Arial" w:cs="Arial"/>
                <w:b/>
                <w:color w:val="000000"/>
                <w:sz w:val="18"/>
                <w:szCs w:val="18"/>
                <w:lang w:val="es-ES_tradnl"/>
              </w:rPr>
              <w:t>de Adquisiciones del proyecto.</w:t>
            </w:r>
          </w:p>
        </w:tc>
      </w:tr>
    </w:tbl>
    <w:p w14:paraId="680AA996" w14:textId="77777777" w:rsidR="00F10D9A" w:rsidRPr="00D03701" w:rsidRDefault="007E781F">
      <w:pPr>
        <w:pStyle w:val="Paragraph"/>
        <w:numPr>
          <w:ilvl w:val="1"/>
          <w:numId w:val="3"/>
        </w:numPr>
        <w:ind w:left="540" w:hanging="540"/>
        <w:outlineLvl w:val="9"/>
        <w:rPr>
          <w:rFonts w:ascii="Arial" w:hAnsi="Arial" w:cs="Arial"/>
          <w:sz w:val="22"/>
          <w:szCs w:val="22"/>
          <w:lang w:val="es-ES_tradnl"/>
        </w:rPr>
      </w:pPr>
      <w:r w:rsidRPr="00D03701">
        <w:rPr>
          <w:rFonts w:ascii="Arial" w:hAnsi="Arial" w:cs="Arial"/>
          <w:sz w:val="22"/>
          <w:szCs w:val="22"/>
          <w:lang w:val="es-ES_tradnl"/>
        </w:rPr>
        <w:t xml:space="preserve">Dado que los precios de mercado no reflejan el costo real de oportunidad de los recursos, debido a la presencia de imperfecciones tales como impuestos (subsidios), bandas de precios, presencia de poder de mercado (monopolios), etc., dichos precios deben </w:t>
      </w:r>
      <w:r w:rsidRPr="00D03701">
        <w:rPr>
          <w:rFonts w:ascii="Arial" w:hAnsi="Arial" w:cs="Arial"/>
          <w:sz w:val="22"/>
          <w:szCs w:val="22"/>
          <w:lang w:val="es-ES_tradnl"/>
        </w:rPr>
        <w:lastRenderedPageBreak/>
        <w:t>corregirse considerando factores de conversión que transforman un precio de mercado en un precio de eficiencia o precio social (precio sombra). Para realizar dicha conversión se aplicaron los factores de conversión indicados a continuación.</w:t>
      </w:r>
    </w:p>
    <w:p w14:paraId="7C18BDF9" w14:textId="71C8AF59" w:rsidR="00F10D9A" w:rsidRPr="00D03701" w:rsidRDefault="007E781F">
      <w:pPr>
        <w:pStyle w:val="Paragraph"/>
        <w:numPr>
          <w:ilvl w:val="0"/>
          <w:numId w:val="4"/>
        </w:numPr>
        <w:ind w:left="900"/>
        <w:outlineLvl w:val="9"/>
        <w:rPr>
          <w:rFonts w:ascii="Arial" w:hAnsi="Arial" w:cs="Arial"/>
          <w:sz w:val="22"/>
          <w:szCs w:val="22"/>
          <w:lang w:val="es-ES_tradnl"/>
        </w:rPr>
      </w:pPr>
      <w:r w:rsidRPr="00D03701">
        <w:rPr>
          <w:rFonts w:ascii="Arial" w:hAnsi="Arial" w:cs="Arial"/>
          <w:spacing w:val="-1"/>
          <w:sz w:val="22"/>
          <w:szCs w:val="22"/>
          <w:u w:val="single" w:color="000000"/>
          <w:lang w:val="es-ES_tradnl"/>
        </w:rPr>
        <w:t>Factor</w:t>
      </w:r>
      <w:r w:rsidRPr="00D03701">
        <w:rPr>
          <w:rFonts w:ascii="Arial" w:hAnsi="Arial" w:cs="Arial"/>
          <w:spacing w:val="38"/>
          <w:sz w:val="22"/>
          <w:szCs w:val="22"/>
          <w:u w:val="single" w:color="000000"/>
          <w:lang w:val="es-ES_tradnl"/>
        </w:rPr>
        <w:t xml:space="preserve"> </w:t>
      </w:r>
      <w:r w:rsidRPr="00D03701">
        <w:rPr>
          <w:rFonts w:ascii="Arial" w:hAnsi="Arial" w:cs="Arial"/>
          <w:sz w:val="22"/>
          <w:szCs w:val="22"/>
          <w:u w:val="single" w:color="000000"/>
          <w:lang w:val="es-ES_tradnl"/>
        </w:rPr>
        <w:t>de</w:t>
      </w:r>
      <w:r w:rsidRPr="00D03701">
        <w:rPr>
          <w:rFonts w:ascii="Arial" w:hAnsi="Arial" w:cs="Arial"/>
          <w:spacing w:val="39"/>
          <w:sz w:val="22"/>
          <w:szCs w:val="22"/>
          <w:u w:val="single" w:color="000000"/>
          <w:lang w:val="es-ES_tradnl"/>
        </w:rPr>
        <w:t xml:space="preserve"> </w:t>
      </w:r>
      <w:r w:rsidRPr="00D03701">
        <w:rPr>
          <w:rFonts w:ascii="Arial" w:hAnsi="Arial" w:cs="Arial"/>
          <w:spacing w:val="-1"/>
          <w:sz w:val="22"/>
          <w:szCs w:val="22"/>
          <w:u w:val="single" w:color="000000"/>
          <w:lang w:val="es-ES_tradnl"/>
        </w:rPr>
        <w:t>conversión</w:t>
      </w:r>
      <w:r w:rsidRPr="00D03701">
        <w:rPr>
          <w:rFonts w:ascii="Arial" w:hAnsi="Arial" w:cs="Arial"/>
          <w:spacing w:val="39"/>
          <w:sz w:val="22"/>
          <w:szCs w:val="22"/>
          <w:u w:val="single" w:color="000000"/>
          <w:lang w:val="es-ES_tradnl"/>
        </w:rPr>
        <w:t xml:space="preserve"> </w:t>
      </w:r>
      <w:r w:rsidRPr="00D03701">
        <w:rPr>
          <w:rFonts w:ascii="Arial" w:hAnsi="Arial" w:cs="Arial"/>
          <w:spacing w:val="-1"/>
          <w:sz w:val="22"/>
          <w:szCs w:val="22"/>
          <w:u w:val="single" w:color="000000"/>
          <w:lang w:val="es-ES_tradnl"/>
        </w:rPr>
        <w:t>estándar</w:t>
      </w:r>
      <w:r w:rsidRPr="00D03701">
        <w:rPr>
          <w:rFonts w:ascii="Arial" w:hAnsi="Arial" w:cs="Arial"/>
          <w:spacing w:val="37"/>
          <w:sz w:val="22"/>
          <w:szCs w:val="22"/>
          <w:u w:val="single" w:color="000000"/>
          <w:lang w:val="es-ES_tradnl"/>
        </w:rPr>
        <w:t xml:space="preserve"> </w:t>
      </w:r>
      <w:r w:rsidRPr="00D03701">
        <w:rPr>
          <w:rFonts w:ascii="Arial" w:hAnsi="Arial" w:cs="Arial"/>
          <w:spacing w:val="-1"/>
          <w:sz w:val="22"/>
          <w:szCs w:val="22"/>
          <w:u w:val="single" w:color="000000"/>
          <w:lang w:val="es-ES_tradnl"/>
        </w:rPr>
        <w:t>(FCS)</w:t>
      </w:r>
      <w:r w:rsidRPr="00D03701">
        <w:rPr>
          <w:rFonts w:ascii="Arial" w:hAnsi="Arial" w:cs="Arial"/>
          <w:spacing w:val="-1"/>
          <w:sz w:val="22"/>
          <w:szCs w:val="22"/>
          <w:lang w:val="es-ES_tradnl"/>
        </w:rPr>
        <w:t>:</w:t>
      </w:r>
      <w:r w:rsidRPr="00D03701">
        <w:rPr>
          <w:rFonts w:ascii="Arial" w:hAnsi="Arial" w:cs="Arial"/>
          <w:spacing w:val="38"/>
          <w:sz w:val="22"/>
          <w:szCs w:val="22"/>
          <w:lang w:val="es-ES_tradnl"/>
        </w:rPr>
        <w:t xml:space="preserve"> </w:t>
      </w:r>
      <w:r w:rsidRPr="00D03701">
        <w:rPr>
          <w:rFonts w:ascii="Arial" w:hAnsi="Arial" w:cs="Arial"/>
          <w:sz w:val="22"/>
          <w:szCs w:val="22"/>
          <w:lang w:val="es-ES_tradnl"/>
        </w:rPr>
        <w:t>se</w:t>
      </w:r>
      <w:r w:rsidRPr="00D03701">
        <w:rPr>
          <w:rFonts w:ascii="Arial" w:hAnsi="Arial" w:cs="Arial"/>
          <w:spacing w:val="35"/>
          <w:sz w:val="22"/>
          <w:szCs w:val="22"/>
          <w:lang w:val="es-ES_tradnl"/>
        </w:rPr>
        <w:t xml:space="preserve"> </w:t>
      </w:r>
      <w:r w:rsidRPr="00D03701">
        <w:rPr>
          <w:rFonts w:ascii="Arial" w:hAnsi="Arial" w:cs="Arial"/>
          <w:sz w:val="22"/>
          <w:szCs w:val="22"/>
          <w:lang w:val="es-ES_tradnl"/>
        </w:rPr>
        <w:t>obtiene</w:t>
      </w:r>
      <w:r w:rsidRPr="00D03701">
        <w:rPr>
          <w:rFonts w:ascii="Arial" w:hAnsi="Arial" w:cs="Arial"/>
          <w:spacing w:val="36"/>
          <w:sz w:val="22"/>
          <w:szCs w:val="22"/>
          <w:lang w:val="es-ES_tradnl"/>
        </w:rPr>
        <w:t xml:space="preserve"> </w:t>
      </w:r>
      <w:r w:rsidRPr="00D03701">
        <w:rPr>
          <w:rFonts w:ascii="Arial" w:hAnsi="Arial" w:cs="Arial"/>
          <w:sz w:val="22"/>
          <w:szCs w:val="22"/>
          <w:lang w:val="es-ES_tradnl"/>
        </w:rPr>
        <w:t>a</w:t>
      </w:r>
      <w:r w:rsidRPr="00D03701">
        <w:rPr>
          <w:rFonts w:ascii="Arial" w:hAnsi="Arial" w:cs="Arial"/>
          <w:spacing w:val="36"/>
          <w:sz w:val="22"/>
          <w:szCs w:val="22"/>
          <w:lang w:val="es-ES_tradnl"/>
        </w:rPr>
        <w:t xml:space="preserve"> </w:t>
      </w:r>
      <w:r w:rsidRPr="00D03701">
        <w:rPr>
          <w:rFonts w:ascii="Arial" w:hAnsi="Arial" w:cs="Arial"/>
          <w:spacing w:val="-1"/>
          <w:sz w:val="22"/>
          <w:szCs w:val="22"/>
          <w:lang w:val="es-ES_tradnl"/>
        </w:rPr>
        <w:t>través</w:t>
      </w:r>
      <w:r w:rsidRPr="00D03701">
        <w:rPr>
          <w:rFonts w:ascii="Arial" w:hAnsi="Arial" w:cs="Arial"/>
          <w:spacing w:val="37"/>
          <w:sz w:val="22"/>
          <w:szCs w:val="22"/>
          <w:lang w:val="es-ES_tradnl"/>
        </w:rPr>
        <w:t xml:space="preserve"> </w:t>
      </w:r>
      <w:r w:rsidRPr="00D03701">
        <w:rPr>
          <w:rFonts w:ascii="Arial" w:hAnsi="Arial" w:cs="Arial"/>
          <w:sz w:val="22"/>
          <w:szCs w:val="22"/>
          <w:lang w:val="es-ES_tradnl"/>
        </w:rPr>
        <w:t>de</w:t>
      </w:r>
      <w:r w:rsidRPr="00D03701">
        <w:rPr>
          <w:rFonts w:ascii="Arial" w:hAnsi="Arial" w:cs="Arial"/>
          <w:spacing w:val="39"/>
          <w:sz w:val="22"/>
          <w:szCs w:val="22"/>
          <w:lang w:val="es-ES_tradnl"/>
        </w:rPr>
        <w:t xml:space="preserve"> </w:t>
      </w:r>
      <w:r w:rsidRPr="00D03701">
        <w:rPr>
          <w:rFonts w:ascii="Arial" w:hAnsi="Arial" w:cs="Arial"/>
          <w:sz w:val="22"/>
          <w:szCs w:val="22"/>
          <w:lang w:val="es-ES_tradnl"/>
        </w:rPr>
        <w:t>la</w:t>
      </w:r>
      <w:r w:rsidRPr="00D03701">
        <w:rPr>
          <w:rFonts w:ascii="Arial" w:hAnsi="Arial" w:cs="Arial"/>
          <w:spacing w:val="35"/>
          <w:sz w:val="22"/>
          <w:szCs w:val="22"/>
          <w:lang w:val="es-ES_tradnl"/>
        </w:rPr>
        <w:t xml:space="preserve"> </w:t>
      </w:r>
      <w:r w:rsidRPr="00D03701">
        <w:rPr>
          <w:rFonts w:ascii="Arial" w:hAnsi="Arial" w:cs="Arial"/>
          <w:sz w:val="22"/>
          <w:szCs w:val="22"/>
          <w:lang w:val="es-ES_tradnl"/>
        </w:rPr>
        <w:t>aplicación</w:t>
      </w:r>
      <w:r w:rsidRPr="00D03701">
        <w:rPr>
          <w:rFonts w:ascii="Arial" w:hAnsi="Arial" w:cs="Arial"/>
          <w:spacing w:val="37"/>
          <w:sz w:val="22"/>
          <w:szCs w:val="22"/>
          <w:lang w:val="es-ES_tradnl"/>
        </w:rPr>
        <w:t xml:space="preserve"> </w:t>
      </w:r>
      <w:r w:rsidRPr="00D03701">
        <w:rPr>
          <w:rFonts w:ascii="Arial" w:hAnsi="Arial" w:cs="Arial"/>
          <w:sz w:val="22"/>
          <w:szCs w:val="22"/>
          <w:lang w:val="es-ES_tradnl"/>
        </w:rPr>
        <w:t>de</w:t>
      </w:r>
      <w:r w:rsidRPr="00D03701">
        <w:rPr>
          <w:rFonts w:ascii="Arial" w:hAnsi="Arial" w:cs="Arial"/>
          <w:spacing w:val="36"/>
          <w:sz w:val="22"/>
          <w:szCs w:val="22"/>
          <w:lang w:val="es-ES_tradnl"/>
        </w:rPr>
        <w:t xml:space="preserve"> </w:t>
      </w:r>
      <w:r w:rsidRPr="00D03701">
        <w:rPr>
          <w:rFonts w:ascii="Arial" w:hAnsi="Arial" w:cs="Arial"/>
          <w:sz w:val="22"/>
          <w:szCs w:val="22"/>
          <w:lang w:val="es-ES_tradnl"/>
        </w:rPr>
        <w:t>la</w:t>
      </w:r>
      <w:r w:rsidRPr="00D03701">
        <w:rPr>
          <w:rFonts w:ascii="Arial" w:hAnsi="Arial" w:cs="Arial"/>
          <w:spacing w:val="36"/>
          <w:sz w:val="22"/>
          <w:szCs w:val="22"/>
          <w:lang w:val="es-ES_tradnl"/>
        </w:rPr>
        <w:t xml:space="preserve"> </w:t>
      </w:r>
      <w:r w:rsidRPr="00D03701">
        <w:rPr>
          <w:rFonts w:ascii="Arial" w:hAnsi="Arial" w:cs="Arial"/>
          <w:spacing w:val="-1"/>
          <w:sz w:val="22"/>
          <w:szCs w:val="22"/>
          <w:lang w:val="es-ES_tradnl"/>
        </w:rPr>
        <w:t>siguiente</w:t>
      </w:r>
      <w:r w:rsidRPr="00D03701">
        <w:rPr>
          <w:rFonts w:ascii="Arial" w:hAnsi="Arial" w:cs="Arial"/>
          <w:spacing w:val="63"/>
          <w:w w:val="99"/>
          <w:sz w:val="22"/>
          <w:szCs w:val="22"/>
          <w:lang w:val="es-ES_tradnl"/>
        </w:rPr>
        <w:t xml:space="preserve"> </w:t>
      </w:r>
      <w:r w:rsidRPr="00D03701">
        <w:rPr>
          <w:rFonts w:ascii="Arial" w:hAnsi="Arial" w:cs="Arial"/>
          <w:spacing w:val="-1"/>
          <w:sz w:val="22"/>
          <w:szCs w:val="22"/>
          <w:lang w:val="es-ES_tradnl"/>
        </w:rPr>
        <w:t>ecuación,</w:t>
      </w:r>
      <w:r w:rsidRPr="00D03701">
        <w:rPr>
          <w:rFonts w:ascii="Arial" w:hAnsi="Arial" w:cs="Arial"/>
          <w:spacing w:val="35"/>
          <w:sz w:val="22"/>
          <w:szCs w:val="22"/>
          <w:lang w:val="es-ES_tradnl"/>
        </w:rPr>
        <w:t xml:space="preserve"> </w:t>
      </w:r>
      <w:r w:rsidRPr="00D03701">
        <w:rPr>
          <w:rFonts w:ascii="Arial" w:hAnsi="Arial" w:cs="Arial"/>
          <w:spacing w:val="-1"/>
          <w:sz w:val="22"/>
          <w:szCs w:val="22"/>
          <w:lang w:val="es-ES_tradnl"/>
        </w:rPr>
        <w:t>sobre</w:t>
      </w:r>
      <w:r w:rsidRPr="00D03701">
        <w:rPr>
          <w:rFonts w:ascii="Arial" w:hAnsi="Arial" w:cs="Arial"/>
          <w:spacing w:val="35"/>
          <w:sz w:val="22"/>
          <w:szCs w:val="22"/>
          <w:lang w:val="es-ES_tradnl"/>
        </w:rPr>
        <w:t xml:space="preserve"> </w:t>
      </w:r>
      <w:r w:rsidRPr="00D03701">
        <w:rPr>
          <w:rFonts w:ascii="Arial" w:hAnsi="Arial" w:cs="Arial"/>
          <w:spacing w:val="-1"/>
          <w:sz w:val="22"/>
          <w:szCs w:val="22"/>
          <w:lang w:val="es-ES_tradnl"/>
        </w:rPr>
        <w:t>datos</w:t>
      </w:r>
      <w:r w:rsidRPr="00D03701">
        <w:rPr>
          <w:rFonts w:ascii="Arial" w:hAnsi="Arial" w:cs="Arial"/>
          <w:spacing w:val="35"/>
          <w:sz w:val="22"/>
          <w:szCs w:val="22"/>
          <w:lang w:val="es-ES_tradnl"/>
        </w:rPr>
        <w:t xml:space="preserve"> </w:t>
      </w:r>
      <w:r w:rsidRPr="00D03701">
        <w:rPr>
          <w:rFonts w:ascii="Arial" w:hAnsi="Arial" w:cs="Arial"/>
          <w:spacing w:val="1"/>
          <w:sz w:val="22"/>
          <w:szCs w:val="22"/>
          <w:lang w:val="es-ES_tradnl"/>
        </w:rPr>
        <w:t>de</w:t>
      </w:r>
      <w:r w:rsidRPr="00D03701">
        <w:rPr>
          <w:rFonts w:ascii="Arial" w:hAnsi="Arial" w:cs="Arial"/>
          <w:spacing w:val="34"/>
          <w:sz w:val="22"/>
          <w:szCs w:val="22"/>
          <w:lang w:val="es-ES_tradnl"/>
        </w:rPr>
        <w:t xml:space="preserve"> </w:t>
      </w:r>
      <w:r w:rsidRPr="00D03701">
        <w:rPr>
          <w:rFonts w:ascii="Arial" w:hAnsi="Arial" w:cs="Arial"/>
          <w:spacing w:val="-1"/>
          <w:sz w:val="22"/>
          <w:szCs w:val="22"/>
          <w:lang w:val="es-ES_tradnl"/>
        </w:rPr>
        <w:t>comercio</w:t>
      </w:r>
      <w:r w:rsidRPr="00D03701">
        <w:rPr>
          <w:rFonts w:ascii="Arial" w:hAnsi="Arial" w:cs="Arial"/>
          <w:spacing w:val="37"/>
          <w:sz w:val="22"/>
          <w:szCs w:val="22"/>
          <w:lang w:val="es-ES_tradnl"/>
        </w:rPr>
        <w:t xml:space="preserve"> </w:t>
      </w:r>
      <w:r w:rsidRPr="00D03701">
        <w:rPr>
          <w:rFonts w:ascii="Arial" w:hAnsi="Arial" w:cs="Arial"/>
          <w:spacing w:val="-1"/>
          <w:sz w:val="22"/>
          <w:szCs w:val="22"/>
          <w:lang w:val="es-ES_tradnl"/>
        </w:rPr>
        <w:t>exterior</w:t>
      </w:r>
      <w:r w:rsidRPr="00D03701">
        <w:rPr>
          <w:rFonts w:ascii="Arial" w:hAnsi="Arial" w:cs="Arial"/>
          <w:spacing w:val="34"/>
          <w:sz w:val="22"/>
          <w:szCs w:val="22"/>
          <w:lang w:val="es-ES_tradnl"/>
        </w:rPr>
        <w:t xml:space="preserve"> </w:t>
      </w:r>
      <w:r w:rsidRPr="00D03701">
        <w:rPr>
          <w:rFonts w:ascii="Arial" w:hAnsi="Arial" w:cs="Arial"/>
          <w:sz w:val="22"/>
          <w:szCs w:val="22"/>
          <w:lang w:val="es-ES_tradnl"/>
        </w:rPr>
        <w:t>de</w:t>
      </w:r>
      <w:r w:rsidRPr="00D03701">
        <w:rPr>
          <w:rFonts w:ascii="Arial" w:hAnsi="Arial" w:cs="Arial"/>
          <w:spacing w:val="36"/>
          <w:sz w:val="22"/>
          <w:szCs w:val="22"/>
          <w:lang w:val="es-ES_tradnl"/>
        </w:rPr>
        <w:t xml:space="preserve"> </w:t>
      </w:r>
      <w:r w:rsidR="005D5735" w:rsidRPr="00D03701">
        <w:rPr>
          <w:rFonts w:ascii="Arial" w:hAnsi="Arial" w:cs="Arial"/>
          <w:spacing w:val="-1"/>
          <w:sz w:val="22"/>
          <w:szCs w:val="22"/>
          <w:lang w:val="es-ES_tradnl"/>
        </w:rPr>
        <w:t>Perú</w:t>
      </w:r>
      <w:r w:rsidRPr="00D03701">
        <w:rPr>
          <w:rFonts w:ascii="Arial" w:hAnsi="Arial" w:cs="Arial"/>
          <w:spacing w:val="-1"/>
          <w:sz w:val="22"/>
          <w:szCs w:val="22"/>
          <w:lang w:val="es-ES_tradnl"/>
        </w:rPr>
        <w:t xml:space="preserve"> </w:t>
      </w:r>
      <w:r w:rsidRPr="00D03701">
        <w:rPr>
          <w:rFonts w:ascii="Arial" w:hAnsi="Arial" w:cs="Arial"/>
          <w:sz w:val="22"/>
          <w:szCs w:val="22"/>
          <w:lang w:val="es-ES_tradnl"/>
        </w:rPr>
        <w:t>en</w:t>
      </w:r>
      <w:r w:rsidRPr="00D03701">
        <w:rPr>
          <w:rFonts w:ascii="Arial" w:hAnsi="Arial" w:cs="Arial"/>
          <w:spacing w:val="35"/>
          <w:sz w:val="22"/>
          <w:szCs w:val="22"/>
          <w:lang w:val="es-ES_tradnl"/>
        </w:rPr>
        <w:t xml:space="preserve"> </w:t>
      </w:r>
      <w:r w:rsidRPr="00D03701">
        <w:rPr>
          <w:rFonts w:ascii="Arial" w:hAnsi="Arial" w:cs="Arial"/>
          <w:sz w:val="22"/>
          <w:szCs w:val="22"/>
          <w:lang w:val="es-ES_tradnl"/>
        </w:rPr>
        <w:t>los</w:t>
      </w:r>
      <w:r w:rsidRPr="00D03701">
        <w:rPr>
          <w:rFonts w:ascii="Arial" w:hAnsi="Arial" w:cs="Arial"/>
          <w:spacing w:val="35"/>
          <w:sz w:val="22"/>
          <w:szCs w:val="22"/>
          <w:lang w:val="es-ES_tradnl"/>
        </w:rPr>
        <w:t xml:space="preserve"> </w:t>
      </w:r>
      <w:r w:rsidRPr="00D03701">
        <w:rPr>
          <w:rFonts w:ascii="Arial" w:hAnsi="Arial" w:cs="Arial"/>
          <w:spacing w:val="-1"/>
          <w:sz w:val="22"/>
          <w:szCs w:val="22"/>
          <w:lang w:val="es-ES_tradnl"/>
        </w:rPr>
        <w:t>años</w:t>
      </w:r>
      <w:r w:rsidRPr="00D03701">
        <w:rPr>
          <w:rFonts w:ascii="Arial" w:hAnsi="Arial" w:cs="Arial"/>
          <w:spacing w:val="35"/>
          <w:sz w:val="22"/>
          <w:szCs w:val="22"/>
          <w:lang w:val="es-ES_tradnl"/>
        </w:rPr>
        <w:t xml:space="preserve"> </w:t>
      </w:r>
      <w:r w:rsidRPr="00D03701">
        <w:rPr>
          <w:rFonts w:ascii="Arial" w:hAnsi="Arial" w:cs="Arial"/>
          <w:sz w:val="22"/>
          <w:szCs w:val="22"/>
          <w:lang w:val="es-ES_tradnl"/>
        </w:rPr>
        <w:t>2012</w:t>
      </w:r>
      <w:r w:rsidRPr="00D03701">
        <w:rPr>
          <w:rFonts w:ascii="Arial" w:hAnsi="Arial" w:cs="Arial"/>
          <w:spacing w:val="37"/>
          <w:sz w:val="22"/>
          <w:szCs w:val="22"/>
          <w:lang w:val="es-ES_tradnl"/>
        </w:rPr>
        <w:t xml:space="preserve"> </w:t>
      </w:r>
      <w:r w:rsidRPr="00D03701">
        <w:rPr>
          <w:rFonts w:ascii="Arial" w:hAnsi="Arial" w:cs="Arial"/>
          <w:sz w:val="22"/>
          <w:szCs w:val="22"/>
          <w:lang w:val="es-ES_tradnl"/>
        </w:rPr>
        <w:t>a</w:t>
      </w:r>
      <w:r w:rsidRPr="00D03701">
        <w:rPr>
          <w:rFonts w:ascii="Arial" w:hAnsi="Arial" w:cs="Arial"/>
          <w:spacing w:val="97"/>
          <w:w w:val="99"/>
          <w:sz w:val="22"/>
          <w:szCs w:val="22"/>
          <w:lang w:val="es-ES_tradnl"/>
        </w:rPr>
        <w:t xml:space="preserve"> </w:t>
      </w:r>
      <w:r w:rsidRPr="00D03701">
        <w:rPr>
          <w:rFonts w:ascii="Arial" w:hAnsi="Arial" w:cs="Arial"/>
          <w:sz w:val="22"/>
          <w:szCs w:val="22"/>
          <w:lang w:val="es-ES_tradnl"/>
        </w:rPr>
        <w:t>2016:</w:t>
      </w:r>
    </w:p>
    <w:p w14:paraId="5C3CFB88" w14:textId="77777777" w:rsidR="00F10D9A" w:rsidRPr="00BE7955" w:rsidRDefault="007E781F">
      <w:pPr>
        <w:pStyle w:val="Paragraph"/>
        <w:numPr>
          <w:ilvl w:val="0"/>
          <w:numId w:val="0"/>
        </w:numPr>
        <w:ind w:left="1350"/>
        <w:outlineLvl w:val="9"/>
        <w:rPr>
          <w:rFonts w:ascii="Arial" w:hAnsi="Arial" w:cs="Arial"/>
          <w:spacing w:val="-1"/>
          <w:sz w:val="22"/>
          <w:szCs w:val="22"/>
          <w:u w:color="000000"/>
          <w:lang w:val="fr-FR"/>
        </w:rPr>
      </w:pPr>
      <w:r w:rsidRPr="00BE7955">
        <w:rPr>
          <w:rFonts w:ascii="Arial" w:hAnsi="Arial" w:cs="Arial"/>
          <w:spacing w:val="-1"/>
          <w:sz w:val="22"/>
          <w:szCs w:val="22"/>
          <w:u w:color="000000"/>
          <w:lang w:val="fr-FR"/>
        </w:rPr>
        <w:t>FCS= X + M / (X + M + T)</w:t>
      </w:r>
    </w:p>
    <w:p w14:paraId="2A8A76D6" w14:textId="77777777" w:rsidR="00F10D9A" w:rsidRPr="00BE7955" w:rsidRDefault="007E781F">
      <w:pPr>
        <w:pStyle w:val="Paragraph"/>
        <w:numPr>
          <w:ilvl w:val="0"/>
          <w:numId w:val="0"/>
        </w:numPr>
        <w:ind w:left="1350"/>
        <w:outlineLvl w:val="9"/>
        <w:rPr>
          <w:rFonts w:ascii="Arial" w:hAnsi="Arial" w:cs="Arial"/>
          <w:spacing w:val="-1"/>
          <w:sz w:val="22"/>
          <w:szCs w:val="22"/>
          <w:u w:color="000000"/>
          <w:lang w:val="fr-FR"/>
        </w:rPr>
      </w:pPr>
      <w:proofErr w:type="spellStart"/>
      <w:r w:rsidRPr="00BE7955">
        <w:rPr>
          <w:rFonts w:ascii="Arial" w:hAnsi="Arial" w:cs="Arial"/>
          <w:spacing w:val="-1"/>
          <w:sz w:val="22"/>
          <w:szCs w:val="22"/>
          <w:u w:color="000000"/>
          <w:lang w:val="fr-FR"/>
        </w:rPr>
        <w:t>Donde</w:t>
      </w:r>
      <w:proofErr w:type="spellEnd"/>
      <w:r w:rsidRPr="00BE7955">
        <w:rPr>
          <w:rFonts w:ascii="Arial" w:hAnsi="Arial" w:cs="Arial"/>
          <w:spacing w:val="-1"/>
          <w:sz w:val="22"/>
          <w:szCs w:val="22"/>
          <w:u w:color="000000"/>
          <w:lang w:val="fr-FR"/>
        </w:rPr>
        <w:t>,</w:t>
      </w:r>
    </w:p>
    <w:p w14:paraId="1CFDAED6"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 xml:space="preserve">X: valor total de exportaciones de </w:t>
      </w:r>
      <w:r w:rsidR="00141DBD" w:rsidRPr="00D03701">
        <w:rPr>
          <w:rFonts w:ascii="Arial" w:hAnsi="Arial" w:cs="Arial"/>
          <w:spacing w:val="-1"/>
          <w:sz w:val="22"/>
          <w:szCs w:val="22"/>
          <w:u w:color="000000"/>
          <w:lang w:val="es-ES_tradnl"/>
        </w:rPr>
        <w:t>ES.</w:t>
      </w:r>
    </w:p>
    <w:p w14:paraId="4B28F8F8"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 xml:space="preserve">M: valor total de importaciones de </w:t>
      </w:r>
      <w:r w:rsidR="00141DBD" w:rsidRPr="00D03701">
        <w:rPr>
          <w:rFonts w:ascii="Arial" w:hAnsi="Arial" w:cs="Arial"/>
          <w:spacing w:val="-1"/>
          <w:sz w:val="22"/>
          <w:szCs w:val="22"/>
          <w:u w:color="000000"/>
          <w:lang w:val="es-ES_tradnl"/>
        </w:rPr>
        <w:t>ES.</w:t>
      </w:r>
    </w:p>
    <w:p w14:paraId="7DE428E4" w14:textId="77777777" w:rsidR="00F10D9A" w:rsidRPr="00D03701" w:rsidRDefault="007E781F">
      <w:pPr>
        <w:pStyle w:val="Paragraph"/>
        <w:numPr>
          <w:ilvl w:val="0"/>
          <w:numId w:val="0"/>
        </w:numPr>
        <w:ind w:left="1350"/>
        <w:outlineLvl w:val="9"/>
        <w:rPr>
          <w:rFonts w:ascii="Arial" w:hAnsi="Arial" w:cs="Arial"/>
          <w:b/>
          <w:spacing w:val="-1"/>
          <w:sz w:val="22"/>
          <w:szCs w:val="22"/>
          <w:u w:color="000000"/>
          <w:lang w:val="es-ES_tradnl"/>
        </w:rPr>
      </w:pPr>
      <w:r w:rsidRPr="00D03701">
        <w:rPr>
          <w:rFonts w:ascii="Arial" w:hAnsi="Arial" w:cs="Arial"/>
          <w:spacing w:val="-1"/>
          <w:sz w:val="22"/>
          <w:szCs w:val="22"/>
          <w:u w:color="000000"/>
          <w:lang w:val="es-ES_tradnl"/>
        </w:rPr>
        <w:t xml:space="preserve">T: recaudación aduanera de </w:t>
      </w:r>
      <w:r w:rsidR="00141DBD" w:rsidRPr="00D03701">
        <w:rPr>
          <w:rFonts w:ascii="Arial" w:hAnsi="Arial" w:cs="Arial"/>
          <w:spacing w:val="-1"/>
          <w:sz w:val="22"/>
          <w:szCs w:val="22"/>
          <w:u w:color="000000"/>
          <w:lang w:val="es-ES_tradnl"/>
        </w:rPr>
        <w:t>ES.</w:t>
      </w:r>
      <w:r w:rsidRPr="00D03701">
        <w:rPr>
          <w:rFonts w:ascii="Arial" w:hAnsi="Arial" w:cs="Arial"/>
          <w:b/>
          <w:spacing w:val="-1"/>
          <w:sz w:val="22"/>
          <w:szCs w:val="22"/>
          <w:u w:color="000000"/>
          <w:lang w:val="es-ES_tradnl"/>
        </w:rPr>
        <w:t xml:space="preserve"> </w:t>
      </w:r>
    </w:p>
    <w:p w14:paraId="3501BB20"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Los datos relevantes se indican en la siguiente tabla:</w:t>
      </w:r>
    </w:p>
    <w:p w14:paraId="1E747DB0" w14:textId="77777777" w:rsidR="00663924" w:rsidRPr="00D03701" w:rsidRDefault="00001532" w:rsidP="0072229A">
      <w:pPr>
        <w:pStyle w:val="Paragraph"/>
        <w:numPr>
          <w:ilvl w:val="0"/>
          <w:numId w:val="0"/>
        </w:numPr>
        <w:ind w:left="-810"/>
        <w:outlineLvl w:val="9"/>
        <w:rPr>
          <w:rFonts w:ascii="Arial" w:hAnsi="Arial" w:cs="Arial"/>
          <w:spacing w:val="-1"/>
          <w:sz w:val="22"/>
          <w:szCs w:val="22"/>
          <w:u w:color="000000"/>
          <w:lang w:val="es-ES_tradnl"/>
        </w:rPr>
      </w:pPr>
      <w:r w:rsidRPr="00D03701">
        <w:rPr>
          <w:noProof/>
          <w:lang w:val="es-ES_tradnl"/>
        </w:rPr>
        <w:drawing>
          <wp:inline distT="0" distB="0" distL="0" distR="0" wp14:anchorId="0F6FA670" wp14:editId="4950D939">
            <wp:extent cx="6882643" cy="2122998"/>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916907" cy="2133567"/>
                    </a:xfrm>
                    <a:prstGeom prst="rect">
                      <a:avLst/>
                    </a:prstGeom>
                    <a:noFill/>
                    <a:ln>
                      <a:noFill/>
                    </a:ln>
                  </pic:spPr>
                </pic:pic>
              </a:graphicData>
            </a:graphic>
          </wp:inline>
        </w:drawing>
      </w:r>
    </w:p>
    <w:p w14:paraId="76069237" w14:textId="1070EC2B" w:rsidR="00F10D9A" w:rsidRPr="00D03701" w:rsidRDefault="007E781F">
      <w:pPr>
        <w:pStyle w:val="Paragraph"/>
        <w:numPr>
          <w:ilvl w:val="0"/>
          <w:numId w:val="4"/>
        </w:numPr>
        <w:ind w:left="900"/>
        <w:outlineLvl w:val="9"/>
        <w:rPr>
          <w:rFonts w:ascii="Arial" w:hAnsi="Arial" w:cs="Arial"/>
          <w:color w:val="000000" w:themeColor="text1"/>
          <w:spacing w:val="-1"/>
          <w:sz w:val="22"/>
          <w:szCs w:val="22"/>
          <w:lang w:val="es-ES_tradnl"/>
        </w:rPr>
      </w:pPr>
      <w:r w:rsidRPr="00D03701">
        <w:rPr>
          <w:rFonts w:ascii="Arial" w:hAnsi="Arial" w:cs="Arial"/>
          <w:color w:val="000000" w:themeColor="text1"/>
          <w:spacing w:val="-1"/>
          <w:sz w:val="22"/>
          <w:szCs w:val="22"/>
          <w:lang w:val="es-ES_tradnl"/>
        </w:rPr>
        <w:t>Factor de conversión de productos y materiales de origen nacional: en este caso el factor utilizado ha sido 0.</w:t>
      </w:r>
      <w:r w:rsidR="00001532" w:rsidRPr="00D03701">
        <w:rPr>
          <w:rFonts w:ascii="Arial" w:hAnsi="Arial" w:cs="Arial"/>
          <w:color w:val="000000" w:themeColor="text1"/>
          <w:spacing w:val="-1"/>
          <w:sz w:val="22"/>
          <w:szCs w:val="22"/>
          <w:lang w:val="es-ES_tradnl"/>
        </w:rPr>
        <w:t>7</w:t>
      </w:r>
      <w:r w:rsidR="00D03701" w:rsidRPr="00D03701">
        <w:rPr>
          <w:rFonts w:ascii="Arial" w:hAnsi="Arial" w:cs="Arial"/>
          <w:color w:val="000000" w:themeColor="text1"/>
          <w:spacing w:val="-1"/>
          <w:sz w:val="22"/>
          <w:szCs w:val="22"/>
          <w:lang w:val="es-ES_tradnl"/>
        </w:rPr>
        <w:t>74</w:t>
      </w:r>
      <w:r w:rsidRPr="00D03701">
        <w:rPr>
          <w:rFonts w:ascii="Arial" w:hAnsi="Arial" w:cs="Arial"/>
          <w:color w:val="000000" w:themeColor="text1"/>
          <w:spacing w:val="-1"/>
          <w:sz w:val="22"/>
          <w:szCs w:val="22"/>
          <w:lang w:val="es-ES_tradnl"/>
        </w:rPr>
        <w:t xml:space="preserve"> (0.9</w:t>
      </w:r>
      <w:r w:rsidR="00001532" w:rsidRPr="00D03701">
        <w:rPr>
          <w:rFonts w:ascii="Arial" w:hAnsi="Arial" w:cs="Arial"/>
          <w:color w:val="000000" w:themeColor="text1"/>
          <w:spacing w:val="-1"/>
          <w:sz w:val="22"/>
          <w:szCs w:val="22"/>
          <w:lang w:val="es-ES_tradnl"/>
        </w:rPr>
        <w:t>43</w:t>
      </w:r>
      <w:r w:rsidRPr="00D03701">
        <w:rPr>
          <w:rFonts w:ascii="Arial" w:hAnsi="Arial" w:cs="Arial"/>
          <w:color w:val="000000" w:themeColor="text1"/>
          <w:spacing w:val="-1"/>
          <w:sz w:val="22"/>
          <w:szCs w:val="22"/>
          <w:lang w:val="es-ES_tradnl"/>
        </w:rPr>
        <w:t xml:space="preserve"> – 1</w:t>
      </w:r>
      <w:r w:rsidR="00D03701" w:rsidRPr="00D03701">
        <w:rPr>
          <w:rFonts w:ascii="Arial" w:hAnsi="Arial" w:cs="Arial"/>
          <w:color w:val="000000" w:themeColor="text1"/>
          <w:spacing w:val="-1"/>
          <w:sz w:val="22"/>
          <w:szCs w:val="22"/>
          <w:lang w:val="es-ES_tradnl"/>
        </w:rPr>
        <w:t>8</w:t>
      </w:r>
      <w:r w:rsidRPr="00D03701">
        <w:rPr>
          <w:rFonts w:ascii="Arial" w:hAnsi="Arial" w:cs="Arial"/>
          <w:color w:val="000000" w:themeColor="text1"/>
          <w:spacing w:val="-1"/>
          <w:sz w:val="22"/>
          <w:szCs w:val="22"/>
          <w:lang w:val="es-ES_tradnl"/>
        </w:rPr>
        <w:t xml:space="preserve">%), </w:t>
      </w:r>
      <w:r w:rsidR="005D5735" w:rsidRPr="00D03701">
        <w:rPr>
          <w:rFonts w:ascii="Arial" w:hAnsi="Arial" w:cs="Arial"/>
          <w:color w:val="000000" w:themeColor="text1"/>
          <w:spacing w:val="-1"/>
          <w:sz w:val="22"/>
          <w:szCs w:val="22"/>
          <w:lang w:val="es-ES_tradnl"/>
        </w:rPr>
        <w:t>el</w:t>
      </w:r>
      <w:r w:rsidRPr="00D03701">
        <w:rPr>
          <w:rFonts w:ascii="Arial" w:hAnsi="Arial" w:cs="Arial"/>
          <w:color w:val="000000" w:themeColor="text1"/>
          <w:spacing w:val="-1"/>
          <w:sz w:val="22"/>
          <w:szCs w:val="22"/>
          <w:lang w:val="es-ES_tradnl"/>
        </w:rPr>
        <w:t xml:space="preserve"> cual descuenta la aplicación directa del Impuesto a las Ventas (1</w:t>
      </w:r>
      <w:r w:rsidR="005D5735" w:rsidRPr="00D03701">
        <w:rPr>
          <w:rFonts w:ascii="Arial" w:hAnsi="Arial" w:cs="Arial"/>
          <w:color w:val="000000" w:themeColor="text1"/>
          <w:spacing w:val="-1"/>
          <w:sz w:val="22"/>
          <w:szCs w:val="22"/>
          <w:lang w:val="es-ES_tradnl"/>
        </w:rPr>
        <w:t>8</w:t>
      </w:r>
      <w:r w:rsidRPr="00D03701">
        <w:rPr>
          <w:rFonts w:ascii="Arial" w:hAnsi="Arial" w:cs="Arial"/>
          <w:color w:val="000000" w:themeColor="text1"/>
          <w:spacing w:val="-1"/>
          <w:sz w:val="22"/>
          <w:szCs w:val="22"/>
          <w:lang w:val="es-ES_tradnl"/>
        </w:rPr>
        <w:t>%) que grava todos los productos que se transan en el país.</w:t>
      </w:r>
    </w:p>
    <w:p w14:paraId="75243A8B" w14:textId="77777777" w:rsidR="00F10D9A" w:rsidRPr="00D03701" w:rsidRDefault="007E781F">
      <w:pPr>
        <w:pStyle w:val="Paragraph"/>
        <w:numPr>
          <w:ilvl w:val="0"/>
          <w:numId w:val="4"/>
        </w:numPr>
        <w:ind w:left="900"/>
        <w:outlineLvl w:val="9"/>
        <w:rPr>
          <w:rFonts w:ascii="Arial" w:hAnsi="Arial" w:cs="Arial"/>
          <w:spacing w:val="-1"/>
          <w:sz w:val="22"/>
          <w:szCs w:val="22"/>
          <w:lang w:val="es-ES_tradnl"/>
        </w:rPr>
      </w:pPr>
      <w:r w:rsidRPr="00D03701">
        <w:rPr>
          <w:rFonts w:ascii="Arial" w:hAnsi="Arial" w:cs="Arial"/>
          <w:spacing w:val="-1"/>
          <w:sz w:val="22"/>
          <w:szCs w:val="22"/>
          <w:lang w:val="es-ES_tradnl"/>
        </w:rPr>
        <w:t>Factor de conversión de materiales y equipos de origen externo (transables): el factor de conversión descuenta expresamente el Impuesto a las Ventas y los aranceles aduaneros que aplican sobre las importaciones. Los datos relevantes se indican en la siguiente tabla:</w:t>
      </w:r>
    </w:p>
    <w:p w14:paraId="09E6DC5D" w14:textId="380BE822" w:rsidR="00F10D9A" w:rsidRPr="00D03701" w:rsidRDefault="00D03701" w:rsidP="0072229A">
      <w:pPr>
        <w:pStyle w:val="BodyText"/>
        <w:spacing w:before="120" w:after="120"/>
        <w:ind w:left="-720" w:right="119"/>
        <w:jc w:val="both"/>
        <w:rPr>
          <w:rFonts w:ascii="Arial" w:hAnsi="Arial" w:cs="Arial"/>
          <w:spacing w:val="-1"/>
          <w:sz w:val="22"/>
          <w:szCs w:val="22"/>
          <w:u w:color="000000"/>
          <w:lang w:val="es-ES_tradnl"/>
        </w:rPr>
      </w:pPr>
      <w:r w:rsidRPr="00D03701">
        <w:rPr>
          <w:noProof/>
          <w:lang w:val="es-ES_tradnl"/>
        </w:rPr>
        <w:drawing>
          <wp:inline distT="0" distB="0" distL="0" distR="0" wp14:anchorId="1FCABAE5" wp14:editId="4E2470E2">
            <wp:extent cx="6823075" cy="17995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857395" cy="1808592"/>
                    </a:xfrm>
                    <a:prstGeom prst="rect">
                      <a:avLst/>
                    </a:prstGeom>
                    <a:noFill/>
                    <a:ln>
                      <a:noFill/>
                    </a:ln>
                  </pic:spPr>
                </pic:pic>
              </a:graphicData>
            </a:graphic>
          </wp:inline>
        </w:drawing>
      </w:r>
    </w:p>
    <w:p w14:paraId="78A0849E" w14:textId="77777777" w:rsidR="00F10D9A" w:rsidRPr="00D03701" w:rsidRDefault="007E781F">
      <w:pPr>
        <w:pStyle w:val="Paragraph"/>
        <w:numPr>
          <w:ilvl w:val="0"/>
          <w:numId w:val="4"/>
        </w:numPr>
        <w:ind w:left="900"/>
        <w:outlineLvl w:val="9"/>
        <w:rPr>
          <w:rFonts w:ascii="Arial" w:hAnsi="Arial" w:cs="Arial"/>
          <w:spacing w:val="-1"/>
          <w:sz w:val="22"/>
          <w:szCs w:val="22"/>
          <w:lang w:val="es-ES_tradnl"/>
        </w:rPr>
      </w:pPr>
      <w:r w:rsidRPr="00D03701">
        <w:rPr>
          <w:rFonts w:ascii="Arial" w:hAnsi="Arial" w:cs="Arial"/>
          <w:spacing w:val="-1"/>
          <w:sz w:val="22"/>
          <w:szCs w:val="22"/>
          <w:lang w:val="es-ES_tradnl"/>
        </w:rPr>
        <w:t>Mano de obra calificada: para este factor se deducen de las remuneraciones (a costo empresa) aquellos ítems de cargas salariales que representan básicamente transferencias, de acuerdo con la siguiente tabla:</w:t>
      </w:r>
    </w:p>
    <w:p w14:paraId="410CA160" w14:textId="77777777" w:rsidR="002040E0" w:rsidRPr="00D03701" w:rsidRDefault="002040E0" w:rsidP="002040E0">
      <w:pPr>
        <w:pStyle w:val="BodyText"/>
        <w:spacing w:before="120" w:after="120"/>
        <w:ind w:left="-180" w:right="119"/>
        <w:jc w:val="both"/>
        <w:rPr>
          <w:rFonts w:ascii="Arial" w:hAnsi="Arial" w:cs="Arial"/>
          <w:spacing w:val="-1"/>
          <w:sz w:val="22"/>
          <w:szCs w:val="22"/>
          <w:u w:color="000000"/>
          <w:lang w:val="es-ES_tradnl"/>
        </w:rPr>
      </w:pPr>
    </w:p>
    <w:p w14:paraId="1C97C302" w14:textId="77777777" w:rsidR="001A5218" w:rsidRPr="00D03701" w:rsidRDefault="001A5218" w:rsidP="002040E0">
      <w:pPr>
        <w:pStyle w:val="BodyText"/>
        <w:spacing w:before="120" w:after="120"/>
        <w:ind w:left="-180" w:right="119"/>
        <w:jc w:val="both"/>
        <w:rPr>
          <w:rFonts w:ascii="Arial" w:hAnsi="Arial" w:cs="Arial"/>
          <w:spacing w:val="-1"/>
          <w:sz w:val="22"/>
          <w:szCs w:val="22"/>
          <w:u w:color="000000"/>
          <w:lang w:val="es-ES_tradnl"/>
        </w:rPr>
      </w:pPr>
    </w:p>
    <w:p w14:paraId="0520E31F" w14:textId="77777777" w:rsidR="001A5218" w:rsidRPr="00D03701" w:rsidRDefault="00001532" w:rsidP="00001532">
      <w:pPr>
        <w:pStyle w:val="BodyText"/>
        <w:spacing w:before="120" w:after="120"/>
        <w:ind w:left="1350" w:right="119"/>
        <w:jc w:val="both"/>
        <w:rPr>
          <w:rFonts w:ascii="Arial" w:hAnsi="Arial" w:cs="Arial"/>
          <w:spacing w:val="-1"/>
          <w:sz w:val="22"/>
          <w:szCs w:val="22"/>
          <w:u w:color="000000"/>
          <w:lang w:val="es-ES_tradnl"/>
        </w:rPr>
      </w:pPr>
      <w:r w:rsidRPr="00D03701">
        <w:rPr>
          <w:noProof/>
          <w:lang w:val="es-ES_tradnl"/>
        </w:rPr>
        <w:lastRenderedPageBreak/>
        <w:drawing>
          <wp:inline distT="0" distB="0" distL="0" distR="0" wp14:anchorId="123AF72E" wp14:editId="7B295A27">
            <wp:extent cx="4445000" cy="2115046"/>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48750" cy="2116830"/>
                    </a:xfrm>
                    <a:prstGeom prst="rect">
                      <a:avLst/>
                    </a:prstGeom>
                    <a:noFill/>
                    <a:ln>
                      <a:noFill/>
                    </a:ln>
                  </pic:spPr>
                </pic:pic>
              </a:graphicData>
            </a:graphic>
          </wp:inline>
        </w:drawing>
      </w:r>
    </w:p>
    <w:p w14:paraId="59B5C300" w14:textId="77777777" w:rsidR="00F10D9A" w:rsidRPr="00D03701" w:rsidRDefault="00F10D9A">
      <w:pPr>
        <w:pStyle w:val="BodyText"/>
        <w:spacing w:before="120" w:after="120"/>
        <w:ind w:left="900" w:right="119"/>
        <w:jc w:val="center"/>
        <w:rPr>
          <w:rFonts w:ascii="Arial" w:hAnsi="Arial" w:cs="Arial"/>
          <w:spacing w:val="-1"/>
          <w:sz w:val="22"/>
          <w:szCs w:val="22"/>
          <w:u w:color="000000"/>
          <w:lang w:val="es-ES_tradnl"/>
        </w:rPr>
      </w:pPr>
    </w:p>
    <w:p w14:paraId="2D06AD52" w14:textId="77777777" w:rsidR="00F10D9A" w:rsidRPr="00D03701" w:rsidRDefault="007E781F" w:rsidP="009B427B">
      <w:pPr>
        <w:pStyle w:val="Paragraph"/>
        <w:keepNext/>
        <w:numPr>
          <w:ilvl w:val="0"/>
          <w:numId w:val="4"/>
        </w:numPr>
        <w:ind w:left="907"/>
        <w:outlineLvl w:val="9"/>
        <w:rPr>
          <w:rFonts w:ascii="Arial" w:hAnsi="Arial" w:cs="Arial"/>
          <w:spacing w:val="-1"/>
          <w:sz w:val="22"/>
          <w:szCs w:val="22"/>
          <w:lang w:val="es-ES_tradnl"/>
        </w:rPr>
      </w:pPr>
      <w:r w:rsidRPr="00D03701">
        <w:rPr>
          <w:rFonts w:ascii="Arial" w:hAnsi="Arial" w:cs="Arial"/>
          <w:spacing w:val="-1"/>
          <w:sz w:val="22"/>
          <w:szCs w:val="22"/>
          <w:lang w:val="es-ES_tradnl"/>
        </w:rPr>
        <w:t>A lo anterior se aplica el factor de conversión estándar para conservar el numerario del análisis, con lo cual:</w:t>
      </w:r>
    </w:p>
    <w:p w14:paraId="7433DFDA"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FCMOC = 0,873 * 0,9</w:t>
      </w:r>
      <w:r w:rsidR="0069601C" w:rsidRPr="00D03701">
        <w:rPr>
          <w:rFonts w:ascii="Arial" w:hAnsi="Arial" w:cs="Arial"/>
          <w:spacing w:val="-1"/>
          <w:sz w:val="22"/>
          <w:szCs w:val="22"/>
          <w:u w:color="000000"/>
          <w:lang w:val="es-ES_tradnl"/>
        </w:rPr>
        <w:t>81</w:t>
      </w:r>
      <w:r w:rsidRPr="00D03701">
        <w:rPr>
          <w:rFonts w:ascii="Arial" w:hAnsi="Arial" w:cs="Arial"/>
          <w:spacing w:val="-1"/>
          <w:sz w:val="22"/>
          <w:szCs w:val="22"/>
          <w:u w:color="000000"/>
          <w:lang w:val="es-ES_tradnl"/>
        </w:rPr>
        <w:t xml:space="preserve"> = </w:t>
      </w:r>
      <w:r w:rsidRPr="00D03701">
        <w:rPr>
          <w:rFonts w:ascii="Arial" w:hAnsi="Arial" w:cs="Arial"/>
          <w:b/>
          <w:spacing w:val="-1"/>
          <w:sz w:val="22"/>
          <w:szCs w:val="22"/>
          <w:u w:color="000000"/>
          <w:lang w:val="es-ES_tradnl"/>
        </w:rPr>
        <w:t>0,8</w:t>
      </w:r>
      <w:r w:rsidR="0069601C" w:rsidRPr="00D03701">
        <w:rPr>
          <w:rFonts w:ascii="Arial" w:hAnsi="Arial" w:cs="Arial"/>
          <w:b/>
          <w:spacing w:val="-1"/>
          <w:sz w:val="22"/>
          <w:szCs w:val="22"/>
          <w:u w:color="000000"/>
          <w:lang w:val="es-ES_tradnl"/>
        </w:rPr>
        <w:t>57</w:t>
      </w:r>
      <w:r w:rsidRPr="00D03701">
        <w:rPr>
          <w:rFonts w:ascii="Arial" w:hAnsi="Arial" w:cs="Arial"/>
          <w:spacing w:val="-1"/>
          <w:sz w:val="22"/>
          <w:szCs w:val="22"/>
          <w:u w:color="000000"/>
          <w:lang w:val="es-ES_tradnl"/>
        </w:rPr>
        <w:tab/>
      </w:r>
    </w:p>
    <w:p w14:paraId="051FAFD3" w14:textId="77777777" w:rsidR="00F10D9A" w:rsidRPr="00D03701" w:rsidRDefault="007E781F">
      <w:pPr>
        <w:pStyle w:val="Paragraph"/>
        <w:numPr>
          <w:ilvl w:val="0"/>
          <w:numId w:val="4"/>
        </w:numPr>
        <w:ind w:left="90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Mano de obra no calificada: se adopta el mismo criterio que para el caso de mano de obra calificada, al excluirse aquellos conceptos de las remuneraciones que son efectivamente transferencias. En adición, se descuenta un factor asociado a la tasa de desempleo de este tipo de mano de obra, según la siguiente fórmula</w:t>
      </w:r>
      <w:r w:rsidRPr="00D03701">
        <w:rPr>
          <w:rStyle w:val="FootnoteReference"/>
          <w:rFonts w:ascii="Arial" w:hAnsi="Arial" w:cs="Arial"/>
          <w:spacing w:val="-1"/>
          <w:sz w:val="22"/>
          <w:szCs w:val="22"/>
          <w:u w:color="000000"/>
          <w:lang w:val="es-ES_tradnl"/>
        </w:rPr>
        <w:footnoteReference w:id="30"/>
      </w:r>
      <w:r w:rsidRPr="00D03701">
        <w:rPr>
          <w:rFonts w:ascii="Arial" w:hAnsi="Arial" w:cs="Arial"/>
          <w:spacing w:val="-1"/>
          <w:sz w:val="22"/>
          <w:szCs w:val="22"/>
          <w:u w:color="000000"/>
          <w:lang w:val="es-ES_tradnl"/>
        </w:rPr>
        <w:t>:</w:t>
      </w:r>
    </w:p>
    <w:p w14:paraId="2BA8EE6C"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FCMONC = W * FCMOC * (1 - U) = 1.0 * 0,8</w:t>
      </w:r>
      <w:r w:rsidR="0069601C" w:rsidRPr="00D03701">
        <w:rPr>
          <w:rFonts w:ascii="Arial" w:hAnsi="Arial" w:cs="Arial"/>
          <w:spacing w:val="-1"/>
          <w:sz w:val="22"/>
          <w:szCs w:val="22"/>
          <w:u w:color="000000"/>
          <w:lang w:val="es-ES_tradnl"/>
        </w:rPr>
        <w:t>57</w:t>
      </w:r>
      <w:r w:rsidRPr="00D03701">
        <w:rPr>
          <w:rFonts w:ascii="Arial" w:hAnsi="Arial" w:cs="Arial"/>
          <w:spacing w:val="-1"/>
          <w:sz w:val="22"/>
          <w:szCs w:val="22"/>
          <w:u w:color="000000"/>
          <w:lang w:val="es-ES_tradnl"/>
        </w:rPr>
        <w:t xml:space="preserve"> * (1- 0,0</w:t>
      </w:r>
      <w:r w:rsidR="0069601C" w:rsidRPr="00D03701">
        <w:rPr>
          <w:rFonts w:ascii="Arial" w:hAnsi="Arial" w:cs="Arial"/>
          <w:spacing w:val="-1"/>
          <w:sz w:val="22"/>
          <w:szCs w:val="22"/>
          <w:u w:color="000000"/>
          <w:lang w:val="es-ES_tradnl"/>
        </w:rPr>
        <w:t>44</w:t>
      </w:r>
      <w:r w:rsidRPr="00D03701">
        <w:rPr>
          <w:rFonts w:ascii="Arial" w:hAnsi="Arial" w:cs="Arial"/>
          <w:spacing w:val="-1"/>
          <w:sz w:val="22"/>
          <w:szCs w:val="22"/>
          <w:u w:color="000000"/>
          <w:lang w:val="es-ES_tradnl"/>
        </w:rPr>
        <w:t xml:space="preserve">) = </w:t>
      </w:r>
      <w:r w:rsidRPr="00D03701">
        <w:rPr>
          <w:rFonts w:ascii="Arial" w:hAnsi="Arial" w:cs="Arial"/>
          <w:b/>
          <w:spacing w:val="-1"/>
          <w:sz w:val="22"/>
          <w:szCs w:val="22"/>
          <w:u w:color="000000"/>
          <w:lang w:val="es-ES_tradnl"/>
        </w:rPr>
        <w:t>0,8</w:t>
      </w:r>
      <w:r w:rsidR="0069601C" w:rsidRPr="00D03701">
        <w:rPr>
          <w:rFonts w:ascii="Arial" w:hAnsi="Arial" w:cs="Arial"/>
          <w:b/>
          <w:spacing w:val="-1"/>
          <w:sz w:val="22"/>
          <w:szCs w:val="22"/>
          <w:u w:color="000000"/>
          <w:lang w:val="es-ES_tradnl"/>
        </w:rPr>
        <w:t>19</w:t>
      </w:r>
    </w:p>
    <w:p w14:paraId="0ACF64A1"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bookmarkStart w:id="28" w:name="_bookmark1"/>
      <w:bookmarkEnd w:id="28"/>
      <w:r w:rsidRPr="00D03701">
        <w:rPr>
          <w:rFonts w:ascii="Arial" w:hAnsi="Arial" w:cs="Arial"/>
          <w:spacing w:val="-1"/>
          <w:sz w:val="22"/>
          <w:szCs w:val="22"/>
          <w:u w:color="000000"/>
          <w:lang w:val="es-ES_tradnl"/>
        </w:rPr>
        <w:t>Donde:</w:t>
      </w:r>
    </w:p>
    <w:p w14:paraId="51541B3A"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FCMONC: factor de conversión de la mano de obra no calificada</w:t>
      </w:r>
    </w:p>
    <w:p w14:paraId="22A55664"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W: es el salario costo empresa (índice 1.0)</w:t>
      </w:r>
    </w:p>
    <w:p w14:paraId="3BEFF765"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FCMOC: factor de conversión de la mano de obra calificada</w:t>
      </w:r>
    </w:p>
    <w:p w14:paraId="7FF2B8F3" w14:textId="77777777" w:rsidR="00F10D9A" w:rsidRPr="00D03701" w:rsidRDefault="007E781F">
      <w:pPr>
        <w:pStyle w:val="Paragraph"/>
        <w:numPr>
          <w:ilvl w:val="0"/>
          <w:numId w:val="0"/>
        </w:numPr>
        <w:ind w:left="1350"/>
        <w:outlineLvl w:val="9"/>
        <w:rPr>
          <w:rFonts w:ascii="Arial" w:hAnsi="Arial" w:cs="Arial"/>
          <w:spacing w:val="-1"/>
          <w:sz w:val="22"/>
          <w:szCs w:val="22"/>
          <w:u w:color="000000"/>
          <w:lang w:val="es-ES_tradnl"/>
        </w:rPr>
      </w:pPr>
      <w:r w:rsidRPr="00D03701">
        <w:rPr>
          <w:rFonts w:ascii="Arial" w:hAnsi="Arial" w:cs="Arial"/>
          <w:spacing w:val="-1"/>
          <w:sz w:val="22"/>
          <w:szCs w:val="22"/>
          <w:u w:color="000000"/>
          <w:lang w:val="es-ES_tradnl"/>
        </w:rPr>
        <w:t>U: tasa de desempleo abierta.</w:t>
      </w:r>
    </w:p>
    <w:p w14:paraId="1DAE4BA0" w14:textId="77777777" w:rsidR="00F10D9A" w:rsidRPr="00D03701" w:rsidRDefault="007E781F">
      <w:pPr>
        <w:pStyle w:val="Paragraph"/>
        <w:numPr>
          <w:ilvl w:val="1"/>
          <w:numId w:val="3"/>
        </w:numPr>
        <w:ind w:left="540" w:hanging="540"/>
        <w:outlineLvl w:val="9"/>
        <w:rPr>
          <w:rFonts w:ascii="Arial" w:hAnsi="Arial" w:cs="Arial"/>
          <w:sz w:val="22"/>
          <w:szCs w:val="22"/>
          <w:lang w:val="es-ES_tradnl"/>
        </w:rPr>
      </w:pPr>
      <w:r w:rsidRPr="00D03701">
        <w:rPr>
          <w:rFonts w:ascii="Arial" w:hAnsi="Arial" w:cs="Arial"/>
          <w:sz w:val="22"/>
          <w:szCs w:val="22"/>
          <w:lang w:val="es-ES_tradnl"/>
        </w:rPr>
        <w:t xml:space="preserve">Tomando en cuenta la composición de costos de cada categoría de gasto (ver Cuadro 4), se obtiene que luego de la aplicación de los factores de conversión para eliminar impuestos indirectos (Impuesto a las Ventas y aranceles) y otras distorsiones en el mercado laboral, la inversión total alcanza un 88% del valor a precios de mercado. </w:t>
      </w:r>
    </w:p>
    <w:tbl>
      <w:tblPr>
        <w:tblW w:w="8370" w:type="dxa"/>
        <w:tblInd w:w="445" w:type="dxa"/>
        <w:tblLook w:val="04A0" w:firstRow="1" w:lastRow="0" w:firstColumn="1" w:lastColumn="0" w:noHBand="0" w:noVBand="1"/>
      </w:tblPr>
      <w:tblGrid>
        <w:gridCol w:w="4230"/>
        <w:gridCol w:w="1350"/>
        <w:gridCol w:w="1350"/>
        <w:gridCol w:w="1440"/>
      </w:tblGrid>
      <w:tr w:rsidR="005654A4" w:rsidRPr="00BE7955" w14:paraId="5911E4FA" w14:textId="77777777" w:rsidTr="005654A4">
        <w:trPr>
          <w:trHeight w:val="50"/>
        </w:trPr>
        <w:tc>
          <w:tcPr>
            <w:tcW w:w="8370" w:type="dxa"/>
            <w:gridSpan w:val="4"/>
            <w:tcBorders>
              <w:top w:val="single" w:sz="4" w:space="0" w:color="auto"/>
              <w:left w:val="single" w:sz="4" w:space="0" w:color="auto"/>
              <w:bottom w:val="single" w:sz="4" w:space="0" w:color="auto"/>
              <w:right w:val="single" w:sz="4" w:space="0" w:color="000000"/>
            </w:tcBorders>
            <w:shd w:val="clear" w:color="000000" w:fill="C0C0C0"/>
            <w:vAlign w:val="bottom"/>
            <w:hideMark/>
          </w:tcPr>
          <w:p w14:paraId="4297EAA7" w14:textId="77777777" w:rsidR="005654A4" w:rsidRPr="00D03701" w:rsidRDefault="005654A4" w:rsidP="00EF22E2">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Cuadro 4: Costos de inversión por insumo económico (en US$)</w:t>
            </w:r>
          </w:p>
        </w:tc>
      </w:tr>
      <w:tr w:rsidR="005654A4" w:rsidRPr="00D03701" w14:paraId="40CCBF45" w14:textId="77777777" w:rsidTr="005654A4">
        <w:trPr>
          <w:trHeight w:val="175"/>
        </w:trPr>
        <w:tc>
          <w:tcPr>
            <w:tcW w:w="4230" w:type="dxa"/>
            <w:tcBorders>
              <w:top w:val="nil"/>
              <w:left w:val="single" w:sz="4" w:space="0" w:color="auto"/>
              <w:bottom w:val="single" w:sz="4" w:space="0" w:color="auto"/>
              <w:right w:val="single" w:sz="4" w:space="0" w:color="auto"/>
            </w:tcBorders>
            <w:shd w:val="clear" w:color="000000" w:fill="C0C0C0"/>
            <w:vAlign w:val="bottom"/>
            <w:hideMark/>
          </w:tcPr>
          <w:p w14:paraId="1E8A42A2" w14:textId="77777777" w:rsidR="005654A4" w:rsidRPr="00D03701" w:rsidRDefault="005654A4" w:rsidP="00EF22E2">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Insumo económico</w:t>
            </w:r>
          </w:p>
        </w:tc>
        <w:tc>
          <w:tcPr>
            <w:tcW w:w="1350" w:type="dxa"/>
            <w:tcBorders>
              <w:top w:val="nil"/>
              <w:left w:val="nil"/>
              <w:bottom w:val="single" w:sz="4" w:space="0" w:color="auto"/>
              <w:right w:val="single" w:sz="4" w:space="0" w:color="auto"/>
            </w:tcBorders>
            <w:shd w:val="clear" w:color="000000" w:fill="C0C0C0"/>
            <w:vAlign w:val="bottom"/>
            <w:hideMark/>
          </w:tcPr>
          <w:p w14:paraId="392B0556" w14:textId="77777777" w:rsidR="005654A4" w:rsidRPr="00D03701" w:rsidRDefault="005654A4" w:rsidP="00EF22E2">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Costo financiero</w:t>
            </w:r>
          </w:p>
        </w:tc>
        <w:tc>
          <w:tcPr>
            <w:tcW w:w="1350" w:type="dxa"/>
            <w:tcBorders>
              <w:top w:val="nil"/>
              <w:left w:val="nil"/>
              <w:bottom w:val="single" w:sz="4" w:space="0" w:color="auto"/>
              <w:right w:val="single" w:sz="4" w:space="0" w:color="auto"/>
            </w:tcBorders>
            <w:shd w:val="clear" w:color="000000" w:fill="C0C0C0"/>
            <w:vAlign w:val="bottom"/>
            <w:hideMark/>
          </w:tcPr>
          <w:p w14:paraId="42788ED5" w14:textId="77777777" w:rsidR="005654A4" w:rsidRPr="00D03701" w:rsidRDefault="005654A4" w:rsidP="00EF22E2">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Factor de corrección</w:t>
            </w:r>
          </w:p>
        </w:tc>
        <w:tc>
          <w:tcPr>
            <w:tcW w:w="1440" w:type="dxa"/>
            <w:tcBorders>
              <w:top w:val="nil"/>
              <w:left w:val="nil"/>
              <w:bottom w:val="single" w:sz="4" w:space="0" w:color="auto"/>
              <w:right w:val="single" w:sz="4" w:space="0" w:color="auto"/>
            </w:tcBorders>
            <w:shd w:val="clear" w:color="000000" w:fill="C0C0C0"/>
            <w:vAlign w:val="bottom"/>
            <w:hideMark/>
          </w:tcPr>
          <w:p w14:paraId="260C4C02" w14:textId="77777777" w:rsidR="005654A4" w:rsidRPr="00D03701" w:rsidRDefault="005654A4" w:rsidP="00EF22E2">
            <w:pPr>
              <w:spacing w:after="0" w:line="240" w:lineRule="auto"/>
              <w:jc w:val="center"/>
              <w:rPr>
                <w:rFonts w:ascii="Arial" w:hAnsi="Arial" w:cs="Arial"/>
                <w:b/>
                <w:color w:val="000000"/>
                <w:sz w:val="18"/>
                <w:szCs w:val="18"/>
                <w:lang w:val="es-ES_tradnl"/>
              </w:rPr>
            </w:pPr>
            <w:r w:rsidRPr="00D03701">
              <w:rPr>
                <w:rFonts w:ascii="Arial" w:hAnsi="Arial" w:cs="Arial"/>
                <w:b/>
                <w:color w:val="000000"/>
                <w:sz w:val="18"/>
                <w:szCs w:val="18"/>
                <w:lang w:val="es-ES_tradnl"/>
              </w:rPr>
              <w:t>Costo económico</w:t>
            </w:r>
          </w:p>
        </w:tc>
      </w:tr>
      <w:tr w:rsidR="00D03701" w:rsidRPr="00D03701" w14:paraId="57C9115C" w14:textId="77777777" w:rsidTr="005654A4">
        <w:trPr>
          <w:trHeight w:val="528"/>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09D28C0B"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Sistemas de computador y aplicativos de origen nacional</w:t>
            </w:r>
          </w:p>
        </w:tc>
        <w:tc>
          <w:tcPr>
            <w:tcW w:w="1350" w:type="dxa"/>
            <w:tcBorders>
              <w:top w:val="nil"/>
              <w:left w:val="nil"/>
              <w:bottom w:val="single" w:sz="4" w:space="0" w:color="auto"/>
              <w:right w:val="single" w:sz="4" w:space="0" w:color="auto"/>
            </w:tcBorders>
            <w:shd w:val="clear" w:color="auto" w:fill="auto"/>
            <w:vAlign w:val="bottom"/>
            <w:hideMark/>
          </w:tcPr>
          <w:p w14:paraId="6D532A88" w14:textId="77B4B762"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c>
          <w:tcPr>
            <w:tcW w:w="1350" w:type="dxa"/>
            <w:tcBorders>
              <w:top w:val="nil"/>
              <w:left w:val="nil"/>
              <w:bottom w:val="single" w:sz="4" w:space="0" w:color="auto"/>
              <w:right w:val="single" w:sz="4" w:space="0" w:color="auto"/>
            </w:tcBorders>
            <w:shd w:val="clear" w:color="auto" w:fill="auto"/>
            <w:vAlign w:val="bottom"/>
            <w:hideMark/>
          </w:tcPr>
          <w:p w14:paraId="2A938783" w14:textId="7EA94FCF"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c>
          <w:tcPr>
            <w:tcW w:w="1440" w:type="dxa"/>
            <w:tcBorders>
              <w:top w:val="nil"/>
              <w:left w:val="nil"/>
              <w:bottom w:val="single" w:sz="4" w:space="0" w:color="auto"/>
              <w:right w:val="single" w:sz="4" w:space="0" w:color="auto"/>
            </w:tcBorders>
            <w:shd w:val="clear" w:color="auto" w:fill="auto"/>
            <w:vAlign w:val="bottom"/>
            <w:hideMark/>
          </w:tcPr>
          <w:p w14:paraId="78C279D6" w14:textId="62EF7DA2"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r>
      <w:tr w:rsidR="00D03701" w:rsidRPr="00D03701" w14:paraId="4AD7FDA6" w14:textId="77777777" w:rsidTr="005654A4">
        <w:trPr>
          <w:trHeight w:val="184"/>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57ABD1C2"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Sistemas de computador y aplicativos de origen importado</w:t>
            </w:r>
          </w:p>
        </w:tc>
        <w:tc>
          <w:tcPr>
            <w:tcW w:w="1350" w:type="dxa"/>
            <w:tcBorders>
              <w:top w:val="nil"/>
              <w:left w:val="nil"/>
              <w:bottom w:val="single" w:sz="4" w:space="0" w:color="auto"/>
              <w:right w:val="single" w:sz="4" w:space="0" w:color="auto"/>
            </w:tcBorders>
            <w:shd w:val="clear" w:color="auto" w:fill="auto"/>
            <w:vAlign w:val="bottom"/>
            <w:hideMark/>
          </w:tcPr>
          <w:p w14:paraId="759AE96C" w14:textId="3D5F5E53"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20,296,470</w:t>
            </w:r>
          </w:p>
        </w:tc>
        <w:tc>
          <w:tcPr>
            <w:tcW w:w="1350" w:type="dxa"/>
            <w:tcBorders>
              <w:top w:val="nil"/>
              <w:left w:val="nil"/>
              <w:bottom w:val="single" w:sz="4" w:space="0" w:color="auto"/>
              <w:right w:val="single" w:sz="4" w:space="0" w:color="auto"/>
            </w:tcBorders>
            <w:shd w:val="clear" w:color="auto" w:fill="auto"/>
            <w:vAlign w:val="bottom"/>
            <w:hideMark/>
          </w:tcPr>
          <w:p w14:paraId="52F9CE4B" w14:textId="6BCA741C"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0.943</w:t>
            </w:r>
          </w:p>
        </w:tc>
        <w:tc>
          <w:tcPr>
            <w:tcW w:w="1440" w:type="dxa"/>
            <w:tcBorders>
              <w:top w:val="nil"/>
              <w:left w:val="nil"/>
              <w:bottom w:val="single" w:sz="4" w:space="0" w:color="auto"/>
              <w:right w:val="single" w:sz="4" w:space="0" w:color="auto"/>
            </w:tcBorders>
            <w:shd w:val="clear" w:color="auto" w:fill="auto"/>
            <w:vAlign w:val="bottom"/>
            <w:hideMark/>
          </w:tcPr>
          <w:p w14:paraId="546BE90A" w14:textId="22AA5AB2"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19,147,613</w:t>
            </w:r>
          </w:p>
        </w:tc>
      </w:tr>
      <w:tr w:rsidR="00D03701" w:rsidRPr="00D03701" w14:paraId="590C870D" w14:textId="77777777" w:rsidTr="005654A4">
        <w:trPr>
          <w:trHeight w:val="264"/>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5B2A9B0D"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Equipos de origen nacional</w:t>
            </w:r>
          </w:p>
        </w:tc>
        <w:tc>
          <w:tcPr>
            <w:tcW w:w="1350" w:type="dxa"/>
            <w:tcBorders>
              <w:top w:val="nil"/>
              <w:left w:val="nil"/>
              <w:bottom w:val="single" w:sz="4" w:space="0" w:color="auto"/>
              <w:right w:val="single" w:sz="4" w:space="0" w:color="auto"/>
            </w:tcBorders>
            <w:shd w:val="clear" w:color="auto" w:fill="auto"/>
            <w:vAlign w:val="bottom"/>
            <w:hideMark/>
          </w:tcPr>
          <w:p w14:paraId="0C8B2215" w14:textId="772B2EB3"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c>
          <w:tcPr>
            <w:tcW w:w="1350" w:type="dxa"/>
            <w:tcBorders>
              <w:top w:val="nil"/>
              <w:left w:val="nil"/>
              <w:bottom w:val="single" w:sz="4" w:space="0" w:color="auto"/>
              <w:right w:val="single" w:sz="4" w:space="0" w:color="auto"/>
            </w:tcBorders>
            <w:shd w:val="clear" w:color="auto" w:fill="auto"/>
            <w:vAlign w:val="bottom"/>
            <w:hideMark/>
          </w:tcPr>
          <w:p w14:paraId="50A749BB" w14:textId="2263D4B9"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c>
          <w:tcPr>
            <w:tcW w:w="1440" w:type="dxa"/>
            <w:tcBorders>
              <w:top w:val="nil"/>
              <w:left w:val="nil"/>
              <w:bottom w:val="single" w:sz="4" w:space="0" w:color="auto"/>
              <w:right w:val="single" w:sz="4" w:space="0" w:color="auto"/>
            </w:tcBorders>
            <w:shd w:val="clear" w:color="auto" w:fill="auto"/>
            <w:vAlign w:val="bottom"/>
            <w:hideMark/>
          </w:tcPr>
          <w:p w14:paraId="3CC47D6D" w14:textId="59CF0F38"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r>
      <w:tr w:rsidR="00D03701" w:rsidRPr="00D03701" w14:paraId="7D6AB265" w14:textId="77777777" w:rsidTr="005654A4">
        <w:trPr>
          <w:trHeight w:val="264"/>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50A5F05D"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Equipos de origen importado</w:t>
            </w:r>
          </w:p>
        </w:tc>
        <w:tc>
          <w:tcPr>
            <w:tcW w:w="1350" w:type="dxa"/>
            <w:tcBorders>
              <w:top w:val="nil"/>
              <w:left w:val="nil"/>
              <w:bottom w:val="single" w:sz="4" w:space="0" w:color="auto"/>
              <w:right w:val="single" w:sz="4" w:space="0" w:color="auto"/>
            </w:tcBorders>
            <w:shd w:val="clear" w:color="auto" w:fill="auto"/>
            <w:vAlign w:val="bottom"/>
            <w:hideMark/>
          </w:tcPr>
          <w:p w14:paraId="0902F62E" w14:textId="2BA529BF"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32,000,429</w:t>
            </w:r>
          </w:p>
        </w:tc>
        <w:tc>
          <w:tcPr>
            <w:tcW w:w="1350" w:type="dxa"/>
            <w:tcBorders>
              <w:top w:val="nil"/>
              <w:left w:val="nil"/>
              <w:bottom w:val="single" w:sz="4" w:space="0" w:color="auto"/>
              <w:right w:val="single" w:sz="4" w:space="0" w:color="auto"/>
            </w:tcBorders>
            <w:shd w:val="clear" w:color="auto" w:fill="auto"/>
            <w:vAlign w:val="bottom"/>
            <w:hideMark/>
          </w:tcPr>
          <w:p w14:paraId="51AB06BF" w14:textId="6C032942"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0.943</w:t>
            </w:r>
          </w:p>
        </w:tc>
        <w:tc>
          <w:tcPr>
            <w:tcW w:w="1440" w:type="dxa"/>
            <w:tcBorders>
              <w:top w:val="nil"/>
              <w:left w:val="nil"/>
              <w:bottom w:val="single" w:sz="4" w:space="0" w:color="auto"/>
              <w:right w:val="single" w:sz="4" w:space="0" w:color="auto"/>
            </w:tcBorders>
            <w:shd w:val="clear" w:color="auto" w:fill="auto"/>
            <w:vAlign w:val="bottom"/>
            <w:hideMark/>
          </w:tcPr>
          <w:p w14:paraId="292EA488" w14:textId="0FA9E1BE"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30,189,084</w:t>
            </w:r>
          </w:p>
        </w:tc>
      </w:tr>
      <w:tr w:rsidR="00D03701" w:rsidRPr="00D03701" w14:paraId="687D03B3" w14:textId="77777777" w:rsidTr="005654A4">
        <w:trPr>
          <w:trHeight w:val="264"/>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014AC75A"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Servicio de origen nacional</w:t>
            </w:r>
          </w:p>
        </w:tc>
        <w:tc>
          <w:tcPr>
            <w:tcW w:w="1350" w:type="dxa"/>
            <w:tcBorders>
              <w:top w:val="nil"/>
              <w:left w:val="nil"/>
              <w:bottom w:val="single" w:sz="4" w:space="0" w:color="auto"/>
              <w:right w:val="single" w:sz="4" w:space="0" w:color="auto"/>
            </w:tcBorders>
            <w:shd w:val="clear" w:color="auto" w:fill="auto"/>
            <w:vAlign w:val="bottom"/>
            <w:hideMark/>
          </w:tcPr>
          <w:p w14:paraId="2CCE8883" w14:textId="2BEAC75F"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8,089,706</w:t>
            </w:r>
          </w:p>
        </w:tc>
        <w:tc>
          <w:tcPr>
            <w:tcW w:w="1350" w:type="dxa"/>
            <w:tcBorders>
              <w:top w:val="nil"/>
              <w:left w:val="nil"/>
              <w:bottom w:val="single" w:sz="4" w:space="0" w:color="auto"/>
              <w:right w:val="single" w:sz="4" w:space="0" w:color="auto"/>
            </w:tcBorders>
            <w:shd w:val="clear" w:color="auto" w:fill="auto"/>
            <w:vAlign w:val="bottom"/>
            <w:hideMark/>
          </w:tcPr>
          <w:p w14:paraId="0A57C1A4" w14:textId="41658EA8"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0.805</w:t>
            </w:r>
          </w:p>
        </w:tc>
        <w:tc>
          <w:tcPr>
            <w:tcW w:w="1440" w:type="dxa"/>
            <w:tcBorders>
              <w:top w:val="nil"/>
              <w:left w:val="nil"/>
              <w:bottom w:val="single" w:sz="4" w:space="0" w:color="auto"/>
              <w:right w:val="single" w:sz="4" w:space="0" w:color="auto"/>
            </w:tcBorders>
            <w:shd w:val="clear" w:color="auto" w:fill="auto"/>
            <w:vAlign w:val="bottom"/>
            <w:hideMark/>
          </w:tcPr>
          <w:p w14:paraId="63AC6A75" w14:textId="6135AB87"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6,509,711</w:t>
            </w:r>
          </w:p>
        </w:tc>
      </w:tr>
      <w:tr w:rsidR="00D03701" w:rsidRPr="00D03701" w14:paraId="3457EF23" w14:textId="77777777" w:rsidTr="001A5218">
        <w:trPr>
          <w:trHeight w:val="166"/>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1F03CF7C"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Servicios de origen importada</w:t>
            </w:r>
          </w:p>
        </w:tc>
        <w:tc>
          <w:tcPr>
            <w:tcW w:w="1350" w:type="dxa"/>
            <w:tcBorders>
              <w:top w:val="nil"/>
              <w:left w:val="nil"/>
              <w:bottom w:val="single" w:sz="4" w:space="0" w:color="auto"/>
              <w:right w:val="single" w:sz="4" w:space="0" w:color="auto"/>
            </w:tcBorders>
            <w:shd w:val="clear" w:color="auto" w:fill="auto"/>
            <w:vAlign w:val="bottom"/>
            <w:hideMark/>
          </w:tcPr>
          <w:p w14:paraId="703B7946" w14:textId="68929F7E"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5,393,137</w:t>
            </w:r>
          </w:p>
        </w:tc>
        <w:tc>
          <w:tcPr>
            <w:tcW w:w="1350" w:type="dxa"/>
            <w:tcBorders>
              <w:top w:val="nil"/>
              <w:left w:val="nil"/>
              <w:bottom w:val="single" w:sz="4" w:space="0" w:color="auto"/>
              <w:right w:val="single" w:sz="4" w:space="0" w:color="auto"/>
            </w:tcBorders>
            <w:shd w:val="clear" w:color="auto" w:fill="auto"/>
            <w:vAlign w:val="bottom"/>
            <w:hideMark/>
          </w:tcPr>
          <w:p w14:paraId="34A8593B" w14:textId="2AAF3384"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0.981</w:t>
            </w:r>
          </w:p>
        </w:tc>
        <w:tc>
          <w:tcPr>
            <w:tcW w:w="1440" w:type="dxa"/>
            <w:tcBorders>
              <w:top w:val="nil"/>
              <w:left w:val="nil"/>
              <w:bottom w:val="single" w:sz="4" w:space="0" w:color="auto"/>
              <w:right w:val="single" w:sz="4" w:space="0" w:color="auto"/>
            </w:tcBorders>
            <w:shd w:val="clear" w:color="auto" w:fill="auto"/>
            <w:vAlign w:val="bottom"/>
            <w:hideMark/>
          </w:tcPr>
          <w:p w14:paraId="39740E5E" w14:textId="32030064"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5,292,448</w:t>
            </w:r>
          </w:p>
        </w:tc>
      </w:tr>
      <w:tr w:rsidR="00D03701" w:rsidRPr="00D03701" w14:paraId="046275B6" w14:textId="77777777" w:rsidTr="005654A4">
        <w:trPr>
          <w:trHeight w:val="264"/>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2C7DD407"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Mano de obra no calificada</w:t>
            </w:r>
          </w:p>
        </w:tc>
        <w:tc>
          <w:tcPr>
            <w:tcW w:w="1350" w:type="dxa"/>
            <w:tcBorders>
              <w:top w:val="nil"/>
              <w:left w:val="nil"/>
              <w:bottom w:val="single" w:sz="4" w:space="0" w:color="auto"/>
              <w:right w:val="single" w:sz="4" w:space="0" w:color="auto"/>
            </w:tcBorders>
            <w:shd w:val="clear" w:color="auto" w:fill="auto"/>
            <w:vAlign w:val="bottom"/>
            <w:hideMark/>
          </w:tcPr>
          <w:p w14:paraId="723BE0DD" w14:textId="1126C31B"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c>
          <w:tcPr>
            <w:tcW w:w="1350" w:type="dxa"/>
            <w:tcBorders>
              <w:top w:val="nil"/>
              <w:left w:val="nil"/>
              <w:bottom w:val="single" w:sz="4" w:space="0" w:color="auto"/>
              <w:right w:val="single" w:sz="4" w:space="0" w:color="auto"/>
            </w:tcBorders>
            <w:shd w:val="clear" w:color="auto" w:fill="auto"/>
            <w:vAlign w:val="bottom"/>
            <w:hideMark/>
          </w:tcPr>
          <w:p w14:paraId="7E2E73B2" w14:textId="01C19F9B"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0.819</w:t>
            </w:r>
          </w:p>
        </w:tc>
        <w:tc>
          <w:tcPr>
            <w:tcW w:w="1440" w:type="dxa"/>
            <w:tcBorders>
              <w:top w:val="nil"/>
              <w:left w:val="nil"/>
              <w:bottom w:val="single" w:sz="4" w:space="0" w:color="auto"/>
              <w:right w:val="single" w:sz="4" w:space="0" w:color="auto"/>
            </w:tcBorders>
            <w:shd w:val="clear" w:color="auto" w:fill="auto"/>
            <w:vAlign w:val="bottom"/>
            <w:hideMark/>
          </w:tcPr>
          <w:p w14:paraId="571965C7" w14:textId="40562620"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r>
      <w:tr w:rsidR="00D03701" w:rsidRPr="00D03701" w14:paraId="5AF2DECB" w14:textId="77777777" w:rsidTr="005654A4">
        <w:trPr>
          <w:trHeight w:val="35"/>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504A889B"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Mano de obra calificada</w:t>
            </w:r>
          </w:p>
        </w:tc>
        <w:tc>
          <w:tcPr>
            <w:tcW w:w="1350" w:type="dxa"/>
            <w:tcBorders>
              <w:top w:val="nil"/>
              <w:left w:val="nil"/>
              <w:bottom w:val="single" w:sz="4" w:space="0" w:color="auto"/>
              <w:right w:val="single" w:sz="4" w:space="0" w:color="auto"/>
            </w:tcBorders>
            <w:shd w:val="clear" w:color="auto" w:fill="auto"/>
            <w:vAlign w:val="bottom"/>
            <w:hideMark/>
          </w:tcPr>
          <w:p w14:paraId="566772B5" w14:textId="074CE72E"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35,703,418</w:t>
            </w:r>
          </w:p>
        </w:tc>
        <w:tc>
          <w:tcPr>
            <w:tcW w:w="1350" w:type="dxa"/>
            <w:tcBorders>
              <w:top w:val="nil"/>
              <w:left w:val="nil"/>
              <w:bottom w:val="single" w:sz="4" w:space="0" w:color="auto"/>
              <w:right w:val="single" w:sz="4" w:space="0" w:color="auto"/>
            </w:tcBorders>
            <w:shd w:val="clear" w:color="auto" w:fill="auto"/>
            <w:vAlign w:val="bottom"/>
            <w:hideMark/>
          </w:tcPr>
          <w:p w14:paraId="59A85FC5" w14:textId="36FEBF78"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0.857</w:t>
            </w:r>
          </w:p>
        </w:tc>
        <w:tc>
          <w:tcPr>
            <w:tcW w:w="1440" w:type="dxa"/>
            <w:tcBorders>
              <w:top w:val="nil"/>
              <w:left w:val="nil"/>
              <w:bottom w:val="single" w:sz="4" w:space="0" w:color="auto"/>
              <w:right w:val="single" w:sz="4" w:space="0" w:color="auto"/>
            </w:tcBorders>
            <w:shd w:val="clear" w:color="auto" w:fill="auto"/>
            <w:vAlign w:val="bottom"/>
            <w:hideMark/>
          </w:tcPr>
          <w:p w14:paraId="2B6EF67D" w14:textId="4A26D54F"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30,587,161</w:t>
            </w:r>
          </w:p>
        </w:tc>
      </w:tr>
      <w:tr w:rsidR="00D03701" w:rsidRPr="00D03701" w14:paraId="5B5CCDCC" w14:textId="77777777" w:rsidTr="005654A4">
        <w:trPr>
          <w:trHeight w:val="50"/>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3259F33B"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Imprevistos</w:t>
            </w:r>
          </w:p>
        </w:tc>
        <w:tc>
          <w:tcPr>
            <w:tcW w:w="1350" w:type="dxa"/>
            <w:tcBorders>
              <w:top w:val="nil"/>
              <w:left w:val="nil"/>
              <w:bottom w:val="single" w:sz="4" w:space="0" w:color="auto"/>
              <w:right w:val="single" w:sz="4" w:space="0" w:color="auto"/>
            </w:tcBorders>
            <w:shd w:val="clear" w:color="auto" w:fill="auto"/>
            <w:vAlign w:val="bottom"/>
            <w:hideMark/>
          </w:tcPr>
          <w:p w14:paraId="3FD4DDF9" w14:textId="6A5F7F2B"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c>
          <w:tcPr>
            <w:tcW w:w="1350" w:type="dxa"/>
            <w:tcBorders>
              <w:top w:val="nil"/>
              <w:left w:val="nil"/>
              <w:bottom w:val="single" w:sz="4" w:space="0" w:color="auto"/>
              <w:right w:val="single" w:sz="4" w:space="0" w:color="auto"/>
            </w:tcBorders>
            <w:shd w:val="clear" w:color="auto" w:fill="auto"/>
            <w:vAlign w:val="bottom"/>
            <w:hideMark/>
          </w:tcPr>
          <w:p w14:paraId="6454747E" w14:textId="1664E681"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1</w:t>
            </w:r>
          </w:p>
        </w:tc>
        <w:tc>
          <w:tcPr>
            <w:tcW w:w="1440" w:type="dxa"/>
            <w:tcBorders>
              <w:top w:val="nil"/>
              <w:left w:val="nil"/>
              <w:bottom w:val="single" w:sz="4" w:space="0" w:color="auto"/>
              <w:right w:val="single" w:sz="4" w:space="0" w:color="auto"/>
            </w:tcBorders>
            <w:shd w:val="clear" w:color="auto" w:fill="auto"/>
            <w:vAlign w:val="bottom"/>
            <w:hideMark/>
          </w:tcPr>
          <w:p w14:paraId="1705FA37" w14:textId="67D02CC9"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w:t>
            </w:r>
          </w:p>
        </w:tc>
      </w:tr>
      <w:tr w:rsidR="00D03701" w:rsidRPr="00D03701" w14:paraId="276CE57D" w14:textId="77777777" w:rsidTr="00D74597">
        <w:trPr>
          <w:trHeight w:val="50"/>
        </w:trPr>
        <w:tc>
          <w:tcPr>
            <w:tcW w:w="4230" w:type="dxa"/>
            <w:tcBorders>
              <w:top w:val="nil"/>
              <w:left w:val="single" w:sz="4" w:space="0" w:color="auto"/>
              <w:bottom w:val="single" w:sz="4" w:space="0" w:color="auto"/>
              <w:right w:val="single" w:sz="4" w:space="0" w:color="auto"/>
            </w:tcBorders>
            <w:shd w:val="clear" w:color="auto" w:fill="auto"/>
            <w:vAlign w:val="bottom"/>
            <w:hideMark/>
          </w:tcPr>
          <w:p w14:paraId="124FDF55" w14:textId="77777777" w:rsidR="00D03701" w:rsidRPr="00D03701" w:rsidRDefault="00D03701" w:rsidP="00D03701">
            <w:pPr>
              <w:spacing w:after="0" w:line="240" w:lineRule="auto"/>
              <w:rPr>
                <w:rFonts w:ascii="Arial" w:hAnsi="Arial" w:cs="Arial"/>
                <w:color w:val="000000"/>
                <w:sz w:val="18"/>
                <w:szCs w:val="18"/>
                <w:lang w:val="es-ES_tradnl"/>
              </w:rPr>
            </w:pPr>
            <w:r w:rsidRPr="00D03701">
              <w:rPr>
                <w:rFonts w:ascii="Arial" w:hAnsi="Arial" w:cs="Arial"/>
                <w:color w:val="000000"/>
                <w:sz w:val="18"/>
                <w:szCs w:val="18"/>
                <w:lang w:val="es-ES_tradnl"/>
              </w:rPr>
              <w:t>Total</w:t>
            </w:r>
          </w:p>
        </w:tc>
        <w:tc>
          <w:tcPr>
            <w:tcW w:w="1350" w:type="dxa"/>
            <w:tcBorders>
              <w:top w:val="nil"/>
              <w:left w:val="nil"/>
              <w:bottom w:val="single" w:sz="4" w:space="0" w:color="auto"/>
              <w:right w:val="single" w:sz="4" w:space="0" w:color="auto"/>
            </w:tcBorders>
            <w:shd w:val="clear" w:color="auto" w:fill="auto"/>
            <w:vAlign w:val="bottom"/>
            <w:hideMark/>
          </w:tcPr>
          <w:p w14:paraId="1D3779A7" w14:textId="677BE90D"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101,483,160</w:t>
            </w:r>
          </w:p>
        </w:tc>
        <w:tc>
          <w:tcPr>
            <w:tcW w:w="1350" w:type="dxa"/>
            <w:tcBorders>
              <w:top w:val="nil"/>
              <w:left w:val="nil"/>
              <w:bottom w:val="single" w:sz="4" w:space="0" w:color="auto"/>
              <w:right w:val="single" w:sz="4" w:space="0" w:color="auto"/>
            </w:tcBorders>
            <w:shd w:val="clear" w:color="auto" w:fill="auto"/>
            <w:vAlign w:val="bottom"/>
            <w:hideMark/>
          </w:tcPr>
          <w:p w14:paraId="7442B0DD" w14:textId="3469EF5D"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0.89</w:t>
            </w:r>
          </w:p>
        </w:tc>
        <w:tc>
          <w:tcPr>
            <w:tcW w:w="1440" w:type="dxa"/>
            <w:tcBorders>
              <w:top w:val="nil"/>
              <w:left w:val="nil"/>
              <w:bottom w:val="single" w:sz="4" w:space="0" w:color="auto"/>
              <w:right w:val="single" w:sz="4" w:space="0" w:color="auto"/>
            </w:tcBorders>
            <w:shd w:val="clear" w:color="auto" w:fill="auto"/>
            <w:vAlign w:val="bottom"/>
            <w:hideMark/>
          </w:tcPr>
          <w:p w14:paraId="3D880D24" w14:textId="1B38B918" w:rsidR="00D03701" w:rsidRPr="00D03701" w:rsidRDefault="00D03701" w:rsidP="00D03701">
            <w:pPr>
              <w:spacing w:after="0" w:line="240" w:lineRule="auto"/>
              <w:jc w:val="right"/>
              <w:rPr>
                <w:rFonts w:ascii="Arial" w:hAnsi="Arial" w:cs="Arial"/>
                <w:color w:val="000000"/>
                <w:sz w:val="18"/>
                <w:szCs w:val="18"/>
                <w:lang w:val="es-ES_tradnl"/>
              </w:rPr>
            </w:pPr>
            <w:r w:rsidRPr="00D03701">
              <w:rPr>
                <w:rFonts w:ascii="Arial" w:hAnsi="Arial" w:cs="Arial"/>
                <w:color w:val="000000"/>
                <w:sz w:val="18"/>
                <w:szCs w:val="18"/>
                <w:lang w:val="es-ES_tradnl"/>
              </w:rPr>
              <w:t>91,726,017</w:t>
            </w:r>
          </w:p>
        </w:tc>
      </w:tr>
      <w:tr w:rsidR="002040E0" w:rsidRPr="00BE7955" w14:paraId="5516F248" w14:textId="77777777" w:rsidTr="00D74597">
        <w:trPr>
          <w:trHeight w:val="50"/>
        </w:trPr>
        <w:tc>
          <w:tcPr>
            <w:tcW w:w="837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7ACA3DC" w14:textId="77777777" w:rsidR="002040E0" w:rsidRPr="00D03701" w:rsidRDefault="002040E0" w:rsidP="00D74597">
            <w:pPr>
              <w:spacing w:after="0" w:line="240" w:lineRule="auto"/>
              <w:rPr>
                <w:rFonts w:ascii="Arial" w:hAnsi="Arial" w:cs="Arial"/>
                <w:b/>
                <w:color w:val="000000"/>
                <w:sz w:val="18"/>
                <w:szCs w:val="18"/>
                <w:lang w:val="es-ES_tradnl"/>
              </w:rPr>
            </w:pPr>
            <w:r w:rsidRPr="00D03701">
              <w:rPr>
                <w:rFonts w:ascii="Arial" w:hAnsi="Arial" w:cs="Arial"/>
                <w:b/>
                <w:color w:val="000000"/>
                <w:sz w:val="18"/>
                <w:szCs w:val="18"/>
                <w:lang w:val="es-ES_tradnl"/>
              </w:rPr>
              <w:t>Fuente: Plan de Adquisiciones del Proyecto</w:t>
            </w:r>
          </w:p>
        </w:tc>
      </w:tr>
    </w:tbl>
    <w:p w14:paraId="6C59994F" w14:textId="77777777" w:rsidR="00F10D9A" w:rsidRPr="00D03701" w:rsidRDefault="00F10D9A">
      <w:pPr>
        <w:pStyle w:val="Paragraph"/>
        <w:numPr>
          <w:ilvl w:val="0"/>
          <w:numId w:val="0"/>
        </w:numPr>
        <w:ind w:left="810"/>
        <w:outlineLvl w:val="9"/>
        <w:rPr>
          <w:rFonts w:ascii="Arial" w:hAnsi="Arial" w:cs="Arial"/>
          <w:sz w:val="22"/>
          <w:szCs w:val="22"/>
          <w:lang w:val="es-ES_tradnl"/>
        </w:rPr>
      </w:pPr>
    </w:p>
    <w:p w14:paraId="445B4DC8" w14:textId="77777777" w:rsidR="00F10D9A" w:rsidRPr="00D03701" w:rsidRDefault="007E781F" w:rsidP="0088781C">
      <w:pPr>
        <w:pStyle w:val="Heading2"/>
        <w:numPr>
          <w:ilvl w:val="0"/>
          <w:numId w:val="8"/>
        </w:numPr>
        <w:ind w:left="540"/>
        <w:rPr>
          <w:rFonts w:ascii="Arial" w:hAnsi="Arial" w:cs="Arial"/>
          <w:sz w:val="22"/>
          <w:szCs w:val="22"/>
          <w:lang w:val="es-ES_tradnl"/>
        </w:rPr>
      </w:pPr>
      <w:bookmarkStart w:id="29" w:name="_Toc479116399"/>
      <w:bookmarkStart w:id="30" w:name="_Toc522742003"/>
      <w:r w:rsidRPr="00D03701">
        <w:rPr>
          <w:rFonts w:ascii="Arial" w:hAnsi="Arial" w:cs="Arial"/>
          <w:sz w:val="22"/>
          <w:szCs w:val="22"/>
          <w:lang w:val="es-ES_tradnl"/>
        </w:rPr>
        <w:lastRenderedPageBreak/>
        <w:t>Costos de Mantenimiento</w:t>
      </w:r>
      <w:bookmarkEnd w:id="29"/>
      <w:bookmarkEnd w:id="30"/>
    </w:p>
    <w:p w14:paraId="7DC3C2A6" w14:textId="77777777" w:rsidR="00F10D9A" w:rsidRPr="00D03701" w:rsidRDefault="007E781F">
      <w:pPr>
        <w:pStyle w:val="Paragraph"/>
        <w:numPr>
          <w:ilvl w:val="1"/>
          <w:numId w:val="3"/>
        </w:numPr>
        <w:ind w:left="540" w:hanging="540"/>
        <w:outlineLvl w:val="9"/>
        <w:rPr>
          <w:rFonts w:ascii="Arial" w:hAnsi="Arial" w:cs="Arial"/>
          <w:sz w:val="22"/>
          <w:szCs w:val="22"/>
          <w:lang w:val="es-ES_tradnl"/>
        </w:rPr>
      </w:pPr>
      <w:r w:rsidRPr="00D03701">
        <w:rPr>
          <w:rFonts w:ascii="Arial" w:hAnsi="Arial" w:cs="Arial"/>
          <w:sz w:val="22"/>
          <w:szCs w:val="22"/>
          <w:lang w:val="es-ES_tradnl"/>
        </w:rPr>
        <w:t>La vida útil de los componentes de inversión más importantes se ilustra en el Cuadro 5:</w:t>
      </w:r>
      <w:r w:rsidRPr="00D03701">
        <w:rPr>
          <w:rFonts w:ascii="Arial" w:hAnsi="Arial" w:cs="Arial"/>
          <w:sz w:val="22"/>
          <w:szCs w:val="22"/>
          <w:lang w:val="es-ES_tradnl"/>
        </w:rPr>
        <w:fldChar w:fldCharType="begin"/>
      </w:r>
      <w:r w:rsidRPr="00D03701">
        <w:rPr>
          <w:rFonts w:ascii="Arial" w:hAnsi="Arial" w:cs="Arial"/>
          <w:sz w:val="22"/>
          <w:szCs w:val="22"/>
          <w:lang w:val="es-ES_tradnl"/>
        </w:rPr>
        <w:instrText xml:space="preserve"> LINK Excel.Sheet.12 "C:\\Users\\Familia Cracel\\Desktop\\Desktop 3\\Dominicana CCSD\\Evaluación Económica\\calculo precio sombra.xlsx" Sheet1!R37C4:R43C7 \a \f 4 \h  \* MERGEFORMAT </w:instrText>
      </w:r>
      <w:r w:rsidRPr="00D03701">
        <w:rPr>
          <w:rFonts w:ascii="Arial" w:hAnsi="Arial" w:cs="Arial"/>
          <w:sz w:val="22"/>
          <w:szCs w:val="22"/>
          <w:lang w:val="es-ES_tradnl"/>
        </w:rPr>
        <w:fldChar w:fldCharType="separate"/>
      </w:r>
    </w:p>
    <w:p w14:paraId="5A0F6811" w14:textId="77777777" w:rsidR="005654A4" w:rsidRPr="00D03701" w:rsidRDefault="007E781F">
      <w:pPr>
        <w:pStyle w:val="Paragraph"/>
        <w:keepNext/>
        <w:numPr>
          <w:ilvl w:val="0"/>
          <w:numId w:val="0"/>
        </w:numPr>
        <w:ind w:left="810"/>
        <w:outlineLvl w:val="9"/>
        <w:rPr>
          <w:rFonts w:ascii="Arial" w:eastAsia="Times New Roman" w:hAnsi="Arial" w:cs="Arial"/>
          <w:b/>
          <w:bCs/>
          <w:sz w:val="22"/>
          <w:szCs w:val="22"/>
          <w:lang w:val="es-ES_tradnl"/>
        </w:rPr>
      </w:pPr>
      <w:r w:rsidRPr="00D03701">
        <w:rPr>
          <w:rFonts w:ascii="Arial" w:hAnsi="Arial" w:cs="Arial"/>
          <w:spacing w:val="-1"/>
          <w:sz w:val="22"/>
          <w:szCs w:val="22"/>
          <w:lang w:val="es-ES_tradnl"/>
        </w:rPr>
        <w:fldChar w:fldCharType="end"/>
      </w:r>
    </w:p>
    <w:tbl>
      <w:tblPr>
        <w:tblW w:w="8600" w:type="dxa"/>
        <w:tblInd w:w="355" w:type="dxa"/>
        <w:tblLook w:val="04A0" w:firstRow="1" w:lastRow="0" w:firstColumn="1" w:lastColumn="0" w:noHBand="0" w:noVBand="1"/>
      </w:tblPr>
      <w:tblGrid>
        <w:gridCol w:w="2980"/>
        <w:gridCol w:w="1660"/>
        <w:gridCol w:w="2080"/>
        <w:gridCol w:w="1880"/>
      </w:tblGrid>
      <w:tr w:rsidR="005654A4" w:rsidRPr="00BE7955" w14:paraId="6A7B7527" w14:textId="77777777" w:rsidTr="005654A4">
        <w:trPr>
          <w:trHeight w:val="300"/>
        </w:trPr>
        <w:tc>
          <w:tcPr>
            <w:tcW w:w="8600" w:type="dxa"/>
            <w:gridSpan w:val="4"/>
            <w:tcBorders>
              <w:top w:val="single" w:sz="4" w:space="0" w:color="auto"/>
              <w:left w:val="single" w:sz="4" w:space="0" w:color="auto"/>
              <w:bottom w:val="single" w:sz="4" w:space="0" w:color="auto"/>
              <w:right w:val="single" w:sz="4" w:space="0" w:color="000000"/>
            </w:tcBorders>
            <w:shd w:val="clear" w:color="000000" w:fill="C0C0C0"/>
            <w:vAlign w:val="bottom"/>
            <w:hideMark/>
          </w:tcPr>
          <w:p w14:paraId="1C18477E" w14:textId="77777777" w:rsidR="005654A4" w:rsidRPr="00D03701" w:rsidRDefault="005654A4" w:rsidP="005654A4">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Cuadro 5 - Costos de mantenimiento (US$)</w:t>
            </w:r>
          </w:p>
        </w:tc>
      </w:tr>
      <w:tr w:rsidR="005654A4" w:rsidRPr="00D03701" w14:paraId="1F35FB27" w14:textId="77777777" w:rsidTr="005654A4">
        <w:trPr>
          <w:trHeight w:val="300"/>
        </w:trPr>
        <w:tc>
          <w:tcPr>
            <w:tcW w:w="2980" w:type="dxa"/>
            <w:tcBorders>
              <w:top w:val="nil"/>
              <w:left w:val="single" w:sz="4" w:space="0" w:color="auto"/>
              <w:bottom w:val="single" w:sz="4" w:space="0" w:color="auto"/>
              <w:right w:val="single" w:sz="4" w:space="0" w:color="auto"/>
            </w:tcBorders>
            <w:shd w:val="clear" w:color="000000" w:fill="C0C0C0"/>
            <w:vAlign w:val="bottom"/>
            <w:hideMark/>
          </w:tcPr>
          <w:p w14:paraId="1D4A44D8" w14:textId="77777777" w:rsidR="005654A4" w:rsidRPr="00D03701" w:rsidRDefault="005654A4" w:rsidP="005654A4">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Activos</w:t>
            </w:r>
          </w:p>
        </w:tc>
        <w:tc>
          <w:tcPr>
            <w:tcW w:w="1660" w:type="dxa"/>
            <w:tcBorders>
              <w:top w:val="nil"/>
              <w:left w:val="nil"/>
              <w:bottom w:val="single" w:sz="4" w:space="0" w:color="auto"/>
              <w:right w:val="single" w:sz="4" w:space="0" w:color="auto"/>
            </w:tcBorders>
            <w:shd w:val="clear" w:color="000000" w:fill="C0C0C0"/>
            <w:vAlign w:val="bottom"/>
            <w:hideMark/>
          </w:tcPr>
          <w:p w14:paraId="453FC69E" w14:textId="77777777" w:rsidR="005654A4" w:rsidRPr="00D03701" w:rsidRDefault="005654A4" w:rsidP="005654A4">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Anos</w:t>
            </w:r>
          </w:p>
        </w:tc>
        <w:tc>
          <w:tcPr>
            <w:tcW w:w="2080" w:type="dxa"/>
            <w:tcBorders>
              <w:top w:val="nil"/>
              <w:left w:val="nil"/>
              <w:bottom w:val="single" w:sz="4" w:space="0" w:color="auto"/>
              <w:right w:val="single" w:sz="4" w:space="0" w:color="auto"/>
            </w:tcBorders>
            <w:shd w:val="clear" w:color="000000" w:fill="C0C0C0"/>
            <w:vAlign w:val="bottom"/>
            <w:hideMark/>
          </w:tcPr>
          <w:p w14:paraId="3AB3856C" w14:textId="77777777" w:rsidR="005654A4" w:rsidRPr="00D03701" w:rsidRDefault="005654A4" w:rsidP="005654A4">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Inv. Fin.</w:t>
            </w:r>
          </w:p>
        </w:tc>
        <w:tc>
          <w:tcPr>
            <w:tcW w:w="1880" w:type="dxa"/>
            <w:tcBorders>
              <w:top w:val="nil"/>
              <w:left w:val="nil"/>
              <w:bottom w:val="single" w:sz="4" w:space="0" w:color="auto"/>
              <w:right w:val="single" w:sz="4" w:space="0" w:color="auto"/>
            </w:tcBorders>
            <w:shd w:val="clear" w:color="000000" w:fill="C0C0C0"/>
            <w:vAlign w:val="bottom"/>
            <w:hideMark/>
          </w:tcPr>
          <w:p w14:paraId="14125AE7" w14:textId="77777777" w:rsidR="005654A4" w:rsidRPr="00D03701" w:rsidRDefault="005654A4" w:rsidP="005654A4">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Inv. Social</w:t>
            </w:r>
          </w:p>
        </w:tc>
      </w:tr>
      <w:tr w:rsidR="00D03701" w:rsidRPr="00D03701" w14:paraId="32D6EFB1" w14:textId="77777777" w:rsidTr="005654A4">
        <w:trPr>
          <w:trHeight w:val="300"/>
        </w:trPr>
        <w:tc>
          <w:tcPr>
            <w:tcW w:w="2980" w:type="dxa"/>
            <w:tcBorders>
              <w:top w:val="nil"/>
              <w:left w:val="single" w:sz="4" w:space="0" w:color="auto"/>
              <w:bottom w:val="single" w:sz="4" w:space="0" w:color="auto"/>
              <w:right w:val="single" w:sz="4" w:space="0" w:color="auto"/>
            </w:tcBorders>
            <w:shd w:val="clear" w:color="auto" w:fill="auto"/>
            <w:vAlign w:val="bottom"/>
            <w:hideMark/>
          </w:tcPr>
          <w:p w14:paraId="74F0D996"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Servicios</w:t>
            </w:r>
          </w:p>
        </w:tc>
        <w:tc>
          <w:tcPr>
            <w:tcW w:w="1660" w:type="dxa"/>
            <w:tcBorders>
              <w:top w:val="nil"/>
              <w:left w:val="nil"/>
              <w:bottom w:val="single" w:sz="4" w:space="0" w:color="auto"/>
              <w:right w:val="single" w:sz="4" w:space="0" w:color="auto"/>
            </w:tcBorders>
            <w:shd w:val="clear" w:color="auto" w:fill="auto"/>
            <w:vAlign w:val="bottom"/>
            <w:hideMark/>
          </w:tcPr>
          <w:p w14:paraId="56D84833"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5 años</w:t>
            </w:r>
          </w:p>
        </w:tc>
        <w:tc>
          <w:tcPr>
            <w:tcW w:w="2080" w:type="dxa"/>
            <w:tcBorders>
              <w:top w:val="nil"/>
              <w:left w:val="nil"/>
              <w:bottom w:val="single" w:sz="4" w:space="0" w:color="auto"/>
              <w:right w:val="single" w:sz="4" w:space="0" w:color="auto"/>
            </w:tcBorders>
            <w:shd w:val="clear" w:color="auto" w:fill="auto"/>
            <w:vAlign w:val="bottom"/>
            <w:hideMark/>
          </w:tcPr>
          <w:p w14:paraId="4256BE58" w14:textId="29CDFB25"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5,393,137</w:t>
            </w:r>
          </w:p>
        </w:tc>
        <w:tc>
          <w:tcPr>
            <w:tcW w:w="1880" w:type="dxa"/>
            <w:tcBorders>
              <w:top w:val="nil"/>
              <w:left w:val="nil"/>
              <w:bottom w:val="single" w:sz="4" w:space="0" w:color="auto"/>
              <w:right w:val="single" w:sz="4" w:space="0" w:color="auto"/>
            </w:tcBorders>
            <w:shd w:val="clear" w:color="auto" w:fill="auto"/>
            <w:vAlign w:val="bottom"/>
            <w:hideMark/>
          </w:tcPr>
          <w:p w14:paraId="14D10C70" w14:textId="5107C52D"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5,292,448</w:t>
            </w:r>
          </w:p>
        </w:tc>
      </w:tr>
      <w:tr w:rsidR="00D03701" w:rsidRPr="00D03701" w14:paraId="07416667" w14:textId="77777777" w:rsidTr="005654A4">
        <w:trPr>
          <w:trHeight w:val="300"/>
        </w:trPr>
        <w:tc>
          <w:tcPr>
            <w:tcW w:w="2980" w:type="dxa"/>
            <w:tcBorders>
              <w:top w:val="nil"/>
              <w:left w:val="single" w:sz="4" w:space="0" w:color="auto"/>
              <w:bottom w:val="single" w:sz="4" w:space="0" w:color="auto"/>
              <w:right w:val="single" w:sz="4" w:space="0" w:color="auto"/>
            </w:tcBorders>
            <w:shd w:val="clear" w:color="auto" w:fill="auto"/>
            <w:vAlign w:val="bottom"/>
            <w:hideMark/>
          </w:tcPr>
          <w:p w14:paraId="7AB62C51"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Sistemas de Computador</w:t>
            </w:r>
          </w:p>
        </w:tc>
        <w:tc>
          <w:tcPr>
            <w:tcW w:w="1660" w:type="dxa"/>
            <w:tcBorders>
              <w:top w:val="nil"/>
              <w:left w:val="nil"/>
              <w:bottom w:val="single" w:sz="4" w:space="0" w:color="auto"/>
              <w:right w:val="single" w:sz="4" w:space="0" w:color="auto"/>
            </w:tcBorders>
            <w:shd w:val="clear" w:color="auto" w:fill="auto"/>
            <w:vAlign w:val="bottom"/>
            <w:hideMark/>
          </w:tcPr>
          <w:p w14:paraId="39CF2985"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10 años</w:t>
            </w:r>
          </w:p>
        </w:tc>
        <w:tc>
          <w:tcPr>
            <w:tcW w:w="2080" w:type="dxa"/>
            <w:tcBorders>
              <w:top w:val="nil"/>
              <w:left w:val="nil"/>
              <w:bottom w:val="single" w:sz="4" w:space="0" w:color="auto"/>
              <w:right w:val="single" w:sz="4" w:space="0" w:color="auto"/>
            </w:tcBorders>
            <w:shd w:val="clear" w:color="auto" w:fill="auto"/>
            <w:vAlign w:val="bottom"/>
            <w:hideMark/>
          </w:tcPr>
          <w:p w14:paraId="5B78A42A" w14:textId="3346A5D7"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20,296,470</w:t>
            </w:r>
          </w:p>
        </w:tc>
        <w:tc>
          <w:tcPr>
            <w:tcW w:w="1880" w:type="dxa"/>
            <w:tcBorders>
              <w:top w:val="nil"/>
              <w:left w:val="nil"/>
              <w:bottom w:val="single" w:sz="4" w:space="0" w:color="auto"/>
              <w:right w:val="single" w:sz="4" w:space="0" w:color="auto"/>
            </w:tcBorders>
            <w:shd w:val="clear" w:color="auto" w:fill="auto"/>
            <w:vAlign w:val="bottom"/>
            <w:hideMark/>
          </w:tcPr>
          <w:p w14:paraId="3E3EB8B9" w14:textId="2D9E8F46"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19,147,613</w:t>
            </w:r>
          </w:p>
        </w:tc>
      </w:tr>
      <w:tr w:rsidR="00D03701" w:rsidRPr="00D03701" w14:paraId="533314CE" w14:textId="77777777" w:rsidTr="00D74597">
        <w:trPr>
          <w:trHeight w:val="300"/>
        </w:trPr>
        <w:tc>
          <w:tcPr>
            <w:tcW w:w="2980" w:type="dxa"/>
            <w:tcBorders>
              <w:top w:val="nil"/>
              <w:left w:val="single" w:sz="4" w:space="0" w:color="auto"/>
              <w:bottom w:val="single" w:sz="4" w:space="0" w:color="auto"/>
              <w:right w:val="single" w:sz="4" w:space="0" w:color="auto"/>
            </w:tcBorders>
            <w:shd w:val="clear" w:color="auto" w:fill="auto"/>
            <w:vAlign w:val="bottom"/>
            <w:hideMark/>
          </w:tcPr>
          <w:p w14:paraId="7302450C"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Equipos Informáticos</w:t>
            </w:r>
          </w:p>
        </w:tc>
        <w:tc>
          <w:tcPr>
            <w:tcW w:w="1660" w:type="dxa"/>
            <w:tcBorders>
              <w:top w:val="nil"/>
              <w:left w:val="nil"/>
              <w:bottom w:val="single" w:sz="4" w:space="0" w:color="auto"/>
              <w:right w:val="single" w:sz="4" w:space="0" w:color="auto"/>
            </w:tcBorders>
            <w:shd w:val="clear" w:color="auto" w:fill="auto"/>
            <w:vAlign w:val="bottom"/>
            <w:hideMark/>
          </w:tcPr>
          <w:p w14:paraId="391FD013"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10 años</w:t>
            </w:r>
          </w:p>
        </w:tc>
        <w:tc>
          <w:tcPr>
            <w:tcW w:w="2080" w:type="dxa"/>
            <w:tcBorders>
              <w:top w:val="nil"/>
              <w:left w:val="nil"/>
              <w:bottom w:val="single" w:sz="4" w:space="0" w:color="auto"/>
              <w:right w:val="single" w:sz="4" w:space="0" w:color="auto"/>
            </w:tcBorders>
            <w:shd w:val="clear" w:color="auto" w:fill="auto"/>
            <w:vAlign w:val="bottom"/>
            <w:hideMark/>
          </w:tcPr>
          <w:p w14:paraId="147E4657" w14:textId="779098A5"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32,000,429</w:t>
            </w:r>
          </w:p>
        </w:tc>
        <w:tc>
          <w:tcPr>
            <w:tcW w:w="1880" w:type="dxa"/>
            <w:tcBorders>
              <w:top w:val="nil"/>
              <w:left w:val="nil"/>
              <w:bottom w:val="single" w:sz="4" w:space="0" w:color="auto"/>
              <w:right w:val="single" w:sz="4" w:space="0" w:color="auto"/>
            </w:tcBorders>
            <w:shd w:val="clear" w:color="auto" w:fill="auto"/>
            <w:vAlign w:val="bottom"/>
            <w:hideMark/>
          </w:tcPr>
          <w:p w14:paraId="4B5D3E7D" w14:textId="1AD75F1E"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30,189,084</w:t>
            </w:r>
          </w:p>
        </w:tc>
      </w:tr>
      <w:tr w:rsidR="005D5FF0" w:rsidRPr="00BE7955" w14:paraId="6D2B9F86" w14:textId="77777777" w:rsidTr="00D74597">
        <w:trPr>
          <w:trHeight w:val="148"/>
        </w:trPr>
        <w:tc>
          <w:tcPr>
            <w:tcW w:w="860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9B2030B" w14:textId="77777777" w:rsidR="005D5FF0" w:rsidRPr="00D03701" w:rsidRDefault="005D5FF0" w:rsidP="00D74597">
            <w:pPr>
              <w:spacing w:after="0" w:line="240" w:lineRule="auto"/>
              <w:rPr>
                <w:rFonts w:ascii="Arial" w:eastAsia="Times New Roman" w:hAnsi="Arial" w:cs="Arial"/>
                <w:b/>
                <w:color w:val="000000"/>
                <w:sz w:val="18"/>
                <w:szCs w:val="18"/>
                <w:lang w:val="es-ES_tradnl"/>
              </w:rPr>
            </w:pPr>
            <w:r w:rsidRPr="00D03701">
              <w:rPr>
                <w:rFonts w:ascii="Arial" w:eastAsia="Times New Roman" w:hAnsi="Arial" w:cs="Arial"/>
                <w:b/>
                <w:color w:val="000000"/>
                <w:sz w:val="18"/>
                <w:szCs w:val="18"/>
                <w:lang w:val="es-ES_tradnl"/>
              </w:rPr>
              <w:t>Fuente</w:t>
            </w:r>
            <w:r w:rsidR="002040E0" w:rsidRPr="00D03701">
              <w:rPr>
                <w:rFonts w:ascii="Arial" w:eastAsia="Times New Roman" w:hAnsi="Arial" w:cs="Arial"/>
                <w:b/>
                <w:color w:val="000000"/>
                <w:sz w:val="18"/>
                <w:szCs w:val="18"/>
                <w:lang w:val="es-ES_tradnl"/>
              </w:rPr>
              <w:t>:</w:t>
            </w:r>
            <w:r w:rsidRPr="00D03701">
              <w:rPr>
                <w:rFonts w:ascii="Arial" w:eastAsia="Times New Roman" w:hAnsi="Arial" w:cs="Arial"/>
                <w:b/>
                <w:color w:val="000000"/>
                <w:sz w:val="18"/>
                <w:szCs w:val="18"/>
                <w:lang w:val="es-ES_tradnl"/>
              </w:rPr>
              <w:t xml:space="preserve"> Propia</w:t>
            </w:r>
            <w:r w:rsidR="002040E0" w:rsidRPr="00D03701">
              <w:rPr>
                <w:rFonts w:ascii="Arial" w:eastAsia="Times New Roman" w:hAnsi="Arial" w:cs="Arial"/>
                <w:b/>
                <w:color w:val="000000"/>
                <w:sz w:val="18"/>
                <w:szCs w:val="18"/>
                <w:lang w:val="es-ES_tradnl"/>
              </w:rPr>
              <w:t xml:space="preserve"> de acuerdo con las mejores prácticas</w:t>
            </w:r>
            <w:r w:rsidRPr="00D03701">
              <w:rPr>
                <w:rFonts w:ascii="Arial" w:eastAsia="Times New Roman" w:hAnsi="Arial" w:cs="Arial"/>
                <w:b/>
                <w:color w:val="000000"/>
                <w:sz w:val="18"/>
                <w:szCs w:val="18"/>
                <w:lang w:val="es-ES_tradnl"/>
              </w:rPr>
              <w:t>.</w:t>
            </w:r>
          </w:p>
        </w:tc>
      </w:tr>
    </w:tbl>
    <w:p w14:paraId="3D93D26A" w14:textId="77777777" w:rsidR="00F10D9A" w:rsidRPr="00D03701" w:rsidRDefault="007E781F">
      <w:pPr>
        <w:pStyle w:val="Paragraph"/>
        <w:numPr>
          <w:ilvl w:val="1"/>
          <w:numId w:val="3"/>
        </w:numPr>
        <w:ind w:left="540" w:hanging="540"/>
        <w:outlineLvl w:val="9"/>
        <w:rPr>
          <w:rFonts w:ascii="Arial" w:hAnsi="Arial" w:cs="Arial"/>
          <w:sz w:val="22"/>
          <w:szCs w:val="22"/>
          <w:lang w:val="es-ES_tradnl"/>
        </w:rPr>
      </w:pPr>
      <w:r w:rsidRPr="00D03701">
        <w:rPr>
          <w:rFonts w:ascii="Arial" w:hAnsi="Arial" w:cs="Arial"/>
          <w:sz w:val="22"/>
          <w:szCs w:val="22"/>
          <w:lang w:val="es-ES_tradnl"/>
        </w:rPr>
        <w:t xml:space="preserve">El horizonte de análisis de la evaluación costo-beneficio es de 10 años. El mantenimiento será distribuido cronológicamente de la siguiente forma: (i) Los costos de servicios serán incluidos en </w:t>
      </w:r>
      <w:r w:rsidR="005654A4" w:rsidRPr="00D03701">
        <w:rPr>
          <w:rFonts w:ascii="Arial" w:hAnsi="Arial" w:cs="Arial"/>
          <w:sz w:val="22"/>
          <w:szCs w:val="22"/>
          <w:lang w:val="es-ES_tradnl"/>
        </w:rPr>
        <w:t>el año 2024</w:t>
      </w:r>
      <w:r w:rsidRPr="00D03701">
        <w:rPr>
          <w:rFonts w:ascii="Arial" w:hAnsi="Arial" w:cs="Arial"/>
          <w:sz w:val="22"/>
          <w:szCs w:val="22"/>
          <w:lang w:val="es-ES_tradnl"/>
        </w:rPr>
        <w:t>; y (ii) los costos de sistemas de computación y equipos informáticos serán incluidos en el año 202</w:t>
      </w:r>
      <w:r w:rsidR="005654A4" w:rsidRPr="00D03701">
        <w:rPr>
          <w:rFonts w:ascii="Arial" w:hAnsi="Arial" w:cs="Arial"/>
          <w:sz w:val="22"/>
          <w:szCs w:val="22"/>
          <w:lang w:val="es-ES_tradnl"/>
        </w:rPr>
        <w:t>8</w:t>
      </w:r>
      <w:r w:rsidRPr="00D03701">
        <w:rPr>
          <w:rFonts w:ascii="Arial" w:hAnsi="Arial" w:cs="Arial"/>
          <w:sz w:val="22"/>
          <w:szCs w:val="22"/>
          <w:lang w:val="es-ES_tradnl"/>
        </w:rPr>
        <w:t xml:space="preserve">. </w:t>
      </w:r>
    </w:p>
    <w:p w14:paraId="6AFBF45D" w14:textId="77777777" w:rsidR="00F10D9A" w:rsidRPr="00D03701" w:rsidRDefault="007E781F">
      <w:pPr>
        <w:pStyle w:val="Paragraph"/>
        <w:numPr>
          <w:ilvl w:val="1"/>
          <w:numId w:val="3"/>
        </w:numPr>
        <w:ind w:left="540" w:hanging="540"/>
        <w:outlineLvl w:val="9"/>
        <w:rPr>
          <w:rFonts w:ascii="Arial" w:hAnsi="Arial" w:cs="Arial"/>
          <w:sz w:val="22"/>
          <w:szCs w:val="22"/>
          <w:lang w:val="es-ES_tradnl"/>
        </w:rPr>
      </w:pPr>
      <w:r w:rsidRPr="00D03701">
        <w:rPr>
          <w:rFonts w:ascii="Arial" w:hAnsi="Arial" w:cs="Arial"/>
          <w:sz w:val="22"/>
          <w:szCs w:val="22"/>
          <w:lang w:val="es-ES_tradnl"/>
        </w:rPr>
        <w:t>El Cuadro 6 presenta la distribución de los costos financieros y económicos del proyecto.</w:t>
      </w:r>
    </w:p>
    <w:tbl>
      <w:tblPr>
        <w:tblW w:w="10112" w:type="dxa"/>
        <w:tblInd w:w="-275" w:type="dxa"/>
        <w:tblLook w:val="04A0" w:firstRow="1" w:lastRow="0" w:firstColumn="1" w:lastColumn="0" w:noHBand="0" w:noVBand="1"/>
      </w:tblPr>
      <w:tblGrid>
        <w:gridCol w:w="2298"/>
        <w:gridCol w:w="1260"/>
        <w:gridCol w:w="1440"/>
        <w:gridCol w:w="1170"/>
        <w:gridCol w:w="1117"/>
        <w:gridCol w:w="1350"/>
        <w:gridCol w:w="1477"/>
      </w:tblGrid>
      <w:tr w:rsidR="0069601C" w:rsidRPr="00D03701" w14:paraId="7DC8F824" w14:textId="77777777" w:rsidTr="0069601C">
        <w:trPr>
          <w:trHeight w:val="315"/>
        </w:trPr>
        <w:tc>
          <w:tcPr>
            <w:tcW w:w="10112" w:type="dxa"/>
            <w:gridSpan w:val="7"/>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DA750A" w14:textId="77777777" w:rsidR="0069601C" w:rsidRPr="00D03701" w:rsidRDefault="0069601C" w:rsidP="0069601C">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Cuadro 6 - Costos del proyecto</w:t>
            </w:r>
          </w:p>
        </w:tc>
      </w:tr>
      <w:tr w:rsidR="0069601C" w:rsidRPr="00D03701" w14:paraId="42A03AC5" w14:textId="77777777" w:rsidTr="0069601C">
        <w:trPr>
          <w:trHeight w:val="300"/>
        </w:trPr>
        <w:tc>
          <w:tcPr>
            <w:tcW w:w="2298" w:type="dxa"/>
            <w:tcBorders>
              <w:top w:val="nil"/>
              <w:left w:val="single" w:sz="4" w:space="0" w:color="auto"/>
              <w:bottom w:val="single" w:sz="4" w:space="0" w:color="auto"/>
              <w:right w:val="single" w:sz="4" w:space="0" w:color="auto"/>
            </w:tcBorders>
            <w:shd w:val="clear" w:color="000000" w:fill="C0C0C0"/>
            <w:vAlign w:val="bottom"/>
            <w:hideMark/>
          </w:tcPr>
          <w:p w14:paraId="21E4726B" w14:textId="77777777" w:rsidR="0069601C" w:rsidRPr="00D03701" w:rsidRDefault="0069601C" w:rsidP="0069601C">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Categoría</w:t>
            </w:r>
          </w:p>
        </w:tc>
        <w:tc>
          <w:tcPr>
            <w:tcW w:w="1260" w:type="dxa"/>
            <w:tcBorders>
              <w:top w:val="nil"/>
              <w:left w:val="nil"/>
              <w:bottom w:val="single" w:sz="4" w:space="0" w:color="auto"/>
              <w:right w:val="single" w:sz="4" w:space="0" w:color="auto"/>
            </w:tcBorders>
            <w:shd w:val="clear" w:color="000000" w:fill="C0C0C0"/>
            <w:vAlign w:val="bottom"/>
            <w:hideMark/>
          </w:tcPr>
          <w:p w14:paraId="540637BB" w14:textId="77777777" w:rsidR="0069601C" w:rsidRPr="00D03701" w:rsidRDefault="0069601C" w:rsidP="0069601C">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2019</w:t>
            </w:r>
          </w:p>
        </w:tc>
        <w:tc>
          <w:tcPr>
            <w:tcW w:w="1440" w:type="dxa"/>
            <w:tcBorders>
              <w:top w:val="nil"/>
              <w:left w:val="nil"/>
              <w:bottom w:val="single" w:sz="4" w:space="0" w:color="auto"/>
              <w:right w:val="single" w:sz="4" w:space="0" w:color="auto"/>
            </w:tcBorders>
            <w:shd w:val="clear" w:color="000000" w:fill="C0C0C0"/>
            <w:vAlign w:val="bottom"/>
            <w:hideMark/>
          </w:tcPr>
          <w:p w14:paraId="0D94D801" w14:textId="77777777" w:rsidR="0069601C" w:rsidRPr="00D03701" w:rsidRDefault="0069601C" w:rsidP="0069601C">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2020</w:t>
            </w:r>
          </w:p>
        </w:tc>
        <w:tc>
          <w:tcPr>
            <w:tcW w:w="1170" w:type="dxa"/>
            <w:tcBorders>
              <w:top w:val="nil"/>
              <w:left w:val="nil"/>
              <w:bottom w:val="single" w:sz="4" w:space="0" w:color="auto"/>
              <w:right w:val="single" w:sz="4" w:space="0" w:color="auto"/>
            </w:tcBorders>
            <w:shd w:val="clear" w:color="000000" w:fill="C0C0C0"/>
            <w:vAlign w:val="bottom"/>
            <w:hideMark/>
          </w:tcPr>
          <w:p w14:paraId="222F5464" w14:textId="77777777" w:rsidR="0069601C" w:rsidRPr="00D03701" w:rsidRDefault="0069601C" w:rsidP="0069601C">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2021</w:t>
            </w:r>
          </w:p>
        </w:tc>
        <w:tc>
          <w:tcPr>
            <w:tcW w:w="1117" w:type="dxa"/>
            <w:tcBorders>
              <w:top w:val="nil"/>
              <w:left w:val="nil"/>
              <w:bottom w:val="single" w:sz="4" w:space="0" w:color="auto"/>
              <w:right w:val="single" w:sz="4" w:space="0" w:color="auto"/>
            </w:tcBorders>
            <w:shd w:val="clear" w:color="000000" w:fill="C0C0C0"/>
            <w:vAlign w:val="bottom"/>
            <w:hideMark/>
          </w:tcPr>
          <w:p w14:paraId="0CC53262" w14:textId="77777777" w:rsidR="0069601C" w:rsidRPr="00D03701" w:rsidRDefault="0069601C" w:rsidP="0069601C">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2022</w:t>
            </w:r>
          </w:p>
        </w:tc>
        <w:tc>
          <w:tcPr>
            <w:tcW w:w="1350" w:type="dxa"/>
            <w:tcBorders>
              <w:top w:val="nil"/>
              <w:left w:val="nil"/>
              <w:bottom w:val="single" w:sz="4" w:space="0" w:color="auto"/>
              <w:right w:val="single" w:sz="4" w:space="0" w:color="auto"/>
            </w:tcBorders>
            <w:shd w:val="clear" w:color="000000" w:fill="C0C0C0"/>
            <w:vAlign w:val="bottom"/>
            <w:hideMark/>
          </w:tcPr>
          <w:p w14:paraId="042A99F8" w14:textId="77777777" w:rsidR="0069601C" w:rsidRPr="00D03701" w:rsidRDefault="0069601C" w:rsidP="0069601C">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2023</w:t>
            </w:r>
          </w:p>
        </w:tc>
        <w:tc>
          <w:tcPr>
            <w:tcW w:w="1477" w:type="dxa"/>
            <w:tcBorders>
              <w:top w:val="nil"/>
              <w:left w:val="nil"/>
              <w:bottom w:val="single" w:sz="4" w:space="0" w:color="auto"/>
              <w:right w:val="single" w:sz="4" w:space="0" w:color="auto"/>
            </w:tcBorders>
            <w:shd w:val="clear" w:color="000000" w:fill="C0C0C0"/>
            <w:vAlign w:val="bottom"/>
            <w:hideMark/>
          </w:tcPr>
          <w:p w14:paraId="716173B1" w14:textId="77777777" w:rsidR="0069601C" w:rsidRPr="00D03701" w:rsidRDefault="0069601C" w:rsidP="0069601C">
            <w:pPr>
              <w:spacing w:after="0" w:line="240" w:lineRule="auto"/>
              <w:jc w:val="center"/>
              <w:rPr>
                <w:rFonts w:ascii="Arial" w:eastAsia="Times New Roman" w:hAnsi="Arial" w:cs="Arial"/>
                <w:b/>
                <w:bCs/>
                <w:color w:val="000000"/>
                <w:sz w:val="18"/>
                <w:szCs w:val="18"/>
                <w:lang w:val="es-ES_tradnl"/>
              </w:rPr>
            </w:pPr>
            <w:r w:rsidRPr="00D03701">
              <w:rPr>
                <w:rFonts w:ascii="Arial" w:eastAsia="Times New Roman" w:hAnsi="Arial" w:cs="Arial"/>
                <w:b/>
                <w:bCs/>
                <w:color w:val="000000"/>
                <w:sz w:val="18"/>
                <w:szCs w:val="18"/>
                <w:lang w:val="es-ES_tradnl"/>
              </w:rPr>
              <w:t>Total</w:t>
            </w:r>
          </w:p>
        </w:tc>
      </w:tr>
      <w:tr w:rsidR="00D03701" w:rsidRPr="00D03701" w14:paraId="65E19A73" w14:textId="77777777" w:rsidTr="0069601C">
        <w:trPr>
          <w:trHeight w:val="300"/>
        </w:trPr>
        <w:tc>
          <w:tcPr>
            <w:tcW w:w="2298" w:type="dxa"/>
            <w:tcBorders>
              <w:top w:val="nil"/>
              <w:left w:val="single" w:sz="4" w:space="0" w:color="auto"/>
              <w:bottom w:val="single" w:sz="4" w:space="0" w:color="auto"/>
              <w:right w:val="single" w:sz="4" w:space="0" w:color="auto"/>
            </w:tcBorders>
            <w:shd w:val="clear" w:color="auto" w:fill="auto"/>
            <w:vAlign w:val="bottom"/>
            <w:hideMark/>
          </w:tcPr>
          <w:p w14:paraId="17FB7FF2"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eastAsia="Times New Roman" w:hAnsi="Arial" w:cs="Arial"/>
                <w:color w:val="000000"/>
                <w:sz w:val="18"/>
                <w:szCs w:val="18"/>
                <w:lang w:val="es-ES_tradnl"/>
              </w:rPr>
              <w:t xml:space="preserve">Costo de inversión </w:t>
            </w:r>
          </w:p>
        </w:tc>
        <w:tc>
          <w:tcPr>
            <w:tcW w:w="1260" w:type="dxa"/>
            <w:tcBorders>
              <w:top w:val="nil"/>
              <w:left w:val="nil"/>
              <w:bottom w:val="single" w:sz="4" w:space="0" w:color="auto"/>
              <w:right w:val="single" w:sz="4" w:space="0" w:color="auto"/>
            </w:tcBorders>
            <w:shd w:val="clear" w:color="auto" w:fill="auto"/>
            <w:vAlign w:val="bottom"/>
            <w:hideMark/>
          </w:tcPr>
          <w:p w14:paraId="26681B5E" w14:textId="031C4A05"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7,570,583</w:t>
            </w:r>
          </w:p>
        </w:tc>
        <w:tc>
          <w:tcPr>
            <w:tcW w:w="1440" w:type="dxa"/>
            <w:tcBorders>
              <w:top w:val="nil"/>
              <w:left w:val="nil"/>
              <w:bottom w:val="single" w:sz="4" w:space="0" w:color="auto"/>
              <w:right w:val="single" w:sz="4" w:space="0" w:color="auto"/>
            </w:tcBorders>
            <w:shd w:val="clear" w:color="auto" w:fill="auto"/>
            <w:vAlign w:val="bottom"/>
            <w:hideMark/>
          </w:tcPr>
          <w:p w14:paraId="02EE9E53" w14:textId="79FB97DD"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15,658,726</w:t>
            </w:r>
          </w:p>
        </w:tc>
        <w:tc>
          <w:tcPr>
            <w:tcW w:w="1170" w:type="dxa"/>
            <w:tcBorders>
              <w:top w:val="nil"/>
              <w:left w:val="nil"/>
              <w:bottom w:val="single" w:sz="4" w:space="0" w:color="auto"/>
              <w:right w:val="single" w:sz="4" w:space="0" w:color="auto"/>
            </w:tcBorders>
            <w:shd w:val="clear" w:color="auto" w:fill="auto"/>
            <w:vAlign w:val="bottom"/>
            <w:hideMark/>
          </w:tcPr>
          <w:p w14:paraId="173C79F9" w14:textId="7F1A1C05"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46,539,805</w:t>
            </w:r>
          </w:p>
        </w:tc>
        <w:tc>
          <w:tcPr>
            <w:tcW w:w="1117" w:type="dxa"/>
            <w:tcBorders>
              <w:top w:val="nil"/>
              <w:left w:val="nil"/>
              <w:bottom w:val="single" w:sz="4" w:space="0" w:color="auto"/>
              <w:right w:val="single" w:sz="4" w:space="0" w:color="auto"/>
            </w:tcBorders>
            <w:shd w:val="clear" w:color="auto" w:fill="auto"/>
            <w:vAlign w:val="bottom"/>
            <w:hideMark/>
          </w:tcPr>
          <w:p w14:paraId="061FF232" w14:textId="6DBB8487"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18,510,380</w:t>
            </w:r>
          </w:p>
        </w:tc>
        <w:tc>
          <w:tcPr>
            <w:tcW w:w="1350" w:type="dxa"/>
            <w:tcBorders>
              <w:top w:val="nil"/>
              <w:left w:val="nil"/>
              <w:bottom w:val="single" w:sz="4" w:space="0" w:color="auto"/>
              <w:right w:val="single" w:sz="4" w:space="0" w:color="auto"/>
            </w:tcBorders>
            <w:shd w:val="clear" w:color="auto" w:fill="auto"/>
            <w:vAlign w:val="bottom"/>
            <w:hideMark/>
          </w:tcPr>
          <w:p w14:paraId="129B1D24" w14:textId="75F31FBD"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9,133,411</w:t>
            </w:r>
          </w:p>
        </w:tc>
        <w:tc>
          <w:tcPr>
            <w:tcW w:w="1477" w:type="dxa"/>
            <w:tcBorders>
              <w:top w:val="nil"/>
              <w:left w:val="nil"/>
              <w:bottom w:val="single" w:sz="4" w:space="0" w:color="auto"/>
              <w:right w:val="single" w:sz="4" w:space="0" w:color="auto"/>
            </w:tcBorders>
            <w:shd w:val="clear" w:color="000000" w:fill="BFBFBF"/>
            <w:vAlign w:val="bottom"/>
            <w:hideMark/>
          </w:tcPr>
          <w:p w14:paraId="63B9B1A9" w14:textId="22A11269" w:rsidR="00D03701" w:rsidRPr="00D03701" w:rsidRDefault="00D03701" w:rsidP="00D03701">
            <w:pPr>
              <w:spacing w:after="0" w:line="240" w:lineRule="auto"/>
              <w:jc w:val="center"/>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101,482,348</w:t>
            </w:r>
          </w:p>
        </w:tc>
      </w:tr>
      <w:tr w:rsidR="00D03701" w:rsidRPr="00D03701" w14:paraId="6EE14139" w14:textId="77777777" w:rsidTr="0069601C">
        <w:trPr>
          <w:trHeight w:val="300"/>
        </w:trPr>
        <w:tc>
          <w:tcPr>
            <w:tcW w:w="2298" w:type="dxa"/>
            <w:tcBorders>
              <w:top w:val="nil"/>
              <w:left w:val="single" w:sz="4" w:space="0" w:color="auto"/>
              <w:bottom w:val="single" w:sz="4" w:space="0" w:color="auto"/>
              <w:right w:val="single" w:sz="4" w:space="0" w:color="auto"/>
            </w:tcBorders>
            <w:shd w:val="clear" w:color="auto" w:fill="auto"/>
            <w:vAlign w:val="bottom"/>
            <w:hideMark/>
          </w:tcPr>
          <w:p w14:paraId="1AEF29DC" w14:textId="77777777" w:rsidR="00D03701" w:rsidRPr="00D03701" w:rsidRDefault="00D03701" w:rsidP="00D03701">
            <w:pPr>
              <w:spacing w:after="0" w:line="240" w:lineRule="auto"/>
              <w:rPr>
                <w:rFonts w:ascii="Arial" w:eastAsia="Times New Roman" w:hAnsi="Arial" w:cs="Arial"/>
                <w:color w:val="000000"/>
                <w:sz w:val="18"/>
                <w:szCs w:val="18"/>
                <w:lang w:val="es-ES_tradnl"/>
              </w:rPr>
            </w:pPr>
            <w:r w:rsidRPr="00D03701">
              <w:rPr>
                <w:rFonts w:ascii="Arial" w:eastAsia="Times New Roman" w:hAnsi="Arial" w:cs="Arial"/>
                <w:color w:val="000000"/>
                <w:sz w:val="18"/>
                <w:szCs w:val="18"/>
                <w:lang w:val="es-ES_tradnl"/>
              </w:rPr>
              <w:t>Costo de inversión social</w:t>
            </w:r>
          </w:p>
        </w:tc>
        <w:tc>
          <w:tcPr>
            <w:tcW w:w="1260" w:type="dxa"/>
            <w:tcBorders>
              <w:top w:val="nil"/>
              <w:left w:val="nil"/>
              <w:bottom w:val="single" w:sz="4" w:space="0" w:color="auto"/>
              <w:right w:val="single" w:sz="4" w:space="0" w:color="auto"/>
            </w:tcBorders>
            <w:shd w:val="clear" w:color="auto" w:fill="auto"/>
            <w:vAlign w:val="bottom"/>
            <w:hideMark/>
          </w:tcPr>
          <w:p w14:paraId="6425AEF7" w14:textId="4CFF8841"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6,842,761</w:t>
            </w:r>
          </w:p>
        </w:tc>
        <w:tc>
          <w:tcPr>
            <w:tcW w:w="1440" w:type="dxa"/>
            <w:tcBorders>
              <w:top w:val="nil"/>
              <w:left w:val="nil"/>
              <w:bottom w:val="single" w:sz="4" w:space="0" w:color="auto"/>
              <w:right w:val="single" w:sz="4" w:space="0" w:color="auto"/>
            </w:tcBorders>
            <w:shd w:val="clear" w:color="auto" w:fill="auto"/>
            <w:vAlign w:val="bottom"/>
            <w:hideMark/>
          </w:tcPr>
          <w:p w14:paraId="14B635F7" w14:textId="6245259C"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14,153,324</w:t>
            </w:r>
          </w:p>
        </w:tc>
        <w:tc>
          <w:tcPr>
            <w:tcW w:w="1170" w:type="dxa"/>
            <w:tcBorders>
              <w:top w:val="nil"/>
              <w:left w:val="nil"/>
              <w:bottom w:val="single" w:sz="4" w:space="0" w:color="auto"/>
              <w:right w:val="single" w:sz="4" w:space="0" w:color="auto"/>
            </w:tcBorders>
            <w:shd w:val="clear" w:color="auto" w:fill="auto"/>
            <w:vAlign w:val="bottom"/>
            <w:hideMark/>
          </w:tcPr>
          <w:p w14:paraId="2D40FE5A" w14:textId="2B889AD7"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42,065,551</w:t>
            </w:r>
          </w:p>
        </w:tc>
        <w:tc>
          <w:tcPr>
            <w:tcW w:w="1117" w:type="dxa"/>
            <w:tcBorders>
              <w:top w:val="nil"/>
              <w:left w:val="nil"/>
              <w:bottom w:val="single" w:sz="4" w:space="0" w:color="auto"/>
              <w:right w:val="single" w:sz="4" w:space="0" w:color="auto"/>
            </w:tcBorders>
            <w:shd w:val="clear" w:color="auto" w:fill="auto"/>
            <w:vAlign w:val="bottom"/>
            <w:hideMark/>
          </w:tcPr>
          <w:p w14:paraId="316A9052" w14:textId="145D6263"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16,730,826</w:t>
            </w:r>
          </w:p>
        </w:tc>
        <w:tc>
          <w:tcPr>
            <w:tcW w:w="1350" w:type="dxa"/>
            <w:tcBorders>
              <w:top w:val="nil"/>
              <w:left w:val="nil"/>
              <w:bottom w:val="single" w:sz="4" w:space="0" w:color="auto"/>
              <w:right w:val="single" w:sz="4" w:space="0" w:color="auto"/>
            </w:tcBorders>
            <w:shd w:val="clear" w:color="auto" w:fill="auto"/>
            <w:vAlign w:val="bottom"/>
            <w:hideMark/>
          </w:tcPr>
          <w:p w14:paraId="602F7A85" w14:textId="1B030AFA"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8,255,342</w:t>
            </w:r>
          </w:p>
        </w:tc>
        <w:tc>
          <w:tcPr>
            <w:tcW w:w="1477" w:type="dxa"/>
            <w:tcBorders>
              <w:top w:val="nil"/>
              <w:left w:val="nil"/>
              <w:bottom w:val="single" w:sz="4" w:space="0" w:color="auto"/>
              <w:right w:val="single" w:sz="4" w:space="0" w:color="auto"/>
            </w:tcBorders>
            <w:shd w:val="clear" w:color="000000" w:fill="BFBFBF"/>
            <w:vAlign w:val="bottom"/>
            <w:hideMark/>
          </w:tcPr>
          <w:p w14:paraId="187C2D44" w14:textId="5D099AF7" w:rsidR="00D03701" w:rsidRPr="00D03701" w:rsidRDefault="00D03701" w:rsidP="00D03701">
            <w:pPr>
              <w:spacing w:after="0" w:line="240" w:lineRule="auto"/>
              <w:jc w:val="right"/>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91,726,017</w:t>
            </w:r>
          </w:p>
        </w:tc>
      </w:tr>
      <w:tr w:rsidR="00D03701" w:rsidRPr="00D03701" w14:paraId="3D2C160C" w14:textId="77777777" w:rsidTr="0069601C">
        <w:trPr>
          <w:trHeight w:val="300"/>
        </w:trPr>
        <w:tc>
          <w:tcPr>
            <w:tcW w:w="2298" w:type="dxa"/>
            <w:tcBorders>
              <w:top w:val="nil"/>
              <w:left w:val="single" w:sz="4" w:space="0" w:color="auto"/>
              <w:bottom w:val="single" w:sz="4" w:space="0" w:color="auto"/>
              <w:right w:val="single" w:sz="4" w:space="0" w:color="auto"/>
            </w:tcBorders>
            <w:shd w:val="clear" w:color="000000" w:fill="A6A6A6"/>
            <w:vAlign w:val="bottom"/>
            <w:hideMark/>
          </w:tcPr>
          <w:p w14:paraId="52901866" w14:textId="77777777" w:rsidR="00D03701" w:rsidRPr="00D03701" w:rsidRDefault="00D03701" w:rsidP="00D03701">
            <w:pPr>
              <w:spacing w:after="0" w:line="240" w:lineRule="auto"/>
              <w:jc w:val="center"/>
              <w:rPr>
                <w:rFonts w:ascii="Arial" w:eastAsia="Times New Roman" w:hAnsi="Arial" w:cs="Arial"/>
                <w:color w:val="000000"/>
                <w:sz w:val="18"/>
                <w:szCs w:val="18"/>
                <w:lang w:val="es-ES_tradnl"/>
              </w:rPr>
            </w:pPr>
            <w:r w:rsidRPr="00D03701">
              <w:rPr>
                <w:rFonts w:ascii="Arial" w:eastAsia="Times New Roman" w:hAnsi="Arial" w:cs="Arial"/>
                <w:color w:val="000000"/>
                <w:sz w:val="18"/>
                <w:szCs w:val="18"/>
                <w:lang w:val="es-ES_tradnl"/>
              </w:rPr>
              <w:t>%</w:t>
            </w:r>
          </w:p>
        </w:tc>
        <w:tc>
          <w:tcPr>
            <w:tcW w:w="1260" w:type="dxa"/>
            <w:tcBorders>
              <w:top w:val="nil"/>
              <w:left w:val="nil"/>
              <w:bottom w:val="single" w:sz="4" w:space="0" w:color="auto"/>
              <w:right w:val="single" w:sz="4" w:space="0" w:color="auto"/>
            </w:tcBorders>
            <w:shd w:val="clear" w:color="000000" w:fill="BFBFBF"/>
            <w:vAlign w:val="bottom"/>
            <w:hideMark/>
          </w:tcPr>
          <w:p w14:paraId="7D04E215" w14:textId="6B8C2E3E" w:rsidR="00D03701" w:rsidRPr="00D03701" w:rsidRDefault="00D03701" w:rsidP="00D03701">
            <w:pPr>
              <w:spacing w:after="0" w:line="240" w:lineRule="auto"/>
              <w:jc w:val="center"/>
              <w:rPr>
                <w:rFonts w:ascii="Arial" w:eastAsia="Times New Roman" w:hAnsi="Arial" w:cs="Arial"/>
                <w:b/>
                <w:bCs/>
                <w:color w:val="000000"/>
                <w:sz w:val="18"/>
                <w:szCs w:val="18"/>
                <w:lang w:val="es-ES_tradnl"/>
              </w:rPr>
            </w:pPr>
            <w:r w:rsidRPr="00D03701">
              <w:rPr>
                <w:rFonts w:ascii="Arial" w:hAnsi="Arial" w:cs="Arial"/>
                <w:b/>
                <w:bCs/>
                <w:color w:val="000000"/>
                <w:sz w:val="18"/>
                <w:szCs w:val="18"/>
                <w:lang w:val="es-ES_tradnl"/>
              </w:rPr>
              <w:t>7.46</w:t>
            </w:r>
          </w:p>
        </w:tc>
        <w:tc>
          <w:tcPr>
            <w:tcW w:w="1440" w:type="dxa"/>
            <w:tcBorders>
              <w:top w:val="nil"/>
              <w:left w:val="nil"/>
              <w:bottom w:val="single" w:sz="4" w:space="0" w:color="auto"/>
              <w:right w:val="single" w:sz="4" w:space="0" w:color="auto"/>
            </w:tcBorders>
            <w:shd w:val="clear" w:color="000000" w:fill="BFBFBF"/>
            <w:vAlign w:val="bottom"/>
            <w:hideMark/>
          </w:tcPr>
          <w:p w14:paraId="3F624873" w14:textId="02B6AC26" w:rsidR="00D03701" w:rsidRPr="00D03701" w:rsidRDefault="00D03701" w:rsidP="00D03701">
            <w:pPr>
              <w:spacing w:after="0" w:line="240" w:lineRule="auto"/>
              <w:jc w:val="center"/>
              <w:rPr>
                <w:rFonts w:ascii="Arial" w:eastAsia="Times New Roman" w:hAnsi="Arial" w:cs="Arial"/>
                <w:b/>
                <w:bCs/>
                <w:color w:val="000000"/>
                <w:sz w:val="18"/>
                <w:szCs w:val="18"/>
                <w:lang w:val="es-ES_tradnl"/>
              </w:rPr>
            </w:pPr>
            <w:r w:rsidRPr="00D03701">
              <w:rPr>
                <w:rFonts w:ascii="Arial" w:hAnsi="Arial" w:cs="Arial"/>
                <w:b/>
                <w:bCs/>
                <w:color w:val="000000"/>
                <w:sz w:val="18"/>
                <w:szCs w:val="18"/>
                <w:lang w:val="es-ES_tradnl"/>
              </w:rPr>
              <w:t>15.43</w:t>
            </w:r>
          </w:p>
        </w:tc>
        <w:tc>
          <w:tcPr>
            <w:tcW w:w="1170" w:type="dxa"/>
            <w:tcBorders>
              <w:top w:val="nil"/>
              <w:left w:val="nil"/>
              <w:bottom w:val="single" w:sz="4" w:space="0" w:color="auto"/>
              <w:right w:val="single" w:sz="4" w:space="0" w:color="auto"/>
            </w:tcBorders>
            <w:shd w:val="clear" w:color="000000" w:fill="BFBFBF"/>
            <w:vAlign w:val="bottom"/>
            <w:hideMark/>
          </w:tcPr>
          <w:p w14:paraId="38823154" w14:textId="7D75611B" w:rsidR="00D03701" w:rsidRPr="00D03701" w:rsidRDefault="00D03701" w:rsidP="00D03701">
            <w:pPr>
              <w:spacing w:after="0" w:line="240" w:lineRule="auto"/>
              <w:jc w:val="center"/>
              <w:rPr>
                <w:rFonts w:ascii="Arial" w:eastAsia="Times New Roman" w:hAnsi="Arial" w:cs="Arial"/>
                <w:b/>
                <w:bCs/>
                <w:color w:val="000000"/>
                <w:sz w:val="18"/>
                <w:szCs w:val="18"/>
                <w:lang w:val="es-ES_tradnl"/>
              </w:rPr>
            </w:pPr>
            <w:r w:rsidRPr="00D03701">
              <w:rPr>
                <w:rFonts w:ascii="Arial" w:hAnsi="Arial" w:cs="Arial"/>
                <w:b/>
                <w:bCs/>
                <w:color w:val="000000"/>
                <w:sz w:val="18"/>
                <w:szCs w:val="18"/>
                <w:lang w:val="es-ES_tradnl"/>
              </w:rPr>
              <w:t>45.86</w:t>
            </w:r>
          </w:p>
        </w:tc>
        <w:tc>
          <w:tcPr>
            <w:tcW w:w="1117" w:type="dxa"/>
            <w:tcBorders>
              <w:top w:val="nil"/>
              <w:left w:val="nil"/>
              <w:bottom w:val="single" w:sz="4" w:space="0" w:color="auto"/>
              <w:right w:val="single" w:sz="4" w:space="0" w:color="auto"/>
            </w:tcBorders>
            <w:shd w:val="clear" w:color="000000" w:fill="BFBFBF"/>
            <w:vAlign w:val="bottom"/>
            <w:hideMark/>
          </w:tcPr>
          <w:p w14:paraId="75AB3D47" w14:textId="7DB64D53" w:rsidR="00D03701" w:rsidRPr="00D03701" w:rsidRDefault="00D03701" w:rsidP="00D03701">
            <w:pPr>
              <w:spacing w:after="0" w:line="240" w:lineRule="auto"/>
              <w:jc w:val="center"/>
              <w:rPr>
                <w:rFonts w:ascii="Arial" w:eastAsia="Times New Roman" w:hAnsi="Arial" w:cs="Arial"/>
                <w:b/>
                <w:bCs/>
                <w:color w:val="000000"/>
                <w:sz w:val="18"/>
                <w:szCs w:val="18"/>
                <w:lang w:val="es-ES_tradnl"/>
              </w:rPr>
            </w:pPr>
            <w:r w:rsidRPr="00D03701">
              <w:rPr>
                <w:rFonts w:ascii="Arial" w:hAnsi="Arial" w:cs="Arial"/>
                <w:b/>
                <w:bCs/>
                <w:color w:val="000000"/>
                <w:sz w:val="18"/>
                <w:szCs w:val="18"/>
                <w:lang w:val="es-ES_tradnl"/>
              </w:rPr>
              <w:t>18.24</w:t>
            </w:r>
          </w:p>
        </w:tc>
        <w:tc>
          <w:tcPr>
            <w:tcW w:w="1350" w:type="dxa"/>
            <w:tcBorders>
              <w:top w:val="nil"/>
              <w:left w:val="nil"/>
              <w:bottom w:val="single" w:sz="4" w:space="0" w:color="auto"/>
              <w:right w:val="single" w:sz="4" w:space="0" w:color="auto"/>
            </w:tcBorders>
            <w:shd w:val="clear" w:color="000000" w:fill="BFBFBF"/>
            <w:vAlign w:val="bottom"/>
            <w:hideMark/>
          </w:tcPr>
          <w:p w14:paraId="455ABDDC" w14:textId="753ED90B" w:rsidR="00D03701" w:rsidRPr="00D03701" w:rsidRDefault="00D03701" w:rsidP="00D03701">
            <w:pPr>
              <w:spacing w:after="0" w:line="240" w:lineRule="auto"/>
              <w:jc w:val="center"/>
              <w:rPr>
                <w:rFonts w:ascii="Arial" w:eastAsia="Times New Roman" w:hAnsi="Arial" w:cs="Arial"/>
                <w:b/>
                <w:bCs/>
                <w:color w:val="000000"/>
                <w:sz w:val="18"/>
                <w:szCs w:val="18"/>
                <w:lang w:val="es-ES_tradnl"/>
              </w:rPr>
            </w:pPr>
            <w:r w:rsidRPr="00D03701">
              <w:rPr>
                <w:rFonts w:ascii="Arial" w:hAnsi="Arial" w:cs="Arial"/>
                <w:b/>
                <w:bCs/>
                <w:color w:val="000000"/>
                <w:sz w:val="18"/>
                <w:szCs w:val="18"/>
                <w:lang w:val="es-ES_tradnl"/>
              </w:rPr>
              <w:t>9</w:t>
            </w:r>
          </w:p>
        </w:tc>
        <w:tc>
          <w:tcPr>
            <w:tcW w:w="1477" w:type="dxa"/>
            <w:tcBorders>
              <w:top w:val="nil"/>
              <w:left w:val="nil"/>
              <w:bottom w:val="single" w:sz="4" w:space="0" w:color="auto"/>
              <w:right w:val="single" w:sz="4" w:space="0" w:color="auto"/>
            </w:tcBorders>
            <w:shd w:val="clear" w:color="000000" w:fill="A6A6A6"/>
            <w:vAlign w:val="bottom"/>
            <w:hideMark/>
          </w:tcPr>
          <w:p w14:paraId="45327E82" w14:textId="78F9B570" w:rsidR="00D03701" w:rsidRPr="00D03701" w:rsidRDefault="00D03701" w:rsidP="00D03701">
            <w:pPr>
              <w:spacing w:after="0" w:line="240" w:lineRule="auto"/>
              <w:jc w:val="center"/>
              <w:rPr>
                <w:rFonts w:ascii="Arial" w:eastAsia="Times New Roman" w:hAnsi="Arial" w:cs="Arial"/>
                <w:color w:val="000000"/>
                <w:sz w:val="18"/>
                <w:szCs w:val="18"/>
                <w:lang w:val="es-ES_tradnl"/>
              </w:rPr>
            </w:pPr>
            <w:r w:rsidRPr="00D03701">
              <w:rPr>
                <w:rFonts w:ascii="Arial" w:hAnsi="Arial" w:cs="Arial"/>
                <w:color w:val="000000"/>
                <w:sz w:val="18"/>
                <w:szCs w:val="18"/>
                <w:lang w:val="es-ES_tradnl"/>
              </w:rPr>
              <w:t>95.99</w:t>
            </w:r>
          </w:p>
        </w:tc>
      </w:tr>
    </w:tbl>
    <w:p w14:paraId="5F569583" w14:textId="77777777" w:rsidR="00F10D9A" w:rsidRPr="00D03701" w:rsidRDefault="00F10D9A">
      <w:pPr>
        <w:pStyle w:val="Paragraph"/>
        <w:numPr>
          <w:ilvl w:val="0"/>
          <w:numId w:val="0"/>
        </w:numPr>
        <w:ind w:left="1296" w:hanging="1296"/>
        <w:outlineLvl w:val="9"/>
        <w:rPr>
          <w:rFonts w:ascii="Arial" w:hAnsi="Arial" w:cs="Arial"/>
          <w:sz w:val="22"/>
          <w:szCs w:val="22"/>
          <w:lang w:val="es-ES_tradnl"/>
        </w:rPr>
      </w:pPr>
    </w:p>
    <w:p w14:paraId="17B2A38D" w14:textId="77777777" w:rsidR="005D5FF0" w:rsidRPr="00D03701" w:rsidRDefault="005D5FF0">
      <w:pPr>
        <w:rPr>
          <w:rFonts w:ascii="Arial" w:hAnsi="Arial" w:cs="Arial"/>
          <w:spacing w:val="-2"/>
          <w:lang w:val="es-ES_tradnl"/>
        </w:rPr>
      </w:pPr>
      <w:r w:rsidRPr="00D03701">
        <w:rPr>
          <w:rFonts w:ascii="Arial" w:hAnsi="Arial" w:cs="Arial"/>
          <w:spacing w:val="-2"/>
          <w:lang w:val="es-ES_tradnl"/>
        </w:rPr>
        <w:br w:type="page"/>
      </w:r>
    </w:p>
    <w:p w14:paraId="3B390D59" w14:textId="77777777" w:rsidR="00F10D9A" w:rsidRPr="00D03701" w:rsidRDefault="005D5FF0">
      <w:pPr>
        <w:pStyle w:val="Paragraph"/>
        <w:numPr>
          <w:ilvl w:val="0"/>
          <w:numId w:val="0"/>
        </w:numPr>
        <w:ind w:left="-446"/>
        <w:jc w:val="center"/>
        <w:outlineLvl w:val="0"/>
        <w:rPr>
          <w:rFonts w:ascii="Arial" w:hAnsi="Arial" w:cs="Arial"/>
          <w:b/>
          <w:spacing w:val="-2"/>
          <w:sz w:val="22"/>
          <w:szCs w:val="22"/>
          <w:lang w:val="es-ES_tradnl"/>
        </w:rPr>
      </w:pPr>
      <w:bookmarkStart w:id="31" w:name="_Toc522742004"/>
      <w:r w:rsidRPr="00D03701">
        <w:rPr>
          <w:rFonts w:ascii="Arial" w:hAnsi="Arial" w:cs="Arial"/>
          <w:b/>
          <w:spacing w:val="-2"/>
          <w:sz w:val="22"/>
          <w:szCs w:val="22"/>
          <w:lang w:val="es-ES_tradnl"/>
        </w:rPr>
        <w:lastRenderedPageBreak/>
        <w:t>Bibliografía</w:t>
      </w:r>
      <w:bookmarkEnd w:id="31"/>
    </w:p>
    <w:p w14:paraId="16C1E0DB" w14:textId="77777777" w:rsidR="005D5FF0" w:rsidRPr="00D03701" w:rsidRDefault="005D5FF0" w:rsidP="00942EE7">
      <w:pPr>
        <w:pStyle w:val="Paragraph"/>
        <w:numPr>
          <w:ilvl w:val="0"/>
          <w:numId w:val="0"/>
        </w:numPr>
        <w:ind w:left="-446"/>
        <w:outlineLvl w:val="9"/>
        <w:rPr>
          <w:rFonts w:ascii="Arial" w:hAnsi="Arial" w:cs="Arial"/>
          <w:spacing w:val="-2"/>
          <w:sz w:val="22"/>
          <w:szCs w:val="22"/>
          <w:lang w:val="es-ES_tradnl"/>
        </w:rPr>
      </w:pPr>
    </w:p>
    <w:p w14:paraId="26DBFD03" w14:textId="77777777" w:rsidR="00B5488C" w:rsidRPr="00D03701" w:rsidRDefault="005D5FF0" w:rsidP="00393BF2">
      <w:pPr>
        <w:pStyle w:val="Paragraph"/>
        <w:numPr>
          <w:ilvl w:val="0"/>
          <w:numId w:val="9"/>
        </w:numPr>
        <w:outlineLvl w:val="9"/>
        <w:rPr>
          <w:rFonts w:ascii="Arial" w:hAnsi="Arial" w:cs="Arial"/>
          <w:spacing w:val="-2"/>
          <w:sz w:val="22"/>
          <w:szCs w:val="22"/>
          <w:lang w:val="es-ES_tradnl"/>
        </w:rPr>
      </w:pPr>
      <w:r w:rsidRPr="00BE7955">
        <w:rPr>
          <w:rFonts w:ascii="Arial" w:hAnsi="Arial" w:cs="Arial"/>
          <w:spacing w:val="-2"/>
          <w:sz w:val="22"/>
          <w:szCs w:val="22"/>
          <w:lang w:val="en-US"/>
        </w:rPr>
        <w:t xml:space="preserve">Poterba, James M., and Jürgen von Hagen. Fiscal Institutions and Fiscal Performance. </w:t>
      </w:r>
      <w:proofErr w:type="spellStart"/>
      <w:r w:rsidRPr="00D03701">
        <w:rPr>
          <w:rFonts w:ascii="Arial" w:hAnsi="Arial" w:cs="Arial"/>
          <w:spacing w:val="-2"/>
          <w:sz w:val="22"/>
          <w:szCs w:val="22"/>
          <w:lang w:val="es-ES_tradnl"/>
        </w:rPr>
        <w:t>University</w:t>
      </w:r>
      <w:proofErr w:type="spellEnd"/>
      <w:r w:rsidRPr="00D03701">
        <w:rPr>
          <w:rFonts w:ascii="Arial" w:hAnsi="Arial" w:cs="Arial"/>
          <w:spacing w:val="-2"/>
          <w:sz w:val="22"/>
          <w:szCs w:val="22"/>
          <w:lang w:val="es-ES_tradnl"/>
        </w:rPr>
        <w:t xml:space="preserve"> of Chicago </w:t>
      </w:r>
      <w:proofErr w:type="spellStart"/>
      <w:r w:rsidRPr="00D03701">
        <w:rPr>
          <w:rFonts w:ascii="Arial" w:hAnsi="Arial" w:cs="Arial"/>
          <w:spacing w:val="-2"/>
          <w:sz w:val="22"/>
          <w:szCs w:val="22"/>
          <w:lang w:val="es-ES_tradnl"/>
        </w:rPr>
        <w:t>Press</w:t>
      </w:r>
      <w:proofErr w:type="spellEnd"/>
      <w:r w:rsidRPr="00D03701">
        <w:rPr>
          <w:rFonts w:ascii="Arial" w:hAnsi="Arial" w:cs="Arial"/>
          <w:spacing w:val="-2"/>
          <w:sz w:val="22"/>
          <w:szCs w:val="22"/>
          <w:lang w:val="es-ES_tradnl"/>
        </w:rPr>
        <w:t xml:space="preserve">, </w:t>
      </w:r>
      <w:r w:rsidR="00B5488C" w:rsidRPr="00D03701">
        <w:rPr>
          <w:rFonts w:ascii="Arial" w:hAnsi="Arial" w:cs="Arial"/>
          <w:spacing w:val="-2"/>
          <w:sz w:val="22"/>
          <w:szCs w:val="22"/>
          <w:lang w:val="es-ES_tradnl"/>
        </w:rPr>
        <w:t>(</w:t>
      </w:r>
      <w:r w:rsidRPr="00D03701">
        <w:rPr>
          <w:rFonts w:ascii="Arial" w:hAnsi="Arial" w:cs="Arial"/>
          <w:spacing w:val="-2"/>
          <w:sz w:val="22"/>
          <w:szCs w:val="22"/>
          <w:lang w:val="es-ES_tradnl"/>
        </w:rPr>
        <w:t>1999</w:t>
      </w:r>
      <w:r w:rsidR="00B5488C" w:rsidRPr="00D03701">
        <w:rPr>
          <w:rFonts w:ascii="Arial" w:hAnsi="Arial" w:cs="Arial"/>
          <w:spacing w:val="-2"/>
          <w:sz w:val="22"/>
          <w:szCs w:val="22"/>
          <w:lang w:val="es-ES_tradnl"/>
        </w:rPr>
        <w:t>)</w:t>
      </w:r>
      <w:r w:rsidRPr="00D03701">
        <w:rPr>
          <w:rFonts w:ascii="Arial" w:hAnsi="Arial" w:cs="Arial"/>
          <w:spacing w:val="-2"/>
          <w:sz w:val="22"/>
          <w:szCs w:val="22"/>
          <w:lang w:val="es-ES_tradnl"/>
        </w:rPr>
        <w:t>.</w:t>
      </w:r>
    </w:p>
    <w:p w14:paraId="6086328E" w14:textId="77777777" w:rsidR="005D5FF0" w:rsidRPr="00D03701" w:rsidRDefault="005D5FF0" w:rsidP="00393BF2">
      <w:pPr>
        <w:pStyle w:val="Paragraph"/>
        <w:numPr>
          <w:ilvl w:val="0"/>
          <w:numId w:val="9"/>
        </w:numPr>
        <w:outlineLvl w:val="9"/>
        <w:rPr>
          <w:rFonts w:ascii="Arial" w:hAnsi="Arial" w:cs="Arial"/>
          <w:spacing w:val="-2"/>
          <w:sz w:val="22"/>
          <w:szCs w:val="22"/>
          <w:lang w:val="es-ES_tradnl"/>
        </w:rPr>
      </w:pPr>
      <w:proofErr w:type="spellStart"/>
      <w:r w:rsidRPr="00BE7955">
        <w:rPr>
          <w:rFonts w:ascii="Arial" w:hAnsi="Arial" w:cs="Arial"/>
          <w:spacing w:val="-2"/>
          <w:sz w:val="22"/>
          <w:szCs w:val="22"/>
          <w:lang w:val="en-US"/>
        </w:rPr>
        <w:t>Alesina</w:t>
      </w:r>
      <w:proofErr w:type="spellEnd"/>
      <w:r w:rsidRPr="00BE7955">
        <w:rPr>
          <w:rFonts w:ascii="Arial" w:hAnsi="Arial" w:cs="Arial"/>
          <w:spacing w:val="-2"/>
          <w:sz w:val="22"/>
          <w:szCs w:val="22"/>
          <w:lang w:val="en-US"/>
        </w:rPr>
        <w:t>, A., et al. "Budget institutions and fiscal performance in Latin America”.</w:t>
      </w:r>
      <w:r w:rsidR="00B5488C" w:rsidRPr="00BE7955">
        <w:rPr>
          <w:rFonts w:ascii="Arial" w:hAnsi="Arial" w:cs="Arial"/>
          <w:spacing w:val="-2"/>
          <w:sz w:val="22"/>
          <w:szCs w:val="22"/>
          <w:lang w:val="en-US"/>
        </w:rPr>
        <w:t xml:space="preserve"> </w:t>
      </w:r>
      <w:r w:rsidRPr="00BE7955">
        <w:rPr>
          <w:rFonts w:ascii="Arial" w:hAnsi="Arial" w:cs="Arial"/>
          <w:spacing w:val="-2"/>
          <w:sz w:val="22"/>
          <w:szCs w:val="22"/>
          <w:lang w:val="en-US"/>
        </w:rPr>
        <w:t xml:space="preserve"> </w:t>
      </w:r>
      <w:r w:rsidRPr="00D03701">
        <w:rPr>
          <w:rFonts w:ascii="Arial" w:hAnsi="Arial" w:cs="Arial"/>
          <w:spacing w:val="-2"/>
          <w:sz w:val="22"/>
          <w:szCs w:val="22"/>
          <w:lang w:val="es-ES_tradnl"/>
        </w:rPr>
        <w:t>Journal of Development Economics (1999)</w:t>
      </w:r>
    </w:p>
    <w:p w14:paraId="174E62F5" w14:textId="77777777" w:rsidR="00EA287C" w:rsidRPr="00D03701" w:rsidRDefault="00EA287C" w:rsidP="00393BF2">
      <w:pPr>
        <w:pStyle w:val="ListParagraph"/>
        <w:numPr>
          <w:ilvl w:val="0"/>
          <w:numId w:val="9"/>
        </w:numPr>
        <w:autoSpaceDE w:val="0"/>
        <w:autoSpaceDN w:val="0"/>
        <w:adjustRightInd w:val="0"/>
        <w:rPr>
          <w:rFonts w:ascii="Arial" w:hAnsi="Arial" w:cs="Arial"/>
          <w:lang w:val="es-ES_tradnl"/>
        </w:rPr>
      </w:pPr>
      <w:r w:rsidRPr="002315BE">
        <w:rPr>
          <w:rFonts w:ascii="Arial" w:hAnsi="Arial" w:cs="Arial"/>
        </w:rPr>
        <w:t xml:space="preserve">Banerjee, </w:t>
      </w:r>
      <w:proofErr w:type="spellStart"/>
      <w:r w:rsidRPr="002315BE">
        <w:rPr>
          <w:rFonts w:ascii="Arial" w:hAnsi="Arial" w:cs="Arial"/>
        </w:rPr>
        <w:t>Ritwik</w:t>
      </w:r>
      <w:proofErr w:type="spellEnd"/>
      <w:r w:rsidRPr="002315BE">
        <w:rPr>
          <w:rFonts w:ascii="Arial" w:hAnsi="Arial" w:cs="Arial"/>
        </w:rPr>
        <w:t xml:space="preserve">, </w:t>
      </w:r>
      <w:proofErr w:type="spellStart"/>
      <w:r w:rsidRPr="002315BE">
        <w:rPr>
          <w:rFonts w:ascii="Arial" w:hAnsi="Arial" w:cs="Arial"/>
        </w:rPr>
        <w:t>Tushi</w:t>
      </w:r>
      <w:proofErr w:type="spellEnd"/>
      <w:r w:rsidRPr="002315BE">
        <w:rPr>
          <w:rFonts w:ascii="Arial" w:hAnsi="Arial" w:cs="Arial"/>
        </w:rPr>
        <w:t xml:space="preserve"> </w:t>
      </w:r>
      <w:proofErr w:type="spellStart"/>
      <w:r w:rsidRPr="002315BE">
        <w:rPr>
          <w:rFonts w:ascii="Arial" w:hAnsi="Arial" w:cs="Arial"/>
        </w:rPr>
        <w:t>Baul</w:t>
      </w:r>
      <w:proofErr w:type="spellEnd"/>
      <w:r w:rsidRPr="002315BE">
        <w:rPr>
          <w:rFonts w:ascii="Arial" w:hAnsi="Arial" w:cs="Arial"/>
        </w:rPr>
        <w:t xml:space="preserve">, and Tanya </w:t>
      </w:r>
      <w:proofErr w:type="spellStart"/>
      <w:r w:rsidRPr="002315BE">
        <w:rPr>
          <w:rFonts w:ascii="Arial" w:hAnsi="Arial" w:cs="Arial"/>
        </w:rPr>
        <w:t>Rosenblat</w:t>
      </w:r>
      <w:proofErr w:type="spellEnd"/>
      <w:r w:rsidRPr="002315BE">
        <w:rPr>
          <w:rFonts w:ascii="Arial" w:hAnsi="Arial" w:cs="Arial"/>
        </w:rPr>
        <w:t xml:space="preserve">. </w:t>
      </w:r>
      <w:r w:rsidRPr="00BE7955">
        <w:rPr>
          <w:rFonts w:ascii="Arial" w:hAnsi="Arial" w:cs="Arial"/>
        </w:rPr>
        <w:t xml:space="preserve">2017. “E-governance, Accountability, and Leakage in Public Programs: Experimental Evidence from a Financial Management Reform in India.” </w:t>
      </w:r>
      <w:proofErr w:type="spellStart"/>
      <w:r w:rsidRPr="00D03701">
        <w:rPr>
          <w:rFonts w:ascii="Arial" w:hAnsi="Arial" w:cs="Arial"/>
          <w:lang w:val="es-ES_tradnl"/>
        </w:rPr>
        <w:t>Unpublished</w:t>
      </w:r>
      <w:proofErr w:type="spellEnd"/>
      <w:r w:rsidRPr="00D03701">
        <w:rPr>
          <w:rFonts w:ascii="Arial" w:hAnsi="Arial" w:cs="Arial"/>
          <w:lang w:val="es-ES_tradnl"/>
        </w:rPr>
        <w:t>. https://scholar.harvard.edu/files/rpande/files/biharnregapaper_20170831_final.pdf Consultado el 14 de Octubre de 2017</w:t>
      </w:r>
      <w:r w:rsidR="00942EE7" w:rsidRPr="00D03701">
        <w:rPr>
          <w:rFonts w:ascii="Arial" w:hAnsi="Arial" w:cs="Arial"/>
          <w:lang w:val="es-ES_tradnl"/>
        </w:rPr>
        <w:t>.</w:t>
      </w:r>
    </w:p>
    <w:p w14:paraId="3536FDAA" w14:textId="77777777" w:rsidR="00EA287C" w:rsidRPr="00D03701" w:rsidRDefault="00EA287C" w:rsidP="00393BF2">
      <w:pPr>
        <w:pStyle w:val="ListParagraph"/>
        <w:numPr>
          <w:ilvl w:val="0"/>
          <w:numId w:val="9"/>
        </w:numPr>
        <w:autoSpaceDE w:val="0"/>
        <w:autoSpaceDN w:val="0"/>
        <w:adjustRightInd w:val="0"/>
        <w:rPr>
          <w:rFonts w:ascii="Arial" w:hAnsi="Arial" w:cs="Arial"/>
          <w:lang w:val="es-ES_tradnl"/>
        </w:rPr>
      </w:pPr>
      <w:proofErr w:type="spellStart"/>
      <w:r w:rsidRPr="002315BE">
        <w:rPr>
          <w:rFonts w:ascii="Arial" w:hAnsi="Arial" w:cs="Arial"/>
        </w:rPr>
        <w:t>Dhaliwa</w:t>
      </w:r>
      <w:proofErr w:type="spellEnd"/>
      <w:r w:rsidRPr="002315BE">
        <w:rPr>
          <w:rFonts w:ascii="Arial" w:hAnsi="Arial" w:cs="Arial"/>
        </w:rPr>
        <w:t xml:space="preserve">, Iqbal l, and Rema Hanna. </w:t>
      </w:r>
      <w:r w:rsidRPr="00BE7955">
        <w:rPr>
          <w:rFonts w:ascii="Arial" w:hAnsi="Arial" w:cs="Arial"/>
        </w:rPr>
        <w:t xml:space="preserve">2017. ¨The devil is in the details: The successes and limitations of bureaucratic reform in </w:t>
      </w:r>
      <w:proofErr w:type="gramStart"/>
      <w:r w:rsidRPr="00BE7955">
        <w:rPr>
          <w:rFonts w:ascii="Arial" w:hAnsi="Arial" w:cs="Arial"/>
        </w:rPr>
        <w:t>India.¨</w:t>
      </w:r>
      <w:proofErr w:type="gramEnd"/>
      <w:r w:rsidRPr="00BE7955">
        <w:rPr>
          <w:rFonts w:ascii="Arial" w:hAnsi="Arial" w:cs="Arial"/>
        </w:rPr>
        <w:t xml:space="preserve">  </w:t>
      </w:r>
      <w:r w:rsidRPr="00D03701">
        <w:rPr>
          <w:rFonts w:ascii="Arial" w:hAnsi="Arial" w:cs="Arial"/>
          <w:i/>
          <w:lang w:val="es-ES_tradnl"/>
        </w:rPr>
        <w:t>Journal of Development Economics,</w:t>
      </w:r>
      <w:r w:rsidRPr="00D03701">
        <w:rPr>
          <w:rFonts w:ascii="Arial" w:hAnsi="Arial" w:cs="Arial"/>
          <w:lang w:val="es-ES_tradnl"/>
        </w:rPr>
        <w:t xml:space="preserve"> </w:t>
      </w:r>
      <w:proofErr w:type="spellStart"/>
      <w:r w:rsidRPr="00D03701">
        <w:rPr>
          <w:rFonts w:ascii="Arial" w:hAnsi="Arial" w:cs="Arial"/>
          <w:lang w:val="es-ES_tradnl"/>
        </w:rPr>
        <w:t>Volume</w:t>
      </w:r>
      <w:proofErr w:type="spellEnd"/>
      <w:r w:rsidRPr="00D03701">
        <w:rPr>
          <w:rFonts w:ascii="Arial" w:hAnsi="Arial" w:cs="Arial"/>
          <w:lang w:val="es-ES_tradnl"/>
        </w:rPr>
        <w:t xml:space="preserve"> 124, 2017, Pages 1-21.</w:t>
      </w:r>
    </w:p>
    <w:p w14:paraId="19AE2020" w14:textId="77777777" w:rsidR="00B5488C" w:rsidRPr="00D03701" w:rsidRDefault="00942EE7" w:rsidP="00393BF2">
      <w:pPr>
        <w:pStyle w:val="ListParagraph"/>
        <w:numPr>
          <w:ilvl w:val="0"/>
          <w:numId w:val="9"/>
        </w:numPr>
        <w:autoSpaceDE w:val="0"/>
        <w:autoSpaceDN w:val="0"/>
        <w:adjustRightInd w:val="0"/>
        <w:rPr>
          <w:rFonts w:ascii="Arial" w:eastAsia="Arial" w:hAnsi="Arial" w:cs="Arial"/>
          <w:lang w:val="es-ES_tradnl"/>
        </w:rPr>
      </w:pPr>
      <w:r w:rsidRPr="00D03701">
        <w:rPr>
          <w:rFonts w:ascii="Arial" w:hAnsi="Arial" w:cs="Arial"/>
          <w:spacing w:val="-2"/>
          <w:lang w:val="es-ES_tradnl"/>
        </w:rPr>
        <w:t xml:space="preserve">Arenas de Mesa, A. (2016). Sostenibilidad fiscal y reformas tributarias en América Latina. </w:t>
      </w:r>
    </w:p>
    <w:p w14:paraId="48133C66" w14:textId="77777777" w:rsidR="0056292F" w:rsidRPr="00BE7955" w:rsidRDefault="0056292F" w:rsidP="00393BF2">
      <w:pPr>
        <w:pStyle w:val="ListParagraph"/>
        <w:numPr>
          <w:ilvl w:val="0"/>
          <w:numId w:val="9"/>
        </w:numPr>
        <w:rPr>
          <w:rFonts w:ascii="Arial" w:hAnsi="Arial" w:cs="Arial"/>
        </w:rPr>
      </w:pPr>
      <w:r w:rsidRPr="00BE7955">
        <w:rPr>
          <w:rFonts w:ascii="Arial" w:hAnsi="Arial" w:cs="Arial"/>
        </w:rPr>
        <w:t xml:space="preserve">Slemrod, Joel &amp; Collins, Brett &amp; Hoopes, Jeffrey L. &amp; </w:t>
      </w:r>
      <w:proofErr w:type="spellStart"/>
      <w:r w:rsidRPr="00BE7955">
        <w:rPr>
          <w:rFonts w:ascii="Arial" w:hAnsi="Arial" w:cs="Arial"/>
        </w:rPr>
        <w:t>Reck</w:t>
      </w:r>
      <w:proofErr w:type="spellEnd"/>
      <w:r w:rsidRPr="00BE7955">
        <w:rPr>
          <w:rFonts w:ascii="Arial" w:hAnsi="Arial" w:cs="Arial"/>
        </w:rPr>
        <w:t xml:space="preserve">, Daniel &amp; </w:t>
      </w:r>
      <w:proofErr w:type="spellStart"/>
      <w:r w:rsidRPr="00BE7955">
        <w:rPr>
          <w:rFonts w:ascii="Arial" w:hAnsi="Arial" w:cs="Arial"/>
        </w:rPr>
        <w:t>Sebastiani</w:t>
      </w:r>
      <w:proofErr w:type="spellEnd"/>
      <w:r w:rsidRPr="00BE7955">
        <w:rPr>
          <w:rFonts w:ascii="Arial" w:hAnsi="Arial" w:cs="Arial"/>
        </w:rPr>
        <w:t xml:space="preserve">, Michael, 2017."Does credit-card information reporting improve small-business tax </w:t>
      </w:r>
      <w:proofErr w:type="gramStart"/>
      <w:r w:rsidRPr="00BE7955">
        <w:rPr>
          <w:rFonts w:ascii="Arial" w:hAnsi="Arial" w:cs="Arial"/>
        </w:rPr>
        <w:t>compliance?,</w:t>
      </w:r>
      <w:proofErr w:type="gramEnd"/>
      <w:r w:rsidRPr="00BE7955">
        <w:rPr>
          <w:rFonts w:ascii="Arial" w:hAnsi="Arial" w:cs="Arial"/>
        </w:rPr>
        <w:t>" Journal of Public Economics, Elsevier, vol. 149(C), pages 1-19.</w:t>
      </w:r>
    </w:p>
    <w:p w14:paraId="2500E78D" w14:textId="77777777" w:rsidR="0056292F" w:rsidRPr="00D03701" w:rsidRDefault="0056292F" w:rsidP="00393BF2">
      <w:pPr>
        <w:pStyle w:val="ListParagraph"/>
        <w:numPr>
          <w:ilvl w:val="0"/>
          <w:numId w:val="9"/>
        </w:numPr>
        <w:rPr>
          <w:rFonts w:ascii="Arial" w:hAnsi="Arial" w:cs="Arial"/>
          <w:lang w:val="es-ES_tradnl"/>
        </w:rPr>
      </w:pPr>
      <w:r w:rsidRPr="00BE7955">
        <w:rPr>
          <w:rFonts w:ascii="Arial" w:hAnsi="Arial" w:cs="Arial"/>
        </w:rPr>
        <w:t xml:space="preserve">Pomeranz, D.D., 2015. No taxation without information: deterrence and self-enforcement in the value added tax. </w:t>
      </w:r>
      <w:r w:rsidRPr="00D03701">
        <w:rPr>
          <w:rFonts w:ascii="Arial" w:hAnsi="Arial" w:cs="Arial"/>
          <w:lang w:val="es-ES_tradnl"/>
        </w:rPr>
        <w:t>Am. Econ. Rev. 105 (8), 2539–2569.</w:t>
      </w:r>
    </w:p>
    <w:p w14:paraId="2EBFE58A" w14:textId="77777777" w:rsidR="00942EE7" w:rsidRPr="00BE7955" w:rsidRDefault="00942EE7" w:rsidP="00393BF2">
      <w:pPr>
        <w:pStyle w:val="ListParagraph"/>
        <w:numPr>
          <w:ilvl w:val="0"/>
          <w:numId w:val="9"/>
        </w:numPr>
        <w:autoSpaceDE w:val="0"/>
        <w:autoSpaceDN w:val="0"/>
        <w:adjustRightInd w:val="0"/>
        <w:jc w:val="both"/>
        <w:rPr>
          <w:rFonts w:ascii="Arial" w:hAnsi="Arial" w:cs="Arial"/>
        </w:rPr>
      </w:pPr>
      <w:r w:rsidRPr="00BE7955">
        <w:rPr>
          <w:rFonts w:ascii="Arial" w:hAnsi="Arial" w:cs="Arial"/>
        </w:rPr>
        <w:t xml:space="preserve">Kleven, H. J., Knudsen, M. B., </w:t>
      </w:r>
      <w:proofErr w:type="spellStart"/>
      <w:r w:rsidRPr="00BE7955">
        <w:rPr>
          <w:rFonts w:ascii="Arial" w:hAnsi="Arial" w:cs="Arial"/>
        </w:rPr>
        <w:t>Kreiner</w:t>
      </w:r>
      <w:proofErr w:type="spellEnd"/>
      <w:r w:rsidRPr="00BE7955">
        <w:rPr>
          <w:rFonts w:ascii="Arial" w:hAnsi="Arial" w:cs="Arial"/>
        </w:rPr>
        <w:t xml:space="preserve">, C. T., Pedersen, S., and </w:t>
      </w:r>
      <w:proofErr w:type="spellStart"/>
      <w:r w:rsidRPr="00BE7955">
        <w:rPr>
          <w:rFonts w:ascii="Arial" w:hAnsi="Arial" w:cs="Arial"/>
        </w:rPr>
        <w:t>Saez</w:t>
      </w:r>
      <w:proofErr w:type="spellEnd"/>
      <w:r w:rsidRPr="00BE7955">
        <w:rPr>
          <w:rFonts w:ascii="Arial" w:hAnsi="Arial" w:cs="Arial"/>
        </w:rPr>
        <w:t xml:space="preserve">, E. 2011. ‘Unwilling or Unable to Cheat? Evidence from a Tax Audit Experiment in Denmark’, </w:t>
      </w:r>
      <w:proofErr w:type="spellStart"/>
      <w:r w:rsidRPr="00BE7955">
        <w:rPr>
          <w:rFonts w:ascii="Arial" w:hAnsi="Arial" w:cs="Arial"/>
          <w:i/>
          <w:iCs/>
        </w:rPr>
        <w:t>Econometrica</w:t>
      </w:r>
      <w:proofErr w:type="spellEnd"/>
      <w:r w:rsidRPr="00BE7955">
        <w:rPr>
          <w:rFonts w:ascii="Arial" w:hAnsi="Arial" w:cs="Arial"/>
        </w:rPr>
        <w:t xml:space="preserve">, </w:t>
      </w:r>
      <w:r w:rsidRPr="00BE7955">
        <w:rPr>
          <w:rFonts w:ascii="Arial" w:hAnsi="Arial" w:cs="Arial"/>
          <w:bCs/>
        </w:rPr>
        <w:t>79</w:t>
      </w:r>
      <w:r w:rsidRPr="00BE7955">
        <w:rPr>
          <w:rFonts w:ascii="Arial" w:hAnsi="Arial" w:cs="Arial"/>
        </w:rPr>
        <w:t>, 651–92.</w:t>
      </w:r>
    </w:p>
    <w:p w14:paraId="12D5A665" w14:textId="77777777" w:rsidR="0056292F" w:rsidRPr="00D03701" w:rsidRDefault="0056292F" w:rsidP="00393BF2">
      <w:pPr>
        <w:pStyle w:val="ListParagraph"/>
        <w:numPr>
          <w:ilvl w:val="0"/>
          <w:numId w:val="9"/>
        </w:numPr>
        <w:rPr>
          <w:rFonts w:ascii="Arial" w:hAnsi="Arial" w:cs="Arial"/>
          <w:lang w:val="es-ES_tradnl"/>
        </w:rPr>
      </w:pPr>
      <w:proofErr w:type="spellStart"/>
      <w:r w:rsidRPr="00BE7955">
        <w:rPr>
          <w:rFonts w:ascii="Arial" w:hAnsi="Arial" w:cs="Arial"/>
          <w:lang w:val="pt-BR"/>
        </w:rPr>
        <w:t>Almunia</w:t>
      </w:r>
      <w:proofErr w:type="spellEnd"/>
      <w:r w:rsidRPr="00BE7955">
        <w:rPr>
          <w:rFonts w:ascii="Arial" w:hAnsi="Arial" w:cs="Arial"/>
          <w:lang w:val="pt-BR"/>
        </w:rPr>
        <w:t xml:space="preserve">, Miguel, and David Lopez-Rodriguez. </w:t>
      </w:r>
      <w:r w:rsidRPr="00BE7955">
        <w:rPr>
          <w:rFonts w:ascii="Arial" w:hAnsi="Arial" w:cs="Arial"/>
        </w:rPr>
        <w:t xml:space="preserve">2018. "Under the Radar: The Effects of Monitoring Firms on Tax Compliance." </w:t>
      </w:r>
      <w:r w:rsidRPr="00D03701">
        <w:rPr>
          <w:rFonts w:ascii="Arial" w:hAnsi="Arial" w:cs="Arial"/>
          <w:lang w:val="es-ES_tradnl"/>
        </w:rPr>
        <w:t xml:space="preserve">American Economic Journal: Economic Policy, 10(1): 1-38. </w:t>
      </w:r>
    </w:p>
    <w:p w14:paraId="295D1A34" w14:textId="2EDE7205" w:rsidR="00942EE7" w:rsidRPr="00D03701" w:rsidRDefault="00942EE7" w:rsidP="00393BF2">
      <w:pPr>
        <w:pStyle w:val="ListParagraph"/>
        <w:numPr>
          <w:ilvl w:val="0"/>
          <w:numId w:val="9"/>
        </w:numPr>
        <w:rPr>
          <w:rStyle w:val="pages4"/>
          <w:rFonts w:ascii="Arial" w:hAnsi="Arial" w:cs="Arial"/>
          <w:iCs/>
          <w:lang w:val="es-ES_tradnl"/>
        </w:rPr>
      </w:pPr>
      <w:r w:rsidRPr="002315BE">
        <w:rPr>
          <w:rFonts w:ascii="Arial" w:hAnsi="Arial" w:cs="Arial"/>
        </w:rPr>
        <w:t xml:space="preserve">Hallsworth, M. 2014. </w:t>
      </w:r>
      <w:r w:rsidRPr="002315BE">
        <w:rPr>
          <w:rStyle w:val="pages4"/>
          <w:rFonts w:ascii="Arial" w:hAnsi="Arial" w:cs="Arial"/>
          <w:iCs/>
        </w:rPr>
        <w:t xml:space="preserve">“The Use of Field Experiments to Increase Tax Compliance. </w:t>
      </w:r>
      <w:r w:rsidRPr="00D03701">
        <w:rPr>
          <w:rStyle w:val="pages4"/>
          <w:rFonts w:ascii="Arial" w:hAnsi="Arial" w:cs="Arial"/>
          <w:iCs/>
          <w:lang w:val="es-ES_tradnl"/>
        </w:rPr>
        <w:t>“Oxford Review of Economic Policy 30(4), pp 658-679.</w:t>
      </w:r>
    </w:p>
    <w:p w14:paraId="73C3087E" w14:textId="77777777" w:rsidR="00942EE7" w:rsidRPr="00D03701" w:rsidRDefault="00942EE7" w:rsidP="00393BF2">
      <w:pPr>
        <w:pStyle w:val="ListParagraph"/>
        <w:numPr>
          <w:ilvl w:val="0"/>
          <w:numId w:val="9"/>
        </w:numPr>
        <w:autoSpaceDE w:val="0"/>
        <w:autoSpaceDN w:val="0"/>
        <w:adjustRightInd w:val="0"/>
        <w:jc w:val="both"/>
        <w:rPr>
          <w:rFonts w:ascii="Arial" w:hAnsi="Arial" w:cs="Arial"/>
          <w:lang w:val="es-ES_tradnl"/>
        </w:rPr>
      </w:pPr>
      <w:r w:rsidRPr="00D03701">
        <w:rPr>
          <w:rFonts w:ascii="Arial" w:hAnsi="Arial" w:cs="Arial"/>
          <w:lang w:val="es-ES_tradnl"/>
        </w:rPr>
        <w:t xml:space="preserve">Khan, A., A. Khwaja, y B. Olken. </w:t>
      </w:r>
      <w:r w:rsidRPr="00BE7955">
        <w:rPr>
          <w:rFonts w:ascii="Arial" w:hAnsi="Arial" w:cs="Arial"/>
        </w:rPr>
        <w:t xml:space="preserve">2016. Tax farming redux: experimental evidence on performance pay for tax collectors. </w:t>
      </w:r>
      <w:proofErr w:type="spellStart"/>
      <w:r w:rsidRPr="00D03701">
        <w:rPr>
          <w:rFonts w:ascii="Arial" w:hAnsi="Arial" w:cs="Arial"/>
          <w:i/>
          <w:lang w:val="es-ES_tradnl"/>
        </w:rPr>
        <w:t>Quarterly</w:t>
      </w:r>
      <w:proofErr w:type="spellEnd"/>
      <w:r w:rsidRPr="00D03701">
        <w:rPr>
          <w:rFonts w:ascii="Arial" w:hAnsi="Arial" w:cs="Arial"/>
          <w:i/>
          <w:lang w:val="es-ES_tradnl"/>
        </w:rPr>
        <w:t xml:space="preserve"> Journal of Economics</w:t>
      </w:r>
      <w:r w:rsidRPr="00D03701">
        <w:rPr>
          <w:rFonts w:ascii="Arial" w:hAnsi="Arial" w:cs="Arial"/>
          <w:lang w:val="es-ES_tradnl"/>
        </w:rPr>
        <w:t>.</w:t>
      </w:r>
    </w:p>
    <w:p w14:paraId="1C29AE2E" w14:textId="77777777" w:rsidR="0056292F" w:rsidRPr="00D03701" w:rsidRDefault="0056292F" w:rsidP="0056292F">
      <w:pPr>
        <w:rPr>
          <w:rFonts w:ascii="Arial" w:hAnsi="Arial" w:cs="Arial"/>
          <w:lang w:val="es-ES_tradnl"/>
        </w:rPr>
      </w:pPr>
    </w:p>
    <w:p w14:paraId="060BDD7A" w14:textId="77777777" w:rsidR="00F10D9A" w:rsidRPr="00D03701" w:rsidRDefault="00F10D9A" w:rsidP="00942EE7">
      <w:pPr>
        <w:tabs>
          <w:tab w:val="center" w:pos="4680"/>
        </w:tabs>
        <w:spacing w:before="120" w:after="120"/>
        <w:jc w:val="both"/>
        <w:rPr>
          <w:rFonts w:ascii="Arial" w:hAnsi="Arial" w:cs="Arial"/>
          <w:b/>
          <w:lang w:val="es-ES_tradnl"/>
        </w:rPr>
      </w:pPr>
    </w:p>
    <w:sectPr w:rsidR="00F10D9A" w:rsidRPr="00D03701">
      <w:pgSz w:w="11906" w:h="16838"/>
      <w:pgMar w:top="994" w:right="1440" w:bottom="1166" w:left="135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187EE" w14:textId="77777777" w:rsidR="00F27066" w:rsidRDefault="00F27066">
      <w:pPr>
        <w:spacing w:after="0" w:line="240" w:lineRule="auto"/>
      </w:pPr>
      <w:r>
        <w:separator/>
      </w:r>
    </w:p>
  </w:endnote>
  <w:endnote w:type="continuationSeparator" w:id="0">
    <w:p w14:paraId="5984C0C0" w14:textId="77777777" w:rsidR="00F27066" w:rsidRDefault="00F27066">
      <w:pPr>
        <w:spacing w:after="0" w:line="240" w:lineRule="auto"/>
      </w:pPr>
      <w:r>
        <w:continuationSeparator/>
      </w:r>
    </w:p>
  </w:endnote>
  <w:endnote w:type="continuationNotice" w:id="1">
    <w:p w14:paraId="351B6FE5" w14:textId="77777777" w:rsidR="00F27066" w:rsidRDefault="00F270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BCE07" w14:textId="77777777" w:rsidR="00F27066" w:rsidRDefault="00F27066">
      <w:pPr>
        <w:spacing w:after="0" w:line="240" w:lineRule="auto"/>
      </w:pPr>
      <w:r>
        <w:separator/>
      </w:r>
    </w:p>
  </w:footnote>
  <w:footnote w:type="continuationSeparator" w:id="0">
    <w:p w14:paraId="38290542" w14:textId="77777777" w:rsidR="00F27066" w:rsidRDefault="00F27066">
      <w:pPr>
        <w:spacing w:after="0" w:line="240" w:lineRule="auto"/>
      </w:pPr>
      <w:r>
        <w:continuationSeparator/>
      </w:r>
    </w:p>
  </w:footnote>
  <w:footnote w:type="continuationNotice" w:id="1">
    <w:p w14:paraId="6A85E615" w14:textId="77777777" w:rsidR="00F27066" w:rsidRDefault="00F27066">
      <w:pPr>
        <w:spacing w:after="0" w:line="240" w:lineRule="auto"/>
      </w:pPr>
    </w:p>
  </w:footnote>
  <w:footnote w:id="2">
    <w:p w14:paraId="5E6DE258" w14:textId="77777777" w:rsidR="00790579" w:rsidRPr="00D459CE" w:rsidRDefault="00790579" w:rsidP="00440233">
      <w:pPr>
        <w:pStyle w:val="FootnoteText"/>
        <w:ind w:left="274" w:right="-360" w:hanging="274"/>
        <w:contextualSpacing/>
        <w:rPr>
          <w:rFonts w:ascii="Arial" w:hAnsi="Arial" w:cs="Arial"/>
          <w:sz w:val="16"/>
          <w:szCs w:val="16"/>
          <w:lang w:val="es-ES_tradnl"/>
        </w:rPr>
      </w:pPr>
      <w:r w:rsidRPr="00DB415C">
        <w:rPr>
          <w:rStyle w:val="FootnoteReference"/>
          <w:rFonts w:ascii="Arial" w:hAnsi="Arial" w:cs="Arial"/>
          <w:sz w:val="16"/>
          <w:szCs w:val="16"/>
        </w:rPr>
        <w:footnoteRef/>
      </w:r>
      <w:r w:rsidRPr="00DB415C">
        <w:rPr>
          <w:rFonts w:ascii="Arial" w:hAnsi="Arial" w:cs="Arial"/>
          <w:sz w:val="16"/>
          <w:szCs w:val="16"/>
          <w:lang w:val="es-ES"/>
        </w:rPr>
        <w:t xml:space="preserve"> </w:t>
      </w:r>
      <w:r w:rsidRPr="00DB415C">
        <w:rPr>
          <w:rFonts w:ascii="Arial" w:hAnsi="Arial" w:cs="Arial"/>
          <w:sz w:val="16"/>
          <w:szCs w:val="16"/>
          <w:lang w:val="es-ES"/>
        </w:rPr>
        <w:tab/>
        <w:t>La elasticidad a largo-corto plazo de los ingresos tributarios para Perú se estima en 1,4-0,5 (CIAT, 2017).</w:t>
      </w:r>
    </w:p>
  </w:footnote>
  <w:footnote w:id="3">
    <w:p w14:paraId="389143BA" w14:textId="77777777" w:rsidR="00790579" w:rsidRPr="00D459CE" w:rsidRDefault="00790579" w:rsidP="00440233">
      <w:pPr>
        <w:pStyle w:val="FootnoteText"/>
        <w:ind w:left="274" w:right="-360" w:hanging="274"/>
        <w:contextualSpacing/>
        <w:rPr>
          <w:rFonts w:ascii="Arial" w:hAnsi="Arial" w:cs="Arial"/>
          <w:sz w:val="16"/>
          <w:szCs w:val="16"/>
          <w:lang w:val="es-ES"/>
        </w:rPr>
      </w:pPr>
      <w:r w:rsidRPr="00D459CE">
        <w:rPr>
          <w:rStyle w:val="FootnoteReference"/>
          <w:rFonts w:ascii="Arial" w:hAnsi="Arial" w:cs="Arial"/>
          <w:sz w:val="16"/>
          <w:szCs w:val="16"/>
        </w:rPr>
        <w:footnoteRef/>
      </w:r>
      <w:r w:rsidRPr="00D459CE">
        <w:rPr>
          <w:rStyle w:val="FootnoteReference"/>
          <w:rFonts w:ascii="Arial" w:hAnsi="Arial" w:cs="Arial"/>
          <w:sz w:val="16"/>
          <w:szCs w:val="16"/>
          <w:lang w:val="es-ES"/>
        </w:rPr>
        <w:t xml:space="preserve"> </w:t>
      </w:r>
      <w:r w:rsidRPr="00D459CE">
        <w:rPr>
          <w:rFonts w:ascii="Arial" w:hAnsi="Arial" w:cs="Arial"/>
          <w:sz w:val="16"/>
          <w:szCs w:val="16"/>
          <w:lang w:val="es-ES"/>
        </w:rPr>
        <w:tab/>
      </w:r>
      <w:hyperlink r:id="rId1" w:history="1">
        <w:r w:rsidRPr="00D459CE">
          <w:rPr>
            <w:rStyle w:val="Hyperlink"/>
            <w:rFonts w:ascii="Arial" w:hAnsi="Arial" w:cs="Arial"/>
            <w:sz w:val="16"/>
            <w:szCs w:val="16"/>
            <w:lang w:val="es-ES"/>
          </w:rPr>
          <w:t>SUNAT (2018)</w:t>
        </w:r>
      </w:hyperlink>
      <w:r w:rsidRPr="00D459CE">
        <w:rPr>
          <w:rFonts w:ascii="Arial" w:hAnsi="Arial" w:cs="Arial"/>
          <w:sz w:val="16"/>
          <w:szCs w:val="16"/>
          <w:lang w:val="es-ES"/>
        </w:rPr>
        <w:t xml:space="preserve">. </w:t>
      </w:r>
    </w:p>
  </w:footnote>
  <w:footnote w:id="4">
    <w:p w14:paraId="2AD6B2D3" w14:textId="77777777" w:rsidR="00790579" w:rsidRPr="00E140D7" w:rsidRDefault="00790579" w:rsidP="00440233">
      <w:pPr>
        <w:pStyle w:val="FootnoteText"/>
        <w:ind w:left="274" w:right="-360" w:hanging="274"/>
        <w:contextualSpacing/>
        <w:rPr>
          <w:rFonts w:ascii="Arial" w:hAnsi="Arial" w:cs="Arial"/>
          <w:sz w:val="16"/>
          <w:szCs w:val="16"/>
          <w:lang w:val="es-ES_tradnl"/>
        </w:rPr>
      </w:pPr>
      <w:r>
        <w:rPr>
          <w:rStyle w:val="FootnoteReference"/>
          <w:rFonts w:ascii="Arial" w:hAnsi="Arial" w:cs="Arial"/>
          <w:sz w:val="16"/>
          <w:szCs w:val="16"/>
        </w:rPr>
        <w:footnoteRef/>
      </w:r>
      <w:r w:rsidRPr="00E140D7">
        <w:rPr>
          <w:rFonts w:ascii="Arial" w:hAnsi="Arial" w:cs="Arial"/>
          <w:sz w:val="16"/>
          <w:szCs w:val="16"/>
          <w:lang w:val="es-ES_tradnl"/>
        </w:rPr>
        <w:t xml:space="preserve"> </w:t>
      </w:r>
      <w:r w:rsidRPr="00E140D7">
        <w:rPr>
          <w:rFonts w:ascii="Arial" w:hAnsi="Arial" w:cs="Arial"/>
          <w:sz w:val="16"/>
          <w:szCs w:val="16"/>
          <w:lang w:val="es-ES_tradnl"/>
        </w:rPr>
        <w:tab/>
        <w:t xml:space="preserve">OECD 2018. </w:t>
      </w:r>
      <w:r w:rsidRPr="00E140D7">
        <w:rPr>
          <w:rFonts w:ascii="Arial" w:hAnsi="Arial" w:cs="Arial"/>
          <w:sz w:val="16"/>
          <w:szCs w:val="16"/>
          <w:lang w:val="es-ES"/>
        </w:rPr>
        <w:t>Datos</w:t>
      </w:r>
      <w:r w:rsidRPr="00E140D7">
        <w:rPr>
          <w:rFonts w:ascii="Arial" w:hAnsi="Arial" w:cs="Arial"/>
          <w:sz w:val="16"/>
          <w:szCs w:val="16"/>
          <w:lang w:val="es-ES_tradnl"/>
        </w:rPr>
        <w:t xml:space="preserve"> de 2016, </w:t>
      </w:r>
      <w:r>
        <w:rPr>
          <w:rFonts w:ascii="Arial" w:hAnsi="Arial" w:cs="Arial"/>
          <w:sz w:val="16"/>
          <w:szCs w:val="16"/>
          <w:lang w:val="es-ES_tradnl"/>
        </w:rPr>
        <w:t xml:space="preserve">nivel </w:t>
      </w:r>
      <w:r w:rsidRPr="00E140D7">
        <w:rPr>
          <w:rFonts w:ascii="Arial" w:hAnsi="Arial" w:cs="Arial"/>
          <w:sz w:val="16"/>
          <w:szCs w:val="16"/>
          <w:lang w:val="es-ES"/>
        </w:rPr>
        <w:t>Gobierno</w:t>
      </w:r>
      <w:r w:rsidRPr="00E140D7">
        <w:rPr>
          <w:rFonts w:ascii="Arial" w:hAnsi="Arial" w:cs="Arial"/>
          <w:sz w:val="16"/>
          <w:szCs w:val="16"/>
          <w:lang w:val="es-ES_tradnl"/>
        </w:rPr>
        <w:t xml:space="preserve"> </w:t>
      </w:r>
      <w:r w:rsidRPr="003260B3">
        <w:rPr>
          <w:rFonts w:ascii="Arial" w:hAnsi="Arial" w:cs="Arial"/>
          <w:sz w:val="16"/>
          <w:szCs w:val="16"/>
          <w:lang w:val="es-ES"/>
        </w:rPr>
        <w:t>General</w:t>
      </w:r>
      <w:r w:rsidRPr="00E140D7">
        <w:rPr>
          <w:rFonts w:ascii="Arial" w:hAnsi="Arial" w:cs="Arial"/>
          <w:sz w:val="16"/>
          <w:szCs w:val="16"/>
          <w:lang w:val="es-ES_tradnl"/>
        </w:rPr>
        <w:t>. En Perú, alcanzó el 14% del PIB en el mismo período.</w:t>
      </w:r>
    </w:p>
  </w:footnote>
  <w:footnote w:id="5">
    <w:p w14:paraId="09971D06" w14:textId="77777777" w:rsidR="00790579" w:rsidRPr="003260B3" w:rsidRDefault="00790579" w:rsidP="00440233">
      <w:pPr>
        <w:pStyle w:val="FootnoteText"/>
        <w:ind w:left="274" w:right="-360" w:hanging="274"/>
        <w:contextualSpacing/>
        <w:rPr>
          <w:rFonts w:ascii="Arial" w:hAnsi="Arial" w:cs="Arial"/>
          <w:sz w:val="16"/>
          <w:szCs w:val="16"/>
          <w:lang w:val="es-ES_tradnl"/>
        </w:rPr>
      </w:pPr>
      <w:r w:rsidRPr="003260B3">
        <w:rPr>
          <w:rStyle w:val="FootnoteReference"/>
          <w:rFonts w:ascii="Arial" w:hAnsi="Arial" w:cs="Arial"/>
          <w:sz w:val="16"/>
          <w:szCs w:val="16"/>
        </w:rPr>
        <w:footnoteRef/>
      </w:r>
      <w:r w:rsidRPr="003260B3">
        <w:rPr>
          <w:rFonts w:ascii="Arial" w:hAnsi="Arial" w:cs="Arial"/>
          <w:sz w:val="16"/>
          <w:szCs w:val="16"/>
          <w:lang w:val="es-ES_tradnl"/>
        </w:rPr>
        <w:t xml:space="preserve"> </w:t>
      </w:r>
      <w:r w:rsidRPr="003260B3">
        <w:rPr>
          <w:rFonts w:ascii="Arial" w:hAnsi="Arial" w:cs="Arial"/>
          <w:sz w:val="16"/>
          <w:szCs w:val="16"/>
          <w:lang w:val="es-ES_tradnl"/>
        </w:rPr>
        <w:tab/>
        <w:t>Se refiere a la informalidad empresarial y laboral. La primera considera si la empresa está registrada y paga impuestos. La segunda considera el estatus de aseguramiento social del trabajador a servicios de salud, pensiones u otras contingencias.</w:t>
      </w:r>
    </w:p>
  </w:footnote>
  <w:footnote w:id="6">
    <w:p w14:paraId="054136E4" w14:textId="77777777" w:rsidR="00790579" w:rsidRPr="00E140D7" w:rsidRDefault="00790579" w:rsidP="00440233">
      <w:pPr>
        <w:pStyle w:val="FootnoteText"/>
        <w:ind w:left="274" w:right="-360" w:hanging="274"/>
        <w:contextualSpacing/>
        <w:rPr>
          <w:lang w:val="es-ES_tradnl"/>
        </w:rPr>
      </w:pPr>
      <w:r>
        <w:rPr>
          <w:rStyle w:val="FootnoteReference"/>
          <w:rFonts w:ascii="Arial" w:hAnsi="Arial" w:cs="Arial"/>
          <w:sz w:val="16"/>
          <w:szCs w:val="16"/>
        </w:rPr>
        <w:footnoteRef/>
      </w:r>
      <w:r w:rsidRPr="00E140D7">
        <w:rPr>
          <w:rStyle w:val="FootnoteReference"/>
          <w:rFonts w:ascii="Arial" w:hAnsi="Arial" w:cs="Arial"/>
          <w:sz w:val="16"/>
          <w:szCs w:val="16"/>
          <w:lang w:val="es-ES_tradnl"/>
        </w:rPr>
        <w:t xml:space="preserve"> </w:t>
      </w:r>
      <w:r w:rsidRPr="00E140D7">
        <w:rPr>
          <w:rStyle w:val="FootnoteReference"/>
          <w:rFonts w:ascii="Arial" w:hAnsi="Arial" w:cs="Arial"/>
          <w:sz w:val="16"/>
          <w:szCs w:val="16"/>
          <w:lang w:val="es-ES_tradnl"/>
        </w:rPr>
        <w:tab/>
      </w:r>
      <w:r w:rsidRPr="00E140D7">
        <w:rPr>
          <w:rFonts w:ascii="Arial" w:hAnsi="Arial" w:cs="Arial"/>
          <w:sz w:val="16"/>
          <w:szCs w:val="16"/>
          <w:lang w:val="es-ES_tradnl"/>
        </w:rPr>
        <w:t>Marco Macroeconómico Multianual-MMM 2018-2021.</w:t>
      </w:r>
    </w:p>
  </w:footnote>
  <w:footnote w:id="7">
    <w:p w14:paraId="31E375C9" w14:textId="77777777" w:rsidR="00790579" w:rsidRPr="00E140D7" w:rsidRDefault="00790579" w:rsidP="00440233">
      <w:pPr>
        <w:pStyle w:val="FootnoteText"/>
        <w:ind w:left="274" w:right="-360" w:hanging="274"/>
        <w:contextualSpacing/>
        <w:rPr>
          <w:lang w:val="es-ES_tradnl"/>
        </w:rPr>
      </w:pPr>
      <w:r>
        <w:rPr>
          <w:rStyle w:val="FootnoteReference"/>
          <w:rFonts w:ascii="Arial" w:hAnsi="Arial" w:cs="Arial"/>
          <w:sz w:val="16"/>
          <w:szCs w:val="16"/>
        </w:rPr>
        <w:footnoteRef/>
      </w:r>
      <w:r w:rsidRPr="00E140D7">
        <w:rPr>
          <w:rStyle w:val="FootnoteReference"/>
          <w:rFonts w:ascii="Arial" w:hAnsi="Arial" w:cs="Arial"/>
          <w:sz w:val="16"/>
          <w:szCs w:val="16"/>
          <w:lang w:val="es-ES_tradnl"/>
        </w:rPr>
        <w:t xml:space="preserve"> </w:t>
      </w:r>
      <w:r w:rsidRPr="00E140D7">
        <w:rPr>
          <w:rStyle w:val="FootnoteReference"/>
          <w:rFonts w:ascii="Arial" w:hAnsi="Arial" w:cs="Arial"/>
          <w:sz w:val="16"/>
          <w:szCs w:val="16"/>
          <w:lang w:val="es-ES_tradnl"/>
        </w:rPr>
        <w:tab/>
      </w:r>
      <w:r w:rsidRPr="00E140D7">
        <w:rPr>
          <w:rFonts w:ascii="Arial" w:hAnsi="Arial" w:cs="Arial"/>
          <w:sz w:val="16"/>
          <w:szCs w:val="16"/>
          <w:lang w:val="es-ES_tradnl"/>
        </w:rPr>
        <w:t xml:space="preserve">El IGV </w:t>
      </w:r>
      <w:r>
        <w:rPr>
          <w:rFonts w:ascii="Arial" w:hAnsi="Arial" w:cs="Arial"/>
          <w:sz w:val="16"/>
          <w:szCs w:val="16"/>
          <w:lang w:val="es-ES_tradnl"/>
        </w:rPr>
        <w:t>representa</w:t>
      </w:r>
      <w:r w:rsidRPr="00E140D7">
        <w:rPr>
          <w:rFonts w:ascii="Arial" w:hAnsi="Arial" w:cs="Arial"/>
          <w:sz w:val="16"/>
          <w:szCs w:val="16"/>
          <w:lang w:val="es-ES_tradnl"/>
        </w:rPr>
        <w:t xml:space="preserve"> el </w:t>
      </w:r>
      <w:r w:rsidRPr="00E140D7">
        <w:rPr>
          <w:rFonts w:ascii="Arial" w:hAnsi="Arial" w:cs="Arial"/>
          <w:sz w:val="16"/>
          <w:szCs w:val="16"/>
          <w:lang w:val="es-ES"/>
        </w:rPr>
        <w:t>52</w:t>
      </w:r>
      <w:r w:rsidRPr="00E140D7">
        <w:rPr>
          <w:rFonts w:ascii="Arial" w:hAnsi="Arial" w:cs="Arial"/>
          <w:sz w:val="16"/>
          <w:szCs w:val="16"/>
          <w:lang w:val="es-ES_tradnl"/>
        </w:rPr>
        <w:t>%</w:t>
      </w:r>
      <w:r>
        <w:rPr>
          <w:rFonts w:ascii="Arial" w:hAnsi="Arial" w:cs="Arial"/>
          <w:sz w:val="16"/>
          <w:szCs w:val="16"/>
          <w:lang w:val="es-ES_tradnl"/>
        </w:rPr>
        <w:t xml:space="preserve"> </w:t>
      </w:r>
      <w:r w:rsidRPr="00E140D7">
        <w:rPr>
          <w:rFonts w:ascii="Arial" w:hAnsi="Arial" w:cs="Arial"/>
          <w:sz w:val="16"/>
          <w:szCs w:val="16"/>
          <w:lang w:val="es-ES_tradnl"/>
        </w:rPr>
        <w:t>de la recaudación.</w:t>
      </w:r>
    </w:p>
  </w:footnote>
  <w:footnote w:id="8">
    <w:p w14:paraId="7E2A7941" w14:textId="77777777" w:rsidR="00790579" w:rsidRPr="00E140D7" w:rsidRDefault="00790579" w:rsidP="00440233">
      <w:pPr>
        <w:pStyle w:val="FootnoteText"/>
        <w:ind w:left="274" w:right="-360" w:hanging="274"/>
        <w:contextualSpacing/>
        <w:rPr>
          <w:lang w:val="es-ES_tradnl"/>
        </w:rPr>
      </w:pPr>
      <w:r>
        <w:rPr>
          <w:rStyle w:val="FootnoteReference"/>
          <w:rFonts w:ascii="Arial" w:hAnsi="Arial" w:cs="Arial"/>
          <w:sz w:val="16"/>
          <w:szCs w:val="16"/>
        </w:rPr>
        <w:footnoteRef/>
      </w:r>
      <w:r w:rsidRPr="00E140D7">
        <w:rPr>
          <w:rStyle w:val="FootnoteReference"/>
          <w:rFonts w:ascii="Arial" w:hAnsi="Arial" w:cs="Arial"/>
          <w:sz w:val="16"/>
          <w:szCs w:val="16"/>
          <w:lang w:val="es-ES_tradnl"/>
        </w:rPr>
        <w:t xml:space="preserve"> </w:t>
      </w:r>
      <w:r w:rsidRPr="00E140D7">
        <w:rPr>
          <w:rStyle w:val="FootnoteReference"/>
          <w:rFonts w:ascii="Arial" w:hAnsi="Arial" w:cs="Arial"/>
          <w:sz w:val="16"/>
          <w:szCs w:val="16"/>
          <w:lang w:val="es-ES_tradnl"/>
        </w:rPr>
        <w:tab/>
      </w:r>
      <w:r w:rsidRPr="00E140D7">
        <w:rPr>
          <w:rFonts w:ascii="Arial" w:hAnsi="Arial" w:cs="Arial"/>
          <w:sz w:val="16"/>
          <w:szCs w:val="16"/>
          <w:lang w:val="es-ES_tradnl"/>
        </w:rPr>
        <w:t xml:space="preserve">La recaudación por IGV importaciones, Impuestos Selectivos al Consumo importaciones, y aranceles alcanzó 3,7% del PIB en 2017. </w:t>
      </w:r>
    </w:p>
  </w:footnote>
  <w:footnote w:id="9">
    <w:p w14:paraId="3E7ABFA1" w14:textId="77777777" w:rsidR="00790579" w:rsidRPr="00E63EA6" w:rsidRDefault="00790579" w:rsidP="00440233">
      <w:pPr>
        <w:pStyle w:val="FootnoteText"/>
        <w:ind w:left="274" w:right="-360" w:hanging="274"/>
        <w:contextualSpacing/>
        <w:rPr>
          <w:rFonts w:ascii="Arial" w:hAnsi="Arial" w:cs="Arial"/>
          <w:sz w:val="16"/>
          <w:szCs w:val="16"/>
          <w:lang w:val="es-ES_tradnl"/>
        </w:rPr>
      </w:pPr>
      <w:r w:rsidRPr="000C020D">
        <w:rPr>
          <w:rStyle w:val="FootnoteReference"/>
          <w:rFonts w:ascii="Arial" w:hAnsi="Arial" w:cs="Arial"/>
          <w:sz w:val="16"/>
          <w:szCs w:val="16"/>
        </w:rPr>
        <w:footnoteRef/>
      </w:r>
      <w:r w:rsidRPr="00E63EA6">
        <w:rPr>
          <w:rFonts w:ascii="Arial" w:hAnsi="Arial" w:cs="Arial"/>
          <w:sz w:val="16"/>
          <w:szCs w:val="16"/>
          <w:lang w:val="es-ES_tradnl"/>
        </w:rPr>
        <w:t xml:space="preserve"> </w:t>
      </w:r>
      <w:r>
        <w:rPr>
          <w:rFonts w:ascii="Arial" w:hAnsi="Arial" w:cs="Arial"/>
          <w:sz w:val="16"/>
          <w:szCs w:val="16"/>
          <w:lang w:val="es-ES_tradnl"/>
        </w:rPr>
        <w:tab/>
      </w:r>
      <w:r w:rsidRPr="00E63EA6">
        <w:rPr>
          <w:rFonts w:ascii="Arial" w:hAnsi="Arial" w:cs="Arial"/>
          <w:sz w:val="16"/>
          <w:szCs w:val="16"/>
          <w:lang w:val="es-ES_tradnl"/>
        </w:rPr>
        <w:t>El porcentaje que exportaciones (X) e importaciones (M) en el total del. PIB, es decir: (X+M) /PIB x 100. Año 2017. Fuente: BCRP.</w:t>
      </w:r>
    </w:p>
  </w:footnote>
  <w:footnote w:id="10">
    <w:p w14:paraId="061657A3" w14:textId="77777777" w:rsidR="00790579" w:rsidRPr="00E63EA6" w:rsidRDefault="00790579" w:rsidP="00440233">
      <w:pPr>
        <w:pStyle w:val="FootnoteText"/>
        <w:ind w:left="274" w:right="-360" w:hanging="274"/>
        <w:contextualSpacing/>
        <w:rPr>
          <w:rFonts w:ascii="Arial" w:hAnsi="Arial" w:cs="Arial"/>
          <w:sz w:val="16"/>
          <w:szCs w:val="16"/>
          <w:lang w:val="es-ES_tradnl"/>
        </w:rPr>
      </w:pPr>
      <w:r w:rsidRPr="001D2D5C">
        <w:rPr>
          <w:rStyle w:val="FootnoteReference"/>
          <w:rFonts w:ascii="Arial" w:hAnsi="Arial" w:cs="Arial"/>
          <w:sz w:val="16"/>
          <w:szCs w:val="16"/>
        </w:rPr>
        <w:footnoteRef/>
      </w:r>
      <w:r w:rsidRPr="009169A2">
        <w:rPr>
          <w:rStyle w:val="FootnoteReference"/>
          <w:rFonts w:ascii="Arial" w:hAnsi="Arial" w:cs="Arial"/>
          <w:sz w:val="16"/>
          <w:szCs w:val="16"/>
          <w:lang w:val="es-ES_tradnl"/>
        </w:rPr>
        <w:t xml:space="preserve"> </w:t>
      </w:r>
      <w:r>
        <w:rPr>
          <w:lang w:val="es-ES_tradnl"/>
        </w:rPr>
        <w:tab/>
      </w:r>
      <w:r w:rsidRPr="00E63EA6">
        <w:rPr>
          <w:rFonts w:ascii="Arial" w:hAnsi="Arial" w:cs="Arial"/>
          <w:sz w:val="16"/>
          <w:szCs w:val="16"/>
          <w:lang w:val="es-ES_tradnl"/>
        </w:rPr>
        <w:t>Publicación del Foro Económico Mundial y la Alianza Global del Comercio (http://reports.weforum.org/global-enabling-trade-report-2016/)</w:t>
      </w:r>
    </w:p>
  </w:footnote>
  <w:footnote w:id="11">
    <w:p w14:paraId="222CBB05" w14:textId="77777777" w:rsidR="00790579" w:rsidRPr="00E63EA6" w:rsidRDefault="00790579" w:rsidP="00440233">
      <w:pPr>
        <w:pStyle w:val="FootnoteText"/>
        <w:ind w:left="274" w:right="-360" w:hanging="274"/>
        <w:contextualSpacing/>
        <w:rPr>
          <w:lang w:val="es-ES_tradnl"/>
        </w:rPr>
      </w:pPr>
      <w:r w:rsidRPr="001D2D5C">
        <w:rPr>
          <w:rStyle w:val="FootnoteReference"/>
          <w:rFonts w:ascii="Arial" w:hAnsi="Arial" w:cs="Arial"/>
          <w:sz w:val="16"/>
          <w:szCs w:val="16"/>
        </w:rPr>
        <w:footnoteRef/>
      </w:r>
      <w:r w:rsidRPr="00E63EA6">
        <w:rPr>
          <w:lang w:val="es-ES_tradnl"/>
        </w:rPr>
        <w:t xml:space="preserve"> </w:t>
      </w:r>
      <w:r>
        <w:rPr>
          <w:lang w:val="es-ES_tradnl"/>
        </w:rPr>
        <w:tab/>
      </w:r>
      <w:r w:rsidRPr="00E63EA6">
        <w:rPr>
          <w:rFonts w:ascii="Arial" w:hAnsi="Arial" w:cs="Arial"/>
          <w:sz w:val="16"/>
          <w:szCs w:val="16"/>
          <w:lang w:val="es-ES_tradnl"/>
        </w:rPr>
        <w:t>Perú se sitúa en el puesto 72 de 137 en el índice de competitividad global 2017-2018 del Foro Económico Mundial</w:t>
      </w:r>
      <w:r w:rsidRPr="00E63EA6">
        <w:rPr>
          <w:lang w:val="es-ES_tradnl"/>
        </w:rPr>
        <w:t xml:space="preserve">  </w:t>
      </w:r>
    </w:p>
  </w:footnote>
  <w:footnote w:id="12">
    <w:p w14:paraId="444413CD" w14:textId="77777777" w:rsidR="00790579" w:rsidRPr="00AD49B2" w:rsidRDefault="00790579" w:rsidP="00440233">
      <w:pPr>
        <w:pStyle w:val="FootnoteText"/>
        <w:ind w:left="274" w:right="-360" w:hanging="274"/>
        <w:contextualSpacing/>
        <w:rPr>
          <w:lang w:val="es-ES_tradnl"/>
        </w:rPr>
      </w:pPr>
      <w:r w:rsidRPr="00AD49B2">
        <w:rPr>
          <w:rStyle w:val="FootnoteReference"/>
          <w:rFonts w:ascii="Arial" w:hAnsi="Arial" w:cs="Arial"/>
          <w:sz w:val="16"/>
          <w:szCs w:val="16"/>
        </w:rPr>
        <w:footnoteRef/>
      </w:r>
      <w:r w:rsidRPr="00AD49B2">
        <w:rPr>
          <w:rStyle w:val="FootnoteReference"/>
          <w:rFonts w:ascii="Arial" w:hAnsi="Arial" w:cs="Arial"/>
          <w:sz w:val="16"/>
          <w:szCs w:val="16"/>
          <w:lang w:val="es-ES_tradnl"/>
        </w:rPr>
        <w:t xml:space="preserve"> </w:t>
      </w:r>
      <w:r>
        <w:rPr>
          <w:lang w:val="es-ES_tradnl"/>
        </w:rPr>
        <w:tab/>
        <w:t xml:space="preserve">Mediante </w:t>
      </w:r>
      <w:r w:rsidRPr="00AD49B2">
        <w:rPr>
          <w:rFonts w:ascii="Arial" w:hAnsi="Arial" w:cs="Arial"/>
          <w:sz w:val="16"/>
          <w:szCs w:val="16"/>
          <w:lang w:val="es-ES_tradnl"/>
        </w:rPr>
        <w:t>Decreto Supremo N° 061-2002-PCM</w:t>
      </w:r>
      <w:r>
        <w:rPr>
          <w:rFonts w:ascii="Arial" w:hAnsi="Arial" w:cs="Arial"/>
          <w:sz w:val="16"/>
          <w:szCs w:val="16"/>
          <w:lang w:val="es-ES_tradnl"/>
        </w:rPr>
        <w:t xml:space="preserve">, </w:t>
      </w:r>
      <w:r w:rsidRPr="00AD49B2">
        <w:rPr>
          <w:rFonts w:ascii="Arial" w:hAnsi="Arial" w:cs="Arial"/>
          <w:sz w:val="16"/>
          <w:szCs w:val="16"/>
          <w:lang w:val="es-ES_tradnl"/>
        </w:rPr>
        <w:t>el Poder Ejecutivo dispuso la fusión entre la Superintendencia Nacional de Administración Tributaria (SUNAT) y la Superintendencia Nacional de Aduanas (ADUANAS).</w:t>
      </w:r>
    </w:p>
  </w:footnote>
  <w:footnote w:id="13">
    <w:p w14:paraId="02B88501" w14:textId="2AC4ACA6" w:rsidR="00790579" w:rsidRDefault="00790579" w:rsidP="00440233">
      <w:pPr>
        <w:pStyle w:val="FootnoteText"/>
        <w:ind w:left="274" w:right="-360" w:hanging="274"/>
        <w:contextualSpacing/>
        <w:rPr>
          <w:rFonts w:ascii="Arial" w:hAnsi="Arial" w:cs="Arial"/>
          <w:sz w:val="16"/>
          <w:szCs w:val="16"/>
          <w:lang w:val="es-ES"/>
        </w:rPr>
      </w:pPr>
      <w:r>
        <w:rPr>
          <w:rStyle w:val="FootnoteReference"/>
          <w:rFonts w:ascii="Arial" w:hAnsi="Arial" w:cs="Arial"/>
          <w:sz w:val="16"/>
          <w:szCs w:val="16"/>
        </w:rPr>
        <w:footnoteRef/>
      </w:r>
      <w:r>
        <w:rPr>
          <w:rFonts w:ascii="Arial" w:hAnsi="Arial" w:cs="Arial"/>
          <w:sz w:val="16"/>
          <w:szCs w:val="16"/>
          <w:lang w:val="es-ES"/>
        </w:rPr>
        <w:t xml:space="preserve"> </w:t>
      </w:r>
      <w:r w:rsidR="00440233">
        <w:rPr>
          <w:rFonts w:ascii="Arial" w:hAnsi="Arial" w:cs="Arial"/>
          <w:sz w:val="16"/>
          <w:szCs w:val="16"/>
          <w:lang w:val="es-ES"/>
        </w:rPr>
        <w:tab/>
      </w:r>
      <w:r>
        <w:rPr>
          <w:rFonts w:ascii="Arial" w:hAnsi="Arial" w:cs="Arial"/>
          <w:i/>
          <w:sz w:val="16"/>
          <w:szCs w:val="16"/>
          <w:lang w:val="es-ES"/>
        </w:rPr>
        <w:t xml:space="preserve">Tax Administration </w:t>
      </w:r>
      <w:r>
        <w:rPr>
          <w:rFonts w:ascii="Arial" w:hAnsi="Arial" w:cs="Arial"/>
          <w:sz w:val="16"/>
          <w:szCs w:val="16"/>
          <w:lang w:val="es-ES"/>
        </w:rPr>
        <w:t>(OECD, 2017).</w:t>
      </w:r>
    </w:p>
  </w:footnote>
  <w:footnote w:id="14">
    <w:p w14:paraId="329B928D" w14:textId="56202A27" w:rsidR="00790579" w:rsidRPr="00B11314" w:rsidRDefault="00790579" w:rsidP="00440233">
      <w:pPr>
        <w:pStyle w:val="FootnoteText"/>
        <w:ind w:left="274" w:right="-360" w:hanging="274"/>
        <w:contextualSpacing/>
        <w:rPr>
          <w:sz w:val="16"/>
          <w:szCs w:val="16"/>
          <w:lang w:val="es-ES"/>
        </w:rPr>
      </w:pPr>
      <w:r w:rsidRPr="00F1588A">
        <w:rPr>
          <w:rStyle w:val="FootnoteReference"/>
          <w:rFonts w:ascii="Arial" w:hAnsi="Arial" w:cs="Arial"/>
          <w:sz w:val="16"/>
          <w:szCs w:val="16"/>
        </w:rPr>
        <w:footnoteRef/>
      </w:r>
      <w:r w:rsidRPr="00F1588A">
        <w:rPr>
          <w:rFonts w:ascii="Arial" w:hAnsi="Arial" w:cs="Arial"/>
          <w:sz w:val="16"/>
          <w:szCs w:val="16"/>
          <w:lang w:val="es-ES"/>
        </w:rPr>
        <w:t xml:space="preserve"> </w:t>
      </w:r>
      <w:r w:rsidR="00440233">
        <w:rPr>
          <w:rFonts w:ascii="Arial" w:hAnsi="Arial" w:cs="Arial"/>
          <w:sz w:val="16"/>
          <w:szCs w:val="16"/>
          <w:lang w:val="es-ES"/>
        </w:rPr>
        <w:tab/>
      </w:r>
      <w:r w:rsidRPr="00F1588A">
        <w:rPr>
          <w:rFonts w:ascii="Arial" w:hAnsi="Arial" w:cs="Arial"/>
          <w:sz w:val="16"/>
          <w:szCs w:val="16"/>
          <w:lang w:val="es-ES"/>
        </w:rPr>
        <w:t>FMI, 2017.</w:t>
      </w:r>
      <w:r>
        <w:rPr>
          <w:rFonts w:ascii="Arial" w:hAnsi="Arial" w:cs="Arial"/>
          <w:sz w:val="16"/>
          <w:szCs w:val="16"/>
          <w:lang w:val="es-ES"/>
        </w:rPr>
        <w:t xml:space="preserve"> </w:t>
      </w:r>
    </w:p>
  </w:footnote>
  <w:footnote w:id="15">
    <w:p w14:paraId="42DE9198" w14:textId="2AFE0FCF" w:rsidR="001137D4" w:rsidRPr="00682CFE" w:rsidRDefault="001137D4" w:rsidP="00440233">
      <w:pPr>
        <w:pStyle w:val="FootnoteText"/>
        <w:ind w:left="274" w:right="-360" w:hanging="274"/>
        <w:contextualSpacing/>
        <w:rPr>
          <w:rFonts w:ascii="Arial" w:hAnsi="Arial" w:cs="Arial"/>
          <w:sz w:val="16"/>
          <w:szCs w:val="16"/>
          <w:lang w:val="es-ES_tradnl"/>
        </w:rPr>
      </w:pPr>
      <w:r w:rsidRPr="00682CFE">
        <w:rPr>
          <w:rStyle w:val="FootnoteReference"/>
          <w:rFonts w:ascii="Arial" w:hAnsi="Arial" w:cs="Arial"/>
          <w:sz w:val="16"/>
          <w:szCs w:val="16"/>
        </w:rPr>
        <w:footnoteRef/>
      </w:r>
      <w:r w:rsidRPr="00682CFE">
        <w:rPr>
          <w:rFonts w:ascii="Arial" w:hAnsi="Arial" w:cs="Arial"/>
          <w:sz w:val="16"/>
          <w:szCs w:val="16"/>
          <w:lang w:val="es-ES_tradnl"/>
        </w:rPr>
        <w:t xml:space="preserve"> </w:t>
      </w:r>
      <w:r w:rsidR="00440233">
        <w:rPr>
          <w:rFonts w:ascii="Arial" w:hAnsi="Arial" w:cs="Arial"/>
          <w:sz w:val="16"/>
          <w:szCs w:val="16"/>
          <w:lang w:val="es-ES_tradnl"/>
        </w:rPr>
        <w:tab/>
      </w:r>
      <w:r w:rsidRPr="00682CFE">
        <w:rPr>
          <w:rFonts w:ascii="Arial" w:hAnsi="Arial" w:cs="Arial"/>
          <w:sz w:val="16"/>
          <w:szCs w:val="16"/>
          <w:lang w:val="es-ES_tradnl"/>
        </w:rPr>
        <w:t xml:space="preserve">Control que se realiza una vez </w:t>
      </w:r>
      <w:r>
        <w:rPr>
          <w:rFonts w:ascii="Arial" w:hAnsi="Arial" w:cs="Arial"/>
          <w:sz w:val="16"/>
          <w:szCs w:val="16"/>
          <w:lang w:val="es-ES_tradnl"/>
        </w:rPr>
        <w:t xml:space="preserve">arriba </w:t>
      </w:r>
      <w:r w:rsidRPr="00682CFE">
        <w:rPr>
          <w:rFonts w:ascii="Arial" w:hAnsi="Arial" w:cs="Arial"/>
          <w:sz w:val="16"/>
          <w:szCs w:val="16"/>
          <w:lang w:val="es-ES_tradnl"/>
        </w:rPr>
        <w:t xml:space="preserve">la mercadería y se presentan las declaraciones. </w:t>
      </w:r>
    </w:p>
  </w:footnote>
  <w:footnote w:id="16">
    <w:p w14:paraId="6F844CA2" w14:textId="6FB1326A" w:rsidR="001137D4" w:rsidRPr="00D459CE" w:rsidRDefault="001137D4" w:rsidP="00440233">
      <w:pPr>
        <w:pStyle w:val="FootnoteText"/>
        <w:ind w:left="274" w:right="-360" w:hanging="274"/>
        <w:contextualSpacing/>
        <w:rPr>
          <w:rFonts w:ascii="Arial" w:hAnsi="Arial" w:cs="Arial"/>
          <w:sz w:val="16"/>
          <w:szCs w:val="16"/>
          <w:lang w:val="es-ES_tradnl"/>
        </w:rPr>
      </w:pPr>
      <w:r w:rsidRPr="00E25F7C">
        <w:rPr>
          <w:rStyle w:val="FootnoteReference"/>
          <w:rFonts w:ascii="Arial" w:hAnsi="Arial" w:cs="Arial"/>
          <w:sz w:val="16"/>
          <w:szCs w:val="16"/>
        </w:rPr>
        <w:footnoteRef/>
      </w:r>
      <w:r w:rsidRPr="00E25F7C">
        <w:rPr>
          <w:rFonts w:ascii="Arial" w:hAnsi="Arial" w:cs="Arial"/>
          <w:sz w:val="16"/>
          <w:szCs w:val="16"/>
          <w:lang w:val="es-ES_tradnl"/>
        </w:rPr>
        <w:t xml:space="preserve"> </w:t>
      </w:r>
      <w:r w:rsidR="00440233">
        <w:rPr>
          <w:rFonts w:ascii="Arial" w:hAnsi="Arial" w:cs="Arial"/>
          <w:sz w:val="16"/>
          <w:szCs w:val="16"/>
          <w:lang w:val="es-ES_tradnl"/>
        </w:rPr>
        <w:tab/>
      </w:r>
      <w:r w:rsidRPr="00E25F7C">
        <w:rPr>
          <w:rFonts w:ascii="Arial" w:hAnsi="Arial" w:cs="Arial"/>
          <w:sz w:val="16"/>
          <w:szCs w:val="16"/>
          <w:lang w:val="es-ES_tradnl"/>
        </w:rPr>
        <w:t>El 15% de las cargas es sometida</w:t>
      </w:r>
      <w:r w:rsidRPr="00D459CE">
        <w:rPr>
          <w:rFonts w:ascii="Arial" w:hAnsi="Arial" w:cs="Arial"/>
          <w:sz w:val="16"/>
          <w:szCs w:val="16"/>
          <w:lang w:val="es-ES_tradnl"/>
        </w:rPr>
        <w:t xml:space="preserve"> a controles concurrentes físicos y documentarios (SUNAT, 2018).</w:t>
      </w:r>
    </w:p>
  </w:footnote>
  <w:footnote w:id="17">
    <w:p w14:paraId="27F58749" w14:textId="7BE811E0" w:rsidR="00790579" w:rsidRPr="008A46F6" w:rsidRDefault="00790579" w:rsidP="00440233">
      <w:pPr>
        <w:pStyle w:val="FootnoteText"/>
        <w:ind w:left="274" w:right="-360" w:hanging="274"/>
        <w:contextualSpacing/>
        <w:rPr>
          <w:rFonts w:ascii="Arial" w:hAnsi="Arial" w:cs="Arial"/>
          <w:sz w:val="16"/>
          <w:szCs w:val="16"/>
          <w:lang w:val="es-ES_tradnl"/>
        </w:rPr>
      </w:pPr>
      <w:r w:rsidRPr="008A46F6">
        <w:rPr>
          <w:rStyle w:val="FootnoteReference"/>
          <w:rFonts w:ascii="Arial" w:hAnsi="Arial" w:cs="Arial"/>
          <w:sz w:val="16"/>
          <w:szCs w:val="16"/>
        </w:rPr>
        <w:footnoteRef/>
      </w:r>
      <w:r>
        <w:rPr>
          <w:rFonts w:ascii="Arial" w:hAnsi="Arial" w:cs="Arial"/>
          <w:sz w:val="16"/>
          <w:szCs w:val="16"/>
          <w:lang w:val="es-ES_tradnl"/>
        </w:rPr>
        <w:t xml:space="preserve"> </w:t>
      </w:r>
      <w:r w:rsidR="00440233">
        <w:rPr>
          <w:rFonts w:ascii="Arial" w:hAnsi="Arial" w:cs="Arial"/>
          <w:sz w:val="16"/>
          <w:szCs w:val="16"/>
          <w:lang w:val="es-ES_tradnl"/>
        </w:rPr>
        <w:tab/>
      </w:r>
      <w:r w:rsidRPr="00AD1BEE">
        <w:rPr>
          <w:rFonts w:ascii="Arial" w:hAnsi="Arial" w:cs="Arial"/>
          <w:sz w:val="16"/>
          <w:szCs w:val="16"/>
          <w:lang w:val="es-ES_tradnl"/>
        </w:rPr>
        <w:t>El programa OEA entró en vigor en marzo de 2013. Actualmente existen 67 OEA que solo cubren el 5,13% del come</w:t>
      </w:r>
      <w:r w:rsidRPr="00E25F7C">
        <w:rPr>
          <w:rFonts w:ascii="Arial" w:hAnsi="Arial" w:cs="Arial"/>
          <w:sz w:val="16"/>
          <w:szCs w:val="16"/>
          <w:lang w:val="es-ES_tradnl"/>
        </w:rPr>
        <w:t xml:space="preserve">rcio exterior. </w:t>
      </w:r>
      <w:r w:rsidRPr="008A46F6">
        <w:rPr>
          <w:rFonts w:ascii="Arial" w:hAnsi="Arial" w:cs="Arial"/>
          <w:sz w:val="16"/>
          <w:szCs w:val="16"/>
          <w:lang w:val="es-ES_tradnl"/>
        </w:rPr>
        <w:t xml:space="preserve"> </w:t>
      </w:r>
    </w:p>
  </w:footnote>
  <w:footnote w:id="18">
    <w:p w14:paraId="259EA9F7" w14:textId="5F445FA2" w:rsidR="001137D4" w:rsidRPr="008A46F6" w:rsidRDefault="001137D4" w:rsidP="00440233">
      <w:pPr>
        <w:pStyle w:val="FootnoteText"/>
        <w:ind w:left="274" w:right="-360" w:hanging="274"/>
        <w:contextualSpacing/>
        <w:rPr>
          <w:rFonts w:ascii="Arial" w:hAnsi="Arial" w:cs="Arial"/>
          <w:sz w:val="16"/>
          <w:szCs w:val="16"/>
          <w:lang w:val="es-ES_tradnl"/>
        </w:rPr>
      </w:pPr>
      <w:r w:rsidRPr="008A46F6">
        <w:rPr>
          <w:rStyle w:val="FootnoteReference"/>
          <w:rFonts w:ascii="Arial" w:hAnsi="Arial" w:cs="Arial"/>
          <w:sz w:val="16"/>
          <w:szCs w:val="16"/>
        </w:rPr>
        <w:footnoteRef/>
      </w:r>
      <w:r w:rsidRPr="008A46F6">
        <w:rPr>
          <w:rFonts w:ascii="Arial" w:hAnsi="Arial" w:cs="Arial"/>
          <w:sz w:val="16"/>
          <w:szCs w:val="16"/>
          <w:lang w:val="es-ES_tradnl"/>
        </w:rPr>
        <w:t xml:space="preserve"> </w:t>
      </w:r>
      <w:r w:rsidR="00440233">
        <w:rPr>
          <w:rFonts w:ascii="Arial" w:hAnsi="Arial" w:cs="Arial"/>
          <w:sz w:val="16"/>
          <w:szCs w:val="16"/>
          <w:lang w:val="es-ES_tradnl"/>
        </w:rPr>
        <w:tab/>
      </w:r>
      <w:r>
        <w:rPr>
          <w:rFonts w:ascii="Arial" w:hAnsi="Arial" w:cs="Arial"/>
          <w:sz w:val="16"/>
          <w:szCs w:val="16"/>
          <w:lang w:val="es-ES_tradnl"/>
        </w:rPr>
        <w:t xml:space="preserve">El control previo es aquel que la Aduana ejerce antes de la llegada de la carga. El control posterior se </w:t>
      </w:r>
      <w:r w:rsidRPr="008A46F6">
        <w:rPr>
          <w:rFonts w:ascii="Arial" w:hAnsi="Arial" w:cs="Arial"/>
          <w:sz w:val="16"/>
          <w:szCs w:val="16"/>
          <w:lang w:val="es-MX"/>
        </w:rPr>
        <w:t xml:space="preserve">produce después de que las mercancías han abandonado los recintos bajo control de las </w:t>
      </w:r>
      <w:r w:rsidRPr="008A46F6">
        <w:rPr>
          <w:rFonts w:ascii="Arial" w:hAnsi="Arial" w:cs="Arial"/>
          <w:sz w:val="16"/>
          <w:szCs w:val="16"/>
          <w:lang w:val="es-ES_tradnl"/>
        </w:rPr>
        <w:t>aduanas</w:t>
      </w:r>
    </w:p>
  </w:footnote>
  <w:footnote w:id="19">
    <w:p w14:paraId="7446A8A2" w14:textId="5D15BA51" w:rsidR="001137D4" w:rsidRPr="00E25F7C" w:rsidRDefault="001137D4" w:rsidP="00440233">
      <w:pPr>
        <w:pStyle w:val="FootnoteText"/>
        <w:ind w:left="274" w:right="-450" w:hanging="274"/>
        <w:contextualSpacing/>
        <w:rPr>
          <w:rFonts w:ascii="Arial" w:hAnsi="Arial" w:cs="Arial"/>
          <w:sz w:val="16"/>
          <w:szCs w:val="16"/>
          <w:lang w:val="es-ES_tradnl"/>
        </w:rPr>
      </w:pPr>
      <w:r w:rsidRPr="00AD1BEE">
        <w:rPr>
          <w:rStyle w:val="FootnoteReference"/>
          <w:rFonts w:ascii="Arial" w:hAnsi="Arial" w:cs="Arial"/>
          <w:sz w:val="16"/>
          <w:szCs w:val="16"/>
        </w:rPr>
        <w:footnoteRef/>
      </w:r>
      <w:r w:rsidRPr="00AD1BEE">
        <w:rPr>
          <w:rFonts w:ascii="Arial" w:hAnsi="Arial" w:cs="Arial"/>
          <w:sz w:val="16"/>
          <w:szCs w:val="16"/>
          <w:lang w:val="es-ES_tradnl"/>
        </w:rPr>
        <w:t xml:space="preserve"> </w:t>
      </w:r>
      <w:r w:rsidR="00440233">
        <w:rPr>
          <w:rFonts w:ascii="Arial" w:hAnsi="Arial" w:cs="Arial"/>
          <w:sz w:val="16"/>
          <w:szCs w:val="16"/>
          <w:lang w:val="es-ES_tradnl"/>
        </w:rPr>
        <w:tab/>
      </w:r>
      <w:r w:rsidRPr="00AD1BEE">
        <w:rPr>
          <w:rFonts w:ascii="Arial" w:hAnsi="Arial" w:cs="Arial"/>
          <w:sz w:val="16"/>
          <w:szCs w:val="16"/>
          <w:lang w:val="es-ES_tradnl"/>
        </w:rPr>
        <w:t>En 2017 se detectaron 1,4 toneladas de sustancias ilíc</w:t>
      </w:r>
      <w:r w:rsidRPr="00E25F7C">
        <w:rPr>
          <w:rFonts w:ascii="Arial" w:hAnsi="Arial" w:cs="Arial"/>
          <w:sz w:val="16"/>
          <w:szCs w:val="16"/>
          <w:lang w:val="es-ES_tradnl"/>
        </w:rPr>
        <w:t>itas camufladas en contenedores de exportación (SUNAT, 2018).</w:t>
      </w:r>
    </w:p>
  </w:footnote>
  <w:footnote w:id="20">
    <w:p w14:paraId="6441D408" w14:textId="0C393AA4" w:rsidR="00125B84" w:rsidRPr="0002222A" w:rsidRDefault="00125B84" w:rsidP="00440233">
      <w:pPr>
        <w:pStyle w:val="FootnoteText"/>
        <w:ind w:left="274" w:hanging="274"/>
        <w:contextualSpacing/>
        <w:rPr>
          <w:rFonts w:ascii="Arial" w:hAnsi="Arial" w:cs="Arial"/>
          <w:color w:val="000000" w:themeColor="text1"/>
          <w:sz w:val="16"/>
          <w:szCs w:val="16"/>
          <w:lang w:val="es-US"/>
        </w:rPr>
      </w:pPr>
      <w:r w:rsidRPr="0002222A">
        <w:rPr>
          <w:rStyle w:val="FootnoteReference"/>
          <w:rFonts w:ascii="Arial" w:hAnsi="Arial" w:cs="Arial"/>
          <w:color w:val="000000" w:themeColor="text1"/>
          <w:sz w:val="16"/>
          <w:szCs w:val="16"/>
          <w:lang w:val="es-US"/>
        </w:rPr>
        <w:footnoteRef/>
      </w:r>
      <w:r w:rsidRPr="0002222A">
        <w:rPr>
          <w:rFonts w:ascii="Arial" w:hAnsi="Arial" w:cs="Arial"/>
          <w:color w:val="000000" w:themeColor="text1"/>
          <w:sz w:val="16"/>
          <w:szCs w:val="16"/>
          <w:lang w:val="es-US"/>
        </w:rPr>
        <w:t xml:space="preserve"> </w:t>
      </w:r>
      <w:r w:rsidR="00440233">
        <w:rPr>
          <w:rFonts w:ascii="Arial" w:hAnsi="Arial" w:cs="Arial"/>
          <w:color w:val="000000" w:themeColor="text1"/>
          <w:sz w:val="16"/>
          <w:szCs w:val="16"/>
          <w:lang w:val="es-US"/>
        </w:rPr>
        <w:tab/>
      </w:r>
      <w:r w:rsidRPr="0002222A">
        <w:rPr>
          <w:rFonts w:ascii="Arial" w:hAnsi="Arial" w:cs="Arial"/>
          <w:color w:val="000000" w:themeColor="text1"/>
          <w:sz w:val="16"/>
          <w:szCs w:val="16"/>
          <w:lang w:val="es-US"/>
        </w:rPr>
        <w:t xml:space="preserve">Las tasas de </w:t>
      </w:r>
      <w:r w:rsidRPr="0002222A">
        <w:rPr>
          <w:rFonts w:ascii="Arial" w:hAnsi="Arial" w:cs="Arial"/>
          <w:sz w:val="16"/>
          <w:szCs w:val="16"/>
          <w:lang w:val="es-ES_tradnl"/>
        </w:rPr>
        <w:t>evasión</w:t>
      </w:r>
      <w:r w:rsidRPr="0002222A">
        <w:rPr>
          <w:rFonts w:ascii="Arial" w:hAnsi="Arial" w:cs="Arial"/>
          <w:color w:val="000000" w:themeColor="text1"/>
          <w:sz w:val="16"/>
          <w:szCs w:val="16"/>
          <w:lang w:val="es-US"/>
        </w:rPr>
        <w:t xml:space="preserve"> son hasta ocho veces más altas donde la administración tributaria carece de instrumentos automatizados para verificar las fuentes de ingreso de los contribuyentes (Slemrod et al., 2015; Pomeranz, 2015; Kleven et.al., 2011).</w:t>
      </w:r>
    </w:p>
  </w:footnote>
  <w:footnote w:id="21">
    <w:p w14:paraId="4C7035D6" w14:textId="0A8B699E" w:rsidR="00125B84" w:rsidRPr="0002222A" w:rsidRDefault="00125B84" w:rsidP="00440233">
      <w:pPr>
        <w:pStyle w:val="FootnoteText"/>
        <w:ind w:left="274" w:hanging="274"/>
        <w:contextualSpacing/>
        <w:rPr>
          <w:rFonts w:ascii="Arial" w:hAnsi="Arial" w:cs="Arial"/>
          <w:color w:val="000000" w:themeColor="text1"/>
          <w:sz w:val="16"/>
          <w:szCs w:val="16"/>
          <w:lang w:val="es-US"/>
        </w:rPr>
      </w:pPr>
      <w:r w:rsidRPr="0002222A">
        <w:rPr>
          <w:rStyle w:val="FootnoteReference"/>
          <w:rFonts w:ascii="Arial" w:hAnsi="Arial" w:cs="Arial"/>
          <w:color w:val="000000" w:themeColor="text1"/>
          <w:sz w:val="16"/>
          <w:szCs w:val="16"/>
          <w:lang w:val="es-US"/>
        </w:rPr>
        <w:footnoteRef/>
      </w:r>
      <w:r w:rsidRPr="0002222A">
        <w:rPr>
          <w:rFonts w:ascii="Arial" w:hAnsi="Arial" w:cs="Arial"/>
          <w:color w:val="000000" w:themeColor="text1"/>
          <w:sz w:val="16"/>
          <w:szCs w:val="16"/>
          <w:lang w:val="es-US"/>
        </w:rPr>
        <w:t xml:space="preserve"> </w:t>
      </w:r>
      <w:r w:rsidR="00440233">
        <w:rPr>
          <w:rFonts w:ascii="Arial" w:hAnsi="Arial" w:cs="Arial"/>
          <w:color w:val="000000" w:themeColor="text1"/>
          <w:sz w:val="16"/>
          <w:szCs w:val="16"/>
          <w:lang w:val="es-US"/>
        </w:rPr>
        <w:tab/>
      </w:r>
      <w:r w:rsidRPr="0002222A">
        <w:rPr>
          <w:rFonts w:ascii="Arial" w:hAnsi="Arial" w:cs="Arial"/>
          <w:color w:val="000000" w:themeColor="text1"/>
          <w:sz w:val="16"/>
          <w:szCs w:val="16"/>
          <w:lang w:val="es-US"/>
        </w:rPr>
        <w:t xml:space="preserve">La disponibilidad de </w:t>
      </w:r>
      <w:r w:rsidRPr="0002222A">
        <w:rPr>
          <w:rFonts w:ascii="Arial" w:hAnsi="Arial" w:cs="Arial"/>
          <w:sz w:val="16"/>
          <w:szCs w:val="16"/>
          <w:lang w:val="es-ES_tradnl"/>
        </w:rPr>
        <w:t>información</w:t>
      </w:r>
      <w:r w:rsidRPr="0002222A">
        <w:rPr>
          <w:rFonts w:ascii="Arial" w:hAnsi="Arial" w:cs="Arial"/>
          <w:color w:val="000000" w:themeColor="text1"/>
          <w:sz w:val="16"/>
          <w:szCs w:val="16"/>
          <w:lang w:val="es-US"/>
        </w:rPr>
        <w:t xml:space="preserve"> actúa como complemento a la fiscalización de empresas en España (Almunia y López Rodriguez, 2016).</w:t>
      </w:r>
    </w:p>
  </w:footnote>
  <w:footnote w:id="22">
    <w:p w14:paraId="07CE210C" w14:textId="215F832E" w:rsidR="00125B84" w:rsidRPr="0002222A" w:rsidRDefault="00125B84" w:rsidP="00440233">
      <w:pPr>
        <w:pStyle w:val="FootnoteText"/>
        <w:ind w:left="274" w:hanging="274"/>
        <w:contextualSpacing/>
        <w:rPr>
          <w:rFonts w:ascii="Arial" w:hAnsi="Arial" w:cs="Arial"/>
          <w:color w:val="000000" w:themeColor="text1"/>
          <w:sz w:val="16"/>
          <w:szCs w:val="16"/>
          <w:lang w:val="es-US"/>
        </w:rPr>
      </w:pPr>
      <w:r w:rsidRPr="0002222A">
        <w:rPr>
          <w:rStyle w:val="FootnoteReference"/>
          <w:rFonts w:ascii="Arial" w:hAnsi="Arial" w:cs="Arial"/>
          <w:color w:val="000000" w:themeColor="text1"/>
          <w:sz w:val="16"/>
          <w:szCs w:val="16"/>
          <w:lang w:val="es-US"/>
        </w:rPr>
        <w:footnoteRef/>
      </w:r>
      <w:r w:rsidRPr="0002222A">
        <w:rPr>
          <w:rFonts w:ascii="Arial" w:hAnsi="Arial" w:cs="Arial"/>
          <w:color w:val="000000" w:themeColor="text1"/>
          <w:sz w:val="16"/>
          <w:szCs w:val="16"/>
          <w:lang w:val="es-US"/>
        </w:rPr>
        <w:t xml:space="preserve"> </w:t>
      </w:r>
      <w:r w:rsidR="00440233">
        <w:rPr>
          <w:rFonts w:ascii="Arial" w:hAnsi="Arial" w:cs="Arial"/>
          <w:color w:val="000000" w:themeColor="text1"/>
          <w:sz w:val="16"/>
          <w:szCs w:val="16"/>
          <w:lang w:val="es-US"/>
        </w:rPr>
        <w:tab/>
      </w:r>
      <w:r w:rsidRPr="0002222A">
        <w:rPr>
          <w:rFonts w:ascii="Arial" w:hAnsi="Arial" w:cs="Arial"/>
          <w:color w:val="000000" w:themeColor="text1"/>
          <w:sz w:val="16"/>
          <w:szCs w:val="16"/>
          <w:lang w:val="es-US"/>
        </w:rPr>
        <w:t xml:space="preserve">Puede generar aumentos en las tasas de pago de </w:t>
      </w:r>
      <w:r w:rsidRPr="0002222A">
        <w:rPr>
          <w:rFonts w:ascii="Arial" w:hAnsi="Arial" w:cs="Arial"/>
          <w:sz w:val="16"/>
          <w:szCs w:val="16"/>
          <w:lang w:val="es-ES_tradnl"/>
        </w:rPr>
        <w:t>hasta</w:t>
      </w:r>
      <w:r w:rsidRPr="0002222A">
        <w:rPr>
          <w:rFonts w:ascii="Arial" w:hAnsi="Arial" w:cs="Arial"/>
          <w:color w:val="000000" w:themeColor="text1"/>
          <w:sz w:val="16"/>
          <w:szCs w:val="16"/>
          <w:lang w:val="es-US"/>
        </w:rPr>
        <w:t xml:space="preserve"> cuatro puntos porcentuales (Hallsworth et al., 2014).</w:t>
      </w:r>
    </w:p>
  </w:footnote>
  <w:footnote w:id="23">
    <w:p w14:paraId="09D675B8" w14:textId="683838B3" w:rsidR="00125B84" w:rsidRPr="0002222A" w:rsidRDefault="00125B84" w:rsidP="00440233">
      <w:pPr>
        <w:pStyle w:val="FootnoteText"/>
        <w:ind w:left="274" w:hanging="274"/>
        <w:contextualSpacing/>
        <w:rPr>
          <w:rFonts w:ascii="Arial" w:hAnsi="Arial" w:cs="Arial"/>
          <w:color w:val="000000" w:themeColor="text1"/>
          <w:sz w:val="16"/>
          <w:szCs w:val="16"/>
          <w:lang w:val="es-US"/>
        </w:rPr>
      </w:pPr>
      <w:r w:rsidRPr="0002222A">
        <w:rPr>
          <w:rStyle w:val="FootnoteReference"/>
          <w:rFonts w:ascii="Arial" w:hAnsi="Arial" w:cs="Arial"/>
          <w:color w:val="000000" w:themeColor="text1"/>
          <w:sz w:val="16"/>
          <w:szCs w:val="16"/>
          <w:lang w:val="es-US"/>
        </w:rPr>
        <w:footnoteRef/>
      </w:r>
      <w:r w:rsidRPr="0002222A">
        <w:rPr>
          <w:rFonts w:ascii="Arial" w:hAnsi="Arial" w:cs="Arial"/>
          <w:color w:val="000000" w:themeColor="text1"/>
          <w:sz w:val="16"/>
          <w:szCs w:val="16"/>
          <w:lang w:val="es-US"/>
        </w:rPr>
        <w:t xml:space="preserve"> </w:t>
      </w:r>
      <w:r w:rsidR="00440233">
        <w:rPr>
          <w:rFonts w:ascii="Arial" w:hAnsi="Arial" w:cs="Arial"/>
          <w:color w:val="000000" w:themeColor="text1"/>
          <w:sz w:val="16"/>
          <w:szCs w:val="16"/>
          <w:lang w:val="es-US"/>
        </w:rPr>
        <w:tab/>
      </w:r>
      <w:r w:rsidRPr="0002222A">
        <w:rPr>
          <w:rFonts w:ascii="Arial" w:hAnsi="Arial" w:cs="Arial"/>
          <w:color w:val="000000" w:themeColor="text1"/>
          <w:sz w:val="16"/>
          <w:szCs w:val="16"/>
          <w:lang w:val="es-US"/>
        </w:rPr>
        <w:t xml:space="preserve">Esquemas de incentivos al personal clave </w:t>
      </w:r>
      <w:r w:rsidRPr="0002222A">
        <w:rPr>
          <w:rFonts w:ascii="Arial" w:hAnsi="Arial" w:cs="Arial"/>
          <w:sz w:val="16"/>
          <w:szCs w:val="16"/>
          <w:lang w:val="es-ES_tradnl"/>
        </w:rPr>
        <w:t>de</w:t>
      </w:r>
      <w:r w:rsidRPr="0002222A">
        <w:rPr>
          <w:rFonts w:ascii="Arial" w:hAnsi="Arial" w:cs="Arial"/>
          <w:color w:val="000000" w:themeColor="text1"/>
          <w:sz w:val="16"/>
          <w:szCs w:val="16"/>
          <w:lang w:val="es-US"/>
        </w:rPr>
        <w:t xml:space="preserve"> las administraciones tributarias para generar recaudación adicional produjeron tasas de retorno de entre un 35% y un 51% (Khan et al., 2016).</w:t>
      </w:r>
    </w:p>
  </w:footnote>
  <w:footnote w:id="24">
    <w:p w14:paraId="036EDBB4" w14:textId="4FE425AF" w:rsidR="00125B84" w:rsidRPr="009C64B7" w:rsidRDefault="00125B84" w:rsidP="00440233">
      <w:pPr>
        <w:pStyle w:val="FootnoteText"/>
        <w:ind w:left="274" w:hanging="274"/>
        <w:contextualSpacing/>
        <w:rPr>
          <w:rFonts w:ascii="Arial" w:hAnsi="Arial" w:cs="Arial"/>
          <w:sz w:val="16"/>
          <w:szCs w:val="16"/>
        </w:rPr>
      </w:pPr>
      <w:r w:rsidRPr="0002222A">
        <w:rPr>
          <w:rFonts w:ascii="Arial" w:hAnsi="Arial" w:cs="Arial"/>
          <w:sz w:val="16"/>
          <w:szCs w:val="16"/>
          <w:vertAlign w:val="superscript"/>
          <w:lang w:val="es-US"/>
        </w:rPr>
        <w:footnoteRef/>
      </w:r>
      <w:r w:rsidRPr="0002222A">
        <w:rPr>
          <w:rFonts w:ascii="Arial" w:hAnsi="Arial" w:cs="Arial"/>
          <w:sz w:val="16"/>
          <w:szCs w:val="16"/>
          <w:lang w:val="es-ES_tradnl"/>
        </w:rPr>
        <w:t xml:space="preserve"> </w:t>
      </w:r>
      <w:r w:rsidR="00440233">
        <w:rPr>
          <w:rFonts w:ascii="Arial" w:hAnsi="Arial" w:cs="Arial"/>
          <w:sz w:val="16"/>
          <w:szCs w:val="16"/>
          <w:lang w:val="es-ES_tradnl"/>
        </w:rPr>
        <w:tab/>
      </w:r>
      <w:hyperlink r:id="rId2" w:history="1">
        <w:r w:rsidRPr="0002222A">
          <w:rPr>
            <w:rStyle w:val="Hyperlink"/>
            <w:rFonts w:ascii="Arial" w:hAnsi="Arial" w:cs="Arial"/>
            <w:sz w:val="16"/>
            <w:szCs w:val="16"/>
            <w:lang w:val="es-ES_tradnl"/>
          </w:rPr>
          <w:t>PCR 1783/OC-UR</w:t>
        </w:r>
      </w:hyperlink>
      <w:r w:rsidRPr="0002222A">
        <w:rPr>
          <w:rFonts w:ascii="Arial" w:hAnsi="Arial" w:cs="Arial"/>
          <w:sz w:val="16"/>
          <w:szCs w:val="16"/>
          <w:lang w:val="es-ES_tradnl"/>
        </w:rPr>
        <w:t xml:space="preserve">. Barreix y Zambrano (2018). Factura </w:t>
      </w:r>
      <w:r w:rsidRPr="0002222A">
        <w:rPr>
          <w:rFonts w:ascii="Arial" w:hAnsi="Arial" w:cs="Arial"/>
          <w:color w:val="000000" w:themeColor="text1"/>
          <w:sz w:val="16"/>
          <w:szCs w:val="16"/>
          <w:lang w:val="es-US"/>
        </w:rPr>
        <w:t>electrónica</w:t>
      </w:r>
      <w:r w:rsidRPr="0002222A">
        <w:rPr>
          <w:rFonts w:ascii="Arial" w:hAnsi="Arial" w:cs="Arial"/>
          <w:sz w:val="16"/>
          <w:szCs w:val="16"/>
          <w:lang w:val="es-ES_tradnl"/>
        </w:rPr>
        <w:t xml:space="preserve"> en América Latina. </w:t>
      </w:r>
      <w:r w:rsidRPr="009C64B7">
        <w:rPr>
          <w:rFonts w:ascii="Arial" w:hAnsi="Arial" w:cs="Arial"/>
          <w:sz w:val="16"/>
          <w:szCs w:val="16"/>
        </w:rPr>
        <w:t>BID.</w:t>
      </w:r>
    </w:p>
  </w:footnote>
  <w:footnote w:id="25">
    <w:p w14:paraId="4EEF4349" w14:textId="7E8691AC" w:rsidR="00125B84" w:rsidRPr="00C76D0B" w:rsidRDefault="00125B84" w:rsidP="00440233">
      <w:pPr>
        <w:pStyle w:val="FootnoteText"/>
        <w:ind w:left="274" w:right="-450" w:hanging="274"/>
        <w:contextualSpacing/>
        <w:rPr>
          <w:rFonts w:ascii="Arial" w:hAnsi="Arial" w:cs="Arial"/>
          <w:sz w:val="16"/>
          <w:szCs w:val="16"/>
        </w:rPr>
      </w:pPr>
      <w:r w:rsidRPr="0002222A">
        <w:rPr>
          <w:rStyle w:val="FootnoteReference"/>
          <w:rFonts w:ascii="Arial" w:hAnsi="Arial" w:cs="Arial"/>
          <w:sz w:val="16"/>
          <w:szCs w:val="16"/>
        </w:rPr>
        <w:footnoteRef/>
      </w:r>
      <w:r w:rsidRPr="00C76D0B">
        <w:rPr>
          <w:rFonts w:ascii="Arial" w:hAnsi="Arial" w:cs="Arial"/>
          <w:sz w:val="16"/>
          <w:szCs w:val="16"/>
        </w:rPr>
        <w:t xml:space="preserve"> </w:t>
      </w:r>
      <w:r w:rsidR="00440233">
        <w:rPr>
          <w:rFonts w:ascii="Arial" w:hAnsi="Arial" w:cs="Arial"/>
          <w:sz w:val="16"/>
          <w:szCs w:val="16"/>
        </w:rPr>
        <w:tab/>
      </w:r>
      <w:r w:rsidRPr="00C76D0B">
        <w:rPr>
          <w:rFonts w:ascii="Arial" w:hAnsi="Arial" w:cs="Arial"/>
          <w:sz w:val="16"/>
          <w:szCs w:val="16"/>
        </w:rPr>
        <w:t xml:space="preserve">Advanced Analytics for Better Tax Administration (OCDE, </w:t>
      </w:r>
      <w:r w:rsidRPr="00C76D0B">
        <w:rPr>
          <w:rFonts w:ascii="Arial" w:hAnsi="Arial" w:cs="Arial"/>
          <w:color w:val="000000"/>
          <w:sz w:val="16"/>
          <w:szCs w:val="16"/>
        </w:rPr>
        <w:t>2016</w:t>
      </w:r>
      <w:r w:rsidRPr="00C76D0B">
        <w:rPr>
          <w:rFonts w:ascii="Arial" w:hAnsi="Arial" w:cs="Arial"/>
          <w:sz w:val="16"/>
          <w:szCs w:val="16"/>
        </w:rPr>
        <w:t>)</w:t>
      </w:r>
    </w:p>
  </w:footnote>
  <w:footnote w:id="26">
    <w:p w14:paraId="4BF51884" w14:textId="3597C94E" w:rsidR="00125B84" w:rsidRPr="007113EE" w:rsidRDefault="00125B84" w:rsidP="00440233">
      <w:pPr>
        <w:pStyle w:val="FootnoteText"/>
        <w:ind w:left="274" w:hanging="274"/>
        <w:contextualSpacing/>
      </w:pPr>
      <w:r w:rsidRPr="009C64B7">
        <w:rPr>
          <w:rStyle w:val="FootnoteReference"/>
          <w:rFonts w:ascii="Arial" w:hAnsi="Arial" w:cs="Arial"/>
          <w:sz w:val="16"/>
          <w:szCs w:val="16"/>
        </w:rPr>
        <w:footnoteRef/>
      </w:r>
      <w:r w:rsidRPr="009C64B7">
        <w:rPr>
          <w:rStyle w:val="FootnoteReference"/>
          <w:rFonts w:ascii="Arial" w:hAnsi="Arial" w:cs="Arial"/>
          <w:sz w:val="16"/>
          <w:szCs w:val="16"/>
        </w:rPr>
        <w:t xml:space="preserve"> </w:t>
      </w:r>
      <w:r w:rsidR="00440233">
        <w:rPr>
          <w:rStyle w:val="FootnoteReference"/>
          <w:rFonts w:ascii="Arial" w:hAnsi="Arial" w:cs="Arial"/>
          <w:sz w:val="16"/>
          <w:szCs w:val="16"/>
        </w:rPr>
        <w:tab/>
      </w:r>
      <w:r w:rsidRPr="009C64B7">
        <w:rPr>
          <w:rFonts w:ascii="Arial" w:hAnsi="Arial" w:cs="Arial"/>
          <w:sz w:val="16"/>
          <w:szCs w:val="16"/>
        </w:rPr>
        <w:t>Guidelines for Strengthening Cooperation and the Exchanging of Information between Customs and Tax Authorities at the National Level, by World Customs Organization. http://www.wcoomd.org/-/media/wco/public/global/pdf/topics/facilitation/instruments-and-tools/tools/customs-tax-cooperation/customs_tax_guidelines_en_final2.pdf?db=web</w:t>
      </w:r>
    </w:p>
  </w:footnote>
  <w:footnote w:id="27">
    <w:p w14:paraId="20812B1B" w14:textId="1B129266" w:rsidR="00790579" w:rsidRPr="008842D9" w:rsidRDefault="00790579" w:rsidP="00440233">
      <w:pPr>
        <w:pStyle w:val="FootnoteText"/>
        <w:ind w:left="274" w:hanging="274"/>
        <w:rPr>
          <w:lang w:val="es-ES"/>
        </w:rPr>
      </w:pPr>
      <w:r>
        <w:rPr>
          <w:rStyle w:val="FootnoteReference"/>
        </w:rPr>
        <w:footnoteRef/>
      </w:r>
      <w:r w:rsidRPr="008842D9">
        <w:rPr>
          <w:lang w:val="es-ES"/>
        </w:rPr>
        <w:t xml:space="preserve"> </w:t>
      </w:r>
      <w:r>
        <w:rPr>
          <w:lang w:val="es-ES"/>
        </w:rPr>
        <w:t xml:space="preserve"> </w:t>
      </w:r>
      <w:r w:rsidR="00440233">
        <w:rPr>
          <w:lang w:val="es-ES"/>
        </w:rPr>
        <w:tab/>
      </w:r>
      <w:hyperlink r:id="rId3" w:history="1">
        <w:r w:rsidRPr="008842D9">
          <w:rPr>
            <w:rStyle w:val="Hyperlink"/>
            <w:rFonts w:ascii="Arial" w:hAnsi="Arial" w:cs="Arial"/>
            <w:sz w:val="18"/>
            <w:szCs w:val="18"/>
            <w:lang w:val="es-ES"/>
          </w:rPr>
          <w:t>La Administración Tributaria en los países de la OCDE y en determinados países no miembros: Serie “Información comparada” (2008)</w:t>
        </w:r>
      </w:hyperlink>
      <w:r w:rsidRPr="008842D9">
        <w:rPr>
          <w:rFonts w:ascii="Arial" w:hAnsi="Arial" w:cs="Arial"/>
          <w:sz w:val="18"/>
          <w:szCs w:val="18"/>
          <w:lang w:val="es-ES"/>
        </w:rPr>
        <w:t>. Página 86.</w:t>
      </w:r>
    </w:p>
  </w:footnote>
  <w:footnote w:id="28">
    <w:p w14:paraId="47802520" w14:textId="7239B932" w:rsidR="00790579" w:rsidRPr="00FC3B3D" w:rsidRDefault="00790579" w:rsidP="00440233">
      <w:pPr>
        <w:pStyle w:val="FootnoteText"/>
        <w:ind w:left="274" w:hanging="274"/>
        <w:rPr>
          <w:rFonts w:ascii="Arial" w:hAnsi="Arial" w:cs="Arial"/>
          <w:sz w:val="18"/>
          <w:szCs w:val="18"/>
          <w:lang w:val="es-ES_tradnl"/>
        </w:rPr>
      </w:pPr>
      <w:r w:rsidRPr="00FC3B3D">
        <w:rPr>
          <w:rStyle w:val="FootnoteReference"/>
          <w:rFonts w:ascii="Arial" w:hAnsi="Arial" w:cs="Arial"/>
          <w:sz w:val="18"/>
          <w:szCs w:val="18"/>
        </w:rPr>
        <w:footnoteRef/>
      </w:r>
      <w:r w:rsidRPr="00FC3B3D">
        <w:rPr>
          <w:rFonts w:ascii="Arial" w:hAnsi="Arial" w:cs="Arial"/>
          <w:sz w:val="18"/>
          <w:szCs w:val="18"/>
          <w:lang w:val="es-ES_tradnl"/>
        </w:rPr>
        <w:t xml:space="preserve"> </w:t>
      </w:r>
      <w:r w:rsidR="00440233">
        <w:rPr>
          <w:rFonts w:ascii="Arial" w:hAnsi="Arial" w:cs="Arial"/>
          <w:sz w:val="18"/>
          <w:szCs w:val="18"/>
          <w:lang w:val="es-ES_tradnl"/>
        </w:rPr>
        <w:tab/>
      </w:r>
      <w:r w:rsidRPr="00FC3B3D">
        <w:rPr>
          <w:rFonts w:ascii="Arial" w:hAnsi="Arial" w:cs="Arial"/>
          <w:sz w:val="18"/>
          <w:szCs w:val="18"/>
          <w:lang w:val="es-ES_tradnl"/>
        </w:rPr>
        <w:t>Fiscalización definitiva, es el procedimiento mediante el cual la SUNAT realiza una auditoría exhaustiva a los libros, registros y documentación del contribuyente con la finalidad de determinar de manera definitiva el monto de la obligación tributaria correspondiente a un determinado tributo y periodo tributario.</w:t>
      </w:r>
    </w:p>
  </w:footnote>
  <w:footnote w:id="29">
    <w:p w14:paraId="165F6B66" w14:textId="2B82B46B" w:rsidR="00790579" w:rsidRPr="003366F5" w:rsidRDefault="00790579" w:rsidP="00440233">
      <w:pPr>
        <w:pStyle w:val="FootnoteText"/>
        <w:ind w:left="274" w:hanging="274"/>
        <w:rPr>
          <w:lang w:val="es-ES"/>
        </w:rPr>
      </w:pPr>
      <w:r>
        <w:rPr>
          <w:rStyle w:val="FootnoteReference"/>
        </w:rPr>
        <w:footnoteRef/>
      </w:r>
      <w:r w:rsidRPr="003366F5">
        <w:rPr>
          <w:lang w:val="es-ES"/>
        </w:rPr>
        <w:t xml:space="preserve"> </w:t>
      </w:r>
      <w:r w:rsidR="00440233">
        <w:rPr>
          <w:lang w:val="es-ES"/>
        </w:rPr>
        <w:tab/>
      </w:r>
      <w:r w:rsidRPr="003366F5">
        <w:rPr>
          <w:rFonts w:ascii="Arial" w:hAnsi="Arial" w:cs="Arial"/>
          <w:lang w:val="es-ES"/>
        </w:rPr>
        <w:t>El VPN es el sumatorio de los valores presentes desde el a</w:t>
      </w:r>
      <w:r>
        <w:rPr>
          <w:rFonts w:ascii="Arial" w:hAnsi="Arial" w:cs="Arial"/>
          <w:lang w:val="es-ES"/>
        </w:rPr>
        <w:t>ñ</w:t>
      </w:r>
      <w:r w:rsidRPr="003366F5">
        <w:rPr>
          <w:rFonts w:ascii="Arial" w:hAnsi="Arial" w:cs="Arial"/>
          <w:lang w:val="es-ES"/>
        </w:rPr>
        <w:t>o cero hasta el año calculado.</w:t>
      </w:r>
    </w:p>
  </w:footnote>
  <w:footnote w:id="30">
    <w:p w14:paraId="65A7F18F" w14:textId="50502D15" w:rsidR="00790579" w:rsidRDefault="00790579" w:rsidP="00440233">
      <w:pPr>
        <w:pStyle w:val="FootnoteText"/>
        <w:ind w:left="274" w:hanging="274"/>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sidR="00440233">
        <w:rPr>
          <w:rFonts w:ascii="Arial" w:hAnsi="Arial" w:cs="Arial"/>
          <w:sz w:val="18"/>
          <w:szCs w:val="18"/>
          <w:lang w:val="es-ES"/>
        </w:rPr>
        <w:tab/>
      </w:r>
      <w:r>
        <w:rPr>
          <w:rFonts w:ascii="Arial" w:hAnsi="Arial" w:cs="Arial"/>
          <w:sz w:val="18"/>
          <w:szCs w:val="18"/>
          <w:lang w:val="es-ES"/>
        </w:rPr>
        <w:t xml:space="preserve">La fórmula presupone que la mano de obra al proyecto proviene según la proporción actual de empleados en otras actividades (al mismo salario) y los desempleados para los cuales el costo de oportunidad es cero.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267746129"/>
      <w:docPartObj>
        <w:docPartGallery w:val="Page Numbers (Top of Page)"/>
        <w:docPartUnique/>
      </w:docPartObj>
    </w:sdtPr>
    <w:sdtEndPr>
      <w:rPr>
        <w:noProof/>
      </w:rPr>
    </w:sdtEndPr>
    <w:sdtContent>
      <w:p w14:paraId="4140B010" w14:textId="77777777" w:rsidR="00790579" w:rsidRDefault="00790579">
        <w:pPr>
          <w:pStyle w:val="Header"/>
          <w:ind w:left="900"/>
          <w:jc w:val="center"/>
          <w:rPr>
            <w:rFonts w:ascii="Arial" w:hAnsi="Arial" w:cs="Arial"/>
            <w:sz w:val="18"/>
            <w:szCs w:val="18"/>
          </w:rPr>
        </w:pP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Pr>
            <w:rFonts w:ascii="Arial" w:hAnsi="Arial" w:cs="Arial"/>
            <w:noProof/>
            <w:sz w:val="18"/>
            <w:szCs w:val="18"/>
          </w:rPr>
          <w:t>4</w:t>
        </w:r>
        <w:r>
          <w:rPr>
            <w:rFonts w:ascii="Arial" w:hAnsi="Arial" w:cs="Arial"/>
            <w:noProof/>
            <w:sz w:val="18"/>
            <w:szCs w:val="18"/>
          </w:rPr>
          <w:fldChar w:fldCharType="end"/>
        </w:r>
        <w:r>
          <w:rPr>
            <w:rFonts w:ascii="Arial" w:hAnsi="Arial" w:cs="Arial"/>
            <w:noProof/>
            <w:sz w:val="18"/>
            <w:szCs w:val="18"/>
          </w:rPr>
          <w:t xml:space="preserve"> -</w:t>
        </w:r>
      </w:p>
    </w:sdtContent>
  </w:sdt>
  <w:p w14:paraId="69AF393D" w14:textId="77777777" w:rsidR="00790579" w:rsidRDefault="00790579">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5505B"/>
    <w:multiLevelType w:val="hybridMultilevel"/>
    <w:tmpl w:val="8EDADE66"/>
    <w:lvl w:ilvl="0" w:tplc="59A0D64A">
      <w:start w:val="1"/>
      <w:numFmt w:val="upp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 w15:restartNumberingAfterBreak="0">
    <w:nsid w:val="1E903921"/>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3" w15:restartNumberingAfterBreak="0">
    <w:nsid w:val="33EF0FEE"/>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353B5E3B"/>
    <w:multiLevelType w:val="hybridMultilevel"/>
    <w:tmpl w:val="34C6E720"/>
    <w:lvl w:ilvl="0" w:tplc="8E40A18E">
      <w:start w:val="1"/>
      <w:numFmt w:val="upp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5" w15:restartNumberingAfterBreak="0">
    <w:nsid w:val="359B4991"/>
    <w:multiLevelType w:val="multilevel"/>
    <w:tmpl w:val="CDB4074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196"/>
        </w:tabs>
        <w:ind w:left="2196" w:hanging="1296"/>
      </w:pPr>
      <w:rPr>
        <w:rFonts w:ascii="Arial" w:hAnsi="Arial" w:cs="Arial" w:hint="default"/>
        <w:b w:val="0"/>
        <w:strike w:val="0"/>
        <w:color w:val="auto"/>
        <w:sz w:val="22"/>
        <w:szCs w:val="22"/>
        <w:lang w:val="es-ES_tradnl"/>
      </w:rPr>
    </w:lvl>
    <w:lvl w:ilvl="2">
      <w:start w:val="1"/>
      <w:numFmt w:val="lowerLette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45FF1C38"/>
    <w:multiLevelType w:val="hybridMultilevel"/>
    <w:tmpl w:val="A6A69E94"/>
    <w:lvl w:ilvl="0" w:tplc="04090019">
      <w:start w:val="1"/>
      <w:numFmt w:val="lowerLetter"/>
      <w:lvlText w:val="%1."/>
      <w:lvlJc w:val="left"/>
      <w:pPr>
        <w:ind w:left="1080" w:hanging="360"/>
      </w:pPr>
      <w:rPr>
        <w:rFonts w:hint="default"/>
        <w:u w:val="none"/>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51167283"/>
    <w:multiLevelType w:val="multilevel"/>
    <w:tmpl w:val="D7EE604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8" w15:restartNumberingAfterBreak="0">
    <w:nsid w:val="570636BA"/>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603A55FF"/>
    <w:multiLevelType w:val="multilevel"/>
    <w:tmpl w:val="AE0E00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4C5303E"/>
    <w:multiLevelType w:val="multilevel"/>
    <w:tmpl w:val="78EEA9D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r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BD522DF"/>
    <w:multiLevelType w:val="hybridMultilevel"/>
    <w:tmpl w:val="1BB8BE1E"/>
    <w:lvl w:ilvl="0" w:tplc="04090001">
      <w:start w:val="1"/>
      <w:numFmt w:val="bullet"/>
      <w:lvlText w:val=""/>
      <w:lvlJc w:val="left"/>
      <w:pPr>
        <w:ind w:left="274" w:hanging="360"/>
      </w:pPr>
      <w:rPr>
        <w:rFonts w:ascii="Symbol" w:hAnsi="Symbol" w:hint="default"/>
      </w:rPr>
    </w:lvl>
    <w:lvl w:ilvl="1" w:tplc="04090003">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6"/>
  </w:num>
  <w:num w:numId="5">
    <w:abstractNumId w:val="7"/>
  </w:num>
  <w:num w:numId="6">
    <w:abstractNumId w:val="0"/>
  </w:num>
  <w:num w:numId="7">
    <w:abstractNumId w:val="8"/>
  </w:num>
  <w:num w:numId="8">
    <w:abstractNumId w:val="4"/>
  </w:num>
  <w:num w:numId="9">
    <w:abstractNumId w:val="11"/>
  </w:num>
  <w:num w:numId="10">
    <w:abstractNumId w:val="2"/>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D9A"/>
    <w:rsid w:val="00001532"/>
    <w:rsid w:val="000018E1"/>
    <w:rsid w:val="00013F9F"/>
    <w:rsid w:val="00015722"/>
    <w:rsid w:val="00016624"/>
    <w:rsid w:val="000221EB"/>
    <w:rsid w:val="00034AB6"/>
    <w:rsid w:val="00051413"/>
    <w:rsid w:val="000554A3"/>
    <w:rsid w:val="000560F2"/>
    <w:rsid w:val="00062BC3"/>
    <w:rsid w:val="00066C15"/>
    <w:rsid w:val="000744C4"/>
    <w:rsid w:val="0007480C"/>
    <w:rsid w:val="00083701"/>
    <w:rsid w:val="00083A27"/>
    <w:rsid w:val="00084E2C"/>
    <w:rsid w:val="00087E27"/>
    <w:rsid w:val="000A00D9"/>
    <w:rsid w:val="000A7866"/>
    <w:rsid w:val="000B1F6A"/>
    <w:rsid w:val="000B2F70"/>
    <w:rsid w:val="000B7385"/>
    <w:rsid w:val="000C5BD9"/>
    <w:rsid w:val="000D2CC1"/>
    <w:rsid w:val="000F2B24"/>
    <w:rsid w:val="00105156"/>
    <w:rsid w:val="001137D4"/>
    <w:rsid w:val="001214C6"/>
    <w:rsid w:val="0012473F"/>
    <w:rsid w:val="00125B84"/>
    <w:rsid w:val="0014064A"/>
    <w:rsid w:val="00141DBD"/>
    <w:rsid w:val="00151386"/>
    <w:rsid w:val="00153171"/>
    <w:rsid w:val="001538B4"/>
    <w:rsid w:val="0015400B"/>
    <w:rsid w:val="001546D1"/>
    <w:rsid w:val="00174B44"/>
    <w:rsid w:val="00185D09"/>
    <w:rsid w:val="001861DA"/>
    <w:rsid w:val="0019137A"/>
    <w:rsid w:val="001A0D24"/>
    <w:rsid w:val="001A4AE2"/>
    <w:rsid w:val="001A5218"/>
    <w:rsid w:val="001B5D3B"/>
    <w:rsid w:val="001B5E39"/>
    <w:rsid w:val="001B6A05"/>
    <w:rsid w:val="001C17C8"/>
    <w:rsid w:val="001C609C"/>
    <w:rsid w:val="001E63AA"/>
    <w:rsid w:val="001F1038"/>
    <w:rsid w:val="00200DB7"/>
    <w:rsid w:val="002036C3"/>
    <w:rsid w:val="002040E0"/>
    <w:rsid w:val="00205195"/>
    <w:rsid w:val="00213EB9"/>
    <w:rsid w:val="0022309B"/>
    <w:rsid w:val="002315BE"/>
    <w:rsid w:val="002328DF"/>
    <w:rsid w:val="00235318"/>
    <w:rsid w:val="00241E6D"/>
    <w:rsid w:val="00243A23"/>
    <w:rsid w:val="00243C50"/>
    <w:rsid w:val="00251792"/>
    <w:rsid w:val="00256E65"/>
    <w:rsid w:val="00261EFB"/>
    <w:rsid w:val="00274593"/>
    <w:rsid w:val="00274F27"/>
    <w:rsid w:val="0028712C"/>
    <w:rsid w:val="002C7DF4"/>
    <w:rsid w:val="002D499A"/>
    <w:rsid w:val="002E2A2F"/>
    <w:rsid w:val="002E36C3"/>
    <w:rsid w:val="002E516B"/>
    <w:rsid w:val="002E7FA4"/>
    <w:rsid w:val="002F01F7"/>
    <w:rsid w:val="00312FE1"/>
    <w:rsid w:val="00321473"/>
    <w:rsid w:val="00322343"/>
    <w:rsid w:val="00323F8C"/>
    <w:rsid w:val="003260B3"/>
    <w:rsid w:val="00326209"/>
    <w:rsid w:val="0033168C"/>
    <w:rsid w:val="003366F5"/>
    <w:rsid w:val="0034421D"/>
    <w:rsid w:val="00344353"/>
    <w:rsid w:val="00351E68"/>
    <w:rsid w:val="0035299C"/>
    <w:rsid w:val="00366303"/>
    <w:rsid w:val="00377B33"/>
    <w:rsid w:val="00393BF2"/>
    <w:rsid w:val="00397767"/>
    <w:rsid w:val="003A1AFD"/>
    <w:rsid w:val="003A25ED"/>
    <w:rsid w:val="003A473F"/>
    <w:rsid w:val="003A62AF"/>
    <w:rsid w:val="003B54E8"/>
    <w:rsid w:val="003B6012"/>
    <w:rsid w:val="003C40A5"/>
    <w:rsid w:val="003C6CA8"/>
    <w:rsid w:val="003C6D77"/>
    <w:rsid w:val="003C6E24"/>
    <w:rsid w:val="003C79BF"/>
    <w:rsid w:val="003D1DBF"/>
    <w:rsid w:val="003D788B"/>
    <w:rsid w:val="003E0288"/>
    <w:rsid w:val="003E30AA"/>
    <w:rsid w:val="003E5D36"/>
    <w:rsid w:val="003F2E62"/>
    <w:rsid w:val="003F616C"/>
    <w:rsid w:val="00400564"/>
    <w:rsid w:val="00401981"/>
    <w:rsid w:val="00406D7D"/>
    <w:rsid w:val="0042228B"/>
    <w:rsid w:val="004254E5"/>
    <w:rsid w:val="00426587"/>
    <w:rsid w:val="00431416"/>
    <w:rsid w:val="004354EC"/>
    <w:rsid w:val="00435D3B"/>
    <w:rsid w:val="00440233"/>
    <w:rsid w:val="00450A9B"/>
    <w:rsid w:val="00453848"/>
    <w:rsid w:val="00455AD3"/>
    <w:rsid w:val="00455D87"/>
    <w:rsid w:val="00457EBA"/>
    <w:rsid w:val="00462765"/>
    <w:rsid w:val="0046741D"/>
    <w:rsid w:val="004713DE"/>
    <w:rsid w:val="00473645"/>
    <w:rsid w:val="0047530D"/>
    <w:rsid w:val="00476189"/>
    <w:rsid w:val="00484672"/>
    <w:rsid w:val="00490D0E"/>
    <w:rsid w:val="004912CE"/>
    <w:rsid w:val="004926F6"/>
    <w:rsid w:val="0049458C"/>
    <w:rsid w:val="004A2AB6"/>
    <w:rsid w:val="004A5810"/>
    <w:rsid w:val="004B006B"/>
    <w:rsid w:val="004B3455"/>
    <w:rsid w:val="004C37DE"/>
    <w:rsid w:val="004D1EA7"/>
    <w:rsid w:val="004E2DF2"/>
    <w:rsid w:val="004F17F0"/>
    <w:rsid w:val="004F5C13"/>
    <w:rsid w:val="004F77AA"/>
    <w:rsid w:val="00516386"/>
    <w:rsid w:val="005274FC"/>
    <w:rsid w:val="00530ECD"/>
    <w:rsid w:val="00541328"/>
    <w:rsid w:val="00541DCE"/>
    <w:rsid w:val="00543A76"/>
    <w:rsid w:val="00551681"/>
    <w:rsid w:val="00552654"/>
    <w:rsid w:val="00553D78"/>
    <w:rsid w:val="00555D4B"/>
    <w:rsid w:val="00555ED6"/>
    <w:rsid w:val="00556249"/>
    <w:rsid w:val="00561013"/>
    <w:rsid w:val="00561CA3"/>
    <w:rsid w:val="0056292F"/>
    <w:rsid w:val="00563603"/>
    <w:rsid w:val="00563F8A"/>
    <w:rsid w:val="005654A4"/>
    <w:rsid w:val="00565BC9"/>
    <w:rsid w:val="00575751"/>
    <w:rsid w:val="00576D71"/>
    <w:rsid w:val="0058037B"/>
    <w:rsid w:val="00583D24"/>
    <w:rsid w:val="0058450F"/>
    <w:rsid w:val="00596C72"/>
    <w:rsid w:val="005A707C"/>
    <w:rsid w:val="005C178A"/>
    <w:rsid w:val="005D5735"/>
    <w:rsid w:val="005D5FF0"/>
    <w:rsid w:val="005D66F5"/>
    <w:rsid w:val="005F035B"/>
    <w:rsid w:val="00603A2A"/>
    <w:rsid w:val="00605274"/>
    <w:rsid w:val="00615669"/>
    <w:rsid w:val="00616FFD"/>
    <w:rsid w:val="0062117E"/>
    <w:rsid w:val="00624E61"/>
    <w:rsid w:val="00626269"/>
    <w:rsid w:val="0063588A"/>
    <w:rsid w:val="00643F0F"/>
    <w:rsid w:val="0064609F"/>
    <w:rsid w:val="00647581"/>
    <w:rsid w:val="00651C46"/>
    <w:rsid w:val="00653EC1"/>
    <w:rsid w:val="006621EA"/>
    <w:rsid w:val="00663924"/>
    <w:rsid w:val="006650C7"/>
    <w:rsid w:val="00665E63"/>
    <w:rsid w:val="00666405"/>
    <w:rsid w:val="00682BB6"/>
    <w:rsid w:val="00682C62"/>
    <w:rsid w:val="00686AB3"/>
    <w:rsid w:val="00692CC6"/>
    <w:rsid w:val="006956D2"/>
    <w:rsid w:val="0069601C"/>
    <w:rsid w:val="006A1E95"/>
    <w:rsid w:val="006A7030"/>
    <w:rsid w:val="006B3230"/>
    <w:rsid w:val="006B4BC8"/>
    <w:rsid w:val="006B7743"/>
    <w:rsid w:val="006C3A51"/>
    <w:rsid w:val="006C418B"/>
    <w:rsid w:val="006C4B97"/>
    <w:rsid w:val="006C6243"/>
    <w:rsid w:val="006D2FE7"/>
    <w:rsid w:val="006D53B1"/>
    <w:rsid w:val="006E13C3"/>
    <w:rsid w:val="006E6D11"/>
    <w:rsid w:val="006F1C2D"/>
    <w:rsid w:val="006F1F8F"/>
    <w:rsid w:val="006F4293"/>
    <w:rsid w:val="006F6DE7"/>
    <w:rsid w:val="00710807"/>
    <w:rsid w:val="0071521D"/>
    <w:rsid w:val="007164E4"/>
    <w:rsid w:val="0072229A"/>
    <w:rsid w:val="00730A5C"/>
    <w:rsid w:val="0074076C"/>
    <w:rsid w:val="00742DE8"/>
    <w:rsid w:val="007470FD"/>
    <w:rsid w:val="00747EF3"/>
    <w:rsid w:val="00762BCA"/>
    <w:rsid w:val="0076432E"/>
    <w:rsid w:val="00775BFC"/>
    <w:rsid w:val="007776EA"/>
    <w:rsid w:val="00787311"/>
    <w:rsid w:val="00790579"/>
    <w:rsid w:val="007B2607"/>
    <w:rsid w:val="007B42AF"/>
    <w:rsid w:val="007E3936"/>
    <w:rsid w:val="007E4E23"/>
    <w:rsid w:val="007E781F"/>
    <w:rsid w:val="007F2370"/>
    <w:rsid w:val="007F5067"/>
    <w:rsid w:val="008039A7"/>
    <w:rsid w:val="00805EEA"/>
    <w:rsid w:val="00806837"/>
    <w:rsid w:val="00806BF9"/>
    <w:rsid w:val="008073A8"/>
    <w:rsid w:val="00811E46"/>
    <w:rsid w:val="008174BE"/>
    <w:rsid w:val="00823961"/>
    <w:rsid w:val="008247F6"/>
    <w:rsid w:val="00845081"/>
    <w:rsid w:val="00847978"/>
    <w:rsid w:val="00862A43"/>
    <w:rsid w:val="00877351"/>
    <w:rsid w:val="008842D9"/>
    <w:rsid w:val="0088781C"/>
    <w:rsid w:val="008A274A"/>
    <w:rsid w:val="008A4068"/>
    <w:rsid w:val="008C0BA3"/>
    <w:rsid w:val="008D2335"/>
    <w:rsid w:val="008E336B"/>
    <w:rsid w:val="008E3BA4"/>
    <w:rsid w:val="008F0B2E"/>
    <w:rsid w:val="009027FD"/>
    <w:rsid w:val="00903E28"/>
    <w:rsid w:val="00905D64"/>
    <w:rsid w:val="00906129"/>
    <w:rsid w:val="00906B91"/>
    <w:rsid w:val="00910BE0"/>
    <w:rsid w:val="009167C2"/>
    <w:rsid w:val="00917E92"/>
    <w:rsid w:val="00921771"/>
    <w:rsid w:val="00927B67"/>
    <w:rsid w:val="00933D3C"/>
    <w:rsid w:val="0093767B"/>
    <w:rsid w:val="009407D6"/>
    <w:rsid w:val="00941779"/>
    <w:rsid w:val="00942EE7"/>
    <w:rsid w:val="00955561"/>
    <w:rsid w:val="00963D2D"/>
    <w:rsid w:val="00964DDF"/>
    <w:rsid w:val="0096543F"/>
    <w:rsid w:val="00965841"/>
    <w:rsid w:val="00966D60"/>
    <w:rsid w:val="00984CBA"/>
    <w:rsid w:val="00992181"/>
    <w:rsid w:val="009A378F"/>
    <w:rsid w:val="009B165C"/>
    <w:rsid w:val="009B427B"/>
    <w:rsid w:val="009B642E"/>
    <w:rsid w:val="009C45A1"/>
    <w:rsid w:val="009E6529"/>
    <w:rsid w:val="009F7B83"/>
    <w:rsid w:val="00A04159"/>
    <w:rsid w:val="00A060F5"/>
    <w:rsid w:val="00A104E5"/>
    <w:rsid w:val="00A14C8D"/>
    <w:rsid w:val="00A21474"/>
    <w:rsid w:val="00A3109C"/>
    <w:rsid w:val="00A434F0"/>
    <w:rsid w:val="00A446A3"/>
    <w:rsid w:val="00A5085B"/>
    <w:rsid w:val="00A5505C"/>
    <w:rsid w:val="00A55FE8"/>
    <w:rsid w:val="00A60A19"/>
    <w:rsid w:val="00A63149"/>
    <w:rsid w:val="00A730BA"/>
    <w:rsid w:val="00A827D0"/>
    <w:rsid w:val="00A87EF7"/>
    <w:rsid w:val="00A9306A"/>
    <w:rsid w:val="00AA1F80"/>
    <w:rsid w:val="00AA23B6"/>
    <w:rsid w:val="00AA273C"/>
    <w:rsid w:val="00AB27FA"/>
    <w:rsid w:val="00AB5B0C"/>
    <w:rsid w:val="00AB68A9"/>
    <w:rsid w:val="00AD0C17"/>
    <w:rsid w:val="00AE02A6"/>
    <w:rsid w:val="00AF2778"/>
    <w:rsid w:val="00AF615E"/>
    <w:rsid w:val="00B07B09"/>
    <w:rsid w:val="00B11DB1"/>
    <w:rsid w:val="00B149F0"/>
    <w:rsid w:val="00B1716B"/>
    <w:rsid w:val="00B20922"/>
    <w:rsid w:val="00B21662"/>
    <w:rsid w:val="00B25440"/>
    <w:rsid w:val="00B3029B"/>
    <w:rsid w:val="00B4019D"/>
    <w:rsid w:val="00B47FC9"/>
    <w:rsid w:val="00B544A9"/>
    <w:rsid w:val="00B5488C"/>
    <w:rsid w:val="00B63B13"/>
    <w:rsid w:val="00B7616D"/>
    <w:rsid w:val="00B9232C"/>
    <w:rsid w:val="00B94BDB"/>
    <w:rsid w:val="00BB6781"/>
    <w:rsid w:val="00BD28FC"/>
    <w:rsid w:val="00BD5E91"/>
    <w:rsid w:val="00BE3461"/>
    <w:rsid w:val="00BE46C7"/>
    <w:rsid w:val="00BE51C5"/>
    <w:rsid w:val="00BE550A"/>
    <w:rsid w:val="00BE7955"/>
    <w:rsid w:val="00BF5805"/>
    <w:rsid w:val="00BF6B9F"/>
    <w:rsid w:val="00C0754F"/>
    <w:rsid w:val="00C10224"/>
    <w:rsid w:val="00C1461A"/>
    <w:rsid w:val="00C31A56"/>
    <w:rsid w:val="00C32CF3"/>
    <w:rsid w:val="00C34608"/>
    <w:rsid w:val="00C536A9"/>
    <w:rsid w:val="00C57F18"/>
    <w:rsid w:val="00C737DC"/>
    <w:rsid w:val="00C8122C"/>
    <w:rsid w:val="00C93080"/>
    <w:rsid w:val="00CA233C"/>
    <w:rsid w:val="00CA2EA0"/>
    <w:rsid w:val="00CA4F2C"/>
    <w:rsid w:val="00CA7C2B"/>
    <w:rsid w:val="00CB350D"/>
    <w:rsid w:val="00CC5DD5"/>
    <w:rsid w:val="00CD6480"/>
    <w:rsid w:val="00CE53D3"/>
    <w:rsid w:val="00CF1DBA"/>
    <w:rsid w:val="00D0100F"/>
    <w:rsid w:val="00D0332D"/>
    <w:rsid w:val="00D03701"/>
    <w:rsid w:val="00D07E34"/>
    <w:rsid w:val="00D101E0"/>
    <w:rsid w:val="00D15CEA"/>
    <w:rsid w:val="00D161BA"/>
    <w:rsid w:val="00D25366"/>
    <w:rsid w:val="00D552AB"/>
    <w:rsid w:val="00D65292"/>
    <w:rsid w:val="00D67D24"/>
    <w:rsid w:val="00D74597"/>
    <w:rsid w:val="00D803EF"/>
    <w:rsid w:val="00D82122"/>
    <w:rsid w:val="00D87AF6"/>
    <w:rsid w:val="00D90F39"/>
    <w:rsid w:val="00DA1281"/>
    <w:rsid w:val="00DA565E"/>
    <w:rsid w:val="00DA7C9F"/>
    <w:rsid w:val="00DC4D1A"/>
    <w:rsid w:val="00DD1AD6"/>
    <w:rsid w:val="00DD3199"/>
    <w:rsid w:val="00DE2661"/>
    <w:rsid w:val="00DF208F"/>
    <w:rsid w:val="00DF2E49"/>
    <w:rsid w:val="00E0309D"/>
    <w:rsid w:val="00E15E28"/>
    <w:rsid w:val="00E17D3E"/>
    <w:rsid w:val="00E22035"/>
    <w:rsid w:val="00E233B1"/>
    <w:rsid w:val="00E30CDC"/>
    <w:rsid w:val="00E3389D"/>
    <w:rsid w:val="00E341FD"/>
    <w:rsid w:val="00E34BAD"/>
    <w:rsid w:val="00E56650"/>
    <w:rsid w:val="00E60635"/>
    <w:rsid w:val="00E653D0"/>
    <w:rsid w:val="00E74F00"/>
    <w:rsid w:val="00E77EF6"/>
    <w:rsid w:val="00EA287C"/>
    <w:rsid w:val="00EA74D0"/>
    <w:rsid w:val="00EB1105"/>
    <w:rsid w:val="00EB1A5A"/>
    <w:rsid w:val="00EC6534"/>
    <w:rsid w:val="00EC7DE5"/>
    <w:rsid w:val="00EE3646"/>
    <w:rsid w:val="00EE7BB2"/>
    <w:rsid w:val="00EF22E2"/>
    <w:rsid w:val="00EF2644"/>
    <w:rsid w:val="00EF65B1"/>
    <w:rsid w:val="00F0194F"/>
    <w:rsid w:val="00F055B4"/>
    <w:rsid w:val="00F10D9A"/>
    <w:rsid w:val="00F17485"/>
    <w:rsid w:val="00F242FF"/>
    <w:rsid w:val="00F263A5"/>
    <w:rsid w:val="00F27066"/>
    <w:rsid w:val="00F312B7"/>
    <w:rsid w:val="00F323B1"/>
    <w:rsid w:val="00F35AFC"/>
    <w:rsid w:val="00F40C7F"/>
    <w:rsid w:val="00F41C32"/>
    <w:rsid w:val="00F42316"/>
    <w:rsid w:val="00F4344E"/>
    <w:rsid w:val="00F469FE"/>
    <w:rsid w:val="00F572C5"/>
    <w:rsid w:val="00F57F07"/>
    <w:rsid w:val="00F733DA"/>
    <w:rsid w:val="00F77E57"/>
    <w:rsid w:val="00F80258"/>
    <w:rsid w:val="00F837D6"/>
    <w:rsid w:val="00F864F3"/>
    <w:rsid w:val="00F936F3"/>
    <w:rsid w:val="00FA1E01"/>
    <w:rsid w:val="00FA34EC"/>
    <w:rsid w:val="00FB0C7E"/>
    <w:rsid w:val="00FB21E6"/>
    <w:rsid w:val="00FB34A7"/>
    <w:rsid w:val="00FC3558"/>
    <w:rsid w:val="00FC3B3D"/>
    <w:rsid w:val="00FD0059"/>
    <w:rsid w:val="00FD0D83"/>
    <w:rsid w:val="00FD1D6B"/>
    <w:rsid w:val="00FD3A56"/>
    <w:rsid w:val="00FD51E3"/>
    <w:rsid w:val="00FE17C4"/>
    <w:rsid w:val="00FE3682"/>
    <w:rsid w:val="00FE5DB9"/>
    <w:rsid w:val="00FE7C9B"/>
    <w:rsid w:val="00FF7B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0AA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pPr>
      <w:keepNext/>
      <w:tabs>
        <w:tab w:val="num" w:pos="360"/>
      </w:tabs>
      <w:spacing w:before="240" w:after="60" w:line="240" w:lineRule="auto"/>
      <w:outlineLvl w:val="0"/>
    </w:pPr>
    <w:rPr>
      <w:rFonts w:ascii="Arial" w:eastAsia="Times New Roman" w:hAnsi="Arial" w:cs="Times New Roman"/>
      <w:b/>
      <w:kern w:val="28"/>
      <w:sz w:val="28"/>
      <w:szCs w:val="20"/>
      <w:lang w:val="es-ES"/>
    </w:rPr>
  </w:style>
  <w:style w:type="paragraph" w:styleId="Heading2">
    <w:name w:val="heading 2"/>
    <w:basedOn w:val="Normal"/>
    <w:link w:val="Heading2Char"/>
    <w:qFormat/>
    <w:pPr>
      <w:widowControl w:val="0"/>
      <w:spacing w:after="0" w:line="240" w:lineRule="auto"/>
      <w:ind w:left="820"/>
      <w:outlineLvl w:val="1"/>
    </w:pPr>
    <w:rPr>
      <w:rFonts w:ascii="Times New Roman" w:eastAsia="Times New Roman" w:hAnsi="Times New Roman"/>
      <w:b/>
      <w:bCs/>
      <w:sz w:val="24"/>
      <w:szCs w:val="24"/>
    </w:rPr>
  </w:style>
  <w:style w:type="paragraph" w:styleId="Heading3">
    <w:name w:val="heading 3"/>
    <w:basedOn w:val="Normal"/>
    <w:link w:val="Heading3Char"/>
    <w:qFormat/>
    <w:pPr>
      <w:widowControl w:val="0"/>
      <w:spacing w:after="0" w:line="240" w:lineRule="auto"/>
      <w:ind w:left="820" w:hanging="720"/>
      <w:outlineLvl w:val="2"/>
    </w:pPr>
    <w:rPr>
      <w:rFonts w:ascii="Times New Roman" w:eastAsia="Times New Roman" w:hAnsi="Times New Roman"/>
      <w:b/>
      <w:bCs/>
      <w:i/>
      <w:sz w:val="24"/>
      <w:szCs w:val="24"/>
    </w:rPr>
  </w:style>
  <w:style w:type="paragraph" w:styleId="Heading4">
    <w:name w:val="heading 4"/>
    <w:basedOn w:val="Normal"/>
    <w:next w:val="Normal"/>
    <w:link w:val="Heading4Char"/>
    <w:qFormat/>
    <w:pPr>
      <w:keepNext/>
      <w:tabs>
        <w:tab w:val="num" w:pos="2520"/>
      </w:tabs>
      <w:spacing w:before="240" w:after="60" w:line="240" w:lineRule="auto"/>
      <w:ind w:left="2160"/>
      <w:outlineLvl w:val="3"/>
    </w:pPr>
    <w:rPr>
      <w:rFonts w:ascii="Arial" w:eastAsia="Times New Roman" w:hAnsi="Arial" w:cs="Times New Roman"/>
      <w:b/>
      <w:sz w:val="24"/>
      <w:szCs w:val="20"/>
      <w:lang w:val="es-ES"/>
    </w:rPr>
  </w:style>
  <w:style w:type="paragraph" w:styleId="Heading5">
    <w:name w:val="heading 5"/>
    <w:basedOn w:val="Normal"/>
    <w:next w:val="Normal"/>
    <w:link w:val="Heading5Char"/>
    <w:qFormat/>
    <w:pPr>
      <w:numPr>
        <w:ilvl w:val="4"/>
        <w:numId w:val="5"/>
      </w:numPr>
      <w:spacing w:before="240" w:after="60" w:line="240" w:lineRule="auto"/>
      <w:outlineLvl w:val="4"/>
    </w:pPr>
    <w:rPr>
      <w:rFonts w:ascii="Times New Roman" w:eastAsia="Times New Roman" w:hAnsi="Times New Roman" w:cs="Times New Roman"/>
      <w:szCs w:val="20"/>
      <w:lang w:val="es-ES"/>
    </w:rPr>
  </w:style>
  <w:style w:type="paragraph" w:styleId="Heading6">
    <w:name w:val="heading 6"/>
    <w:basedOn w:val="Normal"/>
    <w:next w:val="Normal"/>
    <w:link w:val="Heading6Char"/>
    <w:qFormat/>
    <w:pPr>
      <w:numPr>
        <w:ilvl w:val="5"/>
        <w:numId w:val="5"/>
      </w:numPr>
      <w:spacing w:before="240" w:after="60" w:line="240" w:lineRule="auto"/>
      <w:outlineLvl w:val="5"/>
    </w:pPr>
    <w:rPr>
      <w:rFonts w:ascii="Times New Roman" w:eastAsia="Times New Roman" w:hAnsi="Times New Roman" w:cs="Times New Roman"/>
      <w:i/>
      <w:szCs w:val="20"/>
      <w:lang w:val="es-ES"/>
    </w:rPr>
  </w:style>
  <w:style w:type="paragraph" w:styleId="Heading7">
    <w:name w:val="heading 7"/>
    <w:basedOn w:val="Normal"/>
    <w:next w:val="Normal"/>
    <w:link w:val="Heading7Char"/>
    <w:qFormat/>
    <w:pPr>
      <w:numPr>
        <w:ilvl w:val="6"/>
        <w:numId w:val="5"/>
      </w:numPr>
      <w:spacing w:before="240" w:after="60" w:line="240" w:lineRule="auto"/>
      <w:outlineLvl w:val="6"/>
    </w:pPr>
    <w:rPr>
      <w:rFonts w:ascii="Arial" w:eastAsia="Times New Roman" w:hAnsi="Arial" w:cs="Times New Roman"/>
      <w:sz w:val="24"/>
      <w:szCs w:val="20"/>
      <w:lang w:val="es-ES"/>
    </w:rPr>
  </w:style>
  <w:style w:type="paragraph" w:styleId="Heading8">
    <w:name w:val="heading 8"/>
    <w:basedOn w:val="Normal"/>
    <w:next w:val="Normal"/>
    <w:link w:val="Heading8Char"/>
    <w:qFormat/>
    <w:pPr>
      <w:numPr>
        <w:ilvl w:val="7"/>
        <w:numId w:val="5"/>
      </w:numPr>
      <w:spacing w:before="240" w:after="60" w:line="240" w:lineRule="auto"/>
      <w:outlineLvl w:val="7"/>
    </w:pPr>
    <w:rPr>
      <w:rFonts w:ascii="Arial" w:eastAsia="Times New Roman" w:hAnsi="Arial" w:cs="Times New Roman"/>
      <w:i/>
      <w:sz w:val="24"/>
      <w:szCs w:val="20"/>
      <w:lang w:val="es-ES"/>
    </w:rPr>
  </w:style>
  <w:style w:type="paragraph" w:styleId="Heading9">
    <w:name w:val="heading 9"/>
    <w:basedOn w:val="Normal"/>
    <w:next w:val="Normal"/>
    <w:link w:val="Heading9Char"/>
    <w:qFormat/>
    <w:pPr>
      <w:numPr>
        <w:ilvl w:val="8"/>
        <w:numId w:val="5"/>
      </w:numPr>
      <w:spacing w:before="240" w:after="60" w:line="240" w:lineRule="auto"/>
      <w:outlineLvl w:val="8"/>
    </w:pPr>
    <w:rPr>
      <w:rFonts w:ascii="Arial" w:eastAsia="Times New Roman" w:hAnsi="Arial" w:cs="Times New Roman"/>
      <w:b/>
      <w:i/>
      <w:sz w:val="18"/>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subpar">
    <w:name w:val="subpar"/>
    <w:basedOn w:val="Normal"/>
    <w:pPr>
      <w:numPr>
        <w:ilvl w:val="2"/>
        <w:numId w:val="1"/>
      </w:numPr>
      <w:spacing w:before="120" w:after="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pPr>
      <w:numPr>
        <w:ilvl w:val="0"/>
        <w:numId w:val="0"/>
      </w:numPr>
      <w:tabs>
        <w:tab w:val="left" w:pos="0"/>
        <w:tab w:val="num" w:pos="1152"/>
        <w:tab w:val="num" w:pos="1296"/>
        <w:tab w:val="num" w:pos="1584"/>
      </w:tabs>
    </w:pPr>
  </w:style>
  <w:style w:type="paragraph" w:customStyle="1" w:styleId="Paragraph">
    <w:name w:val="Paragraph"/>
    <w:aliases w:val="paragraph,p,PARAGRAPH,PG,pa,at"/>
    <w:basedOn w:val="Normal"/>
    <w:link w:val="ParagraphChar"/>
    <w:qFormat/>
    <w:pPr>
      <w:numPr>
        <w:ilvl w:val="1"/>
        <w:numId w:val="1"/>
      </w:numPr>
      <w:spacing w:before="120" w:after="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locked/>
    <w:rPr>
      <w:rFonts w:ascii="Times New Roman" w:hAnsi="Times New Roman" w:cs="Times New Roman"/>
      <w:sz w:val="24"/>
      <w:szCs w:val="24"/>
      <w:lang w:val="es-ES"/>
    </w:rPr>
  </w:style>
  <w:style w:type="character" w:customStyle="1" w:styleId="ChapterChar">
    <w:name w:val="Chapter Char"/>
    <w:basedOn w:val="DefaultParagraphFont"/>
    <w:link w:val="Chapter"/>
    <w:locked/>
    <w:rPr>
      <w:rFonts w:ascii="Times New Roman" w:hAnsi="Times New Roman" w:cs="Times New Roman"/>
      <w:b/>
      <w:smallCaps/>
      <w:sz w:val="24"/>
      <w:szCs w:val="24"/>
      <w:lang w:val="es-ES"/>
    </w:rPr>
  </w:style>
  <w:style w:type="character" w:customStyle="1" w:styleId="Refdenotaderodap1">
    <w:name w:val="Ref. de nota de rodapé1"/>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Pr>
      <w:vertAlign w:val="superscript"/>
    </w:rPr>
  </w:style>
  <w:style w:type="paragraph" w:styleId="FootnoteText">
    <w:name w:val="footnote text"/>
    <w:aliases w:val="foottextfra,footnote,F,Texto nota pie Car Car,Texto de rodapé,nota_rodapé,nota de rodapé,FOOTNOTES,single space,footnote text,Footnote Text Char Char,ADB,texto de nota al pie,Nota a pie/Bibliog,Texto nota pie Car Car Car,f,ft,single spac"/>
    <w:basedOn w:val="Normal"/>
    <w:link w:val="FootnoteTextChar"/>
    <w:unhideWhenUsed/>
    <w:qFormat/>
    <w:pPr>
      <w:spacing w:after="0" w:line="240" w:lineRule="auto"/>
    </w:pPr>
    <w:rPr>
      <w:sz w:val="20"/>
      <w:szCs w:val="20"/>
    </w:rPr>
  </w:style>
  <w:style w:type="character" w:customStyle="1" w:styleId="FootnoteTextChar">
    <w:name w:val="Footnote Text Char"/>
    <w:aliases w:val="foottextfra Char1,footnote Char1,F Char1,Texto nota pie Car Car Char1,Texto de rodapé Char1,nota_rodapé Char1,nota de rodapé Char1,FOOTNOTES Char1,single space Char1,footnote text Char1,Footnote Text Char Char Char,ADB Char1,f Char1"/>
    <w:basedOn w:val="DefaultParagraphFont"/>
    <w:link w:val="FootnoteText"/>
    <w:rPr>
      <w:sz w:val="20"/>
      <w:szCs w:val="20"/>
      <w:lang w:val="es-ES_tradnl"/>
    </w:rPr>
  </w:style>
  <w:style w:type="character" w:styleId="FootnoteReference">
    <w:name w:val="footnote reference"/>
    <w:aliases w:val="Referência de rodapé,SUPERS"/>
    <w:basedOn w:val="DefaultParagraphFont"/>
    <w:link w:val="Char2"/>
    <w:uiPriority w:val="99"/>
    <w:unhideWhenUsed/>
    <w:qFormat/>
    <w:rPr>
      <w:vertAlign w:val="superscript"/>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Default">
    <w:name w:val="Default"/>
    <w:pPr>
      <w:autoSpaceDE w:val="0"/>
      <w:autoSpaceDN w:val="0"/>
      <w:adjustRightInd w:val="0"/>
      <w:spacing w:after="0" w:line="240" w:lineRule="auto"/>
    </w:pPr>
    <w:rPr>
      <w:rFonts w:ascii="Cambria" w:hAnsi="Cambria" w:cs="Cambria"/>
      <w:color w:val="000000"/>
      <w:sz w:val="24"/>
      <w:szCs w:val="24"/>
    </w:rPr>
  </w:style>
  <w:style w:type="character" w:customStyle="1" w:styleId="TextodenotaderodapChar">
    <w:name w:val="Texto de nota de rodapé Char"/>
    <w:aliases w:val="fn Char,Footnote Text Char1,foottextfra Char,footnote Char,F Char,Texto nota pie Car Car Char,Texto de rodapé Char,nota_rodapé Char,nota de rodapé Char,FOOTNOTES Char,single space Char,footnote text Char,ADB Char,f Char"/>
    <w:basedOn w:val="DefaultParagraphFont"/>
    <w:link w:val="Textodenotaderodap1"/>
    <w:uiPriority w:val="99"/>
    <w:locked/>
    <w:rPr>
      <w:spacing w:val="-3"/>
      <w:lang w:val="x-none" w:eastAsia="x-none"/>
    </w:rPr>
  </w:style>
  <w:style w:type="paragraph" w:customStyle="1" w:styleId="Textodenotaderodap1">
    <w:name w:val="Texto de nota de rodapé1"/>
    <w:aliases w:val="fn"/>
    <w:basedOn w:val="Normal"/>
    <w:link w:val="TextodenotaderodapChar"/>
    <w:pPr>
      <w:keepNext/>
      <w:keepLines/>
      <w:spacing w:after="120" w:line="240" w:lineRule="auto"/>
      <w:ind w:left="288" w:hanging="288"/>
      <w:jc w:val="both"/>
    </w:pPr>
    <w:rPr>
      <w:spacing w:val="-3"/>
      <w:lang w:val="x-none" w:eastAsia="x-non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s-ES_tradnl"/>
    </w:rPr>
  </w:style>
  <w:style w:type="character" w:styleId="CommentReference">
    <w:name w:val="annotation reference"/>
    <w:basedOn w:val="DefaultParagraphFont"/>
    <w:uiPriority w:val="99"/>
    <w:unhideWhenUsed/>
    <w:rPr>
      <w:sz w:val="18"/>
      <w:szCs w:val="18"/>
    </w:r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Revision">
    <w:name w:val="Revision"/>
    <w:hidden/>
    <w:uiPriority w:val="99"/>
    <w:semiHidden/>
    <w:pPr>
      <w:spacing w:after="0" w:line="240" w:lineRule="auto"/>
    </w:pPr>
  </w:style>
  <w:style w:type="character" w:customStyle="1" w:styleId="Heading2Char">
    <w:name w:val="Heading 2 Char"/>
    <w:basedOn w:val="DefaultParagraphFont"/>
    <w:link w:val="Heading2"/>
    <w:uiPriority w:val="1"/>
    <w:rPr>
      <w:rFonts w:ascii="Times New Roman" w:eastAsia="Times New Roman" w:hAnsi="Times New Roman"/>
      <w:b/>
      <w:bCs/>
      <w:sz w:val="24"/>
      <w:szCs w:val="24"/>
    </w:rPr>
  </w:style>
  <w:style w:type="character" w:customStyle="1" w:styleId="Heading3Char">
    <w:name w:val="Heading 3 Char"/>
    <w:basedOn w:val="DefaultParagraphFont"/>
    <w:link w:val="Heading3"/>
    <w:uiPriority w:val="1"/>
    <w:rPr>
      <w:rFonts w:ascii="Times New Roman" w:eastAsia="Times New Roman" w:hAnsi="Times New Roman"/>
      <w:b/>
      <w:bCs/>
      <w:i/>
      <w:sz w:val="24"/>
      <w:szCs w:val="24"/>
    </w:rPr>
  </w:style>
  <w:style w:type="table" w:customStyle="1" w:styleId="TableNormal1">
    <w:name w:val="Table Normal1"/>
    <w:uiPriority w:val="2"/>
    <w:semiHidden/>
    <w:unhideWhenUsed/>
    <w:qFormat/>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Pr>
      <w:rFonts w:ascii="Times New Roman" w:eastAsia="Times New Roman" w:hAnsi="Times New Roman"/>
      <w:sz w:val="24"/>
      <w:szCs w:val="24"/>
    </w:rPr>
  </w:style>
  <w:style w:type="paragraph" w:customStyle="1" w:styleId="TableParagraph">
    <w:name w:val="Table Paragraph"/>
    <w:basedOn w:val="Normal"/>
    <w:uiPriority w:val="1"/>
    <w:qFormat/>
    <w:pPr>
      <w:widowControl w:val="0"/>
      <w:spacing w:after="0" w:line="240" w:lineRule="auto"/>
    </w:pPr>
    <w:rPr>
      <w:rFonts w:eastAsiaTheme="minorHAnsi"/>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eading1Char">
    <w:name w:val="Heading 1 Char"/>
    <w:basedOn w:val="DefaultParagraphFont"/>
    <w:link w:val="Heading1"/>
    <w:rPr>
      <w:rFonts w:ascii="Arial" w:eastAsia="Times New Roman" w:hAnsi="Arial" w:cs="Times New Roman"/>
      <w:b/>
      <w:kern w:val="28"/>
      <w:sz w:val="28"/>
      <w:szCs w:val="20"/>
      <w:lang w:val="es-ES"/>
    </w:rPr>
  </w:style>
  <w:style w:type="character" w:customStyle="1" w:styleId="Heading4Char">
    <w:name w:val="Heading 4 Char"/>
    <w:basedOn w:val="DefaultParagraphFont"/>
    <w:link w:val="Heading4"/>
    <w:rPr>
      <w:rFonts w:ascii="Arial" w:eastAsia="Times New Roman" w:hAnsi="Arial" w:cs="Times New Roman"/>
      <w:b/>
      <w:sz w:val="24"/>
      <w:szCs w:val="20"/>
      <w:lang w:val="es-ES"/>
    </w:rPr>
  </w:style>
  <w:style w:type="character" w:customStyle="1" w:styleId="Heading5Char">
    <w:name w:val="Heading 5 Char"/>
    <w:basedOn w:val="DefaultParagraphFont"/>
    <w:link w:val="Heading5"/>
    <w:rPr>
      <w:rFonts w:ascii="Times New Roman" w:eastAsia="Times New Roman" w:hAnsi="Times New Roman" w:cs="Times New Roman"/>
      <w:szCs w:val="20"/>
      <w:lang w:val="es-ES"/>
    </w:rPr>
  </w:style>
  <w:style w:type="character" w:customStyle="1" w:styleId="Heading6Char">
    <w:name w:val="Heading 6 Char"/>
    <w:basedOn w:val="DefaultParagraphFont"/>
    <w:link w:val="Heading6"/>
    <w:rPr>
      <w:rFonts w:ascii="Times New Roman" w:eastAsia="Times New Roman" w:hAnsi="Times New Roman" w:cs="Times New Roman"/>
      <w:i/>
      <w:szCs w:val="20"/>
      <w:lang w:val="es-ES"/>
    </w:rPr>
  </w:style>
  <w:style w:type="character" w:customStyle="1" w:styleId="Heading7Char">
    <w:name w:val="Heading 7 Char"/>
    <w:basedOn w:val="DefaultParagraphFont"/>
    <w:link w:val="Heading7"/>
    <w:rPr>
      <w:rFonts w:ascii="Arial" w:eastAsia="Times New Roman" w:hAnsi="Arial" w:cs="Times New Roman"/>
      <w:sz w:val="24"/>
      <w:szCs w:val="20"/>
      <w:lang w:val="es-ES"/>
    </w:rPr>
  </w:style>
  <w:style w:type="character" w:customStyle="1" w:styleId="Heading8Char">
    <w:name w:val="Heading 8 Char"/>
    <w:basedOn w:val="DefaultParagraphFont"/>
    <w:link w:val="Heading8"/>
    <w:rPr>
      <w:rFonts w:ascii="Arial" w:eastAsia="Times New Roman" w:hAnsi="Arial" w:cs="Times New Roman"/>
      <w:i/>
      <w:sz w:val="24"/>
      <w:szCs w:val="20"/>
      <w:lang w:val="es-ES"/>
    </w:rPr>
  </w:style>
  <w:style w:type="character" w:customStyle="1" w:styleId="Heading9Char">
    <w:name w:val="Heading 9 Char"/>
    <w:basedOn w:val="DefaultParagraphFont"/>
    <w:link w:val="Heading9"/>
    <w:rPr>
      <w:rFonts w:ascii="Arial" w:eastAsia="Times New Roman" w:hAnsi="Arial" w:cs="Times New Roman"/>
      <w:b/>
      <w:i/>
      <w:sz w:val="18"/>
      <w:szCs w:val="20"/>
      <w:lang w:val="es-ES"/>
    </w:rPr>
  </w:style>
  <w:style w:type="paragraph" w:customStyle="1" w:styleId="FirstHeading">
    <w:name w:val="FirstHeading"/>
    <w:basedOn w:val="Normal"/>
    <w:next w:val="Normal"/>
    <w:pPr>
      <w:keepNext/>
      <w:numPr>
        <w:numId w:val="5"/>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Paragraph"/>
    <w:pPr>
      <w:keepNext/>
      <w:numPr>
        <w:ilvl w:val="1"/>
        <w:numId w:val="5"/>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
    </w:rPr>
  </w:style>
  <w:style w:type="paragraph" w:customStyle="1" w:styleId="SubHeading1">
    <w:name w:val="SubHeading1"/>
    <w:basedOn w:val="SecHeading"/>
    <w:pPr>
      <w:numPr>
        <w:ilvl w:val="2"/>
      </w:numPr>
      <w:tabs>
        <w:tab w:val="clear" w:pos="5976"/>
        <w:tab w:val="num" w:pos="1872"/>
      </w:tabs>
      <w:ind w:left="1872"/>
    </w:pPr>
  </w:style>
  <w:style w:type="paragraph" w:customStyle="1" w:styleId="Subheading2">
    <w:name w:val="Subheading2"/>
    <w:basedOn w:val="SecHeading"/>
    <w:pPr>
      <w:numPr>
        <w:ilvl w:val="3"/>
      </w:numPr>
      <w:tabs>
        <w:tab w:val="clear" w:pos="6480"/>
        <w:tab w:val="num" w:pos="2376"/>
      </w:tabs>
      <w:ind w:left="2376"/>
    </w:pPr>
  </w:style>
  <w:style w:type="character" w:customStyle="1" w:styleId="Mention1">
    <w:name w:val="Mention1"/>
    <w:basedOn w:val="DefaultParagraphFont"/>
    <w:uiPriority w:val="99"/>
    <w:semiHidden/>
    <w:unhideWhenUsed/>
    <w:rPr>
      <w:color w:val="2B579A"/>
      <w:shd w:val="clear" w:color="auto" w:fill="E6E6E6"/>
    </w:rPr>
  </w:style>
  <w:style w:type="paragraph" w:styleId="TOCHeading">
    <w:name w:val="TOC Heading"/>
    <w:basedOn w:val="Heading1"/>
    <w:next w:val="Normal"/>
    <w:uiPriority w:val="39"/>
    <w:unhideWhenUsed/>
    <w:qFormat/>
    <w:pPr>
      <w:keepLines/>
      <w:tabs>
        <w:tab w:val="clear" w:pos="360"/>
      </w:tabs>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3">
    <w:name w:val="toc 3"/>
    <w:basedOn w:val="Normal"/>
    <w:next w:val="Normal"/>
    <w:autoRedefine/>
    <w:uiPriority w:val="39"/>
    <w:unhideWhenUsed/>
    <w:pPr>
      <w:spacing w:after="100"/>
      <w:ind w:left="440"/>
    </w:pPr>
  </w:style>
  <w:style w:type="paragraph" w:styleId="TOC1">
    <w:name w:val="toc 1"/>
    <w:basedOn w:val="Normal"/>
    <w:next w:val="Normal"/>
    <w:autoRedefine/>
    <w:uiPriority w:val="39"/>
    <w:unhideWhenUsed/>
    <w:pPr>
      <w:tabs>
        <w:tab w:val="left" w:pos="440"/>
        <w:tab w:val="right" w:leader="dot" w:pos="9016"/>
      </w:tabs>
      <w:spacing w:after="100"/>
      <w:jc w:val="center"/>
    </w:pPr>
  </w:style>
  <w:style w:type="paragraph" w:styleId="TOC2">
    <w:name w:val="toc 2"/>
    <w:basedOn w:val="Normal"/>
    <w:next w:val="Normal"/>
    <w:autoRedefine/>
    <w:uiPriority w:val="39"/>
    <w:unhideWhenUsed/>
    <w:rsid w:val="00553D78"/>
    <w:pPr>
      <w:tabs>
        <w:tab w:val="left" w:pos="880"/>
        <w:tab w:val="right" w:leader="dot" w:pos="9102"/>
      </w:tabs>
      <w:spacing w:after="100"/>
      <w:ind w:left="220"/>
    </w:pPr>
  </w:style>
  <w:style w:type="paragraph" w:styleId="Caption">
    <w:name w:val="caption"/>
    <w:basedOn w:val="Normal"/>
    <w:next w:val="Normal"/>
    <w:semiHidden/>
    <w:unhideWhenUsed/>
    <w:qFormat/>
    <w:pPr>
      <w:spacing w:after="0" w:line="240" w:lineRule="auto"/>
    </w:pPr>
    <w:rPr>
      <w:rFonts w:ascii="Times New Roman" w:eastAsia="Times New Roman" w:hAnsi="Times New Roman" w:cs="Times New Roman"/>
      <w:b/>
      <w:bCs/>
      <w:noProof/>
      <w:sz w:val="20"/>
      <w:szCs w:val="20"/>
      <w:lang w:val="es-ES" w:eastAsia="es-ES"/>
    </w:rPr>
  </w:style>
  <w:style w:type="character" w:styleId="PlaceholderText">
    <w:name w:val="Placeholder Text"/>
    <w:basedOn w:val="DefaultParagraphFont"/>
    <w:uiPriority w:val="99"/>
    <w:semiHidden/>
    <w:rPr>
      <w:color w:val="808080"/>
    </w:rPr>
  </w:style>
  <w:style w:type="character" w:styleId="Mention">
    <w:name w:val="Mention"/>
    <w:basedOn w:val="DefaultParagraphFont"/>
    <w:uiPriority w:val="99"/>
    <w:semiHidden/>
    <w:unhideWhenUsed/>
    <w:rPr>
      <w:color w:val="2B579A"/>
      <w:shd w:val="clear" w:color="auto" w:fill="E6E6E6"/>
    </w:rPr>
  </w:style>
  <w:style w:type="character" w:styleId="UnresolvedMention">
    <w:name w:val="Unresolved Mention"/>
    <w:basedOn w:val="DefaultParagraphFont"/>
    <w:uiPriority w:val="99"/>
    <w:semiHidden/>
    <w:unhideWhenUsed/>
    <w:rPr>
      <w:color w:val="808080"/>
      <w:shd w:val="clear" w:color="auto" w:fill="E6E6E6"/>
    </w:rPr>
  </w:style>
  <w:style w:type="paragraph" w:customStyle="1" w:styleId="Char2">
    <w:name w:val="Char2"/>
    <w:basedOn w:val="Normal"/>
    <w:link w:val="FootnoteReference"/>
    <w:uiPriority w:val="99"/>
    <w:rsid w:val="0063588A"/>
    <w:pPr>
      <w:spacing w:after="160" w:line="240" w:lineRule="exact"/>
    </w:pPr>
    <w:rPr>
      <w:vertAlign w:val="superscript"/>
    </w:rPr>
  </w:style>
  <w:style w:type="character" w:customStyle="1" w:styleId="pages4">
    <w:name w:val="pages4"/>
    <w:basedOn w:val="DefaultParagraphFont"/>
    <w:rsid w:val="0056292F"/>
  </w:style>
  <w:style w:type="character" w:customStyle="1" w:styleId="ListParagraphChar">
    <w:name w:val="List Paragraph Char"/>
    <w:link w:val="ListParagraph"/>
    <w:uiPriority w:val="99"/>
    <w:locked/>
    <w:rsid w:val="008F0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02099">
      <w:bodyDiv w:val="1"/>
      <w:marLeft w:val="0"/>
      <w:marRight w:val="0"/>
      <w:marTop w:val="0"/>
      <w:marBottom w:val="0"/>
      <w:divBdr>
        <w:top w:val="none" w:sz="0" w:space="0" w:color="auto"/>
        <w:left w:val="none" w:sz="0" w:space="0" w:color="auto"/>
        <w:bottom w:val="none" w:sz="0" w:space="0" w:color="auto"/>
        <w:right w:val="none" w:sz="0" w:space="0" w:color="auto"/>
      </w:divBdr>
    </w:div>
    <w:div w:id="134957431">
      <w:bodyDiv w:val="1"/>
      <w:marLeft w:val="0"/>
      <w:marRight w:val="0"/>
      <w:marTop w:val="0"/>
      <w:marBottom w:val="0"/>
      <w:divBdr>
        <w:top w:val="none" w:sz="0" w:space="0" w:color="auto"/>
        <w:left w:val="none" w:sz="0" w:space="0" w:color="auto"/>
        <w:bottom w:val="none" w:sz="0" w:space="0" w:color="auto"/>
        <w:right w:val="none" w:sz="0" w:space="0" w:color="auto"/>
      </w:divBdr>
    </w:div>
    <w:div w:id="161243374">
      <w:bodyDiv w:val="1"/>
      <w:marLeft w:val="0"/>
      <w:marRight w:val="0"/>
      <w:marTop w:val="0"/>
      <w:marBottom w:val="0"/>
      <w:divBdr>
        <w:top w:val="none" w:sz="0" w:space="0" w:color="auto"/>
        <w:left w:val="none" w:sz="0" w:space="0" w:color="auto"/>
        <w:bottom w:val="none" w:sz="0" w:space="0" w:color="auto"/>
        <w:right w:val="none" w:sz="0" w:space="0" w:color="auto"/>
      </w:divBdr>
    </w:div>
    <w:div w:id="198327114">
      <w:bodyDiv w:val="1"/>
      <w:marLeft w:val="0"/>
      <w:marRight w:val="0"/>
      <w:marTop w:val="0"/>
      <w:marBottom w:val="0"/>
      <w:divBdr>
        <w:top w:val="none" w:sz="0" w:space="0" w:color="auto"/>
        <w:left w:val="none" w:sz="0" w:space="0" w:color="auto"/>
        <w:bottom w:val="none" w:sz="0" w:space="0" w:color="auto"/>
        <w:right w:val="none" w:sz="0" w:space="0" w:color="auto"/>
      </w:divBdr>
    </w:div>
    <w:div w:id="269699989">
      <w:bodyDiv w:val="1"/>
      <w:marLeft w:val="0"/>
      <w:marRight w:val="0"/>
      <w:marTop w:val="0"/>
      <w:marBottom w:val="0"/>
      <w:divBdr>
        <w:top w:val="none" w:sz="0" w:space="0" w:color="auto"/>
        <w:left w:val="none" w:sz="0" w:space="0" w:color="auto"/>
        <w:bottom w:val="none" w:sz="0" w:space="0" w:color="auto"/>
        <w:right w:val="none" w:sz="0" w:space="0" w:color="auto"/>
      </w:divBdr>
    </w:div>
    <w:div w:id="270011840">
      <w:bodyDiv w:val="1"/>
      <w:marLeft w:val="0"/>
      <w:marRight w:val="0"/>
      <w:marTop w:val="0"/>
      <w:marBottom w:val="0"/>
      <w:divBdr>
        <w:top w:val="none" w:sz="0" w:space="0" w:color="auto"/>
        <w:left w:val="none" w:sz="0" w:space="0" w:color="auto"/>
        <w:bottom w:val="none" w:sz="0" w:space="0" w:color="auto"/>
        <w:right w:val="none" w:sz="0" w:space="0" w:color="auto"/>
      </w:divBdr>
    </w:div>
    <w:div w:id="275674487">
      <w:bodyDiv w:val="1"/>
      <w:marLeft w:val="0"/>
      <w:marRight w:val="0"/>
      <w:marTop w:val="0"/>
      <w:marBottom w:val="0"/>
      <w:divBdr>
        <w:top w:val="none" w:sz="0" w:space="0" w:color="auto"/>
        <w:left w:val="none" w:sz="0" w:space="0" w:color="auto"/>
        <w:bottom w:val="none" w:sz="0" w:space="0" w:color="auto"/>
        <w:right w:val="none" w:sz="0" w:space="0" w:color="auto"/>
      </w:divBdr>
    </w:div>
    <w:div w:id="311561256">
      <w:bodyDiv w:val="1"/>
      <w:marLeft w:val="0"/>
      <w:marRight w:val="0"/>
      <w:marTop w:val="0"/>
      <w:marBottom w:val="0"/>
      <w:divBdr>
        <w:top w:val="none" w:sz="0" w:space="0" w:color="auto"/>
        <w:left w:val="none" w:sz="0" w:space="0" w:color="auto"/>
        <w:bottom w:val="none" w:sz="0" w:space="0" w:color="auto"/>
        <w:right w:val="none" w:sz="0" w:space="0" w:color="auto"/>
      </w:divBdr>
    </w:div>
    <w:div w:id="383649291">
      <w:bodyDiv w:val="1"/>
      <w:marLeft w:val="0"/>
      <w:marRight w:val="0"/>
      <w:marTop w:val="0"/>
      <w:marBottom w:val="0"/>
      <w:divBdr>
        <w:top w:val="none" w:sz="0" w:space="0" w:color="auto"/>
        <w:left w:val="none" w:sz="0" w:space="0" w:color="auto"/>
        <w:bottom w:val="none" w:sz="0" w:space="0" w:color="auto"/>
        <w:right w:val="none" w:sz="0" w:space="0" w:color="auto"/>
      </w:divBdr>
    </w:div>
    <w:div w:id="414017489">
      <w:bodyDiv w:val="1"/>
      <w:marLeft w:val="0"/>
      <w:marRight w:val="0"/>
      <w:marTop w:val="0"/>
      <w:marBottom w:val="0"/>
      <w:divBdr>
        <w:top w:val="none" w:sz="0" w:space="0" w:color="auto"/>
        <w:left w:val="none" w:sz="0" w:space="0" w:color="auto"/>
        <w:bottom w:val="none" w:sz="0" w:space="0" w:color="auto"/>
        <w:right w:val="none" w:sz="0" w:space="0" w:color="auto"/>
      </w:divBdr>
    </w:div>
    <w:div w:id="488523229">
      <w:bodyDiv w:val="1"/>
      <w:marLeft w:val="0"/>
      <w:marRight w:val="0"/>
      <w:marTop w:val="0"/>
      <w:marBottom w:val="0"/>
      <w:divBdr>
        <w:top w:val="none" w:sz="0" w:space="0" w:color="auto"/>
        <w:left w:val="none" w:sz="0" w:space="0" w:color="auto"/>
        <w:bottom w:val="none" w:sz="0" w:space="0" w:color="auto"/>
        <w:right w:val="none" w:sz="0" w:space="0" w:color="auto"/>
      </w:divBdr>
    </w:div>
    <w:div w:id="522745445">
      <w:bodyDiv w:val="1"/>
      <w:marLeft w:val="0"/>
      <w:marRight w:val="0"/>
      <w:marTop w:val="0"/>
      <w:marBottom w:val="0"/>
      <w:divBdr>
        <w:top w:val="none" w:sz="0" w:space="0" w:color="auto"/>
        <w:left w:val="none" w:sz="0" w:space="0" w:color="auto"/>
        <w:bottom w:val="none" w:sz="0" w:space="0" w:color="auto"/>
        <w:right w:val="none" w:sz="0" w:space="0" w:color="auto"/>
      </w:divBdr>
    </w:div>
    <w:div w:id="541212734">
      <w:bodyDiv w:val="1"/>
      <w:marLeft w:val="0"/>
      <w:marRight w:val="0"/>
      <w:marTop w:val="0"/>
      <w:marBottom w:val="0"/>
      <w:divBdr>
        <w:top w:val="none" w:sz="0" w:space="0" w:color="auto"/>
        <w:left w:val="none" w:sz="0" w:space="0" w:color="auto"/>
        <w:bottom w:val="none" w:sz="0" w:space="0" w:color="auto"/>
        <w:right w:val="none" w:sz="0" w:space="0" w:color="auto"/>
      </w:divBdr>
    </w:div>
    <w:div w:id="547104417">
      <w:bodyDiv w:val="1"/>
      <w:marLeft w:val="0"/>
      <w:marRight w:val="0"/>
      <w:marTop w:val="0"/>
      <w:marBottom w:val="0"/>
      <w:divBdr>
        <w:top w:val="none" w:sz="0" w:space="0" w:color="auto"/>
        <w:left w:val="none" w:sz="0" w:space="0" w:color="auto"/>
        <w:bottom w:val="none" w:sz="0" w:space="0" w:color="auto"/>
        <w:right w:val="none" w:sz="0" w:space="0" w:color="auto"/>
      </w:divBdr>
    </w:div>
    <w:div w:id="564413563">
      <w:bodyDiv w:val="1"/>
      <w:marLeft w:val="0"/>
      <w:marRight w:val="0"/>
      <w:marTop w:val="0"/>
      <w:marBottom w:val="0"/>
      <w:divBdr>
        <w:top w:val="none" w:sz="0" w:space="0" w:color="auto"/>
        <w:left w:val="none" w:sz="0" w:space="0" w:color="auto"/>
        <w:bottom w:val="none" w:sz="0" w:space="0" w:color="auto"/>
        <w:right w:val="none" w:sz="0" w:space="0" w:color="auto"/>
      </w:divBdr>
    </w:div>
    <w:div w:id="627206383">
      <w:bodyDiv w:val="1"/>
      <w:marLeft w:val="0"/>
      <w:marRight w:val="0"/>
      <w:marTop w:val="0"/>
      <w:marBottom w:val="0"/>
      <w:divBdr>
        <w:top w:val="none" w:sz="0" w:space="0" w:color="auto"/>
        <w:left w:val="none" w:sz="0" w:space="0" w:color="auto"/>
        <w:bottom w:val="none" w:sz="0" w:space="0" w:color="auto"/>
        <w:right w:val="none" w:sz="0" w:space="0" w:color="auto"/>
      </w:divBdr>
    </w:div>
    <w:div w:id="630210262">
      <w:bodyDiv w:val="1"/>
      <w:marLeft w:val="0"/>
      <w:marRight w:val="0"/>
      <w:marTop w:val="0"/>
      <w:marBottom w:val="0"/>
      <w:divBdr>
        <w:top w:val="none" w:sz="0" w:space="0" w:color="auto"/>
        <w:left w:val="none" w:sz="0" w:space="0" w:color="auto"/>
        <w:bottom w:val="none" w:sz="0" w:space="0" w:color="auto"/>
        <w:right w:val="none" w:sz="0" w:space="0" w:color="auto"/>
      </w:divBdr>
    </w:div>
    <w:div w:id="631639082">
      <w:bodyDiv w:val="1"/>
      <w:marLeft w:val="0"/>
      <w:marRight w:val="0"/>
      <w:marTop w:val="0"/>
      <w:marBottom w:val="0"/>
      <w:divBdr>
        <w:top w:val="none" w:sz="0" w:space="0" w:color="auto"/>
        <w:left w:val="none" w:sz="0" w:space="0" w:color="auto"/>
        <w:bottom w:val="none" w:sz="0" w:space="0" w:color="auto"/>
        <w:right w:val="none" w:sz="0" w:space="0" w:color="auto"/>
      </w:divBdr>
    </w:div>
    <w:div w:id="637498391">
      <w:bodyDiv w:val="1"/>
      <w:marLeft w:val="0"/>
      <w:marRight w:val="0"/>
      <w:marTop w:val="0"/>
      <w:marBottom w:val="0"/>
      <w:divBdr>
        <w:top w:val="none" w:sz="0" w:space="0" w:color="auto"/>
        <w:left w:val="none" w:sz="0" w:space="0" w:color="auto"/>
        <w:bottom w:val="none" w:sz="0" w:space="0" w:color="auto"/>
        <w:right w:val="none" w:sz="0" w:space="0" w:color="auto"/>
      </w:divBdr>
    </w:div>
    <w:div w:id="663433244">
      <w:bodyDiv w:val="1"/>
      <w:marLeft w:val="0"/>
      <w:marRight w:val="0"/>
      <w:marTop w:val="0"/>
      <w:marBottom w:val="0"/>
      <w:divBdr>
        <w:top w:val="none" w:sz="0" w:space="0" w:color="auto"/>
        <w:left w:val="none" w:sz="0" w:space="0" w:color="auto"/>
        <w:bottom w:val="none" w:sz="0" w:space="0" w:color="auto"/>
        <w:right w:val="none" w:sz="0" w:space="0" w:color="auto"/>
      </w:divBdr>
    </w:div>
    <w:div w:id="664865875">
      <w:bodyDiv w:val="1"/>
      <w:marLeft w:val="0"/>
      <w:marRight w:val="0"/>
      <w:marTop w:val="0"/>
      <w:marBottom w:val="0"/>
      <w:divBdr>
        <w:top w:val="none" w:sz="0" w:space="0" w:color="auto"/>
        <w:left w:val="none" w:sz="0" w:space="0" w:color="auto"/>
        <w:bottom w:val="none" w:sz="0" w:space="0" w:color="auto"/>
        <w:right w:val="none" w:sz="0" w:space="0" w:color="auto"/>
      </w:divBdr>
    </w:div>
    <w:div w:id="683820382">
      <w:bodyDiv w:val="1"/>
      <w:marLeft w:val="0"/>
      <w:marRight w:val="0"/>
      <w:marTop w:val="0"/>
      <w:marBottom w:val="0"/>
      <w:divBdr>
        <w:top w:val="none" w:sz="0" w:space="0" w:color="auto"/>
        <w:left w:val="none" w:sz="0" w:space="0" w:color="auto"/>
        <w:bottom w:val="none" w:sz="0" w:space="0" w:color="auto"/>
        <w:right w:val="none" w:sz="0" w:space="0" w:color="auto"/>
      </w:divBdr>
    </w:div>
    <w:div w:id="690839964">
      <w:bodyDiv w:val="1"/>
      <w:marLeft w:val="0"/>
      <w:marRight w:val="0"/>
      <w:marTop w:val="0"/>
      <w:marBottom w:val="0"/>
      <w:divBdr>
        <w:top w:val="none" w:sz="0" w:space="0" w:color="auto"/>
        <w:left w:val="none" w:sz="0" w:space="0" w:color="auto"/>
        <w:bottom w:val="none" w:sz="0" w:space="0" w:color="auto"/>
        <w:right w:val="none" w:sz="0" w:space="0" w:color="auto"/>
      </w:divBdr>
    </w:div>
    <w:div w:id="702825551">
      <w:bodyDiv w:val="1"/>
      <w:marLeft w:val="0"/>
      <w:marRight w:val="0"/>
      <w:marTop w:val="0"/>
      <w:marBottom w:val="0"/>
      <w:divBdr>
        <w:top w:val="none" w:sz="0" w:space="0" w:color="auto"/>
        <w:left w:val="none" w:sz="0" w:space="0" w:color="auto"/>
        <w:bottom w:val="none" w:sz="0" w:space="0" w:color="auto"/>
        <w:right w:val="none" w:sz="0" w:space="0" w:color="auto"/>
      </w:divBdr>
    </w:div>
    <w:div w:id="716590910">
      <w:bodyDiv w:val="1"/>
      <w:marLeft w:val="0"/>
      <w:marRight w:val="0"/>
      <w:marTop w:val="0"/>
      <w:marBottom w:val="0"/>
      <w:divBdr>
        <w:top w:val="none" w:sz="0" w:space="0" w:color="auto"/>
        <w:left w:val="none" w:sz="0" w:space="0" w:color="auto"/>
        <w:bottom w:val="none" w:sz="0" w:space="0" w:color="auto"/>
        <w:right w:val="none" w:sz="0" w:space="0" w:color="auto"/>
      </w:divBdr>
    </w:div>
    <w:div w:id="720904336">
      <w:bodyDiv w:val="1"/>
      <w:marLeft w:val="0"/>
      <w:marRight w:val="0"/>
      <w:marTop w:val="0"/>
      <w:marBottom w:val="0"/>
      <w:divBdr>
        <w:top w:val="none" w:sz="0" w:space="0" w:color="auto"/>
        <w:left w:val="none" w:sz="0" w:space="0" w:color="auto"/>
        <w:bottom w:val="none" w:sz="0" w:space="0" w:color="auto"/>
        <w:right w:val="none" w:sz="0" w:space="0" w:color="auto"/>
      </w:divBdr>
    </w:div>
    <w:div w:id="750472730">
      <w:bodyDiv w:val="1"/>
      <w:marLeft w:val="0"/>
      <w:marRight w:val="0"/>
      <w:marTop w:val="0"/>
      <w:marBottom w:val="0"/>
      <w:divBdr>
        <w:top w:val="none" w:sz="0" w:space="0" w:color="auto"/>
        <w:left w:val="none" w:sz="0" w:space="0" w:color="auto"/>
        <w:bottom w:val="none" w:sz="0" w:space="0" w:color="auto"/>
        <w:right w:val="none" w:sz="0" w:space="0" w:color="auto"/>
      </w:divBdr>
    </w:div>
    <w:div w:id="795762257">
      <w:bodyDiv w:val="1"/>
      <w:marLeft w:val="0"/>
      <w:marRight w:val="0"/>
      <w:marTop w:val="0"/>
      <w:marBottom w:val="0"/>
      <w:divBdr>
        <w:top w:val="none" w:sz="0" w:space="0" w:color="auto"/>
        <w:left w:val="none" w:sz="0" w:space="0" w:color="auto"/>
        <w:bottom w:val="none" w:sz="0" w:space="0" w:color="auto"/>
        <w:right w:val="none" w:sz="0" w:space="0" w:color="auto"/>
      </w:divBdr>
    </w:div>
    <w:div w:id="799112992">
      <w:bodyDiv w:val="1"/>
      <w:marLeft w:val="0"/>
      <w:marRight w:val="0"/>
      <w:marTop w:val="0"/>
      <w:marBottom w:val="0"/>
      <w:divBdr>
        <w:top w:val="none" w:sz="0" w:space="0" w:color="auto"/>
        <w:left w:val="none" w:sz="0" w:space="0" w:color="auto"/>
        <w:bottom w:val="none" w:sz="0" w:space="0" w:color="auto"/>
        <w:right w:val="none" w:sz="0" w:space="0" w:color="auto"/>
      </w:divBdr>
    </w:div>
    <w:div w:id="840855124">
      <w:bodyDiv w:val="1"/>
      <w:marLeft w:val="0"/>
      <w:marRight w:val="0"/>
      <w:marTop w:val="0"/>
      <w:marBottom w:val="0"/>
      <w:divBdr>
        <w:top w:val="none" w:sz="0" w:space="0" w:color="auto"/>
        <w:left w:val="none" w:sz="0" w:space="0" w:color="auto"/>
        <w:bottom w:val="none" w:sz="0" w:space="0" w:color="auto"/>
        <w:right w:val="none" w:sz="0" w:space="0" w:color="auto"/>
      </w:divBdr>
    </w:div>
    <w:div w:id="841703978">
      <w:bodyDiv w:val="1"/>
      <w:marLeft w:val="0"/>
      <w:marRight w:val="0"/>
      <w:marTop w:val="0"/>
      <w:marBottom w:val="0"/>
      <w:divBdr>
        <w:top w:val="none" w:sz="0" w:space="0" w:color="auto"/>
        <w:left w:val="none" w:sz="0" w:space="0" w:color="auto"/>
        <w:bottom w:val="none" w:sz="0" w:space="0" w:color="auto"/>
        <w:right w:val="none" w:sz="0" w:space="0" w:color="auto"/>
      </w:divBdr>
    </w:div>
    <w:div w:id="864683091">
      <w:bodyDiv w:val="1"/>
      <w:marLeft w:val="0"/>
      <w:marRight w:val="0"/>
      <w:marTop w:val="0"/>
      <w:marBottom w:val="0"/>
      <w:divBdr>
        <w:top w:val="none" w:sz="0" w:space="0" w:color="auto"/>
        <w:left w:val="none" w:sz="0" w:space="0" w:color="auto"/>
        <w:bottom w:val="none" w:sz="0" w:space="0" w:color="auto"/>
        <w:right w:val="none" w:sz="0" w:space="0" w:color="auto"/>
      </w:divBdr>
    </w:div>
    <w:div w:id="901214189">
      <w:bodyDiv w:val="1"/>
      <w:marLeft w:val="0"/>
      <w:marRight w:val="0"/>
      <w:marTop w:val="0"/>
      <w:marBottom w:val="0"/>
      <w:divBdr>
        <w:top w:val="none" w:sz="0" w:space="0" w:color="auto"/>
        <w:left w:val="none" w:sz="0" w:space="0" w:color="auto"/>
        <w:bottom w:val="none" w:sz="0" w:space="0" w:color="auto"/>
        <w:right w:val="none" w:sz="0" w:space="0" w:color="auto"/>
      </w:divBdr>
    </w:div>
    <w:div w:id="915481042">
      <w:bodyDiv w:val="1"/>
      <w:marLeft w:val="0"/>
      <w:marRight w:val="0"/>
      <w:marTop w:val="0"/>
      <w:marBottom w:val="0"/>
      <w:divBdr>
        <w:top w:val="none" w:sz="0" w:space="0" w:color="auto"/>
        <w:left w:val="none" w:sz="0" w:space="0" w:color="auto"/>
        <w:bottom w:val="none" w:sz="0" w:space="0" w:color="auto"/>
        <w:right w:val="none" w:sz="0" w:space="0" w:color="auto"/>
      </w:divBdr>
    </w:div>
    <w:div w:id="942030233">
      <w:bodyDiv w:val="1"/>
      <w:marLeft w:val="0"/>
      <w:marRight w:val="0"/>
      <w:marTop w:val="0"/>
      <w:marBottom w:val="0"/>
      <w:divBdr>
        <w:top w:val="none" w:sz="0" w:space="0" w:color="auto"/>
        <w:left w:val="none" w:sz="0" w:space="0" w:color="auto"/>
        <w:bottom w:val="none" w:sz="0" w:space="0" w:color="auto"/>
        <w:right w:val="none" w:sz="0" w:space="0" w:color="auto"/>
      </w:divBdr>
      <w:divsChild>
        <w:div w:id="494342613">
          <w:marLeft w:val="0"/>
          <w:marRight w:val="0"/>
          <w:marTop w:val="0"/>
          <w:marBottom w:val="0"/>
          <w:divBdr>
            <w:top w:val="none" w:sz="0" w:space="0" w:color="auto"/>
            <w:left w:val="none" w:sz="0" w:space="0" w:color="auto"/>
            <w:bottom w:val="none" w:sz="0" w:space="0" w:color="auto"/>
            <w:right w:val="none" w:sz="0" w:space="0" w:color="auto"/>
          </w:divBdr>
          <w:divsChild>
            <w:div w:id="1414356163">
              <w:marLeft w:val="0"/>
              <w:marRight w:val="0"/>
              <w:marTop w:val="0"/>
              <w:marBottom w:val="0"/>
              <w:divBdr>
                <w:top w:val="none" w:sz="0" w:space="0" w:color="auto"/>
                <w:left w:val="none" w:sz="0" w:space="0" w:color="auto"/>
                <w:bottom w:val="none" w:sz="0" w:space="0" w:color="auto"/>
                <w:right w:val="none" w:sz="0" w:space="0" w:color="auto"/>
              </w:divBdr>
              <w:divsChild>
                <w:div w:id="187068166">
                  <w:marLeft w:val="0"/>
                  <w:marRight w:val="0"/>
                  <w:marTop w:val="0"/>
                  <w:marBottom w:val="0"/>
                  <w:divBdr>
                    <w:top w:val="none" w:sz="0" w:space="0" w:color="auto"/>
                    <w:left w:val="none" w:sz="0" w:space="0" w:color="auto"/>
                    <w:bottom w:val="none" w:sz="0" w:space="0" w:color="auto"/>
                    <w:right w:val="none" w:sz="0" w:space="0" w:color="auto"/>
                  </w:divBdr>
                  <w:divsChild>
                    <w:div w:id="1110852987">
                      <w:marLeft w:val="0"/>
                      <w:marRight w:val="0"/>
                      <w:marTop w:val="0"/>
                      <w:marBottom w:val="0"/>
                      <w:divBdr>
                        <w:top w:val="none" w:sz="0" w:space="0" w:color="auto"/>
                        <w:left w:val="none" w:sz="0" w:space="0" w:color="auto"/>
                        <w:bottom w:val="none" w:sz="0" w:space="0" w:color="auto"/>
                        <w:right w:val="none" w:sz="0" w:space="0" w:color="auto"/>
                      </w:divBdr>
                      <w:divsChild>
                        <w:div w:id="242111148">
                          <w:marLeft w:val="0"/>
                          <w:marRight w:val="0"/>
                          <w:marTop w:val="0"/>
                          <w:marBottom w:val="0"/>
                          <w:divBdr>
                            <w:top w:val="none" w:sz="0" w:space="0" w:color="auto"/>
                            <w:left w:val="none" w:sz="0" w:space="0" w:color="auto"/>
                            <w:bottom w:val="none" w:sz="0" w:space="0" w:color="auto"/>
                            <w:right w:val="none" w:sz="0" w:space="0" w:color="auto"/>
                          </w:divBdr>
                          <w:divsChild>
                            <w:div w:id="1777754116">
                              <w:marLeft w:val="0"/>
                              <w:marRight w:val="0"/>
                              <w:marTop w:val="0"/>
                              <w:marBottom w:val="0"/>
                              <w:divBdr>
                                <w:top w:val="none" w:sz="0" w:space="0" w:color="auto"/>
                                <w:left w:val="none" w:sz="0" w:space="0" w:color="auto"/>
                                <w:bottom w:val="none" w:sz="0" w:space="0" w:color="auto"/>
                                <w:right w:val="none" w:sz="0" w:space="0" w:color="auto"/>
                              </w:divBdr>
                              <w:divsChild>
                                <w:div w:id="325326263">
                                  <w:marLeft w:val="0"/>
                                  <w:marRight w:val="0"/>
                                  <w:marTop w:val="0"/>
                                  <w:marBottom w:val="0"/>
                                  <w:divBdr>
                                    <w:top w:val="none" w:sz="0" w:space="0" w:color="auto"/>
                                    <w:left w:val="none" w:sz="0" w:space="0" w:color="auto"/>
                                    <w:bottom w:val="none" w:sz="0" w:space="0" w:color="auto"/>
                                    <w:right w:val="none" w:sz="0" w:space="0" w:color="auto"/>
                                  </w:divBdr>
                                  <w:divsChild>
                                    <w:div w:id="1620407998">
                                      <w:marLeft w:val="60"/>
                                      <w:marRight w:val="0"/>
                                      <w:marTop w:val="0"/>
                                      <w:marBottom w:val="0"/>
                                      <w:divBdr>
                                        <w:top w:val="none" w:sz="0" w:space="0" w:color="auto"/>
                                        <w:left w:val="none" w:sz="0" w:space="0" w:color="auto"/>
                                        <w:bottom w:val="none" w:sz="0" w:space="0" w:color="auto"/>
                                        <w:right w:val="none" w:sz="0" w:space="0" w:color="auto"/>
                                      </w:divBdr>
                                      <w:divsChild>
                                        <w:div w:id="1426807833">
                                          <w:marLeft w:val="0"/>
                                          <w:marRight w:val="0"/>
                                          <w:marTop w:val="0"/>
                                          <w:marBottom w:val="0"/>
                                          <w:divBdr>
                                            <w:top w:val="none" w:sz="0" w:space="0" w:color="auto"/>
                                            <w:left w:val="none" w:sz="0" w:space="0" w:color="auto"/>
                                            <w:bottom w:val="none" w:sz="0" w:space="0" w:color="auto"/>
                                            <w:right w:val="none" w:sz="0" w:space="0" w:color="auto"/>
                                          </w:divBdr>
                                          <w:divsChild>
                                            <w:div w:id="521868689">
                                              <w:marLeft w:val="0"/>
                                              <w:marRight w:val="0"/>
                                              <w:marTop w:val="0"/>
                                              <w:marBottom w:val="120"/>
                                              <w:divBdr>
                                                <w:top w:val="single" w:sz="6" w:space="0" w:color="F5F5F5"/>
                                                <w:left w:val="single" w:sz="6" w:space="0" w:color="F5F5F5"/>
                                                <w:bottom w:val="single" w:sz="6" w:space="0" w:color="F5F5F5"/>
                                                <w:right w:val="single" w:sz="6" w:space="0" w:color="F5F5F5"/>
                                              </w:divBdr>
                                              <w:divsChild>
                                                <w:div w:id="761728732">
                                                  <w:marLeft w:val="0"/>
                                                  <w:marRight w:val="0"/>
                                                  <w:marTop w:val="0"/>
                                                  <w:marBottom w:val="0"/>
                                                  <w:divBdr>
                                                    <w:top w:val="none" w:sz="0" w:space="0" w:color="auto"/>
                                                    <w:left w:val="none" w:sz="0" w:space="0" w:color="auto"/>
                                                    <w:bottom w:val="none" w:sz="0" w:space="0" w:color="auto"/>
                                                    <w:right w:val="none" w:sz="0" w:space="0" w:color="auto"/>
                                                  </w:divBdr>
                                                  <w:divsChild>
                                                    <w:div w:id="1756046446">
                                                      <w:marLeft w:val="0"/>
                                                      <w:marRight w:val="0"/>
                                                      <w:marTop w:val="0"/>
                                                      <w:marBottom w:val="0"/>
                                                      <w:divBdr>
                                                        <w:top w:val="none" w:sz="0" w:space="0" w:color="auto"/>
                                                        <w:left w:val="none" w:sz="0" w:space="0" w:color="auto"/>
                                                        <w:bottom w:val="none" w:sz="0" w:space="0" w:color="auto"/>
                                                        <w:right w:val="none" w:sz="0" w:space="0" w:color="auto"/>
                                                      </w:divBdr>
                                                    </w:div>
                                                  </w:divsChild>
                                                </w:div>
                                                <w:div w:id="77749375">
                                                  <w:marLeft w:val="0"/>
                                                  <w:marRight w:val="0"/>
                                                  <w:marTop w:val="0"/>
                                                  <w:marBottom w:val="0"/>
                                                  <w:divBdr>
                                                    <w:top w:val="none" w:sz="0" w:space="0" w:color="auto"/>
                                                    <w:left w:val="none" w:sz="0" w:space="0" w:color="auto"/>
                                                    <w:bottom w:val="none" w:sz="0" w:space="0" w:color="auto"/>
                                                    <w:right w:val="none" w:sz="0" w:space="0" w:color="auto"/>
                                                  </w:divBdr>
                                                  <w:divsChild>
                                                    <w:div w:id="511385312">
                                                      <w:marLeft w:val="0"/>
                                                      <w:marRight w:val="0"/>
                                                      <w:marTop w:val="0"/>
                                                      <w:marBottom w:val="0"/>
                                                      <w:divBdr>
                                                        <w:top w:val="none" w:sz="0" w:space="0" w:color="auto"/>
                                                        <w:left w:val="none" w:sz="0" w:space="0" w:color="auto"/>
                                                        <w:bottom w:val="none" w:sz="0" w:space="0" w:color="auto"/>
                                                        <w:right w:val="none" w:sz="0" w:space="0" w:color="auto"/>
                                                      </w:divBdr>
                                                    </w:div>
                                                  </w:divsChild>
                                                </w:div>
                                                <w:div w:id="933975804">
                                                  <w:marLeft w:val="0"/>
                                                  <w:marRight w:val="0"/>
                                                  <w:marTop w:val="0"/>
                                                  <w:marBottom w:val="0"/>
                                                  <w:divBdr>
                                                    <w:top w:val="none" w:sz="0" w:space="0" w:color="auto"/>
                                                    <w:left w:val="none" w:sz="0" w:space="0" w:color="auto"/>
                                                    <w:bottom w:val="none" w:sz="0" w:space="0" w:color="auto"/>
                                                    <w:right w:val="none" w:sz="0" w:space="0" w:color="auto"/>
                                                  </w:divBdr>
                                                  <w:divsChild>
                                                    <w:div w:id="1419063487">
                                                      <w:marLeft w:val="0"/>
                                                      <w:marRight w:val="0"/>
                                                      <w:marTop w:val="0"/>
                                                      <w:marBottom w:val="0"/>
                                                      <w:divBdr>
                                                        <w:top w:val="none" w:sz="0" w:space="0" w:color="auto"/>
                                                        <w:left w:val="none" w:sz="0" w:space="0" w:color="auto"/>
                                                        <w:bottom w:val="none" w:sz="0" w:space="0" w:color="auto"/>
                                                        <w:right w:val="none" w:sz="0" w:space="0" w:color="auto"/>
                                                      </w:divBdr>
                                                      <w:divsChild>
                                                        <w:div w:id="692806157">
                                                          <w:marLeft w:val="0"/>
                                                          <w:marRight w:val="0"/>
                                                          <w:marTop w:val="0"/>
                                                          <w:marBottom w:val="0"/>
                                                          <w:divBdr>
                                                            <w:top w:val="none" w:sz="0" w:space="0" w:color="auto"/>
                                                            <w:left w:val="none" w:sz="0" w:space="0" w:color="auto"/>
                                                            <w:bottom w:val="none" w:sz="0" w:space="0" w:color="auto"/>
                                                            <w:right w:val="none" w:sz="0" w:space="0" w:color="auto"/>
                                                          </w:divBdr>
                                                        </w:div>
                                                        <w:div w:id="11547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566621">
                                              <w:marLeft w:val="0"/>
                                              <w:marRight w:val="0"/>
                                              <w:marTop w:val="0"/>
                                              <w:marBottom w:val="0"/>
                                              <w:divBdr>
                                                <w:top w:val="none" w:sz="0" w:space="0" w:color="auto"/>
                                                <w:left w:val="none" w:sz="0" w:space="0" w:color="auto"/>
                                                <w:bottom w:val="none" w:sz="0" w:space="0" w:color="auto"/>
                                                <w:right w:val="none" w:sz="0" w:space="0" w:color="auto"/>
                                              </w:divBdr>
                                              <w:divsChild>
                                                <w:div w:id="1298300712">
                                                  <w:marLeft w:val="0"/>
                                                  <w:marRight w:val="0"/>
                                                  <w:marTop w:val="600"/>
                                                  <w:marBottom w:val="0"/>
                                                  <w:divBdr>
                                                    <w:top w:val="none" w:sz="0" w:space="0" w:color="auto"/>
                                                    <w:left w:val="none" w:sz="0" w:space="0" w:color="auto"/>
                                                    <w:bottom w:val="none" w:sz="0" w:space="0" w:color="auto"/>
                                                    <w:right w:val="none" w:sz="0" w:space="0" w:color="auto"/>
                                                  </w:divBdr>
                                                  <w:divsChild>
                                                    <w:div w:id="918060913">
                                                      <w:marLeft w:val="0"/>
                                                      <w:marRight w:val="0"/>
                                                      <w:marTop w:val="0"/>
                                                      <w:marBottom w:val="0"/>
                                                      <w:divBdr>
                                                        <w:top w:val="none" w:sz="0" w:space="0" w:color="auto"/>
                                                        <w:left w:val="none" w:sz="0" w:space="0" w:color="auto"/>
                                                        <w:bottom w:val="none" w:sz="0" w:space="0" w:color="auto"/>
                                                        <w:right w:val="none" w:sz="0" w:space="0" w:color="auto"/>
                                                      </w:divBdr>
                                                      <w:divsChild>
                                                        <w:div w:id="571889708">
                                                          <w:marLeft w:val="0"/>
                                                          <w:marRight w:val="0"/>
                                                          <w:marTop w:val="0"/>
                                                          <w:marBottom w:val="0"/>
                                                          <w:divBdr>
                                                            <w:top w:val="none" w:sz="0" w:space="0" w:color="auto"/>
                                                            <w:left w:val="none" w:sz="0" w:space="0" w:color="auto"/>
                                                            <w:bottom w:val="none" w:sz="0" w:space="0" w:color="auto"/>
                                                            <w:right w:val="none" w:sz="0" w:space="0" w:color="auto"/>
                                                          </w:divBdr>
                                                          <w:divsChild>
                                                            <w:div w:id="1555190650">
                                                              <w:marLeft w:val="0"/>
                                                              <w:marRight w:val="0"/>
                                                              <w:marTop w:val="0"/>
                                                              <w:marBottom w:val="0"/>
                                                              <w:divBdr>
                                                                <w:top w:val="none" w:sz="0" w:space="0" w:color="auto"/>
                                                                <w:left w:val="none" w:sz="0" w:space="0" w:color="auto"/>
                                                                <w:bottom w:val="none" w:sz="0" w:space="0" w:color="auto"/>
                                                                <w:right w:val="none" w:sz="0" w:space="0" w:color="auto"/>
                                                              </w:divBdr>
                                                              <w:divsChild>
                                                                <w:div w:id="767891262">
                                                                  <w:marLeft w:val="0"/>
                                                                  <w:marRight w:val="0"/>
                                                                  <w:marTop w:val="100"/>
                                                                  <w:marBottom w:val="100"/>
                                                                  <w:divBdr>
                                                                    <w:top w:val="none" w:sz="0" w:space="0" w:color="auto"/>
                                                                    <w:left w:val="none" w:sz="0" w:space="0" w:color="auto"/>
                                                                    <w:bottom w:val="none" w:sz="0" w:space="0" w:color="auto"/>
                                                                    <w:right w:val="none" w:sz="0" w:space="0" w:color="auto"/>
                                                                  </w:divBdr>
                                                                </w:div>
                                                                <w:div w:id="18331343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40554924">
                                                  <w:marLeft w:val="0"/>
                                                  <w:marRight w:val="0"/>
                                                  <w:marTop w:val="0"/>
                                                  <w:marBottom w:val="0"/>
                                                  <w:divBdr>
                                                    <w:top w:val="none" w:sz="0" w:space="0" w:color="auto"/>
                                                    <w:left w:val="none" w:sz="0" w:space="0" w:color="auto"/>
                                                    <w:bottom w:val="none" w:sz="0" w:space="0" w:color="auto"/>
                                                    <w:right w:val="none" w:sz="0" w:space="0" w:color="auto"/>
                                                  </w:divBdr>
                                                  <w:divsChild>
                                                    <w:div w:id="1614284504">
                                                      <w:marLeft w:val="0"/>
                                                      <w:marRight w:val="0"/>
                                                      <w:marTop w:val="90"/>
                                                      <w:marBottom w:val="90"/>
                                                      <w:divBdr>
                                                        <w:top w:val="none" w:sz="0" w:space="4" w:color="F0C36D"/>
                                                        <w:left w:val="none" w:sz="0" w:space="4" w:color="F0C36D"/>
                                                        <w:bottom w:val="none" w:sz="0" w:space="4" w:color="F0C36D"/>
                                                        <w:right w:val="none" w:sz="0" w:space="4" w:color="F0C36D"/>
                                                      </w:divBdr>
                                                      <w:divsChild>
                                                        <w:div w:id="1055466868">
                                                          <w:marLeft w:val="0"/>
                                                          <w:marRight w:val="0"/>
                                                          <w:marTop w:val="0"/>
                                                          <w:marBottom w:val="0"/>
                                                          <w:divBdr>
                                                            <w:top w:val="none" w:sz="0" w:space="0" w:color="auto"/>
                                                            <w:left w:val="none" w:sz="0" w:space="0" w:color="auto"/>
                                                            <w:bottom w:val="none" w:sz="0" w:space="0" w:color="auto"/>
                                                            <w:right w:val="none" w:sz="0" w:space="0" w:color="auto"/>
                                                          </w:divBdr>
                                                        </w:div>
                                                      </w:divsChild>
                                                    </w:div>
                                                    <w:div w:id="715548024">
                                                      <w:marLeft w:val="0"/>
                                                      <w:marRight w:val="0"/>
                                                      <w:marTop w:val="0"/>
                                                      <w:marBottom w:val="0"/>
                                                      <w:divBdr>
                                                        <w:top w:val="none" w:sz="0" w:space="0" w:color="auto"/>
                                                        <w:left w:val="none" w:sz="0" w:space="0" w:color="auto"/>
                                                        <w:bottom w:val="none" w:sz="0" w:space="0" w:color="auto"/>
                                                        <w:right w:val="none" w:sz="0" w:space="0" w:color="auto"/>
                                                      </w:divBdr>
                                                      <w:divsChild>
                                                        <w:div w:id="243611832">
                                                          <w:marLeft w:val="0"/>
                                                          <w:marRight w:val="0"/>
                                                          <w:marTop w:val="0"/>
                                                          <w:marBottom w:val="0"/>
                                                          <w:divBdr>
                                                            <w:top w:val="none" w:sz="0" w:space="0" w:color="auto"/>
                                                            <w:left w:val="none" w:sz="0" w:space="0" w:color="auto"/>
                                                            <w:bottom w:val="none" w:sz="0" w:space="0" w:color="auto"/>
                                                            <w:right w:val="none" w:sz="0" w:space="0" w:color="auto"/>
                                                          </w:divBdr>
                                                        </w:div>
                                                        <w:div w:id="2386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823596">
                                  <w:marLeft w:val="0"/>
                                  <w:marRight w:val="0"/>
                                  <w:marTop w:val="0"/>
                                  <w:marBottom w:val="0"/>
                                  <w:divBdr>
                                    <w:top w:val="none" w:sz="0" w:space="0" w:color="auto"/>
                                    <w:left w:val="none" w:sz="0" w:space="0" w:color="auto"/>
                                    <w:bottom w:val="none" w:sz="0" w:space="0" w:color="auto"/>
                                    <w:right w:val="none" w:sz="0" w:space="0" w:color="auto"/>
                                  </w:divBdr>
                                  <w:divsChild>
                                    <w:div w:id="1200046110">
                                      <w:marLeft w:val="0"/>
                                      <w:marRight w:val="0"/>
                                      <w:marTop w:val="600"/>
                                      <w:marBottom w:val="0"/>
                                      <w:divBdr>
                                        <w:top w:val="none" w:sz="0" w:space="0" w:color="auto"/>
                                        <w:left w:val="none" w:sz="0" w:space="0" w:color="auto"/>
                                        <w:bottom w:val="none" w:sz="0" w:space="0" w:color="auto"/>
                                        <w:right w:val="none" w:sz="0" w:space="0" w:color="auto"/>
                                      </w:divBdr>
                                      <w:divsChild>
                                        <w:div w:id="1506943557">
                                          <w:marLeft w:val="0"/>
                                          <w:marRight w:val="0"/>
                                          <w:marTop w:val="0"/>
                                          <w:marBottom w:val="0"/>
                                          <w:divBdr>
                                            <w:top w:val="none" w:sz="0" w:space="0" w:color="auto"/>
                                            <w:left w:val="none" w:sz="0" w:space="0" w:color="auto"/>
                                            <w:bottom w:val="none" w:sz="0" w:space="0" w:color="auto"/>
                                            <w:right w:val="none" w:sz="0" w:space="0" w:color="auto"/>
                                          </w:divBdr>
                                          <w:divsChild>
                                            <w:div w:id="242842898">
                                              <w:marLeft w:val="0"/>
                                              <w:marRight w:val="0"/>
                                              <w:marTop w:val="0"/>
                                              <w:marBottom w:val="0"/>
                                              <w:divBdr>
                                                <w:top w:val="none" w:sz="0" w:space="0" w:color="auto"/>
                                                <w:left w:val="none" w:sz="0" w:space="0" w:color="auto"/>
                                                <w:bottom w:val="none" w:sz="0" w:space="0" w:color="auto"/>
                                                <w:right w:val="none" w:sz="0" w:space="0" w:color="auto"/>
                                              </w:divBdr>
                                              <w:divsChild>
                                                <w:div w:id="414742687">
                                                  <w:marLeft w:val="0"/>
                                                  <w:marRight w:val="0"/>
                                                  <w:marTop w:val="0"/>
                                                  <w:marBottom w:val="0"/>
                                                  <w:divBdr>
                                                    <w:top w:val="none" w:sz="0" w:space="0" w:color="auto"/>
                                                    <w:left w:val="none" w:sz="0" w:space="0" w:color="auto"/>
                                                    <w:bottom w:val="none" w:sz="0" w:space="0" w:color="auto"/>
                                                    <w:right w:val="none" w:sz="0" w:space="0" w:color="auto"/>
                                                  </w:divBdr>
                                                  <w:divsChild>
                                                    <w:div w:id="141859531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92469921">
                                  <w:marLeft w:val="0"/>
                                  <w:marRight w:val="0"/>
                                  <w:marTop w:val="0"/>
                                  <w:marBottom w:val="0"/>
                                  <w:divBdr>
                                    <w:top w:val="none" w:sz="0" w:space="0" w:color="auto"/>
                                    <w:left w:val="none" w:sz="0" w:space="0" w:color="auto"/>
                                    <w:bottom w:val="none" w:sz="0" w:space="0" w:color="auto"/>
                                    <w:right w:val="none" w:sz="0" w:space="0" w:color="auto"/>
                                  </w:divBdr>
                                  <w:divsChild>
                                    <w:div w:id="1159270232">
                                      <w:marLeft w:val="0"/>
                                      <w:marRight w:val="0"/>
                                      <w:marTop w:val="0"/>
                                      <w:marBottom w:val="0"/>
                                      <w:divBdr>
                                        <w:top w:val="none" w:sz="0" w:space="0" w:color="auto"/>
                                        <w:left w:val="none" w:sz="0" w:space="0" w:color="auto"/>
                                        <w:bottom w:val="single" w:sz="6" w:space="3" w:color="CCCCCC"/>
                                        <w:right w:val="none" w:sz="0" w:space="0" w:color="auto"/>
                                      </w:divBdr>
                                    </w:div>
                                    <w:div w:id="1605769469">
                                      <w:marLeft w:val="0"/>
                                      <w:marRight w:val="0"/>
                                      <w:marTop w:val="0"/>
                                      <w:marBottom w:val="0"/>
                                      <w:divBdr>
                                        <w:top w:val="none" w:sz="0" w:space="0" w:color="auto"/>
                                        <w:left w:val="none" w:sz="0" w:space="0" w:color="auto"/>
                                        <w:bottom w:val="none" w:sz="0" w:space="0" w:color="auto"/>
                                        <w:right w:val="none" w:sz="0" w:space="0" w:color="auto"/>
                                      </w:divBdr>
                                      <w:divsChild>
                                        <w:div w:id="1390425355">
                                          <w:marLeft w:val="0"/>
                                          <w:marRight w:val="0"/>
                                          <w:marTop w:val="0"/>
                                          <w:marBottom w:val="0"/>
                                          <w:divBdr>
                                            <w:top w:val="none" w:sz="0" w:space="0" w:color="auto"/>
                                            <w:left w:val="none" w:sz="0" w:space="0" w:color="auto"/>
                                            <w:bottom w:val="none" w:sz="0" w:space="0" w:color="auto"/>
                                            <w:right w:val="none" w:sz="0" w:space="0" w:color="auto"/>
                                          </w:divBdr>
                                          <w:divsChild>
                                            <w:div w:id="182059460">
                                              <w:marLeft w:val="0"/>
                                              <w:marRight w:val="60"/>
                                              <w:marTop w:val="0"/>
                                              <w:marBottom w:val="0"/>
                                              <w:divBdr>
                                                <w:top w:val="none" w:sz="0" w:space="0" w:color="auto"/>
                                                <w:left w:val="none" w:sz="0" w:space="0" w:color="auto"/>
                                                <w:bottom w:val="none" w:sz="0" w:space="0" w:color="auto"/>
                                                <w:right w:val="none" w:sz="0" w:space="0" w:color="auto"/>
                                              </w:divBdr>
                                              <w:divsChild>
                                                <w:div w:id="170881330">
                                                  <w:marLeft w:val="0"/>
                                                  <w:marRight w:val="0"/>
                                                  <w:marTop w:val="0"/>
                                                  <w:marBottom w:val="0"/>
                                                  <w:divBdr>
                                                    <w:top w:val="none" w:sz="0" w:space="0" w:color="auto"/>
                                                    <w:left w:val="none" w:sz="0" w:space="0" w:color="auto"/>
                                                    <w:bottom w:val="none" w:sz="0" w:space="0" w:color="auto"/>
                                                    <w:right w:val="none" w:sz="0" w:space="0" w:color="auto"/>
                                                  </w:divBdr>
                                                  <w:divsChild>
                                                    <w:div w:id="1538931259">
                                                      <w:marLeft w:val="0"/>
                                                      <w:marRight w:val="0"/>
                                                      <w:marTop w:val="0"/>
                                                      <w:marBottom w:val="0"/>
                                                      <w:divBdr>
                                                        <w:top w:val="none" w:sz="0" w:space="0" w:color="auto"/>
                                                        <w:left w:val="none" w:sz="0" w:space="0" w:color="auto"/>
                                                        <w:bottom w:val="none" w:sz="0" w:space="0" w:color="auto"/>
                                                        <w:right w:val="none" w:sz="0" w:space="0" w:color="auto"/>
                                                      </w:divBdr>
                                                      <w:divsChild>
                                                        <w:div w:id="928926671">
                                                          <w:marLeft w:val="0"/>
                                                          <w:marRight w:val="0"/>
                                                          <w:marTop w:val="0"/>
                                                          <w:marBottom w:val="0"/>
                                                          <w:divBdr>
                                                            <w:top w:val="none" w:sz="0" w:space="0" w:color="auto"/>
                                                            <w:left w:val="none" w:sz="0" w:space="0" w:color="auto"/>
                                                            <w:bottom w:val="none" w:sz="0" w:space="0" w:color="auto"/>
                                                            <w:right w:val="none" w:sz="0" w:space="0" w:color="auto"/>
                                                          </w:divBdr>
                                                          <w:divsChild>
                                                            <w:div w:id="78415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131865">
                                                  <w:marLeft w:val="0"/>
                                                  <w:marRight w:val="0"/>
                                                  <w:marTop w:val="0"/>
                                                  <w:marBottom w:val="0"/>
                                                  <w:divBdr>
                                                    <w:top w:val="none" w:sz="0" w:space="0" w:color="auto"/>
                                                    <w:left w:val="none" w:sz="0" w:space="0" w:color="auto"/>
                                                    <w:bottom w:val="none" w:sz="0" w:space="0" w:color="auto"/>
                                                    <w:right w:val="none" w:sz="0" w:space="0" w:color="auto"/>
                                                  </w:divBdr>
                                                  <w:divsChild>
                                                    <w:div w:id="1059864516">
                                                      <w:marLeft w:val="0"/>
                                                      <w:marRight w:val="0"/>
                                                      <w:marTop w:val="0"/>
                                                      <w:marBottom w:val="0"/>
                                                      <w:divBdr>
                                                        <w:top w:val="none" w:sz="0" w:space="0" w:color="auto"/>
                                                        <w:left w:val="none" w:sz="0" w:space="0" w:color="auto"/>
                                                        <w:bottom w:val="none" w:sz="0" w:space="0" w:color="auto"/>
                                                        <w:right w:val="none" w:sz="0" w:space="0" w:color="auto"/>
                                                      </w:divBdr>
                                                      <w:divsChild>
                                                        <w:div w:id="2122216434">
                                                          <w:marLeft w:val="0"/>
                                                          <w:marRight w:val="0"/>
                                                          <w:marTop w:val="0"/>
                                                          <w:marBottom w:val="0"/>
                                                          <w:divBdr>
                                                            <w:top w:val="none" w:sz="0" w:space="0" w:color="auto"/>
                                                            <w:left w:val="none" w:sz="0" w:space="0" w:color="auto"/>
                                                            <w:bottom w:val="none" w:sz="0" w:space="0" w:color="auto"/>
                                                            <w:right w:val="none" w:sz="0" w:space="0" w:color="auto"/>
                                                          </w:divBdr>
                                                          <w:divsChild>
                                                            <w:div w:id="7459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8032">
                                                  <w:marLeft w:val="0"/>
                                                  <w:marRight w:val="0"/>
                                                  <w:marTop w:val="0"/>
                                                  <w:marBottom w:val="0"/>
                                                  <w:divBdr>
                                                    <w:top w:val="none" w:sz="0" w:space="0" w:color="auto"/>
                                                    <w:left w:val="none" w:sz="0" w:space="0" w:color="auto"/>
                                                    <w:bottom w:val="none" w:sz="0" w:space="0" w:color="auto"/>
                                                    <w:right w:val="none" w:sz="0" w:space="0" w:color="auto"/>
                                                  </w:divBdr>
                                                  <w:divsChild>
                                                    <w:div w:id="20790514">
                                                      <w:marLeft w:val="0"/>
                                                      <w:marRight w:val="0"/>
                                                      <w:marTop w:val="0"/>
                                                      <w:marBottom w:val="0"/>
                                                      <w:divBdr>
                                                        <w:top w:val="none" w:sz="0" w:space="0" w:color="auto"/>
                                                        <w:left w:val="none" w:sz="0" w:space="0" w:color="auto"/>
                                                        <w:bottom w:val="none" w:sz="0" w:space="0" w:color="auto"/>
                                                        <w:right w:val="none" w:sz="0" w:space="0" w:color="auto"/>
                                                      </w:divBdr>
                                                      <w:divsChild>
                                                        <w:div w:id="110975900">
                                                          <w:marLeft w:val="0"/>
                                                          <w:marRight w:val="0"/>
                                                          <w:marTop w:val="0"/>
                                                          <w:marBottom w:val="0"/>
                                                          <w:divBdr>
                                                            <w:top w:val="none" w:sz="0" w:space="0" w:color="auto"/>
                                                            <w:left w:val="none" w:sz="0" w:space="0" w:color="auto"/>
                                                            <w:bottom w:val="none" w:sz="0" w:space="0" w:color="auto"/>
                                                            <w:right w:val="none" w:sz="0" w:space="0" w:color="auto"/>
                                                          </w:divBdr>
                                                          <w:divsChild>
                                                            <w:div w:id="11915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14920">
                                                  <w:marLeft w:val="0"/>
                                                  <w:marRight w:val="0"/>
                                                  <w:marTop w:val="0"/>
                                                  <w:marBottom w:val="0"/>
                                                  <w:divBdr>
                                                    <w:top w:val="none" w:sz="0" w:space="0" w:color="auto"/>
                                                    <w:left w:val="none" w:sz="0" w:space="0" w:color="auto"/>
                                                    <w:bottom w:val="none" w:sz="0" w:space="0" w:color="auto"/>
                                                    <w:right w:val="none" w:sz="0" w:space="0" w:color="auto"/>
                                                  </w:divBdr>
                                                  <w:divsChild>
                                                    <w:div w:id="328866911">
                                                      <w:marLeft w:val="0"/>
                                                      <w:marRight w:val="0"/>
                                                      <w:marTop w:val="0"/>
                                                      <w:marBottom w:val="0"/>
                                                      <w:divBdr>
                                                        <w:top w:val="none" w:sz="0" w:space="0" w:color="auto"/>
                                                        <w:left w:val="none" w:sz="0" w:space="0" w:color="auto"/>
                                                        <w:bottom w:val="none" w:sz="0" w:space="0" w:color="auto"/>
                                                        <w:right w:val="none" w:sz="0" w:space="0" w:color="auto"/>
                                                      </w:divBdr>
                                                      <w:divsChild>
                                                        <w:div w:id="57609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731223">
                                          <w:marLeft w:val="0"/>
                                          <w:marRight w:val="0"/>
                                          <w:marTop w:val="0"/>
                                          <w:marBottom w:val="0"/>
                                          <w:divBdr>
                                            <w:top w:val="none" w:sz="0" w:space="0" w:color="auto"/>
                                            <w:left w:val="none" w:sz="0" w:space="0" w:color="auto"/>
                                            <w:bottom w:val="none" w:sz="0" w:space="0" w:color="auto"/>
                                            <w:right w:val="none" w:sz="0" w:space="0" w:color="auto"/>
                                          </w:divBdr>
                                          <w:divsChild>
                                            <w:div w:id="2060283572">
                                              <w:marLeft w:val="60"/>
                                              <w:marRight w:val="0"/>
                                              <w:marTop w:val="0"/>
                                              <w:marBottom w:val="0"/>
                                              <w:divBdr>
                                                <w:top w:val="none" w:sz="0" w:space="0" w:color="auto"/>
                                                <w:left w:val="none" w:sz="0" w:space="0" w:color="auto"/>
                                                <w:bottom w:val="none" w:sz="0" w:space="0" w:color="auto"/>
                                                <w:right w:val="none" w:sz="0" w:space="0" w:color="auto"/>
                                              </w:divBdr>
                                              <w:divsChild>
                                                <w:div w:id="274824741">
                                                  <w:marLeft w:val="0"/>
                                                  <w:marRight w:val="0"/>
                                                  <w:marTop w:val="0"/>
                                                  <w:marBottom w:val="0"/>
                                                  <w:divBdr>
                                                    <w:top w:val="none" w:sz="0" w:space="0" w:color="auto"/>
                                                    <w:left w:val="none" w:sz="0" w:space="0" w:color="auto"/>
                                                    <w:bottom w:val="none" w:sz="0" w:space="0" w:color="auto"/>
                                                    <w:right w:val="none" w:sz="0" w:space="0" w:color="auto"/>
                                                  </w:divBdr>
                                                  <w:divsChild>
                                                    <w:div w:id="340352073">
                                                      <w:marLeft w:val="0"/>
                                                      <w:marRight w:val="0"/>
                                                      <w:marTop w:val="0"/>
                                                      <w:marBottom w:val="0"/>
                                                      <w:divBdr>
                                                        <w:top w:val="none" w:sz="0" w:space="0" w:color="auto"/>
                                                        <w:left w:val="none" w:sz="0" w:space="0" w:color="auto"/>
                                                        <w:bottom w:val="none" w:sz="0" w:space="0" w:color="auto"/>
                                                        <w:right w:val="none" w:sz="0" w:space="0" w:color="auto"/>
                                                      </w:divBdr>
                                                      <w:divsChild>
                                                        <w:div w:id="2020228561">
                                                          <w:marLeft w:val="0"/>
                                                          <w:marRight w:val="0"/>
                                                          <w:marTop w:val="0"/>
                                                          <w:marBottom w:val="0"/>
                                                          <w:divBdr>
                                                            <w:top w:val="none" w:sz="0" w:space="0" w:color="auto"/>
                                                            <w:left w:val="none" w:sz="0" w:space="0" w:color="auto"/>
                                                            <w:bottom w:val="none" w:sz="0" w:space="0" w:color="auto"/>
                                                            <w:right w:val="none" w:sz="0" w:space="0" w:color="auto"/>
                                                          </w:divBdr>
                                                          <w:divsChild>
                                                            <w:div w:id="417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1842085">
              <w:marLeft w:val="0"/>
              <w:marRight w:val="0"/>
              <w:marTop w:val="0"/>
              <w:marBottom w:val="0"/>
              <w:divBdr>
                <w:top w:val="single" w:sz="6" w:space="31" w:color="F0C36D"/>
                <w:left w:val="single" w:sz="6" w:space="31" w:color="F0C36D"/>
                <w:bottom w:val="single" w:sz="6" w:space="31" w:color="F0C36D"/>
                <w:right w:val="single" w:sz="6" w:space="31" w:color="F0C36D"/>
              </w:divBdr>
            </w:div>
            <w:div w:id="832335846">
              <w:marLeft w:val="0"/>
              <w:marRight w:val="0"/>
              <w:marTop w:val="0"/>
              <w:marBottom w:val="0"/>
              <w:divBdr>
                <w:top w:val="single" w:sz="6" w:space="31" w:color="F0C36D"/>
                <w:left w:val="single" w:sz="6" w:space="31" w:color="F0C36D"/>
                <w:bottom w:val="single" w:sz="6" w:space="31" w:color="F0C36D"/>
                <w:right w:val="single" w:sz="6" w:space="31" w:color="F0C36D"/>
              </w:divBdr>
            </w:div>
            <w:div w:id="2136676512">
              <w:marLeft w:val="0"/>
              <w:marRight w:val="0"/>
              <w:marTop w:val="0"/>
              <w:marBottom w:val="0"/>
              <w:divBdr>
                <w:top w:val="single" w:sz="6" w:space="31" w:color="F0C36D"/>
                <w:left w:val="single" w:sz="6" w:space="31" w:color="F0C36D"/>
                <w:bottom w:val="single" w:sz="6" w:space="31" w:color="F0C36D"/>
                <w:right w:val="single" w:sz="6" w:space="31" w:color="F0C36D"/>
              </w:divBdr>
            </w:div>
            <w:div w:id="1281647964">
              <w:marLeft w:val="0"/>
              <w:marRight w:val="0"/>
              <w:marTop w:val="0"/>
              <w:marBottom w:val="0"/>
              <w:divBdr>
                <w:top w:val="single" w:sz="6" w:space="31" w:color="F0C36D"/>
                <w:left w:val="single" w:sz="6" w:space="31" w:color="F0C36D"/>
                <w:bottom w:val="single" w:sz="6" w:space="31" w:color="F0C36D"/>
                <w:right w:val="single" w:sz="6" w:space="31" w:color="F0C36D"/>
              </w:divBdr>
            </w:div>
            <w:div w:id="54637717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1014770923">
      <w:bodyDiv w:val="1"/>
      <w:marLeft w:val="0"/>
      <w:marRight w:val="0"/>
      <w:marTop w:val="0"/>
      <w:marBottom w:val="0"/>
      <w:divBdr>
        <w:top w:val="none" w:sz="0" w:space="0" w:color="auto"/>
        <w:left w:val="none" w:sz="0" w:space="0" w:color="auto"/>
        <w:bottom w:val="none" w:sz="0" w:space="0" w:color="auto"/>
        <w:right w:val="none" w:sz="0" w:space="0" w:color="auto"/>
      </w:divBdr>
    </w:div>
    <w:div w:id="1069887070">
      <w:bodyDiv w:val="1"/>
      <w:marLeft w:val="0"/>
      <w:marRight w:val="0"/>
      <w:marTop w:val="0"/>
      <w:marBottom w:val="0"/>
      <w:divBdr>
        <w:top w:val="none" w:sz="0" w:space="0" w:color="auto"/>
        <w:left w:val="none" w:sz="0" w:space="0" w:color="auto"/>
        <w:bottom w:val="none" w:sz="0" w:space="0" w:color="auto"/>
        <w:right w:val="none" w:sz="0" w:space="0" w:color="auto"/>
      </w:divBdr>
    </w:div>
    <w:div w:id="1102337644">
      <w:bodyDiv w:val="1"/>
      <w:marLeft w:val="0"/>
      <w:marRight w:val="0"/>
      <w:marTop w:val="0"/>
      <w:marBottom w:val="0"/>
      <w:divBdr>
        <w:top w:val="none" w:sz="0" w:space="0" w:color="auto"/>
        <w:left w:val="none" w:sz="0" w:space="0" w:color="auto"/>
        <w:bottom w:val="none" w:sz="0" w:space="0" w:color="auto"/>
        <w:right w:val="none" w:sz="0" w:space="0" w:color="auto"/>
      </w:divBdr>
    </w:div>
    <w:div w:id="1128858007">
      <w:bodyDiv w:val="1"/>
      <w:marLeft w:val="0"/>
      <w:marRight w:val="0"/>
      <w:marTop w:val="0"/>
      <w:marBottom w:val="0"/>
      <w:divBdr>
        <w:top w:val="none" w:sz="0" w:space="0" w:color="auto"/>
        <w:left w:val="none" w:sz="0" w:space="0" w:color="auto"/>
        <w:bottom w:val="none" w:sz="0" w:space="0" w:color="auto"/>
        <w:right w:val="none" w:sz="0" w:space="0" w:color="auto"/>
      </w:divBdr>
    </w:div>
    <w:div w:id="1144389679">
      <w:bodyDiv w:val="1"/>
      <w:marLeft w:val="0"/>
      <w:marRight w:val="0"/>
      <w:marTop w:val="0"/>
      <w:marBottom w:val="0"/>
      <w:divBdr>
        <w:top w:val="none" w:sz="0" w:space="0" w:color="auto"/>
        <w:left w:val="none" w:sz="0" w:space="0" w:color="auto"/>
        <w:bottom w:val="none" w:sz="0" w:space="0" w:color="auto"/>
        <w:right w:val="none" w:sz="0" w:space="0" w:color="auto"/>
      </w:divBdr>
    </w:div>
    <w:div w:id="1168715484">
      <w:bodyDiv w:val="1"/>
      <w:marLeft w:val="0"/>
      <w:marRight w:val="0"/>
      <w:marTop w:val="0"/>
      <w:marBottom w:val="0"/>
      <w:divBdr>
        <w:top w:val="none" w:sz="0" w:space="0" w:color="auto"/>
        <w:left w:val="none" w:sz="0" w:space="0" w:color="auto"/>
        <w:bottom w:val="none" w:sz="0" w:space="0" w:color="auto"/>
        <w:right w:val="none" w:sz="0" w:space="0" w:color="auto"/>
      </w:divBdr>
    </w:div>
    <w:div w:id="1171988000">
      <w:bodyDiv w:val="1"/>
      <w:marLeft w:val="0"/>
      <w:marRight w:val="0"/>
      <w:marTop w:val="0"/>
      <w:marBottom w:val="0"/>
      <w:divBdr>
        <w:top w:val="none" w:sz="0" w:space="0" w:color="auto"/>
        <w:left w:val="none" w:sz="0" w:space="0" w:color="auto"/>
        <w:bottom w:val="none" w:sz="0" w:space="0" w:color="auto"/>
        <w:right w:val="none" w:sz="0" w:space="0" w:color="auto"/>
      </w:divBdr>
    </w:div>
    <w:div w:id="1173570441">
      <w:bodyDiv w:val="1"/>
      <w:marLeft w:val="0"/>
      <w:marRight w:val="0"/>
      <w:marTop w:val="0"/>
      <w:marBottom w:val="0"/>
      <w:divBdr>
        <w:top w:val="none" w:sz="0" w:space="0" w:color="auto"/>
        <w:left w:val="none" w:sz="0" w:space="0" w:color="auto"/>
        <w:bottom w:val="none" w:sz="0" w:space="0" w:color="auto"/>
        <w:right w:val="none" w:sz="0" w:space="0" w:color="auto"/>
      </w:divBdr>
    </w:div>
    <w:div w:id="1185703953">
      <w:bodyDiv w:val="1"/>
      <w:marLeft w:val="0"/>
      <w:marRight w:val="0"/>
      <w:marTop w:val="0"/>
      <w:marBottom w:val="0"/>
      <w:divBdr>
        <w:top w:val="none" w:sz="0" w:space="0" w:color="auto"/>
        <w:left w:val="none" w:sz="0" w:space="0" w:color="auto"/>
        <w:bottom w:val="none" w:sz="0" w:space="0" w:color="auto"/>
        <w:right w:val="none" w:sz="0" w:space="0" w:color="auto"/>
      </w:divBdr>
      <w:divsChild>
        <w:div w:id="174611060">
          <w:marLeft w:val="0"/>
          <w:marRight w:val="0"/>
          <w:marTop w:val="0"/>
          <w:marBottom w:val="0"/>
          <w:divBdr>
            <w:top w:val="none" w:sz="0" w:space="0" w:color="auto"/>
            <w:left w:val="none" w:sz="0" w:space="0" w:color="auto"/>
            <w:bottom w:val="none" w:sz="0" w:space="0" w:color="auto"/>
            <w:right w:val="none" w:sz="0" w:space="0" w:color="auto"/>
          </w:divBdr>
          <w:divsChild>
            <w:div w:id="503009136">
              <w:marLeft w:val="0"/>
              <w:marRight w:val="0"/>
              <w:marTop w:val="0"/>
              <w:marBottom w:val="0"/>
              <w:divBdr>
                <w:top w:val="none" w:sz="0" w:space="0" w:color="auto"/>
                <w:left w:val="none" w:sz="0" w:space="0" w:color="auto"/>
                <w:bottom w:val="none" w:sz="0" w:space="0" w:color="auto"/>
                <w:right w:val="none" w:sz="0" w:space="0" w:color="auto"/>
              </w:divBdr>
              <w:divsChild>
                <w:div w:id="624194058">
                  <w:marLeft w:val="0"/>
                  <w:marRight w:val="0"/>
                  <w:marTop w:val="0"/>
                  <w:marBottom w:val="0"/>
                  <w:divBdr>
                    <w:top w:val="none" w:sz="0" w:space="0" w:color="auto"/>
                    <w:left w:val="none" w:sz="0" w:space="0" w:color="auto"/>
                    <w:bottom w:val="none" w:sz="0" w:space="0" w:color="auto"/>
                    <w:right w:val="none" w:sz="0" w:space="0" w:color="auto"/>
                  </w:divBdr>
                  <w:divsChild>
                    <w:div w:id="766728269">
                      <w:marLeft w:val="0"/>
                      <w:marRight w:val="0"/>
                      <w:marTop w:val="0"/>
                      <w:marBottom w:val="0"/>
                      <w:divBdr>
                        <w:top w:val="none" w:sz="0" w:space="0" w:color="auto"/>
                        <w:left w:val="none" w:sz="0" w:space="0" w:color="auto"/>
                        <w:bottom w:val="none" w:sz="0" w:space="0" w:color="auto"/>
                        <w:right w:val="none" w:sz="0" w:space="0" w:color="auto"/>
                      </w:divBdr>
                      <w:divsChild>
                        <w:div w:id="1276785605">
                          <w:marLeft w:val="0"/>
                          <w:marRight w:val="0"/>
                          <w:marTop w:val="0"/>
                          <w:marBottom w:val="0"/>
                          <w:divBdr>
                            <w:top w:val="none" w:sz="0" w:space="0" w:color="auto"/>
                            <w:left w:val="none" w:sz="0" w:space="0" w:color="auto"/>
                            <w:bottom w:val="none" w:sz="0" w:space="0" w:color="auto"/>
                            <w:right w:val="none" w:sz="0" w:space="0" w:color="auto"/>
                          </w:divBdr>
                          <w:divsChild>
                            <w:div w:id="907150155">
                              <w:marLeft w:val="0"/>
                              <w:marRight w:val="0"/>
                              <w:marTop w:val="0"/>
                              <w:marBottom w:val="0"/>
                              <w:divBdr>
                                <w:top w:val="none" w:sz="0" w:space="0" w:color="auto"/>
                                <w:left w:val="none" w:sz="0" w:space="0" w:color="auto"/>
                                <w:bottom w:val="none" w:sz="0" w:space="0" w:color="auto"/>
                                <w:right w:val="none" w:sz="0" w:space="0" w:color="auto"/>
                              </w:divBdr>
                              <w:divsChild>
                                <w:div w:id="1291325936">
                                  <w:marLeft w:val="0"/>
                                  <w:marRight w:val="0"/>
                                  <w:marTop w:val="0"/>
                                  <w:marBottom w:val="0"/>
                                  <w:divBdr>
                                    <w:top w:val="none" w:sz="0" w:space="0" w:color="auto"/>
                                    <w:left w:val="none" w:sz="0" w:space="0" w:color="auto"/>
                                    <w:bottom w:val="none" w:sz="0" w:space="0" w:color="auto"/>
                                    <w:right w:val="none" w:sz="0" w:space="0" w:color="auto"/>
                                  </w:divBdr>
                                  <w:divsChild>
                                    <w:div w:id="280454520">
                                      <w:marLeft w:val="60"/>
                                      <w:marRight w:val="0"/>
                                      <w:marTop w:val="0"/>
                                      <w:marBottom w:val="0"/>
                                      <w:divBdr>
                                        <w:top w:val="none" w:sz="0" w:space="0" w:color="auto"/>
                                        <w:left w:val="none" w:sz="0" w:space="0" w:color="auto"/>
                                        <w:bottom w:val="none" w:sz="0" w:space="0" w:color="auto"/>
                                        <w:right w:val="none" w:sz="0" w:space="0" w:color="auto"/>
                                      </w:divBdr>
                                      <w:divsChild>
                                        <w:div w:id="1622103493">
                                          <w:marLeft w:val="0"/>
                                          <w:marRight w:val="0"/>
                                          <w:marTop w:val="0"/>
                                          <w:marBottom w:val="0"/>
                                          <w:divBdr>
                                            <w:top w:val="none" w:sz="0" w:space="0" w:color="auto"/>
                                            <w:left w:val="none" w:sz="0" w:space="0" w:color="auto"/>
                                            <w:bottom w:val="none" w:sz="0" w:space="0" w:color="auto"/>
                                            <w:right w:val="none" w:sz="0" w:space="0" w:color="auto"/>
                                          </w:divBdr>
                                          <w:divsChild>
                                            <w:div w:id="1638292485">
                                              <w:marLeft w:val="0"/>
                                              <w:marRight w:val="0"/>
                                              <w:marTop w:val="0"/>
                                              <w:marBottom w:val="120"/>
                                              <w:divBdr>
                                                <w:top w:val="single" w:sz="6" w:space="0" w:color="F5F5F5"/>
                                                <w:left w:val="single" w:sz="6" w:space="0" w:color="F5F5F5"/>
                                                <w:bottom w:val="single" w:sz="6" w:space="0" w:color="F5F5F5"/>
                                                <w:right w:val="single" w:sz="6" w:space="0" w:color="F5F5F5"/>
                                              </w:divBdr>
                                              <w:divsChild>
                                                <w:div w:id="1306277633">
                                                  <w:marLeft w:val="0"/>
                                                  <w:marRight w:val="0"/>
                                                  <w:marTop w:val="0"/>
                                                  <w:marBottom w:val="0"/>
                                                  <w:divBdr>
                                                    <w:top w:val="none" w:sz="0" w:space="0" w:color="auto"/>
                                                    <w:left w:val="none" w:sz="0" w:space="0" w:color="auto"/>
                                                    <w:bottom w:val="none" w:sz="0" w:space="0" w:color="auto"/>
                                                    <w:right w:val="none" w:sz="0" w:space="0" w:color="auto"/>
                                                  </w:divBdr>
                                                  <w:divsChild>
                                                    <w:div w:id="1955361385">
                                                      <w:marLeft w:val="0"/>
                                                      <w:marRight w:val="0"/>
                                                      <w:marTop w:val="0"/>
                                                      <w:marBottom w:val="0"/>
                                                      <w:divBdr>
                                                        <w:top w:val="none" w:sz="0" w:space="0" w:color="auto"/>
                                                        <w:left w:val="none" w:sz="0" w:space="0" w:color="auto"/>
                                                        <w:bottom w:val="none" w:sz="0" w:space="0" w:color="auto"/>
                                                        <w:right w:val="none" w:sz="0" w:space="0" w:color="auto"/>
                                                      </w:divBdr>
                                                    </w:div>
                                                  </w:divsChild>
                                                </w:div>
                                                <w:div w:id="425660653">
                                                  <w:marLeft w:val="0"/>
                                                  <w:marRight w:val="0"/>
                                                  <w:marTop w:val="0"/>
                                                  <w:marBottom w:val="0"/>
                                                  <w:divBdr>
                                                    <w:top w:val="none" w:sz="0" w:space="0" w:color="auto"/>
                                                    <w:left w:val="none" w:sz="0" w:space="0" w:color="auto"/>
                                                    <w:bottom w:val="none" w:sz="0" w:space="0" w:color="auto"/>
                                                    <w:right w:val="none" w:sz="0" w:space="0" w:color="auto"/>
                                                  </w:divBdr>
                                                  <w:divsChild>
                                                    <w:div w:id="10137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2158166">
      <w:bodyDiv w:val="1"/>
      <w:marLeft w:val="0"/>
      <w:marRight w:val="0"/>
      <w:marTop w:val="0"/>
      <w:marBottom w:val="0"/>
      <w:divBdr>
        <w:top w:val="none" w:sz="0" w:space="0" w:color="auto"/>
        <w:left w:val="none" w:sz="0" w:space="0" w:color="auto"/>
        <w:bottom w:val="none" w:sz="0" w:space="0" w:color="auto"/>
        <w:right w:val="none" w:sz="0" w:space="0" w:color="auto"/>
      </w:divBdr>
    </w:div>
    <w:div w:id="1255430886">
      <w:bodyDiv w:val="1"/>
      <w:marLeft w:val="0"/>
      <w:marRight w:val="0"/>
      <w:marTop w:val="0"/>
      <w:marBottom w:val="0"/>
      <w:divBdr>
        <w:top w:val="none" w:sz="0" w:space="0" w:color="auto"/>
        <w:left w:val="none" w:sz="0" w:space="0" w:color="auto"/>
        <w:bottom w:val="none" w:sz="0" w:space="0" w:color="auto"/>
        <w:right w:val="none" w:sz="0" w:space="0" w:color="auto"/>
      </w:divBdr>
    </w:div>
    <w:div w:id="1259488121">
      <w:bodyDiv w:val="1"/>
      <w:marLeft w:val="0"/>
      <w:marRight w:val="0"/>
      <w:marTop w:val="0"/>
      <w:marBottom w:val="0"/>
      <w:divBdr>
        <w:top w:val="none" w:sz="0" w:space="0" w:color="auto"/>
        <w:left w:val="none" w:sz="0" w:space="0" w:color="auto"/>
        <w:bottom w:val="none" w:sz="0" w:space="0" w:color="auto"/>
        <w:right w:val="none" w:sz="0" w:space="0" w:color="auto"/>
      </w:divBdr>
    </w:div>
    <w:div w:id="1259748791">
      <w:bodyDiv w:val="1"/>
      <w:marLeft w:val="0"/>
      <w:marRight w:val="0"/>
      <w:marTop w:val="0"/>
      <w:marBottom w:val="0"/>
      <w:divBdr>
        <w:top w:val="none" w:sz="0" w:space="0" w:color="auto"/>
        <w:left w:val="none" w:sz="0" w:space="0" w:color="auto"/>
        <w:bottom w:val="none" w:sz="0" w:space="0" w:color="auto"/>
        <w:right w:val="none" w:sz="0" w:space="0" w:color="auto"/>
      </w:divBdr>
    </w:div>
    <w:div w:id="1268853128">
      <w:bodyDiv w:val="1"/>
      <w:marLeft w:val="0"/>
      <w:marRight w:val="0"/>
      <w:marTop w:val="0"/>
      <w:marBottom w:val="0"/>
      <w:divBdr>
        <w:top w:val="none" w:sz="0" w:space="0" w:color="auto"/>
        <w:left w:val="none" w:sz="0" w:space="0" w:color="auto"/>
        <w:bottom w:val="none" w:sz="0" w:space="0" w:color="auto"/>
        <w:right w:val="none" w:sz="0" w:space="0" w:color="auto"/>
      </w:divBdr>
    </w:div>
    <w:div w:id="1284194260">
      <w:bodyDiv w:val="1"/>
      <w:marLeft w:val="0"/>
      <w:marRight w:val="0"/>
      <w:marTop w:val="0"/>
      <w:marBottom w:val="0"/>
      <w:divBdr>
        <w:top w:val="none" w:sz="0" w:space="0" w:color="auto"/>
        <w:left w:val="none" w:sz="0" w:space="0" w:color="auto"/>
        <w:bottom w:val="none" w:sz="0" w:space="0" w:color="auto"/>
        <w:right w:val="none" w:sz="0" w:space="0" w:color="auto"/>
      </w:divBdr>
    </w:div>
    <w:div w:id="1288897474">
      <w:bodyDiv w:val="1"/>
      <w:marLeft w:val="0"/>
      <w:marRight w:val="0"/>
      <w:marTop w:val="0"/>
      <w:marBottom w:val="0"/>
      <w:divBdr>
        <w:top w:val="none" w:sz="0" w:space="0" w:color="auto"/>
        <w:left w:val="none" w:sz="0" w:space="0" w:color="auto"/>
        <w:bottom w:val="none" w:sz="0" w:space="0" w:color="auto"/>
        <w:right w:val="none" w:sz="0" w:space="0" w:color="auto"/>
      </w:divBdr>
    </w:div>
    <w:div w:id="1290549818">
      <w:bodyDiv w:val="1"/>
      <w:marLeft w:val="0"/>
      <w:marRight w:val="0"/>
      <w:marTop w:val="0"/>
      <w:marBottom w:val="0"/>
      <w:divBdr>
        <w:top w:val="none" w:sz="0" w:space="0" w:color="auto"/>
        <w:left w:val="none" w:sz="0" w:space="0" w:color="auto"/>
        <w:bottom w:val="none" w:sz="0" w:space="0" w:color="auto"/>
        <w:right w:val="none" w:sz="0" w:space="0" w:color="auto"/>
      </w:divBdr>
    </w:div>
    <w:div w:id="1324241474">
      <w:bodyDiv w:val="1"/>
      <w:marLeft w:val="0"/>
      <w:marRight w:val="0"/>
      <w:marTop w:val="0"/>
      <w:marBottom w:val="0"/>
      <w:divBdr>
        <w:top w:val="none" w:sz="0" w:space="0" w:color="auto"/>
        <w:left w:val="none" w:sz="0" w:space="0" w:color="auto"/>
        <w:bottom w:val="none" w:sz="0" w:space="0" w:color="auto"/>
        <w:right w:val="none" w:sz="0" w:space="0" w:color="auto"/>
      </w:divBdr>
    </w:div>
    <w:div w:id="1326206789">
      <w:bodyDiv w:val="1"/>
      <w:marLeft w:val="0"/>
      <w:marRight w:val="0"/>
      <w:marTop w:val="0"/>
      <w:marBottom w:val="0"/>
      <w:divBdr>
        <w:top w:val="none" w:sz="0" w:space="0" w:color="auto"/>
        <w:left w:val="none" w:sz="0" w:space="0" w:color="auto"/>
        <w:bottom w:val="none" w:sz="0" w:space="0" w:color="auto"/>
        <w:right w:val="none" w:sz="0" w:space="0" w:color="auto"/>
      </w:divBdr>
    </w:div>
    <w:div w:id="1329408216">
      <w:bodyDiv w:val="1"/>
      <w:marLeft w:val="0"/>
      <w:marRight w:val="0"/>
      <w:marTop w:val="0"/>
      <w:marBottom w:val="0"/>
      <w:divBdr>
        <w:top w:val="none" w:sz="0" w:space="0" w:color="auto"/>
        <w:left w:val="none" w:sz="0" w:space="0" w:color="auto"/>
        <w:bottom w:val="none" w:sz="0" w:space="0" w:color="auto"/>
        <w:right w:val="none" w:sz="0" w:space="0" w:color="auto"/>
      </w:divBdr>
    </w:div>
    <w:div w:id="1369262736">
      <w:bodyDiv w:val="1"/>
      <w:marLeft w:val="0"/>
      <w:marRight w:val="0"/>
      <w:marTop w:val="0"/>
      <w:marBottom w:val="0"/>
      <w:divBdr>
        <w:top w:val="none" w:sz="0" w:space="0" w:color="auto"/>
        <w:left w:val="none" w:sz="0" w:space="0" w:color="auto"/>
        <w:bottom w:val="none" w:sz="0" w:space="0" w:color="auto"/>
        <w:right w:val="none" w:sz="0" w:space="0" w:color="auto"/>
      </w:divBdr>
    </w:div>
    <w:div w:id="1381594619">
      <w:bodyDiv w:val="1"/>
      <w:marLeft w:val="0"/>
      <w:marRight w:val="0"/>
      <w:marTop w:val="0"/>
      <w:marBottom w:val="0"/>
      <w:divBdr>
        <w:top w:val="none" w:sz="0" w:space="0" w:color="auto"/>
        <w:left w:val="none" w:sz="0" w:space="0" w:color="auto"/>
        <w:bottom w:val="none" w:sz="0" w:space="0" w:color="auto"/>
        <w:right w:val="none" w:sz="0" w:space="0" w:color="auto"/>
      </w:divBdr>
    </w:div>
    <w:div w:id="1384595666">
      <w:bodyDiv w:val="1"/>
      <w:marLeft w:val="0"/>
      <w:marRight w:val="0"/>
      <w:marTop w:val="0"/>
      <w:marBottom w:val="0"/>
      <w:divBdr>
        <w:top w:val="none" w:sz="0" w:space="0" w:color="auto"/>
        <w:left w:val="none" w:sz="0" w:space="0" w:color="auto"/>
        <w:bottom w:val="none" w:sz="0" w:space="0" w:color="auto"/>
        <w:right w:val="none" w:sz="0" w:space="0" w:color="auto"/>
      </w:divBdr>
    </w:div>
    <w:div w:id="1400908581">
      <w:bodyDiv w:val="1"/>
      <w:marLeft w:val="0"/>
      <w:marRight w:val="0"/>
      <w:marTop w:val="0"/>
      <w:marBottom w:val="0"/>
      <w:divBdr>
        <w:top w:val="none" w:sz="0" w:space="0" w:color="auto"/>
        <w:left w:val="none" w:sz="0" w:space="0" w:color="auto"/>
        <w:bottom w:val="none" w:sz="0" w:space="0" w:color="auto"/>
        <w:right w:val="none" w:sz="0" w:space="0" w:color="auto"/>
      </w:divBdr>
    </w:div>
    <w:div w:id="1419866774">
      <w:bodyDiv w:val="1"/>
      <w:marLeft w:val="0"/>
      <w:marRight w:val="0"/>
      <w:marTop w:val="0"/>
      <w:marBottom w:val="0"/>
      <w:divBdr>
        <w:top w:val="none" w:sz="0" w:space="0" w:color="auto"/>
        <w:left w:val="none" w:sz="0" w:space="0" w:color="auto"/>
        <w:bottom w:val="none" w:sz="0" w:space="0" w:color="auto"/>
        <w:right w:val="none" w:sz="0" w:space="0" w:color="auto"/>
      </w:divBdr>
    </w:div>
    <w:div w:id="1430271842">
      <w:bodyDiv w:val="1"/>
      <w:marLeft w:val="0"/>
      <w:marRight w:val="0"/>
      <w:marTop w:val="0"/>
      <w:marBottom w:val="0"/>
      <w:divBdr>
        <w:top w:val="none" w:sz="0" w:space="0" w:color="auto"/>
        <w:left w:val="none" w:sz="0" w:space="0" w:color="auto"/>
        <w:bottom w:val="none" w:sz="0" w:space="0" w:color="auto"/>
        <w:right w:val="none" w:sz="0" w:space="0" w:color="auto"/>
      </w:divBdr>
    </w:div>
    <w:div w:id="1539778885">
      <w:bodyDiv w:val="1"/>
      <w:marLeft w:val="0"/>
      <w:marRight w:val="0"/>
      <w:marTop w:val="0"/>
      <w:marBottom w:val="0"/>
      <w:divBdr>
        <w:top w:val="none" w:sz="0" w:space="0" w:color="auto"/>
        <w:left w:val="none" w:sz="0" w:space="0" w:color="auto"/>
        <w:bottom w:val="none" w:sz="0" w:space="0" w:color="auto"/>
        <w:right w:val="none" w:sz="0" w:space="0" w:color="auto"/>
      </w:divBdr>
    </w:div>
    <w:div w:id="1684818057">
      <w:bodyDiv w:val="1"/>
      <w:marLeft w:val="0"/>
      <w:marRight w:val="0"/>
      <w:marTop w:val="0"/>
      <w:marBottom w:val="0"/>
      <w:divBdr>
        <w:top w:val="none" w:sz="0" w:space="0" w:color="auto"/>
        <w:left w:val="none" w:sz="0" w:space="0" w:color="auto"/>
        <w:bottom w:val="none" w:sz="0" w:space="0" w:color="auto"/>
        <w:right w:val="none" w:sz="0" w:space="0" w:color="auto"/>
      </w:divBdr>
    </w:div>
    <w:div w:id="1698121789">
      <w:bodyDiv w:val="1"/>
      <w:marLeft w:val="0"/>
      <w:marRight w:val="0"/>
      <w:marTop w:val="0"/>
      <w:marBottom w:val="0"/>
      <w:divBdr>
        <w:top w:val="none" w:sz="0" w:space="0" w:color="auto"/>
        <w:left w:val="none" w:sz="0" w:space="0" w:color="auto"/>
        <w:bottom w:val="none" w:sz="0" w:space="0" w:color="auto"/>
        <w:right w:val="none" w:sz="0" w:space="0" w:color="auto"/>
      </w:divBdr>
    </w:div>
    <w:div w:id="1729693623">
      <w:bodyDiv w:val="1"/>
      <w:marLeft w:val="0"/>
      <w:marRight w:val="0"/>
      <w:marTop w:val="0"/>
      <w:marBottom w:val="0"/>
      <w:divBdr>
        <w:top w:val="none" w:sz="0" w:space="0" w:color="auto"/>
        <w:left w:val="none" w:sz="0" w:space="0" w:color="auto"/>
        <w:bottom w:val="none" w:sz="0" w:space="0" w:color="auto"/>
        <w:right w:val="none" w:sz="0" w:space="0" w:color="auto"/>
      </w:divBdr>
    </w:div>
    <w:div w:id="1801535905">
      <w:bodyDiv w:val="1"/>
      <w:marLeft w:val="0"/>
      <w:marRight w:val="0"/>
      <w:marTop w:val="0"/>
      <w:marBottom w:val="0"/>
      <w:divBdr>
        <w:top w:val="none" w:sz="0" w:space="0" w:color="auto"/>
        <w:left w:val="none" w:sz="0" w:space="0" w:color="auto"/>
        <w:bottom w:val="none" w:sz="0" w:space="0" w:color="auto"/>
        <w:right w:val="none" w:sz="0" w:space="0" w:color="auto"/>
      </w:divBdr>
    </w:div>
    <w:div w:id="1854606471">
      <w:bodyDiv w:val="1"/>
      <w:marLeft w:val="0"/>
      <w:marRight w:val="0"/>
      <w:marTop w:val="0"/>
      <w:marBottom w:val="0"/>
      <w:divBdr>
        <w:top w:val="none" w:sz="0" w:space="0" w:color="auto"/>
        <w:left w:val="none" w:sz="0" w:space="0" w:color="auto"/>
        <w:bottom w:val="none" w:sz="0" w:space="0" w:color="auto"/>
        <w:right w:val="none" w:sz="0" w:space="0" w:color="auto"/>
      </w:divBdr>
    </w:div>
    <w:div w:id="1864198313">
      <w:bodyDiv w:val="1"/>
      <w:marLeft w:val="0"/>
      <w:marRight w:val="0"/>
      <w:marTop w:val="0"/>
      <w:marBottom w:val="0"/>
      <w:divBdr>
        <w:top w:val="none" w:sz="0" w:space="0" w:color="auto"/>
        <w:left w:val="none" w:sz="0" w:space="0" w:color="auto"/>
        <w:bottom w:val="none" w:sz="0" w:space="0" w:color="auto"/>
        <w:right w:val="none" w:sz="0" w:space="0" w:color="auto"/>
      </w:divBdr>
    </w:div>
    <w:div w:id="1926835939">
      <w:bodyDiv w:val="1"/>
      <w:marLeft w:val="0"/>
      <w:marRight w:val="0"/>
      <w:marTop w:val="0"/>
      <w:marBottom w:val="0"/>
      <w:divBdr>
        <w:top w:val="none" w:sz="0" w:space="0" w:color="auto"/>
        <w:left w:val="none" w:sz="0" w:space="0" w:color="auto"/>
        <w:bottom w:val="none" w:sz="0" w:space="0" w:color="auto"/>
        <w:right w:val="none" w:sz="0" w:space="0" w:color="auto"/>
      </w:divBdr>
    </w:div>
    <w:div w:id="1954555506">
      <w:bodyDiv w:val="1"/>
      <w:marLeft w:val="0"/>
      <w:marRight w:val="0"/>
      <w:marTop w:val="0"/>
      <w:marBottom w:val="0"/>
      <w:divBdr>
        <w:top w:val="none" w:sz="0" w:space="0" w:color="auto"/>
        <w:left w:val="none" w:sz="0" w:space="0" w:color="auto"/>
        <w:bottom w:val="none" w:sz="0" w:space="0" w:color="auto"/>
        <w:right w:val="none" w:sz="0" w:space="0" w:color="auto"/>
      </w:divBdr>
    </w:div>
    <w:div w:id="1975789078">
      <w:bodyDiv w:val="1"/>
      <w:marLeft w:val="0"/>
      <w:marRight w:val="0"/>
      <w:marTop w:val="0"/>
      <w:marBottom w:val="0"/>
      <w:divBdr>
        <w:top w:val="none" w:sz="0" w:space="0" w:color="auto"/>
        <w:left w:val="none" w:sz="0" w:space="0" w:color="auto"/>
        <w:bottom w:val="none" w:sz="0" w:space="0" w:color="auto"/>
        <w:right w:val="none" w:sz="0" w:space="0" w:color="auto"/>
      </w:divBdr>
    </w:div>
    <w:div w:id="1979338845">
      <w:bodyDiv w:val="1"/>
      <w:marLeft w:val="0"/>
      <w:marRight w:val="0"/>
      <w:marTop w:val="0"/>
      <w:marBottom w:val="0"/>
      <w:divBdr>
        <w:top w:val="none" w:sz="0" w:space="0" w:color="auto"/>
        <w:left w:val="none" w:sz="0" w:space="0" w:color="auto"/>
        <w:bottom w:val="none" w:sz="0" w:space="0" w:color="auto"/>
        <w:right w:val="none" w:sz="0" w:space="0" w:color="auto"/>
      </w:divBdr>
    </w:div>
    <w:div w:id="2007587277">
      <w:bodyDiv w:val="1"/>
      <w:marLeft w:val="0"/>
      <w:marRight w:val="0"/>
      <w:marTop w:val="0"/>
      <w:marBottom w:val="0"/>
      <w:divBdr>
        <w:top w:val="none" w:sz="0" w:space="0" w:color="auto"/>
        <w:left w:val="none" w:sz="0" w:space="0" w:color="auto"/>
        <w:bottom w:val="none" w:sz="0" w:space="0" w:color="auto"/>
        <w:right w:val="none" w:sz="0" w:space="0" w:color="auto"/>
      </w:divBdr>
    </w:div>
    <w:div w:id="2017805155">
      <w:bodyDiv w:val="1"/>
      <w:marLeft w:val="0"/>
      <w:marRight w:val="0"/>
      <w:marTop w:val="0"/>
      <w:marBottom w:val="0"/>
      <w:divBdr>
        <w:top w:val="none" w:sz="0" w:space="0" w:color="auto"/>
        <w:left w:val="none" w:sz="0" w:space="0" w:color="auto"/>
        <w:bottom w:val="none" w:sz="0" w:space="0" w:color="auto"/>
        <w:right w:val="none" w:sz="0" w:space="0" w:color="auto"/>
      </w:divBdr>
    </w:div>
    <w:div w:id="2018998233">
      <w:bodyDiv w:val="1"/>
      <w:marLeft w:val="0"/>
      <w:marRight w:val="0"/>
      <w:marTop w:val="0"/>
      <w:marBottom w:val="0"/>
      <w:divBdr>
        <w:top w:val="none" w:sz="0" w:space="0" w:color="auto"/>
        <w:left w:val="none" w:sz="0" w:space="0" w:color="auto"/>
        <w:bottom w:val="none" w:sz="0" w:space="0" w:color="auto"/>
        <w:right w:val="none" w:sz="0" w:space="0" w:color="auto"/>
      </w:divBdr>
    </w:div>
    <w:div w:id="2028367912">
      <w:bodyDiv w:val="1"/>
      <w:marLeft w:val="0"/>
      <w:marRight w:val="0"/>
      <w:marTop w:val="0"/>
      <w:marBottom w:val="0"/>
      <w:divBdr>
        <w:top w:val="none" w:sz="0" w:space="0" w:color="auto"/>
        <w:left w:val="none" w:sz="0" w:space="0" w:color="auto"/>
        <w:bottom w:val="none" w:sz="0" w:space="0" w:color="auto"/>
        <w:right w:val="none" w:sz="0" w:space="0" w:color="auto"/>
      </w:divBdr>
    </w:div>
    <w:div w:id="2065912002">
      <w:bodyDiv w:val="1"/>
      <w:marLeft w:val="0"/>
      <w:marRight w:val="0"/>
      <w:marTop w:val="0"/>
      <w:marBottom w:val="0"/>
      <w:divBdr>
        <w:top w:val="none" w:sz="0" w:space="0" w:color="auto"/>
        <w:left w:val="none" w:sz="0" w:space="0" w:color="auto"/>
        <w:bottom w:val="none" w:sz="0" w:space="0" w:color="auto"/>
        <w:right w:val="none" w:sz="0" w:space="0" w:color="auto"/>
      </w:divBdr>
    </w:div>
    <w:div w:id="2071031100">
      <w:bodyDiv w:val="1"/>
      <w:marLeft w:val="0"/>
      <w:marRight w:val="0"/>
      <w:marTop w:val="0"/>
      <w:marBottom w:val="0"/>
      <w:divBdr>
        <w:top w:val="none" w:sz="0" w:space="0" w:color="auto"/>
        <w:left w:val="none" w:sz="0" w:space="0" w:color="auto"/>
        <w:bottom w:val="none" w:sz="0" w:space="0" w:color="auto"/>
        <w:right w:val="none" w:sz="0" w:space="0" w:color="auto"/>
      </w:divBdr>
      <w:divsChild>
        <w:div w:id="684137170">
          <w:marLeft w:val="0"/>
          <w:marRight w:val="0"/>
          <w:marTop w:val="0"/>
          <w:marBottom w:val="0"/>
          <w:divBdr>
            <w:top w:val="none" w:sz="0" w:space="0" w:color="auto"/>
            <w:left w:val="none" w:sz="0" w:space="0" w:color="auto"/>
            <w:bottom w:val="none" w:sz="0" w:space="0" w:color="auto"/>
            <w:right w:val="none" w:sz="0" w:space="0" w:color="auto"/>
          </w:divBdr>
          <w:divsChild>
            <w:div w:id="1514027382">
              <w:marLeft w:val="0"/>
              <w:marRight w:val="0"/>
              <w:marTop w:val="0"/>
              <w:marBottom w:val="0"/>
              <w:divBdr>
                <w:top w:val="none" w:sz="0" w:space="0" w:color="auto"/>
                <w:left w:val="none" w:sz="0" w:space="0" w:color="auto"/>
                <w:bottom w:val="none" w:sz="0" w:space="0" w:color="auto"/>
                <w:right w:val="none" w:sz="0" w:space="0" w:color="auto"/>
              </w:divBdr>
              <w:divsChild>
                <w:div w:id="745684969">
                  <w:marLeft w:val="0"/>
                  <w:marRight w:val="0"/>
                  <w:marTop w:val="0"/>
                  <w:marBottom w:val="0"/>
                  <w:divBdr>
                    <w:top w:val="none" w:sz="0" w:space="0" w:color="auto"/>
                    <w:left w:val="none" w:sz="0" w:space="0" w:color="auto"/>
                    <w:bottom w:val="none" w:sz="0" w:space="0" w:color="auto"/>
                    <w:right w:val="none" w:sz="0" w:space="0" w:color="auto"/>
                  </w:divBdr>
                  <w:divsChild>
                    <w:div w:id="1325933925">
                      <w:marLeft w:val="0"/>
                      <w:marRight w:val="0"/>
                      <w:marTop w:val="0"/>
                      <w:marBottom w:val="0"/>
                      <w:divBdr>
                        <w:top w:val="none" w:sz="0" w:space="0" w:color="auto"/>
                        <w:left w:val="none" w:sz="0" w:space="0" w:color="auto"/>
                        <w:bottom w:val="none" w:sz="0" w:space="0" w:color="auto"/>
                        <w:right w:val="none" w:sz="0" w:space="0" w:color="auto"/>
                      </w:divBdr>
                      <w:divsChild>
                        <w:div w:id="288242053">
                          <w:marLeft w:val="0"/>
                          <w:marRight w:val="0"/>
                          <w:marTop w:val="0"/>
                          <w:marBottom w:val="0"/>
                          <w:divBdr>
                            <w:top w:val="none" w:sz="0" w:space="0" w:color="auto"/>
                            <w:left w:val="none" w:sz="0" w:space="0" w:color="auto"/>
                            <w:bottom w:val="none" w:sz="0" w:space="0" w:color="auto"/>
                            <w:right w:val="none" w:sz="0" w:space="0" w:color="auto"/>
                          </w:divBdr>
                          <w:divsChild>
                            <w:div w:id="19665738">
                              <w:marLeft w:val="0"/>
                              <w:marRight w:val="0"/>
                              <w:marTop w:val="0"/>
                              <w:marBottom w:val="0"/>
                              <w:divBdr>
                                <w:top w:val="none" w:sz="0" w:space="0" w:color="auto"/>
                                <w:left w:val="none" w:sz="0" w:space="0" w:color="auto"/>
                                <w:bottom w:val="none" w:sz="0" w:space="0" w:color="auto"/>
                                <w:right w:val="none" w:sz="0" w:space="0" w:color="auto"/>
                              </w:divBdr>
                              <w:divsChild>
                                <w:div w:id="887302573">
                                  <w:marLeft w:val="0"/>
                                  <w:marRight w:val="0"/>
                                  <w:marTop w:val="0"/>
                                  <w:marBottom w:val="0"/>
                                  <w:divBdr>
                                    <w:top w:val="none" w:sz="0" w:space="0" w:color="auto"/>
                                    <w:left w:val="none" w:sz="0" w:space="0" w:color="auto"/>
                                    <w:bottom w:val="none" w:sz="0" w:space="0" w:color="auto"/>
                                    <w:right w:val="none" w:sz="0" w:space="0" w:color="auto"/>
                                  </w:divBdr>
                                  <w:divsChild>
                                    <w:div w:id="701440200">
                                      <w:marLeft w:val="60"/>
                                      <w:marRight w:val="0"/>
                                      <w:marTop w:val="0"/>
                                      <w:marBottom w:val="0"/>
                                      <w:divBdr>
                                        <w:top w:val="none" w:sz="0" w:space="0" w:color="auto"/>
                                        <w:left w:val="none" w:sz="0" w:space="0" w:color="auto"/>
                                        <w:bottom w:val="none" w:sz="0" w:space="0" w:color="auto"/>
                                        <w:right w:val="none" w:sz="0" w:space="0" w:color="auto"/>
                                      </w:divBdr>
                                      <w:divsChild>
                                        <w:div w:id="983849241">
                                          <w:marLeft w:val="0"/>
                                          <w:marRight w:val="0"/>
                                          <w:marTop w:val="0"/>
                                          <w:marBottom w:val="0"/>
                                          <w:divBdr>
                                            <w:top w:val="none" w:sz="0" w:space="0" w:color="auto"/>
                                            <w:left w:val="none" w:sz="0" w:space="0" w:color="auto"/>
                                            <w:bottom w:val="none" w:sz="0" w:space="0" w:color="auto"/>
                                            <w:right w:val="none" w:sz="0" w:space="0" w:color="auto"/>
                                          </w:divBdr>
                                          <w:divsChild>
                                            <w:div w:id="432213027">
                                              <w:marLeft w:val="0"/>
                                              <w:marRight w:val="0"/>
                                              <w:marTop w:val="0"/>
                                              <w:marBottom w:val="120"/>
                                              <w:divBdr>
                                                <w:top w:val="single" w:sz="6" w:space="0" w:color="F5F5F5"/>
                                                <w:left w:val="single" w:sz="6" w:space="0" w:color="F5F5F5"/>
                                                <w:bottom w:val="single" w:sz="6" w:space="0" w:color="F5F5F5"/>
                                                <w:right w:val="single" w:sz="6" w:space="0" w:color="F5F5F5"/>
                                              </w:divBdr>
                                              <w:divsChild>
                                                <w:div w:id="936519651">
                                                  <w:marLeft w:val="0"/>
                                                  <w:marRight w:val="0"/>
                                                  <w:marTop w:val="0"/>
                                                  <w:marBottom w:val="0"/>
                                                  <w:divBdr>
                                                    <w:top w:val="none" w:sz="0" w:space="0" w:color="auto"/>
                                                    <w:left w:val="none" w:sz="0" w:space="0" w:color="auto"/>
                                                    <w:bottom w:val="none" w:sz="0" w:space="0" w:color="auto"/>
                                                    <w:right w:val="none" w:sz="0" w:space="0" w:color="auto"/>
                                                  </w:divBdr>
                                                  <w:divsChild>
                                                    <w:div w:id="675574710">
                                                      <w:marLeft w:val="0"/>
                                                      <w:marRight w:val="0"/>
                                                      <w:marTop w:val="0"/>
                                                      <w:marBottom w:val="0"/>
                                                      <w:divBdr>
                                                        <w:top w:val="none" w:sz="0" w:space="0" w:color="auto"/>
                                                        <w:left w:val="none" w:sz="0" w:space="0" w:color="auto"/>
                                                        <w:bottom w:val="none" w:sz="0" w:space="0" w:color="auto"/>
                                                        <w:right w:val="none" w:sz="0" w:space="0" w:color="auto"/>
                                                      </w:divBdr>
                                                    </w:div>
                                                  </w:divsChild>
                                                </w:div>
                                                <w:div w:id="1117528970">
                                                  <w:marLeft w:val="0"/>
                                                  <w:marRight w:val="0"/>
                                                  <w:marTop w:val="0"/>
                                                  <w:marBottom w:val="0"/>
                                                  <w:divBdr>
                                                    <w:top w:val="none" w:sz="0" w:space="0" w:color="auto"/>
                                                    <w:left w:val="none" w:sz="0" w:space="0" w:color="auto"/>
                                                    <w:bottom w:val="none" w:sz="0" w:space="0" w:color="auto"/>
                                                    <w:right w:val="none" w:sz="0" w:space="0" w:color="auto"/>
                                                  </w:divBdr>
                                                  <w:divsChild>
                                                    <w:div w:id="1025252075">
                                                      <w:marLeft w:val="0"/>
                                                      <w:marRight w:val="0"/>
                                                      <w:marTop w:val="0"/>
                                                      <w:marBottom w:val="0"/>
                                                      <w:divBdr>
                                                        <w:top w:val="none" w:sz="0" w:space="0" w:color="auto"/>
                                                        <w:left w:val="none" w:sz="0" w:space="0" w:color="auto"/>
                                                        <w:bottom w:val="none" w:sz="0" w:space="0" w:color="auto"/>
                                                        <w:right w:val="none" w:sz="0" w:space="0" w:color="auto"/>
                                                      </w:divBdr>
                                                    </w:div>
                                                  </w:divsChild>
                                                </w:div>
                                                <w:div w:id="1089500572">
                                                  <w:marLeft w:val="0"/>
                                                  <w:marRight w:val="0"/>
                                                  <w:marTop w:val="0"/>
                                                  <w:marBottom w:val="0"/>
                                                  <w:divBdr>
                                                    <w:top w:val="none" w:sz="0" w:space="0" w:color="auto"/>
                                                    <w:left w:val="none" w:sz="0" w:space="0" w:color="auto"/>
                                                    <w:bottom w:val="none" w:sz="0" w:space="0" w:color="auto"/>
                                                    <w:right w:val="none" w:sz="0" w:space="0" w:color="auto"/>
                                                  </w:divBdr>
                                                  <w:divsChild>
                                                    <w:div w:id="929657168">
                                                      <w:marLeft w:val="0"/>
                                                      <w:marRight w:val="0"/>
                                                      <w:marTop w:val="0"/>
                                                      <w:marBottom w:val="0"/>
                                                      <w:divBdr>
                                                        <w:top w:val="none" w:sz="0" w:space="0" w:color="auto"/>
                                                        <w:left w:val="none" w:sz="0" w:space="0" w:color="auto"/>
                                                        <w:bottom w:val="none" w:sz="0" w:space="0" w:color="auto"/>
                                                        <w:right w:val="none" w:sz="0" w:space="0" w:color="auto"/>
                                                      </w:divBdr>
                                                      <w:divsChild>
                                                        <w:div w:id="1853451016">
                                                          <w:marLeft w:val="0"/>
                                                          <w:marRight w:val="0"/>
                                                          <w:marTop w:val="0"/>
                                                          <w:marBottom w:val="0"/>
                                                          <w:divBdr>
                                                            <w:top w:val="none" w:sz="0" w:space="0" w:color="auto"/>
                                                            <w:left w:val="none" w:sz="0" w:space="0" w:color="auto"/>
                                                            <w:bottom w:val="none" w:sz="0" w:space="0" w:color="auto"/>
                                                            <w:right w:val="none" w:sz="0" w:space="0" w:color="auto"/>
                                                          </w:divBdr>
                                                        </w:div>
                                                        <w:div w:id="11596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59550">
                                              <w:marLeft w:val="0"/>
                                              <w:marRight w:val="0"/>
                                              <w:marTop w:val="0"/>
                                              <w:marBottom w:val="0"/>
                                              <w:divBdr>
                                                <w:top w:val="none" w:sz="0" w:space="0" w:color="auto"/>
                                                <w:left w:val="none" w:sz="0" w:space="0" w:color="auto"/>
                                                <w:bottom w:val="none" w:sz="0" w:space="0" w:color="auto"/>
                                                <w:right w:val="none" w:sz="0" w:space="0" w:color="auto"/>
                                              </w:divBdr>
                                              <w:divsChild>
                                                <w:div w:id="932858971">
                                                  <w:marLeft w:val="0"/>
                                                  <w:marRight w:val="0"/>
                                                  <w:marTop w:val="600"/>
                                                  <w:marBottom w:val="0"/>
                                                  <w:divBdr>
                                                    <w:top w:val="none" w:sz="0" w:space="0" w:color="auto"/>
                                                    <w:left w:val="none" w:sz="0" w:space="0" w:color="auto"/>
                                                    <w:bottom w:val="none" w:sz="0" w:space="0" w:color="auto"/>
                                                    <w:right w:val="none" w:sz="0" w:space="0" w:color="auto"/>
                                                  </w:divBdr>
                                                  <w:divsChild>
                                                    <w:div w:id="1763799126">
                                                      <w:marLeft w:val="0"/>
                                                      <w:marRight w:val="0"/>
                                                      <w:marTop w:val="0"/>
                                                      <w:marBottom w:val="0"/>
                                                      <w:divBdr>
                                                        <w:top w:val="none" w:sz="0" w:space="0" w:color="auto"/>
                                                        <w:left w:val="none" w:sz="0" w:space="0" w:color="auto"/>
                                                        <w:bottom w:val="none" w:sz="0" w:space="0" w:color="auto"/>
                                                        <w:right w:val="none" w:sz="0" w:space="0" w:color="auto"/>
                                                      </w:divBdr>
                                                      <w:divsChild>
                                                        <w:div w:id="1868521445">
                                                          <w:marLeft w:val="0"/>
                                                          <w:marRight w:val="0"/>
                                                          <w:marTop w:val="0"/>
                                                          <w:marBottom w:val="0"/>
                                                          <w:divBdr>
                                                            <w:top w:val="none" w:sz="0" w:space="0" w:color="auto"/>
                                                            <w:left w:val="none" w:sz="0" w:space="0" w:color="auto"/>
                                                            <w:bottom w:val="none" w:sz="0" w:space="0" w:color="auto"/>
                                                            <w:right w:val="none" w:sz="0" w:space="0" w:color="auto"/>
                                                          </w:divBdr>
                                                          <w:divsChild>
                                                            <w:div w:id="1659770314">
                                                              <w:marLeft w:val="0"/>
                                                              <w:marRight w:val="0"/>
                                                              <w:marTop w:val="0"/>
                                                              <w:marBottom w:val="0"/>
                                                              <w:divBdr>
                                                                <w:top w:val="none" w:sz="0" w:space="0" w:color="auto"/>
                                                                <w:left w:val="none" w:sz="0" w:space="0" w:color="auto"/>
                                                                <w:bottom w:val="none" w:sz="0" w:space="0" w:color="auto"/>
                                                                <w:right w:val="none" w:sz="0" w:space="0" w:color="auto"/>
                                                              </w:divBdr>
                                                              <w:divsChild>
                                                                <w:div w:id="758671632">
                                                                  <w:marLeft w:val="0"/>
                                                                  <w:marRight w:val="0"/>
                                                                  <w:marTop w:val="100"/>
                                                                  <w:marBottom w:val="100"/>
                                                                  <w:divBdr>
                                                                    <w:top w:val="none" w:sz="0" w:space="0" w:color="auto"/>
                                                                    <w:left w:val="none" w:sz="0" w:space="0" w:color="auto"/>
                                                                    <w:bottom w:val="none" w:sz="0" w:space="0" w:color="auto"/>
                                                                    <w:right w:val="none" w:sz="0" w:space="0" w:color="auto"/>
                                                                  </w:divBdr>
                                                                </w:div>
                                                                <w:div w:id="23783037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74783400">
                                                  <w:marLeft w:val="0"/>
                                                  <w:marRight w:val="0"/>
                                                  <w:marTop w:val="0"/>
                                                  <w:marBottom w:val="0"/>
                                                  <w:divBdr>
                                                    <w:top w:val="none" w:sz="0" w:space="0" w:color="auto"/>
                                                    <w:left w:val="none" w:sz="0" w:space="0" w:color="auto"/>
                                                    <w:bottom w:val="none" w:sz="0" w:space="0" w:color="auto"/>
                                                    <w:right w:val="none" w:sz="0" w:space="0" w:color="auto"/>
                                                  </w:divBdr>
                                                  <w:divsChild>
                                                    <w:div w:id="411121197">
                                                      <w:marLeft w:val="0"/>
                                                      <w:marRight w:val="0"/>
                                                      <w:marTop w:val="90"/>
                                                      <w:marBottom w:val="90"/>
                                                      <w:divBdr>
                                                        <w:top w:val="none" w:sz="0" w:space="4" w:color="F0C36D"/>
                                                        <w:left w:val="none" w:sz="0" w:space="4" w:color="F0C36D"/>
                                                        <w:bottom w:val="none" w:sz="0" w:space="4" w:color="F0C36D"/>
                                                        <w:right w:val="none" w:sz="0" w:space="4" w:color="F0C36D"/>
                                                      </w:divBdr>
                                                      <w:divsChild>
                                                        <w:div w:id="1524901578">
                                                          <w:marLeft w:val="0"/>
                                                          <w:marRight w:val="0"/>
                                                          <w:marTop w:val="0"/>
                                                          <w:marBottom w:val="0"/>
                                                          <w:divBdr>
                                                            <w:top w:val="none" w:sz="0" w:space="0" w:color="auto"/>
                                                            <w:left w:val="none" w:sz="0" w:space="0" w:color="auto"/>
                                                            <w:bottom w:val="none" w:sz="0" w:space="0" w:color="auto"/>
                                                            <w:right w:val="none" w:sz="0" w:space="0" w:color="auto"/>
                                                          </w:divBdr>
                                                        </w:div>
                                                      </w:divsChild>
                                                    </w:div>
                                                    <w:div w:id="1192379303">
                                                      <w:marLeft w:val="0"/>
                                                      <w:marRight w:val="0"/>
                                                      <w:marTop w:val="0"/>
                                                      <w:marBottom w:val="0"/>
                                                      <w:divBdr>
                                                        <w:top w:val="none" w:sz="0" w:space="0" w:color="auto"/>
                                                        <w:left w:val="none" w:sz="0" w:space="0" w:color="auto"/>
                                                        <w:bottom w:val="none" w:sz="0" w:space="0" w:color="auto"/>
                                                        <w:right w:val="none" w:sz="0" w:space="0" w:color="auto"/>
                                                      </w:divBdr>
                                                      <w:divsChild>
                                                        <w:div w:id="1735354991">
                                                          <w:marLeft w:val="0"/>
                                                          <w:marRight w:val="0"/>
                                                          <w:marTop w:val="0"/>
                                                          <w:marBottom w:val="0"/>
                                                          <w:divBdr>
                                                            <w:top w:val="none" w:sz="0" w:space="0" w:color="auto"/>
                                                            <w:left w:val="none" w:sz="0" w:space="0" w:color="auto"/>
                                                            <w:bottom w:val="none" w:sz="0" w:space="0" w:color="auto"/>
                                                            <w:right w:val="none" w:sz="0" w:space="0" w:color="auto"/>
                                                          </w:divBdr>
                                                        </w:div>
                                                        <w:div w:id="132620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14156">
                                  <w:marLeft w:val="0"/>
                                  <w:marRight w:val="0"/>
                                  <w:marTop w:val="0"/>
                                  <w:marBottom w:val="0"/>
                                  <w:divBdr>
                                    <w:top w:val="none" w:sz="0" w:space="0" w:color="auto"/>
                                    <w:left w:val="none" w:sz="0" w:space="0" w:color="auto"/>
                                    <w:bottom w:val="none" w:sz="0" w:space="0" w:color="auto"/>
                                    <w:right w:val="none" w:sz="0" w:space="0" w:color="auto"/>
                                  </w:divBdr>
                                  <w:divsChild>
                                    <w:div w:id="2026515428">
                                      <w:marLeft w:val="0"/>
                                      <w:marRight w:val="0"/>
                                      <w:marTop w:val="600"/>
                                      <w:marBottom w:val="0"/>
                                      <w:divBdr>
                                        <w:top w:val="none" w:sz="0" w:space="0" w:color="auto"/>
                                        <w:left w:val="none" w:sz="0" w:space="0" w:color="auto"/>
                                        <w:bottom w:val="none" w:sz="0" w:space="0" w:color="auto"/>
                                        <w:right w:val="none" w:sz="0" w:space="0" w:color="auto"/>
                                      </w:divBdr>
                                      <w:divsChild>
                                        <w:div w:id="1642927042">
                                          <w:marLeft w:val="0"/>
                                          <w:marRight w:val="0"/>
                                          <w:marTop w:val="0"/>
                                          <w:marBottom w:val="0"/>
                                          <w:divBdr>
                                            <w:top w:val="none" w:sz="0" w:space="0" w:color="auto"/>
                                            <w:left w:val="none" w:sz="0" w:space="0" w:color="auto"/>
                                            <w:bottom w:val="none" w:sz="0" w:space="0" w:color="auto"/>
                                            <w:right w:val="none" w:sz="0" w:space="0" w:color="auto"/>
                                          </w:divBdr>
                                          <w:divsChild>
                                            <w:div w:id="1262489780">
                                              <w:marLeft w:val="0"/>
                                              <w:marRight w:val="0"/>
                                              <w:marTop w:val="0"/>
                                              <w:marBottom w:val="0"/>
                                              <w:divBdr>
                                                <w:top w:val="none" w:sz="0" w:space="0" w:color="auto"/>
                                                <w:left w:val="none" w:sz="0" w:space="0" w:color="auto"/>
                                                <w:bottom w:val="none" w:sz="0" w:space="0" w:color="auto"/>
                                                <w:right w:val="none" w:sz="0" w:space="0" w:color="auto"/>
                                              </w:divBdr>
                                              <w:divsChild>
                                                <w:div w:id="766074912">
                                                  <w:marLeft w:val="0"/>
                                                  <w:marRight w:val="0"/>
                                                  <w:marTop w:val="0"/>
                                                  <w:marBottom w:val="0"/>
                                                  <w:divBdr>
                                                    <w:top w:val="none" w:sz="0" w:space="0" w:color="auto"/>
                                                    <w:left w:val="none" w:sz="0" w:space="0" w:color="auto"/>
                                                    <w:bottom w:val="none" w:sz="0" w:space="0" w:color="auto"/>
                                                    <w:right w:val="none" w:sz="0" w:space="0" w:color="auto"/>
                                                  </w:divBdr>
                                                  <w:divsChild>
                                                    <w:div w:id="1389594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14000683">
                                  <w:marLeft w:val="0"/>
                                  <w:marRight w:val="0"/>
                                  <w:marTop w:val="0"/>
                                  <w:marBottom w:val="0"/>
                                  <w:divBdr>
                                    <w:top w:val="none" w:sz="0" w:space="0" w:color="auto"/>
                                    <w:left w:val="none" w:sz="0" w:space="0" w:color="auto"/>
                                    <w:bottom w:val="none" w:sz="0" w:space="0" w:color="auto"/>
                                    <w:right w:val="none" w:sz="0" w:space="0" w:color="auto"/>
                                  </w:divBdr>
                                  <w:divsChild>
                                    <w:div w:id="1769307823">
                                      <w:marLeft w:val="0"/>
                                      <w:marRight w:val="0"/>
                                      <w:marTop w:val="0"/>
                                      <w:marBottom w:val="0"/>
                                      <w:divBdr>
                                        <w:top w:val="none" w:sz="0" w:space="0" w:color="auto"/>
                                        <w:left w:val="none" w:sz="0" w:space="0" w:color="auto"/>
                                        <w:bottom w:val="single" w:sz="6" w:space="3" w:color="CCCCCC"/>
                                        <w:right w:val="none" w:sz="0" w:space="0" w:color="auto"/>
                                      </w:divBdr>
                                    </w:div>
                                    <w:div w:id="302589984">
                                      <w:marLeft w:val="0"/>
                                      <w:marRight w:val="0"/>
                                      <w:marTop w:val="0"/>
                                      <w:marBottom w:val="0"/>
                                      <w:divBdr>
                                        <w:top w:val="none" w:sz="0" w:space="0" w:color="auto"/>
                                        <w:left w:val="none" w:sz="0" w:space="0" w:color="auto"/>
                                        <w:bottom w:val="none" w:sz="0" w:space="0" w:color="auto"/>
                                        <w:right w:val="none" w:sz="0" w:space="0" w:color="auto"/>
                                      </w:divBdr>
                                      <w:divsChild>
                                        <w:div w:id="591011128">
                                          <w:marLeft w:val="0"/>
                                          <w:marRight w:val="0"/>
                                          <w:marTop w:val="0"/>
                                          <w:marBottom w:val="0"/>
                                          <w:divBdr>
                                            <w:top w:val="none" w:sz="0" w:space="0" w:color="auto"/>
                                            <w:left w:val="none" w:sz="0" w:space="0" w:color="auto"/>
                                            <w:bottom w:val="none" w:sz="0" w:space="0" w:color="auto"/>
                                            <w:right w:val="none" w:sz="0" w:space="0" w:color="auto"/>
                                          </w:divBdr>
                                          <w:divsChild>
                                            <w:div w:id="1497722532">
                                              <w:marLeft w:val="0"/>
                                              <w:marRight w:val="60"/>
                                              <w:marTop w:val="0"/>
                                              <w:marBottom w:val="0"/>
                                              <w:divBdr>
                                                <w:top w:val="none" w:sz="0" w:space="0" w:color="auto"/>
                                                <w:left w:val="none" w:sz="0" w:space="0" w:color="auto"/>
                                                <w:bottom w:val="none" w:sz="0" w:space="0" w:color="auto"/>
                                                <w:right w:val="none" w:sz="0" w:space="0" w:color="auto"/>
                                              </w:divBdr>
                                              <w:divsChild>
                                                <w:div w:id="938677928">
                                                  <w:marLeft w:val="0"/>
                                                  <w:marRight w:val="0"/>
                                                  <w:marTop w:val="0"/>
                                                  <w:marBottom w:val="0"/>
                                                  <w:divBdr>
                                                    <w:top w:val="none" w:sz="0" w:space="0" w:color="auto"/>
                                                    <w:left w:val="none" w:sz="0" w:space="0" w:color="auto"/>
                                                    <w:bottom w:val="none" w:sz="0" w:space="0" w:color="auto"/>
                                                    <w:right w:val="none" w:sz="0" w:space="0" w:color="auto"/>
                                                  </w:divBdr>
                                                  <w:divsChild>
                                                    <w:div w:id="1726904240">
                                                      <w:marLeft w:val="0"/>
                                                      <w:marRight w:val="0"/>
                                                      <w:marTop w:val="0"/>
                                                      <w:marBottom w:val="0"/>
                                                      <w:divBdr>
                                                        <w:top w:val="none" w:sz="0" w:space="0" w:color="auto"/>
                                                        <w:left w:val="none" w:sz="0" w:space="0" w:color="auto"/>
                                                        <w:bottom w:val="none" w:sz="0" w:space="0" w:color="auto"/>
                                                        <w:right w:val="none" w:sz="0" w:space="0" w:color="auto"/>
                                                      </w:divBdr>
                                                      <w:divsChild>
                                                        <w:div w:id="298465296">
                                                          <w:marLeft w:val="0"/>
                                                          <w:marRight w:val="0"/>
                                                          <w:marTop w:val="0"/>
                                                          <w:marBottom w:val="0"/>
                                                          <w:divBdr>
                                                            <w:top w:val="none" w:sz="0" w:space="0" w:color="auto"/>
                                                            <w:left w:val="none" w:sz="0" w:space="0" w:color="auto"/>
                                                            <w:bottom w:val="none" w:sz="0" w:space="0" w:color="auto"/>
                                                            <w:right w:val="none" w:sz="0" w:space="0" w:color="auto"/>
                                                          </w:divBdr>
                                                          <w:divsChild>
                                                            <w:div w:id="89758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640672">
                                                  <w:marLeft w:val="0"/>
                                                  <w:marRight w:val="0"/>
                                                  <w:marTop w:val="0"/>
                                                  <w:marBottom w:val="0"/>
                                                  <w:divBdr>
                                                    <w:top w:val="none" w:sz="0" w:space="0" w:color="auto"/>
                                                    <w:left w:val="none" w:sz="0" w:space="0" w:color="auto"/>
                                                    <w:bottom w:val="none" w:sz="0" w:space="0" w:color="auto"/>
                                                    <w:right w:val="none" w:sz="0" w:space="0" w:color="auto"/>
                                                  </w:divBdr>
                                                  <w:divsChild>
                                                    <w:div w:id="1394158373">
                                                      <w:marLeft w:val="0"/>
                                                      <w:marRight w:val="0"/>
                                                      <w:marTop w:val="0"/>
                                                      <w:marBottom w:val="0"/>
                                                      <w:divBdr>
                                                        <w:top w:val="none" w:sz="0" w:space="0" w:color="auto"/>
                                                        <w:left w:val="none" w:sz="0" w:space="0" w:color="auto"/>
                                                        <w:bottom w:val="none" w:sz="0" w:space="0" w:color="auto"/>
                                                        <w:right w:val="none" w:sz="0" w:space="0" w:color="auto"/>
                                                      </w:divBdr>
                                                      <w:divsChild>
                                                        <w:div w:id="978919158">
                                                          <w:marLeft w:val="0"/>
                                                          <w:marRight w:val="0"/>
                                                          <w:marTop w:val="0"/>
                                                          <w:marBottom w:val="0"/>
                                                          <w:divBdr>
                                                            <w:top w:val="none" w:sz="0" w:space="0" w:color="auto"/>
                                                            <w:left w:val="none" w:sz="0" w:space="0" w:color="auto"/>
                                                            <w:bottom w:val="none" w:sz="0" w:space="0" w:color="auto"/>
                                                            <w:right w:val="none" w:sz="0" w:space="0" w:color="auto"/>
                                                          </w:divBdr>
                                                          <w:divsChild>
                                                            <w:div w:id="71516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931522">
                                                  <w:marLeft w:val="0"/>
                                                  <w:marRight w:val="0"/>
                                                  <w:marTop w:val="0"/>
                                                  <w:marBottom w:val="0"/>
                                                  <w:divBdr>
                                                    <w:top w:val="none" w:sz="0" w:space="0" w:color="auto"/>
                                                    <w:left w:val="none" w:sz="0" w:space="0" w:color="auto"/>
                                                    <w:bottom w:val="none" w:sz="0" w:space="0" w:color="auto"/>
                                                    <w:right w:val="none" w:sz="0" w:space="0" w:color="auto"/>
                                                  </w:divBdr>
                                                  <w:divsChild>
                                                    <w:div w:id="1875654696">
                                                      <w:marLeft w:val="0"/>
                                                      <w:marRight w:val="0"/>
                                                      <w:marTop w:val="0"/>
                                                      <w:marBottom w:val="0"/>
                                                      <w:divBdr>
                                                        <w:top w:val="none" w:sz="0" w:space="0" w:color="auto"/>
                                                        <w:left w:val="none" w:sz="0" w:space="0" w:color="auto"/>
                                                        <w:bottom w:val="none" w:sz="0" w:space="0" w:color="auto"/>
                                                        <w:right w:val="none" w:sz="0" w:space="0" w:color="auto"/>
                                                      </w:divBdr>
                                                      <w:divsChild>
                                                        <w:div w:id="1757625705">
                                                          <w:marLeft w:val="0"/>
                                                          <w:marRight w:val="0"/>
                                                          <w:marTop w:val="0"/>
                                                          <w:marBottom w:val="0"/>
                                                          <w:divBdr>
                                                            <w:top w:val="none" w:sz="0" w:space="0" w:color="auto"/>
                                                            <w:left w:val="none" w:sz="0" w:space="0" w:color="auto"/>
                                                            <w:bottom w:val="none" w:sz="0" w:space="0" w:color="auto"/>
                                                            <w:right w:val="none" w:sz="0" w:space="0" w:color="auto"/>
                                                          </w:divBdr>
                                                          <w:divsChild>
                                                            <w:div w:id="192186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15863">
                                                  <w:marLeft w:val="0"/>
                                                  <w:marRight w:val="0"/>
                                                  <w:marTop w:val="0"/>
                                                  <w:marBottom w:val="0"/>
                                                  <w:divBdr>
                                                    <w:top w:val="none" w:sz="0" w:space="0" w:color="auto"/>
                                                    <w:left w:val="none" w:sz="0" w:space="0" w:color="auto"/>
                                                    <w:bottom w:val="none" w:sz="0" w:space="0" w:color="auto"/>
                                                    <w:right w:val="none" w:sz="0" w:space="0" w:color="auto"/>
                                                  </w:divBdr>
                                                  <w:divsChild>
                                                    <w:div w:id="1292399020">
                                                      <w:marLeft w:val="0"/>
                                                      <w:marRight w:val="0"/>
                                                      <w:marTop w:val="0"/>
                                                      <w:marBottom w:val="0"/>
                                                      <w:divBdr>
                                                        <w:top w:val="none" w:sz="0" w:space="0" w:color="auto"/>
                                                        <w:left w:val="none" w:sz="0" w:space="0" w:color="auto"/>
                                                        <w:bottom w:val="none" w:sz="0" w:space="0" w:color="auto"/>
                                                        <w:right w:val="none" w:sz="0" w:space="0" w:color="auto"/>
                                                      </w:divBdr>
                                                      <w:divsChild>
                                                        <w:div w:id="18799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995551">
                                          <w:marLeft w:val="0"/>
                                          <w:marRight w:val="0"/>
                                          <w:marTop w:val="0"/>
                                          <w:marBottom w:val="0"/>
                                          <w:divBdr>
                                            <w:top w:val="none" w:sz="0" w:space="0" w:color="auto"/>
                                            <w:left w:val="none" w:sz="0" w:space="0" w:color="auto"/>
                                            <w:bottom w:val="none" w:sz="0" w:space="0" w:color="auto"/>
                                            <w:right w:val="none" w:sz="0" w:space="0" w:color="auto"/>
                                          </w:divBdr>
                                          <w:divsChild>
                                            <w:div w:id="903954487">
                                              <w:marLeft w:val="60"/>
                                              <w:marRight w:val="0"/>
                                              <w:marTop w:val="0"/>
                                              <w:marBottom w:val="0"/>
                                              <w:divBdr>
                                                <w:top w:val="none" w:sz="0" w:space="0" w:color="auto"/>
                                                <w:left w:val="none" w:sz="0" w:space="0" w:color="auto"/>
                                                <w:bottom w:val="none" w:sz="0" w:space="0" w:color="auto"/>
                                                <w:right w:val="none" w:sz="0" w:space="0" w:color="auto"/>
                                              </w:divBdr>
                                              <w:divsChild>
                                                <w:div w:id="1140342156">
                                                  <w:marLeft w:val="0"/>
                                                  <w:marRight w:val="0"/>
                                                  <w:marTop w:val="0"/>
                                                  <w:marBottom w:val="0"/>
                                                  <w:divBdr>
                                                    <w:top w:val="none" w:sz="0" w:space="0" w:color="auto"/>
                                                    <w:left w:val="none" w:sz="0" w:space="0" w:color="auto"/>
                                                    <w:bottom w:val="none" w:sz="0" w:space="0" w:color="auto"/>
                                                    <w:right w:val="none" w:sz="0" w:space="0" w:color="auto"/>
                                                  </w:divBdr>
                                                  <w:divsChild>
                                                    <w:div w:id="700059240">
                                                      <w:marLeft w:val="0"/>
                                                      <w:marRight w:val="0"/>
                                                      <w:marTop w:val="0"/>
                                                      <w:marBottom w:val="0"/>
                                                      <w:divBdr>
                                                        <w:top w:val="none" w:sz="0" w:space="0" w:color="auto"/>
                                                        <w:left w:val="none" w:sz="0" w:space="0" w:color="auto"/>
                                                        <w:bottom w:val="none" w:sz="0" w:space="0" w:color="auto"/>
                                                        <w:right w:val="none" w:sz="0" w:space="0" w:color="auto"/>
                                                      </w:divBdr>
                                                      <w:divsChild>
                                                        <w:div w:id="716777566">
                                                          <w:marLeft w:val="0"/>
                                                          <w:marRight w:val="0"/>
                                                          <w:marTop w:val="0"/>
                                                          <w:marBottom w:val="0"/>
                                                          <w:divBdr>
                                                            <w:top w:val="none" w:sz="0" w:space="0" w:color="auto"/>
                                                            <w:left w:val="none" w:sz="0" w:space="0" w:color="auto"/>
                                                            <w:bottom w:val="none" w:sz="0" w:space="0" w:color="auto"/>
                                                            <w:right w:val="none" w:sz="0" w:space="0" w:color="auto"/>
                                                          </w:divBdr>
                                                          <w:divsChild>
                                                            <w:div w:id="2583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2729483">
              <w:marLeft w:val="0"/>
              <w:marRight w:val="0"/>
              <w:marTop w:val="0"/>
              <w:marBottom w:val="0"/>
              <w:divBdr>
                <w:top w:val="single" w:sz="6" w:space="31" w:color="F0C36D"/>
                <w:left w:val="single" w:sz="6" w:space="31" w:color="F0C36D"/>
                <w:bottom w:val="single" w:sz="6" w:space="31" w:color="F0C36D"/>
                <w:right w:val="single" w:sz="6" w:space="31" w:color="F0C36D"/>
              </w:divBdr>
            </w:div>
            <w:div w:id="1531143189">
              <w:marLeft w:val="0"/>
              <w:marRight w:val="0"/>
              <w:marTop w:val="0"/>
              <w:marBottom w:val="0"/>
              <w:divBdr>
                <w:top w:val="single" w:sz="6" w:space="31" w:color="F0C36D"/>
                <w:left w:val="single" w:sz="6" w:space="31" w:color="F0C36D"/>
                <w:bottom w:val="single" w:sz="6" w:space="31" w:color="F0C36D"/>
                <w:right w:val="single" w:sz="6" w:space="31" w:color="F0C36D"/>
              </w:divBdr>
            </w:div>
            <w:div w:id="454838326">
              <w:marLeft w:val="0"/>
              <w:marRight w:val="0"/>
              <w:marTop w:val="0"/>
              <w:marBottom w:val="0"/>
              <w:divBdr>
                <w:top w:val="single" w:sz="6" w:space="31" w:color="F0C36D"/>
                <w:left w:val="single" w:sz="6" w:space="31" w:color="F0C36D"/>
                <w:bottom w:val="single" w:sz="6" w:space="31" w:color="F0C36D"/>
                <w:right w:val="single" w:sz="6" w:space="31" w:color="F0C36D"/>
              </w:divBdr>
            </w:div>
            <w:div w:id="1373455874">
              <w:marLeft w:val="0"/>
              <w:marRight w:val="0"/>
              <w:marTop w:val="0"/>
              <w:marBottom w:val="0"/>
              <w:divBdr>
                <w:top w:val="single" w:sz="6" w:space="31" w:color="F0C36D"/>
                <w:left w:val="single" w:sz="6" w:space="31" w:color="F0C36D"/>
                <w:bottom w:val="single" w:sz="6" w:space="31" w:color="F0C36D"/>
                <w:right w:val="single" w:sz="6" w:space="31" w:color="F0C36D"/>
              </w:divBdr>
            </w:div>
            <w:div w:id="1732731308">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207889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diariocorreo.pe/economia/conozca-que-entidades-financieras-pagan-mas-intereses-por-sus-gratificaciones-596969/" TargetMode="External"/><Relationship Id="rId26"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inei.gob.pe/media/MenuRecursivo/boletines/12-informe-tecnico-n12_exportaciones-e-importaciones-oct2017.pdf" TargetMode="External"/><Relationship Id="rId25"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8.emf"/><Relationship Id="rId5" Type="http://schemas.openxmlformats.org/officeDocument/2006/relationships/customXml" Target="../customXml/item5.xml"/><Relationship Id="rId15" Type="http://schemas.openxmlformats.org/officeDocument/2006/relationships/hyperlink" Target="http://www.sunat.gob.pe/institucional/quienessomos/estructuraRemunerativa/anexo-ds093-2012.pdf" TargetMode="External"/><Relationship Id="rId23" Type="http://schemas.openxmlformats.org/officeDocument/2006/relationships/image" Target="media/image7.emf"/><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emf"/><Relationship Id="rId22" Type="http://schemas.openxmlformats.org/officeDocument/2006/relationships/image" Target="media/image6.emf"/><Relationship Id="rId27" Type="http://schemas.openxmlformats.org/officeDocument/2006/relationships/image" Target="media/image11.emf"/></Relationships>
</file>

<file path=word/_rels/footnotes.xml.rels><?xml version="1.0" encoding="UTF-8" standalone="yes"?>
<Relationships xmlns="http://schemas.openxmlformats.org/package/2006/relationships"><Relationship Id="rId3" Type="http://schemas.openxmlformats.org/officeDocument/2006/relationships/hyperlink" Target="http://www.oecd.org/ctp/administration/46668703.pdf" TargetMode="External"/><Relationship Id="rId2" Type="http://schemas.openxmlformats.org/officeDocument/2006/relationships/hyperlink" Target="http://idbdocs.iadb.org/wsdocs/getDocument.aspx?Docnum=38714772" TargetMode="External"/><Relationship Id="rId1" Type="http://schemas.openxmlformats.org/officeDocument/2006/relationships/hyperlink" Target="http://www.sunat.gob.pe/estadisticasestudios/index.htm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R0001238549</Record_x0020_Number>
    <Division_x0020_or_x0020_Unit xmlns="cdc7663a-08f0-4737-9e8c-148ce897a09c">IFD/FMM</Division_x0020_or_x0020_Unit>
    <Key_x0020_Document xmlns="cdc7663a-08f0-4737-9e8c-148ce897a09c">false</Key_x0020_Document>
    <Document_x0020_Author xmlns="cdc7663a-08f0-4737-9e8c-148ce897a09c">Larios, Jose I.</Document_x0020_Author>
    <_dlc_DocId xmlns="cdc7663a-08f0-4737-9e8c-148ce897a09c">EZSHARE-402686646-16</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Fiscal_x0020_Year_x0020_IDB xmlns="cdc7663a-08f0-4737-9e8c-148ce897a09c">2018</Fiscal_x0020_Year_x0020_IDB>
    <TaxCatchAll xmlns="cdc7663a-08f0-4737-9e8c-148ce897a09c">
      <Value>34</Value>
      <Value>3</Value>
      <Value>44</Value>
      <Value>31</Value>
      <Value>45</Value>
    </TaxCatchAll>
    <Operation_x0020_Type xmlns="cdc7663a-08f0-4737-9e8c-148ce897a09c">Loan Operation</Operation_x0020_Type>
    <b26cdb1da78c4bb4b1c1bac2f6ac5911 xmlns="cdc7663a-08f0-4737-9e8c-148ce897a09c">
      <Terms xmlns="http://schemas.microsoft.com/office/infopath/2007/PartnerControls"/>
    </b26cdb1da78c4bb4b1c1bac2f6ac5911>
    <Project_x0020_Number xmlns="cdc7663a-08f0-4737-9e8c-148ce897a09c">PE-L1239</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4725/OC-PE;</Approval_x0020_Number>
    <Access_x0020_to_x0020_Information_x00a0_Policy xmlns="cdc7663a-08f0-4737-9e8c-148ce897a09c">Public</Access_x0020_to_x0020_Information_x00a0_Policy>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usiness_x0020_Area xmlns="cdc7663a-08f0-4737-9e8c-148ce897a09c">Life Cycle</Business_x0020_Area>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Url xmlns="cdc7663a-08f0-4737-9e8c-148ce897a09c">
      <Url>https://idbg.sharepoint.com/teams/EZ-PE-LON/PE-L1239/_layouts/15/DocIdRedir.aspx?ID=EZSHARE-402686646-16</Url>
      <Description>EZSHARE-402686646-16</Description>
    </_dlc_DocIdUrl>
    <Phase xmlns="cdc7663a-08f0-4737-9e8c-148ce897a09c">ACTIVE</Phase>
    <Other_x0020_Author xmlns="cdc7663a-08f0-4737-9e8c-148ce897a09c">Mariana Canillas</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6134B28273C1747B836CB39D4AB1CB1" ma:contentTypeVersion="1188" ma:contentTypeDescription="A content type to manage public (operations) IDB documents" ma:contentTypeScope="" ma:versionID="4ce2d86240adb12fa3dc6e98e0d77e3c">
  <xsd:schema xmlns:xsd="http://www.w3.org/2001/XMLSchema" xmlns:xs="http://www.w3.org/2001/XMLSchema" xmlns:p="http://schemas.microsoft.com/office/2006/metadata/properties" xmlns:ns2="cdc7663a-08f0-4737-9e8c-148ce897a09c" targetNamespace="http://schemas.microsoft.com/office/2006/metadata/properties" ma:root="true" ma:fieldsID="0c11d073ec2294126867a818dcb007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23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00CC75A4-4686-4EF3-B103-D10E04ECEB23}">
  <ds:schemaRefs>
    <ds:schemaRef ds:uri="http://schemas.microsoft.com/office/2006/metadata/properties"/>
    <ds:schemaRef ds:uri="http://purl.org/dc/terms/"/>
    <ds:schemaRef ds:uri="http://schemas.microsoft.com/office/2006/documentManagement/types"/>
    <ds:schemaRef ds:uri="cdc7663a-08f0-4737-9e8c-148ce897a09c"/>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5F7A15A-BF15-4EB6-B5C8-FE66B4B99472}"/>
</file>

<file path=customXml/itemProps3.xml><?xml version="1.0" encoding="utf-8"?>
<ds:datastoreItem xmlns:ds="http://schemas.openxmlformats.org/officeDocument/2006/customXml" ds:itemID="{E1647051-5871-4BE7-8271-2C8A1AAA35BA}">
  <ds:schemaRefs>
    <ds:schemaRef ds:uri="http://schemas.microsoft.com/sharepoint/events"/>
  </ds:schemaRefs>
</ds:datastoreItem>
</file>

<file path=customXml/itemProps4.xml><?xml version="1.0" encoding="utf-8"?>
<ds:datastoreItem xmlns:ds="http://schemas.openxmlformats.org/officeDocument/2006/customXml" ds:itemID="{4493C5A2-7438-4E82-8A28-3B28E6F5BB03}"/>
</file>

<file path=customXml/itemProps5.xml><?xml version="1.0" encoding="utf-8"?>
<ds:datastoreItem xmlns:ds="http://schemas.openxmlformats.org/officeDocument/2006/customXml" ds:itemID="{2DC75C1F-249D-4DD8-8262-C3E5CB07EAA2}">
  <ds:schemaRefs>
    <ds:schemaRef ds:uri="http://schemas.microsoft.com/sharepoint/v3/contenttype/forms"/>
  </ds:schemaRefs>
</ds:datastoreItem>
</file>

<file path=customXml/itemProps6.xml><?xml version="1.0" encoding="utf-8"?>
<ds:datastoreItem xmlns:ds="http://schemas.openxmlformats.org/officeDocument/2006/customXml" ds:itemID="{E77708BC-8ABA-4C31-B191-C8EBB65A3895}"/>
</file>

<file path=docProps/app.xml><?xml version="1.0" encoding="utf-8"?>
<Properties xmlns="http://schemas.openxmlformats.org/officeDocument/2006/extended-properties" xmlns:vt="http://schemas.openxmlformats.org/officeDocument/2006/docPropsVTypes">
  <Template>Normal.dotm</Template>
  <TotalTime>0</TotalTime>
  <Pages>24</Pages>
  <Words>6299</Words>
  <Characters>35906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2018-09-17T13:44:00Z</dcterms:created>
  <dcterms:modified xsi:type="dcterms:W3CDTF">2018-11-19T22:36:00Z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6fe17714-8025-40ab-9c15-a1dc93880782</vt:lpwstr>
  </property>
  <property fmtid="{D5CDD505-2E9C-101B-9397-08002B2CF9AE}" pid="6" name="Series Operations IDB">
    <vt:lpwstr/>
  </property>
  <property fmtid="{D5CDD505-2E9C-101B-9397-08002B2CF9AE}" pid="7" name="Sub-Sector">
    <vt:lpwstr>45;#FISCAL POLICY FOR SUSTAINABILITY AND GROWTH|6e15b5e0-ae82-4b06-920a-eef6dd27cc8b</vt:lpwstr>
  </property>
  <property fmtid="{D5CDD505-2E9C-101B-9397-08002B2CF9AE}" pid="8" name="Fund IDB">
    <vt:lpwstr>34;#ORC|c028a4b2-ad8b-4cf4-9cac-a2ae6a778e23</vt:lpwstr>
  </property>
  <property fmtid="{D5CDD505-2E9C-101B-9397-08002B2CF9AE}" pid="9" name="Country">
    <vt:lpwstr>31;#Peru|c988f60b-81f1-4c24-8da7-d5473741c5b0</vt:lpwstr>
  </property>
  <property fmtid="{D5CDD505-2E9C-101B-9397-08002B2CF9AE}" pid="10" name="_dlc_DocIdItemGuid">
    <vt:lpwstr>e9480aa2-90d6-4402-ba00-e71c0140b567</vt:lpwstr>
  </property>
  <property fmtid="{D5CDD505-2E9C-101B-9397-08002B2CF9AE}" pid="11" name="Sector IDB">
    <vt:lpwstr>44;#REFORM / MODERNIZATION OF THE STATE|c8fda4a7-691a-4c65-b227-9825197b5cd2</vt:lpwstr>
  </property>
  <property fmtid="{D5CDD505-2E9C-101B-9397-08002B2CF9AE}" pid="12" name="Function Operations IDB">
    <vt:lpwstr>3;#Monitoring and Reporting|df3c2aa1-d63e-41aa-b1f5-bb15dee691ca</vt:lpwstr>
  </property>
  <property fmtid="{D5CDD505-2E9C-101B-9397-08002B2CF9AE}" pid="13" name="Disclosure Activity">
    <vt:lpwstr>Electronic Links</vt:lpwstr>
  </property>
  <property fmtid="{D5CDD505-2E9C-101B-9397-08002B2CF9AE}" pid="14" name="ContentTypeId">
    <vt:lpwstr>0x0101001A458A224826124E8B45B1D613300CFC0046134B28273C1747B836CB39D4AB1CB1</vt:lpwstr>
  </property>
</Properties>
</file>