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915" w:rsidRDefault="0026101A" w:rsidP="00512C99">
      <w:pPr>
        <w:spacing w:before="120"/>
        <w:jc w:val="center"/>
        <w:rPr>
          <w:rFonts w:ascii="Times New Roman" w:hAnsi="Times New Roman"/>
          <w:b/>
        </w:rPr>
      </w:pPr>
      <w:r w:rsidRPr="00FD103C">
        <w:rPr>
          <w:rFonts w:ascii="Times New Roman" w:hAnsi="Times New Roman"/>
          <w:b/>
        </w:rPr>
        <w:t xml:space="preserve">LIST OF </w:t>
      </w:r>
      <w:r w:rsidR="000C7915" w:rsidRPr="00FD103C">
        <w:rPr>
          <w:rFonts w:ascii="Times New Roman" w:hAnsi="Times New Roman"/>
          <w:b/>
        </w:rPr>
        <w:t>T</w:t>
      </w:r>
      <w:r w:rsidRPr="00FD103C">
        <w:rPr>
          <w:rFonts w:ascii="Times New Roman" w:hAnsi="Times New Roman"/>
          <w:b/>
        </w:rPr>
        <w:t>E</w:t>
      </w:r>
      <w:r w:rsidR="000C7915" w:rsidRPr="00FD103C">
        <w:rPr>
          <w:rFonts w:ascii="Times New Roman" w:hAnsi="Times New Roman"/>
          <w:b/>
        </w:rPr>
        <w:t>RM</w:t>
      </w:r>
      <w:r w:rsidRPr="00FD103C">
        <w:rPr>
          <w:rFonts w:ascii="Times New Roman" w:hAnsi="Times New Roman"/>
          <w:b/>
        </w:rPr>
        <w:t>S</w:t>
      </w:r>
      <w:r w:rsidR="000C7915" w:rsidRPr="00FD103C">
        <w:rPr>
          <w:rFonts w:ascii="Times New Roman" w:hAnsi="Times New Roman"/>
          <w:b/>
        </w:rPr>
        <w:t xml:space="preserve"> </w:t>
      </w:r>
      <w:r w:rsidRPr="00FD103C">
        <w:rPr>
          <w:rFonts w:ascii="Times New Roman" w:hAnsi="Times New Roman"/>
          <w:b/>
        </w:rPr>
        <w:t>OF</w:t>
      </w:r>
      <w:r w:rsidR="000C7915" w:rsidRPr="00FD103C">
        <w:rPr>
          <w:rFonts w:ascii="Times New Roman" w:hAnsi="Times New Roman"/>
          <w:b/>
        </w:rPr>
        <w:t xml:space="preserve"> REFERENC</w:t>
      </w:r>
      <w:r w:rsidRPr="00FD103C">
        <w:rPr>
          <w:rFonts w:ascii="Times New Roman" w:hAnsi="Times New Roman"/>
          <w:b/>
        </w:rPr>
        <w:t>E</w:t>
      </w:r>
    </w:p>
    <w:p w:rsidR="001D2B71" w:rsidRPr="00FD103C" w:rsidRDefault="001D2B71" w:rsidP="00512C99">
      <w:pPr>
        <w:spacing w:before="120"/>
        <w:jc w:val="center"/>
        <w:rPr>
          <w:rFonts w:ascii="Times New Roman" w:hAnsi="Times New Roman"/>
          <w:b/>
        </w:rPr>
      </w:pPr>
    </w:p>
    <w:tbl>
      <w:tblPr>
        <w:tblW w:w="13320" w:type="dxa"/>
        <w:jc w:val="center"/>
        <w:tblLayout w:type="fixed"/>
        <w:tblCellMar>
          <w:left w:w="0" w:type="dxa"/>
          <w:right w:w="0" w:type="dxa"/>
        </w:tblCellMar>
        <w:tblLook w:val="04A0" w:firstRow="1" w:lastRow="0" w:firstColumn="1" w:lastColumn="0" w:noHBand="0" w:noVBand="1"/>
      </w:tblPr>
      <w:tblGrid>
        <w:gridCol w:w="540"/>
        <w:gridCol w:w="3600"/>
        <w:gridCol w:w="1440"/>
        <w:gridCol w:w="6210"/>
        <w:gridCol w:w="1530"/>
      </w:tblGrid>
      <w:tr w:rsidR="005D378F" w:rsidRPr="00512C99" w:rsidTr="005D378F">
        <w:trPr>
          <w:trHeight w:val="124"/>
          <w:jc w:val="center"/>
        </w:trPr>
        <w:tc>
          <w:tcPr>
            <w:tcW w:w="4140" w:type="dxa"/>
            <w:gridSpan w:val="2"/>
            <w:tcBorders>
              <w:top w:val="single" w:sz="8" w:space="0" w:color="auto"/>
              <w:left w:val="single" w:sz="8" w:space="0" w:color="auto"/>
              <w:bottom w:val="nil"/>
              <w:right w:val="single" w:sz="8" w:space="0" w:color="auto"/>
            </w:tcBorders>
            <w:shd w:val="clear" w:color="auto" w:fill="D9D9D9" w:themeFill="background1" w:themeFillShade="D9"/>
            <w:noWrap/>
            <w:tcMar>
              <w:top w:w="0" w:type="dxa"/>
              <w:left w:w="108" w:type="dxa"/>
              <w:bottom w:w="0" w:type="dxa"/>
              <w:right w:w="108" w:type="dxa"/>
            </w:tcMar>
            <w:vAlign w:val="center"/>
            <w:hideMark/>
          </w:tcPr>
          <w:p w:rsidR="005D378F" w:rsidRPr="00FD103C" w:rsidRDefault="005D378F">
            <w:pPr>
              <w:rPr>
                <w:rFonts w:ascii="Times New Roman" w:eastAsia="Times New Roman" w:hAnsi="Times New Roman"/>
              </w:rPr>
            </w:pPr>
          </w:p>
        </w:tc>
        <w:tc>
          <w:tcPr>
            <w:tcW w:w="1440" w:type="dxa"/>
            <w:tcBorders>
              <w:top w:val="single" w:sz="8" w:space="0" w:color="auto"/>
              <w:left w:val="nil"/>
              <w:bottom w:val="nil"/>
              <w:right w:val="single" w:sz="8" w:space="0" w:color="auto"/>
            </w:tcBorders>
            <w:shd w:val="clear" w:color="auto" w:fill="D9D9D9" w:themeFill="background1" w:themeFillShade="D9"/>
            <w:noWrap/>
            <w:tcMar>
              <w:top w:w="0" w:type="dxa"/>
              <w:left w:w="108" w:type="dxa"/>
              <w:bottom w:w="0" w:type="dxa"/>
              <w:right w:w="108" w:type="dxa"/>
            </w:tcMar>
            <w:vAlign w:val="center"/>
            <w:hideMark/>
          </w:tcPr>
          <w:p w:rsidR="005D378F" w:rsidRPr="00512C99" w:rsidRDefault="005D378F">
            <w:pPr>
              <w:jc w:val="center"/>
              <w:rPr>
                <w:rFonts w:ascii="Times New Roman" w:hAnsi="Times New Roman"/>
                <w:b/>
                <w:bCs/>
                <w:color w:val="000000"/>
                <w:lang w:val="es-ES_tradnl"/>
              </w:rPr>
            </w:pPr>
            <w:r>
              <w:rPr>
                <w:rFonts w:ascii="Times New Roman" w:hAnsi="Times New Roman"/>
                <w:b/>
                <w:bCs/>
                <w:color w:val="000000"/>
                <w:lang w:val="es-ES_tradnl"/>
              </w:rPr>
              <w:t>TOR</w:t>
            </w:r>
          </w:p>
        </w:tc>
        <w:tc>
          <w:tcPr>
            <w:tcW w:w="6210" w:type="dxa"/>
            <w:tcBorders>
              <w:top w:val="single" w:sz="8" w:space="0" w:color="auto"/>
              <w:left w:val="nil"/>
              <w:bottom w:val="nil"/>
              <w:right w:val="single" w:sz="4" w:space="0" w:color="auto"/>
            </w:tcBorders>
            <w:shd w:val="clear" w:color="auto" w:fill="D9D9D9" w:themeFill="background1" w:themeFillShade="D9"/>
            <w:tcMar>
              <w:top w:w="0" w:type="dxa"/>
              <w:left w:w="108" w:type="dxa"/>
              <w:bottom w:w="0" w:type="dxa"/>
              <w:right w:w="108" w:type="dxa"/>
            </w:tcMar>
            <w:vAlign w:val="center"/>
            <w:hideMark/>
          </w:tcPr>
          <w:p w:rsidR="005D378F" w:rsidRPr="00512C99" w:rsidRDefault="005D378F">
            <w:pPr>
              <w:jc w:val="center"/>
              <w:rPr>
                <w:rFonts w:ascii="Times New Roman" w:hAnsi="Times New Roman"/>
                <w:b/>
                <w:bCs/>
                <w:color w:val="000000"/>
                <w:lang w:val="es-ES_tradnl"/>
              </w:rPr>
            </w:pPr>
            <w:r>
              <w:rPr>
                <w:rFonts w:ascii="Times New Roman" w:hAnsi="Times New Roman"/>
                <w:b/>
                <w:bCs/>
                <w:color w:val="000000"/>
                <w:lang w:val="es-ES_tradnl"/>
              </w:rPr>
              <w:t>D</w:t>
            </w:r>
            <w:bookmarkStart w:id="0" w:name="_GoBack"/>
            <w:bookmarkEnd w:id="0"/>
            <w:r>
              <w:rPr>
                <w:rFonts w:ascii="Times New Roman" w:hAnsi="Times New Roman"/>
                <w:b/>
                <w:bCs/>
                <w:color w:val="000000"/>
                <w:lang w:val="es-ES_tradnl"/>
              </w:rPr>
              <w:t>escription</w:t>
            </w:r>
          </w:p>
        </w:tc>
        <w:tc>
          <w:tcPr>
            <w:tcW w:w="1530" w:type="dxa"/>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5D378F" w:rsidRPr="00512C99" w:rsidRDefault="005D378F">
            <w:pPr>
              <w:jc w:val="center"/>
              <w:rPr>
                <w:rFonts w:ascii="Times New Roman" w:hAnsi="Times New Roman"/>
                <w:b/>
                <w:bCs/>
                <w:color w:val="000000"/>
                <w:lang w:val="es-ES_tradnl"/>
              </w:rPr>
            </w:pPr>
            <w:r w:rsidRPr="00512C99">
              <w:rPr>
                <w:rFonts w:ascii="Times New Roman" w:hAnsi="Times New Roman"/>
                <w:b/>
                <w:bCs/>
                <w:color w:val="000000"/>
                <w:lang w:val="es-ES_tradnl"/>
              </w:rPr>
              <w:t>IDBDOCS#</w:t>
            </w:r>
          </w:p>
        </w:tc>
      </w:tr>
      <w:tr w:rsidR="000C7915" w:rsidRPr="00512C99" w:rsidTr="00084B8D">
        <w:trPr>
          <w:trHeight w:val="124"/>
          <w:jc w:val="center"/>
        </w:trPr>
        <w:tc>
          <w:tcPr>
            <w:tcW w:w="54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0C7915" w:rsidRPr="00512C99" w:rsidRDefault="000C7915" w:rsidP="009F76DB">
            <w:pPr>
              <w:jc w:val="center"/>
              <w:rPr>
                <w:rFonts w:ascii="Times New Roman" w:hAnsi="Times New Roman"/>
                <w:b/>
                <w:bCs/>
                <w:color w:val="000000"/>
                <w:lang w:val="es-ES_tradnl"/>
              </w:rPr>
            </w:pPr>
          </w:p>
        </w:tc>
        <w:tc>
          <w:tcPr>
            <w:tcW w:w="12780" w:type="dxa"/>
            <w:gridSpan w:val="4"/>
            <w:tcBorders>
              <w:top w:val="single" w:sz="8" w:space="0" w:color="auto"/>
              <w:left w:val="nil"/>
              <w:bottom w:val="single" w:sz="8" w:space="0" w:color="auto"/>
              <w:right w:val="single" w:sz="4" w:space="0" w:color="auto"/>
            </w:tcBorders>
            <w:shd w:val="clear" w:color="auto" w:fill="95B3D7" w:themeFill="accent1" w:themeFillTint="99"/>
            <w:tcMar>
              <w:top w:w="0" w:type="dxa"/>
              <w:left w:w="108" w:type="dxa"/>
              <w:bottom w:w="0" w:type="dxa"/>
              <w:right w:w="108" w:type="dxa"/>
            </w:tcMar>
            <w:vAlign w:val="center"/>
            <w:hideMark/>
          </w:tcPr>
          <w:p w:rsidR="000C7915" w:rsidRPr="00512C99" w:rsidRDefault="000C7915" w:rsidP="00FD103C">
            <w:pPr>
              <w:rPr>
                <w:rFonts w:ascii="Times New Roman" w:hAnsi="Times New Roman"/>
                <w:color w:val="000000"/>
                <w:lang w:val="es-ES_tradnl"/>
              </w:rPr>
            </w:pPr>
            <w:r w:rsidRPr="00512C99">
              <w:rPr>
                <w:rFonts w:ascii="Times New Roman" w:hAnsi="Times New Roman"/>
                <w:b/>
                <w:bCs/>
                <w:color w:val="000000"/>
                <w:lang w:val="es-ES_tradnl"/>
              </w:rPr>
              <w:t>Co</w:t>
            </w:r>
            <w:r w:rsidRPr="00512C99">
              <w:rPr>
                <w:rFonts w:ascii="Times New Roman" w:hAnsi="Times New Roman"/>
                <w:b/>
                <w:bCs/>
                <w:color w:val="000000"/>
                <w:shd w:val="clear" w:color="auto" w:fill="95B3D7" w:themeFill="accent1" w:themeFillTint="99"/>
                <w:lang w:val="es-ES_tradnl"/>
              </w:rPr>
              <w:t xml:space="preserve">mponent </w:t>
            </w:r>
            <w:r w:rsidR="00FD103C">
              <w:rPr>
                <w:rFonts w:ascii="Times New Roman" w:hAnsi="Times New Roman"/>
                <w:b/>
                <w:bCs/>
                <w:color w:val="000000"/>
                <w:shd w:val="clear" w:color="auto" w:fill="95B3D7" w:themeFill="accent1" w:themeFillTint="99"/>
                <w:lang w:val="es-ES_tradnl"/>
              </w:rPr>
              <w:t>I</w:t>
            </w:r>
            <w:r w:rsidRPr="00512C99">
              <w:rPr>
                <w:rFonts w:ascii="Times New Roman" w:hAnsi="Times New Roman"/>
                <w:b/>
                <w:bCs/>
                <w:color w:val="000000"/>
                <w:shd w:val="clear" w:color="auto" w:fill="95B3D7" w:themeFill="accent1" w:themeFillTint="99"/>
                <w:lang w:val="es-ES_tradnl"/>
              </w:rPr>
              <w:t xml:space="preserve">. </w:t>
            </w:r>
          </w:p>
        </w:tc>
      </w:tr>
      <w:tr w:rsidR="00512C99" w:rsidRPr="004B6610" w:rsidTr="00851B4F">
        <w:trPr>
          <w:trHeight w:val="853"/>
          <w:jc w:val="center"/>
        </w:trPr>
        <w:tc>
          <w:tcPr>
            <w:tcW w:w="5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0C7915" w:rsidRPr="00512C99" w:rsidRDefault="002B4D17" w:rsidP="002B4D17">
            <w:pPr>
              <w:jc w:val="center"/>
              <w:rPr>
                <w:rFonts w:ascii="Times New Roman" w:hAnsi="Times New Roman"/>
                <w:b/>
                <w:bCs/>
                <w:color w:val="000000"/>
              </w:rPr>
            </w:pPr>
            <w:r w:rsidRPr="00512C99">
              <w:rPr>
                <w:rFonts w:ascii="Times New Roman" w:hAnsi="Times New Roman"/>
                <w:b/>
                <w:bCs/>
                <w:color w:val="000000"/>
              </w:rPr>
              <w:t>1</w:t>
            </w:r>
          </w:p>
        </w:tc>
        <w:tc>
          <w:tcPr>
            <w:tcW w:w="36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C7915" w:rsidRPr="00BE3A62" w:rsidRDefault="004B223D" w:rsidP="00D96248">
            <w:pPr>
              <w:pStyle w:val="Paragraph"/>
              <w:numPr>
                <w:ilvl w:val="0"/>
                <w:numId w:val="0"/>
              </w:numPr>
              <w:rPr>
                <w:lang w:val="en-US"/>
              </w:rPr>
            </w:pPr>
            <w:r w:rsidRPr="00D96248">
              <w:rPr>
                <w:sz w:val="22"/>
                <w:lang w:val="en-US"/>
              </w:rPr>
              <w:t xml:space="preserve">Study that proposes a plan for the </w:t>
            </w:r>
            <w:r w:rsidR="00D96248" w:rsidRPr="00D96248">
              <w:rPr>
                <w:sz w:val="22"/>
                <w:lang w:val="en-US"/>
              </w:rPr>
              <w:t>organizational</w:t>
            </w:r>
            <w:r w:rsidRPr="00D96248">
              <w:rPr>
                <w:sz w:val="22"/>
                <w:lang w:val="en-US"/>
              </w:rPr>
              <w:t xml:space="preserve"> reform of revenue collection agencies in Belize.</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C7915" w:rsidRPr="00512C99" w:rsidRDefault="000C7915" w:rsidP="00BE3A62">
            <w:pPr>
              <w:jc w:val="center"/>
              <w:rPr>
                <w:rFonts w:ascii="Times New Roman" w:hAnsi="Times New Roman"/>
              </w:rPr>
            </w:pPr>
            <w:r w:rsidRPr="00512C99">
              <w:rPr>
                <w:rFonts w:ascii="Times New Roman" w:hAnsi="Times New Roman"/>
              </w:rPr>
              <w:t>An</w:t>
            </w:r>
            <w:r w:rsidR="00BB22E1">
              <w:rPr>
                <w:rFonts w:ascii="Times New Roman" w:hAnsi="Times New Roman"/>
              </w:rPr>
              <w:t>nex</w:t>
            </w:r>
            <w:r w:rsidRPr="00512C99">
              <w:rPr>
                <w:rFonts w:ascii="Times New Roman" w:hAnsi="Times New Roman"/>
              </w:rPr>
              <w:t xml:space="preserve"> II –A </w:t>
            </w:r>
            <w:r w:rsidR="00BE3A62">
              <w:rPr>
                <w:rFonts w:ascii="Times New Roman" w:hAnsi="Times New Roman"/>
              </w:rPr>
              <w:t>Consultancy</w:t>
            </w:r>
          </w:p>
        </w:tc>
        <w:tc>
          <w:tcPr>
            <w:tcW w:w="621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0C7915" w:rsidRPr="004B6610" w:rsidRDefault="00B128F8" w:rsidP="00B128F8">
            <w:pPr>
              <w:pStyle w:val="Paragraph"/>
              <w:numPr>
                <w:ilvl w:val="0"/>
                <w:numId w:val="0"/>
              </w:numPr>
              <w:rPr>
                <w:sz w:val="22"/>
                <w:lang w:val="en-US"/>
              </w:rPr>
            </w:pPr>
            <w:r>
              <w:rPr>
                <w:sz w:val="22"/>
                <w:lang w:val="en-US"/>
              </w:rPr>
              <w:t xml:space="preserve">The study will </w:t>
            </w:r>
            <w:r w:rsidR="004B6610">
              <w:rPr>
                <w:sz w:val="22"/>
                <w:lang w:val="en-US"/>
              </w:rPr>
              <w:t>p</w:t>
            </w:r>
            <w:r w:rsidR="004B6610" w:rsidRPr="004B6610">
              <w:rPr>
                <w:sz w:val="22"/>
                <w:lang w:val="en-US"/>
              </w:rPr>
              <w:t>ropos</w:t>
            </w:r>
            <w:r>
              <w:rPr>
                <w:sz w:val="22"/>
                <w:lang w:val="en-US"/>
              </w:rPr>
              <w:t>e</w:t>
            </w:r>
            <w:r w:rsidR="004B6610" w:rsidRPr="004B6610">
              <w:rPr>
                <w:sz w:val="22"/>
                <w:lang w:val="en-US"/>
              </w:rPr>
              <w:t xml:space="preserve"> </w:t>
            </w:r>
            <w:r w:rsidR="004B6610">
              <w:rPr>
                <w:sz w:val="22"/>
                <w:lang w:val="en-US"/>
              </w:rPr>
              <w:t>a</w:t>
            </w:r>
            <w:r w:rsidR="004B6610" w:rsidRPr="004B6610">
              <w:rPr>
                <w:sz w:val="22"/>
                <w:lang w:val="en-US"/>
              </w:rPr>
              <w:t xml:space="preserve"> feasible plan to bring together some or all of the revenue collection agencies, building on previous works on the subject</w:t>
            </w:r>
            <w:r w:rsidR="004B6610">
              <w:rPr>
                <w:sz w:val="22"/>
                <w:lang w:val="en-US"/>
              </w:rPr>
              <w:t>.</w:t>
            </w:r>
          </w:p>
        </w:tc>
        <w:tc>
          <w:tcPr>
            <w:tcW w:w="1530" w:type="dxa"/>
            <w:tcBorders>
              <w:top w:val="single" w:sz="8" w:space="0" w:color="auto"/>
              <w:left w:val="single" w:sz="4" w:space="0" w:color="auto"/>
              <w:bottom w:val="single" w:sz="8" w:space="0" w:color="auto"/>
              <w:right w:val="single" w:sz="4" w:space="0" w:color="auto"/>
            </w:tcBorders>
            <w:vAlign w:val="center"/>
          </w:tcPr>
          <w:p w:rsidR="000C7915" w:rsidRPr="002E58DB" w:rsidRDefault="001D2B71" w:rsidP="009F76DB">
            <w:pPr>
              <w:jc w:val="center"/>
              <w:rPr>
                <w:rFonts w:ascii="Times New Roman" w:hAnsi="Times New Roman"/>
                <w:color w:val="0000FF"/>
              </w:rPr>
            </w:pPr>
            <w:hyperlink r:id="rId9" w:history="1">
              <w:r w:rsidR="002E58DB">
                <w:rPr>
                  <w:rStyle w:val="Hyperlink"/>
                  <w:rFonts w:ascii="Times New Roman" w:hAnsi="Times New Roman"/>
                  <w:szCs w:val="24"/>
                  <w:lang w:val="pt-BR"/>
                </w:rPr>
                <w:t>38889700</w:t>
              </w:r>
            </w:hyperlink>
          </w:p>
        </w:tc>
      </w:tr>
      <w:tr w:rsidR="004B15E4" w:rsidRPr="00512C99" w:rsidTr="00084B8D">
        <w:trPr>
          <w:trHeight w:val="54"/>
          <w:jc w:val="center"/>
        </w:trPr>
        <w:tc>
          <w:tcPr>
            <w:tcW w:w="54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tcPr>
          <w:p w:rsidR="004B15E4" w:rsidRPr="004B6610" w:rsidRDefault="004B15E4" w:rsidP="002B4D17">
            <w:pPr>
              <w:jc w:val="center"/>
              <w:rPr>
                <w:rFonts w:ascii="Times New Roman" w:hAnsi="Times New Roman"/>
                <w:b/>
                <w:bCs/>
                <w:color w:val="000000"/>
              </w:rPr>
            </w:pPr>
          </w:p>
        </w:tc>
        <w:tc>
          <w:tcPr>
            <w:tcW w:w="12780" w:type="dxa"/>
            <w:gridSpan w:val="4"/>
            <w:tcBorders>
              <w:top w:val="single" w:sz="4" w:space="0" w:color="auto"/>
              <w:left w:val="nil"/>
              <w:bottom w:val="single" w:sz="4" w:space="0" w:color="auto"/>
              <w:right w:val="single" w:sz="4" w:space="0" w:color="auto"/>
            </w:tcBorders>
            <w:shd w:val="clear" w:color="auto" w:fill="95B3D7" w:themeFill="accent1" w:themeFillTint="99"/>
            <w:tcMar>
              <w:top w:w="0" w:type="dxa"/>
              <w:left w:w="108" w:type="dxa"/>
              <w:bottom w:w="0" w:type="dxa"/>
              <w:right w:w="108" w:type="dxa"/>
            </w:tcMar>
            <w:vAlign w:val="center"/>
          </w:tcPr>
          <w:p w:rsidR="004B15E4" w:rsidRPr="00512C99" w:rsidRDefault="004B15E4" w:rsidP="000F2376">
            <w:pPr>
              <w:rPr>
                <w:rFonts w:ascii="Times New Roman" w:hAnsi="Times New Roman"/>
                <w:color w:val="0000FF"/>
                <w:lang w:val="es-ES_tradnl"/>
              </w:rPr>
            </w:pPr>
            <w:r w:rsidRPr="00512C99">
              <w:rPr>
                <w:rFonts w:ascii="Times New Roman" w:hAnsi="Times New Roman"/>
                <w:b/>
                <w:bCs/>
                <w:color w:val="000000"/>
                <w:lang w:val="es-ES_tradnl"/>
              </w:rPr>
              <w:t xml:space="preserve">Component </w:t>
            </w:r>
            <w:r w:rsidR="000F2376">
              <w:rPr>
                <w:rFonts w:ascii="Times New Roman" w:hAnsi="Times New Roman"/>
                <w:b/>
                <w:bCs/>
                <w:color w:val="000000"/>
                <w:lang w:val="es-ES_tradnl"/>
              </w:rPr>
              <w:t>II</w:t>
            </w:r>
            <w:r w:rsidRPr="00512C99">
              <w:rPr>
                <w:rFonts w:ascii="Times New Roman" w:hAnsi="Times New Roman"/>
                <w:b/>
                <w:bCs/>
                <w:color w:val="000000"/>
                <w:lang w:val="es-ES_tradnl"/>
              </w:rPr>
              <w:t xml:space="preserve">. </w:t>
            </w:r>
          </w:p>
        </w:tc>
      </w:tr>
      <w:tr w:rsidR="00BB22E1" w:rsidRPr="00B00B0E" w:rsidTr="00BB22E1">
        <w:trPr>
          <w:trHeight w:val="826"/>
          <w:jc w:val="center"/>
        </w:trPr>
        <w:tc>
          <w:tcPr>
            <w:tcW w:w="54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rsidR="00BB22E1" w:rsidRPr="00512C99" w:rsidRDefault="00BB22E1" w:rsidP="002B4D17">
            <w:pPr>
              <w:jc w:val="center"/>
              <w:rPr>
                <w:rFonts w:ascii="Times New Roman" w:hAnsi="Times New Roman"/>
                <w:b/>
                <w:bCs/>
                <w:color w:val="000000"/>
              </w:rPr>
            </w:pPr>
            <w:r>
              <w:rPr>
                <w:rFonts w:ascii="Times New Roman" w:hAnsi="Times New Roman"/>
                <w:b/>
                <w:bCs/>
                <w:color w:val="000000"/>
              </w:rPr>
              <w:t>2</w:t>
            </w:r>
          </w:p>
        </w:tc>
        <w:tc>
          <w:tcPr>
            <w:tcW w:w="3600" w:type="dxa"/>
            <w:tcBorders>
              <w:top w:val="nil"/>
              <w:left w:val="nil"/>
              <w:bottom w:val="single" w:sz="4" w:space="0" w:color="auto"/>
              <w:right w:val="single" w:sz="8" w:space="0" w:color="auto"/>
            </w:tcBorders>
            <w:tcMar>
              <w:top w:w="0" w:type="dxa"/>
              <w:left w:w="108" w:type="dxa"/>
              <w:bottom w:w="0" w:type="dxa"/>
              <w:right w:w="108" w:type="dxa"/>
            </w:tcMar>
            <w:vAlign w:val="center"/>
          </w:tcPr>
          <w:p w:rsidR="00BB22E1" w:rsidRPr="00D96248" w:rsidRDefault="00BB22E1" w:rsidP="004B6610">
            <w:pPr>
              <w:pStyle w:val="Paragraph"/>
              <w:numPr>
                <w:ilvl w:val="0"/>
                <w:numId w:val="0"/>
              </w:numPr>
              <w:rPr>
                <w:sz w:val="22"/>
                <w:lang w:val="en-US"/>
              </w:rPr>
            </w:pPr>
            <w:r w:rsidRPr="00D96248">
              <w:rPr>
                <w:sz w:val="22"/>
                <w:lang w:val="en-US"/>
              </w:rPr>
              <w:t>Study that proposes and analyzes the consequences of a reduction of trade and excise taxes, maximization of the GST base, and a repeal of the HTAC.</w:t>
            </w:r>
          </w:p>
        </w:tc>
        <w:tc>
          <w:tcPr>
            <w:tcW w:w="144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BB22E1" w:rsidRDefault="00BB22E1" w:rsidP="00BB22E1">
            <w:pPr>
              <w:jc w:val="center"/>
            </w:pPr>
            <w:r w:rsidRPr="00AF5524">
              <w:rPr>
                <w:rFonts w:ascii="Times New Roman" w:hAnsi="Times New Roman"/>
              </w:rPr>
              <w:t>Annex II –</w:t>
            </w:r>
            <w:r>
              <w:rPr>
                <w:rFonts w:ascii="Times New Roman" w:hAnsi="Times New Roman"/>
              </w:rPr>
              <w:t>B</w:t>
            </w:r>
            <w:r w:rsidRPr="00AF5524">
              <w:rPr>
                <w:rFonts w:ascii="Times New Roman" w:hAnsi="Times New Roman"/>
              </w:rPr>
              <w:t xml:space="preserve"> Consultancy</w:t>
            </w:r>
          </w:p>
        </w:tc>
        <w:tc>
          <w:tcPr>
            <w:tcW w:w="6210" w:type="dxa"/>
            <w:tcBorders>
              <w:top w:val="nil"/>
              <w:left w:val="nil"/>
              <w:bottom w:val="single" w:sz="4" w:space="0" w:color="auto"/>
              <w:right w:val="single" w:sz="4" w:space="0" w:color="auto"/>
            </w:tcBorders>
            <w:tcMar>
              <w:top w:w="0" w:type="dxa"/>
              <w:left w:w="108" w:type="dxa"/>
              <w:bottom w:w="0" w:type="dxa"/>
              <w:right w:w="108" w:type="dxa"/>
            </w:tcMar>
            <w:vAlign w:val="center"/>
          </w:tcPr>
          <w:p w:rsidR="00BB22E1" w:rsidRPr="00B00B0E" w:rsidRDefault="00544283" w:rsidP="00F60923">
            <w:pPr>
              <w:pStyle w:val="Paragraph"/>
              <w:numPr>
                <w:ilvl w:val="0"/>
                <w:numId w:val="0"/>
              </w:numPr>
              <w:rPr>
                <w:lang w:val="en-US"/>
              </w:rPr>
            </w:pPr>
            <w:r w:rsidRPr="00544283">
              <w:rPr>
                <w:sz w:val="22"/>
                <w:lang w:val="en-US"/>
              </w:rPr>
              <w:t>This study will analyze the consequences of a reduction (streamlining) of trade related taxes (import duties, RRD and ET) and excise taxes, a simultaneous maximization of the GST tax base, and the repeal of the HTAC.</w:t>
            </w:r>
          </w:p>
        </w:tc>
        <w:tc>
          <w:tcPr>
            <w:tcW w:w="1530" w:type="dxa"/>
            <w:tcBorders>
              <w:top w:val="single" w:sz="8" w:space="0" w:color="auto"/>
              <w:left w:val="single" w:sz="4" w:space="0" w:color="auto"/>
              <w:bottom w:val="single" w:sz="4" w:space="0" w:color="auto"/>
              <w:right w:val="single" w:sz="4" w:space="0" w:color="auto"/>
            </w:tcBorders>
            <w:vAlign w:val="center"/>
          </w:tcPr>
          <w:p w:rsidR="00BB22E1" w:rsidRPr="00B00B0E" w:rsidRDefault="001D2B71" w:rsidP="00B15E43">
            <w:pPr>
              <w:jc w:val="center"/>
              <w:rPr>
                <w:rFonts w:ascii="Times New Roman" w:hAnsi="Times New Roman"/>
                <w:color w:val="0000FF"/>
              </w:rPr>
            </w:pPr>
            <w:hyperlink r:id="rId10" w:history="1">
              <w:r w:rsidR="002E58DB">
                <w:rPr>
                  <w:rStyle w:val="Hyperlink"/>
                  <w:rFonts w:ascii="Times New Roman" w:hAnsi="Times New Roman"/>
                  <w:szCs w:val="24"/>
                  <w:lang w:val="pt-BR"/>
                </w:rPr>
                <w:t>38597974</w:t>
              </w:r>
            </w:hyperlink>
          </w:p>
        </w:tc>
      </w:tr>
      <w:tr w:rsidR="00BB22E1" w:rsidRPr="00BB22E1" w:rsidTr="00BB22E1">
        <w:trPr>
          <w:trHeight w:val="826"/>
          <w:jc w:val="center"/>
        </w:trPr>
        <w:tc>
          <w:tcPr>
            <w:tcW w:w="54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tcPr>
          <w:p w:rsidR="00BB22E1" w:rsidRDefault="00BB22E1" w:rsidP="002B4D17">
            <w:pPr>
              <w:jc w:val="center"/>
              <w:rPr>
                <w:rFonts w:ascii="Times New Roman" w:hAnsi="Times New Roman"/>
                <w:b/>
                <w:bCs/>
                <w:color w:val="000000"/>
              </w:rPr>
            </w:pPr>
            <w:r>
              <w:rPr>
                <w:rFonts w:ascii="Times New Roman" w:hAnsi="Times New Roman"/>
                <w:b/>
                <w:bCs/>
                <w:color w:val="000000"/>
              </w:rPr>
              <w:t>3</w:t>
            </w:r>
          </w:p>
        </w:tc>
        <w:tc>
          <w:tcPr>
            <w:tcW w:w="3600" w:type="dxa"/>
            <w:tcBorders>
              <w:top w:val="nil"/>
              <w:left w:val="nil"/>
              <w:bottom w:val="single" w:sz="4" w:space="0" w:color="auto"/>
              <w:right w:val="single" w:sz="8" w:space="0" w:color="auto"/>
            </w:tcBorders>
            <w:tcMar>
              <w:top w:w="0" w:type="dxa"/>
              <w:left w:w="108" w:type="dxa"/>
              <w:bottom w:w="0" w:type="dxa"/>
              <w:right w:w="108" w:type="dxa"/>
            </w:tcMar>
            <w:vAlign w:val="center"/>
          </w:tcPr>
          <w:p w:rsidR="00BB22E1" w:rsidRPr="00D96248" w:rsidRDefault="00BB22E1" w:rsidP="004B6610">
            <w:pPr>
              <w:pStyle w:val="Paragraph"/>
              <w:numPr>
                <w:ilvl w:val="0"/>
                <w:numId w:val="0"/>
              </w:numPr>
              <w:rPr>
                <w:sz w:val="22"/>
                <w:lang w:val="en-US"/>
              </w:rPr>
            </w:pPr>
            <w:r w:rsidRPr="00D96248">
              <w:rPr>
                <w:sz w:val="22"/>
                <w:lang w:val="en-US"/>
              </w:rPr>
              <w:t>Study that proposes and analyzes the potential and economic consequences of a gradual phase-in from the business tax to a conventional corporate income tax.</w:t>
            </w:r>
          </w:p>
        </w:tc>
        <w:tc>
          <w:tcPr>
            <w:tcW w:w="1440" w:type="dxa"/>
            <w:tcBorders>
              <w:top w:val="nil"/>
              <w:left w:val="nil"/>
              <w:bottom w:val="single" w:sz="4" w:space="0" w:color="auto"/>
              <w:right w:val="single" w:sz="8" w:space="0" w:color="auto"/>
            </w:tcBorders>
            <w:tcMar>
              <w:top w:w="0" w:type="dxa"/>
              <w:left w:w="108" w:type="dxa"/>
              <w:bottom w:w="0" w:type="dxa"/>
              <w:right w:w="108" w:type="dxa"/>
            </w:tcMar>
            <w:vAlign w:val="center"/>
          </w:tcPr>
          <w:p w:rsidR="00BB22E1" w:rsidRDefault="00BB22E1" w:rsidP="00BB22E1">
            <w:pPr>
              <w:jc w:val="center"/>
            </w:pPr>
            <w:r w:rsidRPr="00AF5524">
              <w:rPr>
                <w:rFonts w:ascii="Times New Roman" w:hAnsi="Times New Roman"/>
              </w:rPr>
              <w:t>Annex</w:t>
            </w:r>
            <w:r>
              <w:rPr>
                <w:rFonts w:ascii="Times New Roman" w:hAnsi="Times New Roman"/>
              </w:rPr>
              <w:t xml:space="preserve"> II –C</w:t>
            </w:r>
            <w:r w:rsidRPr="00AF5524">
              <w:rPr>
                <w:rFonts w:ascii="Times New Roman" w:hAnsi="Times New Roman"/>
              </w:rPr>
              <w:t xml:space="preserve"> Consultancy</w:t>
            </w:r>
          </w:p>
        </w:tc>
        <w:tc>
          <w:tcPr>
            <w:tcW w:w="6210" w:type="dxa"/>
            <w:tcBorders>
              <w:top w:val="nil"/>
              <w:left w:val="nil"/>
              <w:bottom w:val="single" w:sz="4" w:space="0" w:color="auto"/>
              <w:right w:val="single" w:sz="4" w:space="0" w:color="auto"/>
            </w:tcBorders>
            <w:tcMar>
              <w:top w:w="0" w:type="dxa"/>
              <w:left w:w="108" w:type="dxa"/>
              <w:bottom w:w="0" w:type="dxa"/>
              <w:right w:w="108" w:type="dxa"/>
            </w:tcMar>
            <w:vAlign w:val="center"/>
          </w:tcPr>
          <w:p w:rsidR="00BB22E1" w:rsidRPr="00BB22E1" w:rsidRDefault="00544283" w:rsidP="00F60923">
            <w:pPr>
              <w:pStyle w:val="Paragraph"/>
              <w:numPr>
                <w:ilvl w:val="0"/>
                <w:numId w:val="0"/>
              </w:numPr>
              <w:rPr>
                <w:sz w:val="22"/>
                <w:lang w:val="en-US"/>
              </w:rPr>
            </w:pPr>
            <w:r w:rsidRPr="00B00B0E">
              <w:rPr>
                <w:sz w:val="22"/>
                <w:lang w:val="en-US"/>
              </w:rPr>
              <w:t>The study will analyze the potential of a gradual phase-in of a conventional corporate income tax, to replace the current Bussiness Tax.</w:t>
            </w:r>
          </w:p>
        </w:tc>
        <w:tc>
          <w:tcPr>
            <w:tcW w:w="1530" w:type="dxa"/>
            <w:tcBorders>
              <w:top w:val="single" w:sz="8" w:space="0" w:color="auto"/>
              <w:left w:val="single" w:sz="4" w:space="0" w:color="auto"/>
              <w:bottom w:val="single" w:sz="4" w:space="0" w:color="auto"/>
              <w:right w:val="single" w:sz="4" w:space="0" w:color="auto"/>
            </w:tcBorders>
            <w:vAlign w:val="center"/>
          </w:tcPr>
          <w:p w:rsidR="00BB22E1" w:rsidRPr="00BB22E1" w:rsidRDefault="001D2B71" w:rsidP="00B15E43">
            <w:pPr>
              <w:jc w:val="center"/>
              <w:rPr>
                <w:rFonts w:ascii="Times New Roman" w:hAnsi="Times New Roman"/>
                <w:color w:val="0000FF"/>
              </w:rPr>
            </w:pPr>
            <w:hyperlink r:id="rId11" w:history="1">
              <w:r w:rsidR="002E58DB">
                <w:rPr>
                  <w:rStyle w:val="Hyperlink"/>
                  <w:rFonts w:ascii="Times New Roman" w:hAnsi="Times New Roman"/>
                  <w:szCs w:val="24"/>
                  <w:lang w:val="pt-BR"/>
                </w:rPr>
                <w:t>38889703</w:t>
              </w:r>
            </w:hyperlink>
          </w:p>
        </w:tc>
      </w:tr>
      <w:tr w:rsidR="00BB22E1" w:rsidRPr="00BB22E1" w:rsidTr="00BB22E1">
        <w:trPr>
          <w:trHeight w:val="826"/>
          <w:jc w:val="center"/>
        </w:trPr>
        <w:tc>
          <w:tcPr>
            <w:tcW w:w="54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tcPr>
          <w:p w:rsidR="00BB22E1" w:rsidRDefault="00BB22E1" w:rsidP="002B4D17">
            <w:pPr>
              <w:jc w:val="center"/>
              <w:rPr>
                <w:rFonts w:ascii="Times New Roman" w:hAnsi="Times New Roman"/>
                <w:b/>
                <w:bCs/>
                <w:color w:val="000000"/>
              </w:rPr>
            </w:pPr>
            <w:r>
              <w:rPr>
                <w:rFonts w:ascii="Times New Roman" w:hAnsi="Times New Roman"/>
                <w:b/>
                <w:bCs/>
                <w:color w:val="000000"/>
              </w:rPr>
              <w:t>4</w:t>
            </w:r>
          </w:p>
        </w:tc>
        <w:tc>
          <w:tcPr>
            <w:tcW w:w="3600" w:type="dxa"/>
            <w:tcBorders>
              <w:top w:val="nil"/>
              <w:left w:val="nil"/>
              <w:bottom w:val="single" w:sz="4" w:space="0" w:color="auto"/>
              <w:right w:val="single" w:sz="8" w:space="0" w:color="auto"/>
            </w:tcBorders>
            <w:tcMar>
              <w:top w:w="0" w:type="dxa"/>
              <w:left w:w="108" w:type="dxa"/>
              <w:bottom w:w="0" w:type="dxa"/>
              <w:right w:w="108" w:type="dxa"/>
            </w:tcMar>
            <w:vAlign w:val="center"/>
          </w:tcPr>
          <w:p w:rsidR="00BB22E1" w:rsidRPr="00D96248" w:rsidRDefault="00BB22E1" w:rsidP="004B6610">
            <w:pPr>
              <w:pStyle w:val="Paragraph"/>
              <w:numPr>
                <w:ilvl w:val="0"/>
                <w:numId w:val="0"/>
              </w:numPr>
              <w:rPr>
                <w:sz w:val="22"/>
                <w:lang w:val="en-US"/>
              </w:rPr>
            </w:pPr>
            <w:r w:rsidRPr="00D96248">
              <w:rPr>
                <w:sz w:val="22"/>
                <w:lang w:val="en-US"/>
              </w:rPr>
              <w:t>Study that proposes and analyzes a new tax incentives policy framework to promote investment.</w:t>
            </w:r>
          </w:p>
        </w:tc>
        <w:tc>
          <w:tcPr>
            <w:tcW w:w="1440" w:type="dxa"/>
            <w:tcBorders>
              <w:top w:val="nil"/>
              <w:left w:val="nil"/>
              <w:bottom w:val="single" w:sz="4" w:space="0" w:color="auto"/>
              <w:right w:val="single" w:sz="8" w:space="0" w:color="auto"/>
            </w:tcBorders>
            <w:tcMar>
              <w:top w:w="0" w:type="dxa"/>
              <w:left w:w="108" w:type="dxa"/>
              <w:bottom w:w="0" w:type="dxa"/>
              <w:right w:w="108" w:type="dxa"/>
            </w:tcMar>
            <w:vAlign w:val="center"/>
          </w:tcPr>
          <w:p w:rsidR="00BB22E1" w:rsidRPr="00AD699E" w:rsidRDefault="00BB22E1" w:rsidP="00AD699E">
            <w:pPr>
              <w:pStyle w:val="Paragraph"/>
              <w:numPr>
                <w:ilvl w:val="0"/>
                <w:numId w:val="0"/>
              </w:numPr>
              <w:rPr>
                <w:sz w:val="22"/>
                <w:lang w:val="en-US"/>
              </w:rPr>
            </w:pPr>
            <w:r w:rsidRPr="00AD699E">
              <w:rPr>
                <w:sz w:val="22"/>
                <w:lang w:val="en-US"/>
              </w:rPr>
              <w:t>Annex II –D Consultancy</w:t>
            </w:r>
          </w:p>
        </w:tc>
        <w:tc>
          <w:tcPr>
            <w:tcW w:w="6210" w:type="dxa"/>
            <w:tcBorders>
              <w:top w:val="nil"/>
              <w:left w:val="nil"/>
              <w:bottom w:val="single" w:sz="4" w:space="0" w:color="auto"/>
              <w:right w:val="single" w:sz="4" w:space="0" w:color="auto"/>
            </w:tcBorders>
            <w:tcMar>
              <w:top w:w="0" w:type="dxa"/>
              <w:left w:w="108" w:type="dxa"/>
              <w:bottom w:w="0" w:type="dxa"/>
              <w:right w:w="108" w:type="dxa"/>
            </w:tcMar>
            <w:vAlign w:val="center"/>
          </w:tcPr>
          <w:p w:rsidR="00BB22E1" w:rsidRPr="00BB22E1" w:rsidRDefault="00AD699E" w:rsidP="00AD699E">
            <w:pPr>
              <w:pStyle w:val="Paragraph"/>
              <w:numPr>
                <w:ilvl w:val="0"/>
                <w:numId w:val="0"/>
              </w:numPr>
              <w:rPr>
                <w:sz w:val="22"/>
                <w:lang w:val="en-US"/>
              </w:rPr>
            </w:pPr>
            <w:r w:rsidRPr="00AD699E">
              <w:rPr>
                <w:sz w:val="22"/>
                <w:lang w:val="en-US"/>
              </w:rPr>
              <w:t>This study will propose a new incentives framework that adheres to international good practices, is WTO compliant and, if possible, aligned with the integrated policy that is being promoted in the rest of Central America.</w:t>
            </w:r>
          </w:p>
        </w:tc>
        <w:tc>
          <w:tcPr>
            <w:tcW w:w="1530" w:type="dxa"/>
            <w:tcBorders>
              <w:top w:val="single" w:sz="8" w:space="0" w:color="auto"/>
              <w:left w:val="single" w:sz="4" w:space="0" w:color="auto"/>
              <w:bottom w:val="single" w:sz="4" w:space="0" w:color="auto"/>
              <w:right w:val="single" w:sz="4" w:space="0" w:color="auto"/>
            </w:tcBorders>
            <w:vAlign w:val="center"/>
          </w:tcPr>
          <w:p w:rsidR="00BB22E1" w:rsidRPr="00BB22E1" w:rsidRDefault="001D2B71" w:rsidP="00B15E43">
            <w:pPr>
              <w:jc w:val="center"/>
              <w:rPr>
                <w:rFonts w:ascii="Times New Roman" w:hAnsi="Times New Roman"/>
                <w:color w:val="0000FF"/>
              </w:rPr>
            </w:pPr>
            <w:hyperlink r:id="rId12" w:history="1">
              <w:r w:rsidR="002E58DB">
                <w:rPr>
                  <w:rStyle w:val="Hyperlink"/>
                  <w:rFonts w:ascii="Times New Roman" w:hAnsi="Times New Roman"/>
                  <w:szCs w:val="24"/>
                  <w:lang w:val="pt-BR"/>
                </w:rPr>
                <w:t>38649352</w:t>
              </w:r>
            </w:hyperlink>
          </w:p>
        </w:tc>
      </w:tr>
      <w:tr w:rsidR="00BB22E1" w:rsidRPr="00BB22E1" w:rsidTr="00BB22E1">
        <w:trPr>
          <w:trHeight w:val="826"/>
          <w:jc w:val="center"/>
        </w:trPr>
        <w:tc>
          <w:tcPr>
            <w:tcW w:w="54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tcPr>
          <w:p w:rsidR="00BB22E1" w:rsidRDefault="00BB22E1" w:rsidP="002B4D17">
            <w:pPr>
              <w:jc w:val="center"/>
              <w:rPr>
                <w:rFonts w:ascii="Times New Roman" w:hAnsi="Times New Roman"/>
                <w:b/>
                <w:bCs/>
                <w:color w:val="000000"/>
              </w:rPr>
            </w:pPr>
            <w:r>
              <w:rPr>
                <w:rFonts w:ascii="Times New Roman" w:hAnsi="Times New Roman"/>
                <w:b/>
                <w:bCs/>
                <w:color w:val="000000"/>
              </w:rPr>
              <w:t>5</w:t>
            </w:r>
          </w:p>
        </w:tc>
        <w:tc>
          <w:tcPr>
            <w:tcW w:w="3600" w:type="dxa"/>
            <w:tcBorders>
              <w:top w:val="nil"/>
              <w:left w:val="nil"/>
              <w:bottom w:val="single" w:sz="4" w:space="0" w:color="auto"/>
              <w:right w:val="single" w:sz="8" w:space="0" w:color="auto"/>
            </w:tcBorders>
            <w:tcMar>
              <w:top w:w="0" w:type="dxa"/>
              <w:left w:w="108" w:type="dxa"/>
              <w:bottom w:w="0" w:type="dxa"/>
              <w:right w:w="108" w:type="dxa"/>
            </w:tcMar>
            <w:vAlign w:val="center"/>
          </w:tcPr>
          <w:p w:rsidR="00BB22E1" w:rsidRPr="00D96248" w:rsidRDefault="00BB22E1" w:rsidP="004B6610">
            <w:pPr>
              <w:pStyle w:val="Paragraph"/>
              <w:numPr>
                <w:ilvl w:val="0"/>
                <w:numId w:val="0"/>
              </w:numPr>
              <w:rPr>
                <w:sz w:val="22"/>
                <w:lang w:val="en-US"/>
              </w:rPr>
            </w:pPr>
            <w:r w:rsidRPr="00D96248">
              <w:rPr>
                <w:sz w:val="22"/>
                <w:lang w:val="en-US"/>
              </w:rPr>
              <w:t>Design of a model/tool for the simulation and assessment of tax and trade reforms scenarios.</w:t>
            </w:r>
          </w:p>
        </w:tc>
        <w:tc>
          <w:tcPr>
            <w:tcW w:w="1440" w:type="dxa"/>
            <w:tcBorders>
              <w:top w:val="nil"/>
              <w:left w:val="nil"/>
              <w:bottom w:val="single" w:sz="4" w:space="0" w:color="auto"/>
              <w:right w:val="single" w:sz="8" w:space="0" w:color="auto"/>
            </w:tcBorders>
            <w:tcMar>
              <w:top w:w="0" w:type="dxa"/>
              <w:left w:w="108" w:type="dxa"/>
              <w:bottom w:w="0" w:type="dxa"/>
              <w:right w:w="108" w:type="dxa"/>
            </w:tcMar>
            <w:vAlign w:val="center"/>
          </w:tcPr>
          <w:p w:rsidR="00BB22E1" w:rsidRDefault="00BB22E1" w:rsidP="00BB22E1">
            <w:pPr>
              <w:jc w:val="center"/>
            </w:pPr>
            <w:r w:rsidRPr="00AF5524">
              <w:rPr>
                <w:rFonts w:ascii="Times New Roman" w:hAnsi="Times New Roman"/>
              </w:rPr>
              <w:t>Annex</w:t>
            </w:r>
            <w:r>
              <w:rPr>
                <w:rFonts w:ascii="Times New Roman" w:hAnsi="Times New Roman"/>
              </w:rPr>
              <w:t xml:space="preserve"> II –E</w:t>
            </w:r>
            <w:r w:rsidRPr="00AF5524">
              <w:rPr>
                <w:rFonts w:ascii="Times New Roman" w:hAnsi="Times New Roman"/>
              </w:rPr>
              <w:t xml:space="preserve"> Consultancy</w:t>
            </w:r>
          </w:p>
        </w:tc>
        <w:tc>
          <w:tcPr>
            <w:tcW w:w="6210" w:type="dxa"/>
            <w:tcBorders>
              <w:top w:val="nil"/>
              <w:left w:val="nil"/>
              <w:bottom w:val="single" w:sz="4" w:space="0" w:color="auto"/>
              <w:right w:val="single" w:sz="4" w:space="0" w:color="auto"/>
            </w:tcBorders>
            <w:tcMar>
              <w:top w:w="0" w:type="dxa"/>
              <w:left w:w="108" w:type="dxa"/>
              <w:bottom w:w="0" w:type="dxa"/>
              <w:right w:w="108" w:type="dxa"/>
            </w:tcMar>
            <w:vAlign w:val="center"/>
          </w:tcPr>
          <w:p w:rsidR="00BB22E1" w:rsidRPr="00BB22E1" w:rsidRDefault="00DC00DC" w:rsidP="00F60923">
            <w:pPr>
              <w:pStyle w:val="Paragraph"/>
              <w:numPr>
                <w:ilvl w:val="0"/>
                <w:numId w:val="0"/>
              </w:numPr>
              <w:rPr>
                <w:sz w:val="22"/>
                <w:lang w:val="en-US"/>
              </w:rPr>
            </w:pPr>
            <w:r w:rsidRPr="00DC00DC">
              <w:rPr>
                <w:sz w:val="22"/>
                <w:lang w:val="en-US"/>
              </w:rPr>
              <w:t>Design of a model/tool for tax and trade reforms assessment that will permit the simulation and evaluation of different tax and trade reforms scenarios. The personnel of the MOF will be trained by the consultant on how to use this tool.</w:t>
            </w:r>
          </w:p>
        </w:tc>
        <w:tc>
          <w:tcPr>
            <w:tcW w:w="1530" w:type="dxa"/>
            <w:tcBorders>
              <w:top w:val="single" w:sz="8" w:space="0" w:color="auto"/>
              <w:left w:val="single" w:sz="4" w:space="0" w:color="auto"/>
              <w:bottom w:val="single" w:sz="4" w:space="0" w:color="auto"/>
              <w:right w:val="single" w:sz="4" w:space="0" w:color="auto"/>
            </w:tcBorders>
            <w:vAlign w:val="center"/>
          </w:tcPr>
          <w:p w:rsidR="00BB22E1" w:rsidRPr="00BB22E1" w:rsidRDefault="001D2B71" w:rsidP="00B15E43">
            <w:pPr>
              <w:jc w:val="center"/>
              <w:rPr>
                <w:rFonts w:ascii="Times New Roman" w:hAnsi="Times New Roman"/>
                <w:color w:val="0000FF"/>
              </w:rPr>
            </w:pPr>
            <w:hyperlink r:id="rId13" w:history="1">
              <w:r w:rsidR="00A82EBA">
                <w:rPr>
                  <w:rStyle w:val="Hyperlink"/>
                  <w:rFonts w:ascii="Times New Roman" w:hAnsi="Times New Roman"/>
                  <w:szCs w:val="24"/>
                  <w:lang w:val="pt-BR"/>
                </w:rPr>
                <w:t>38889705</w:t>
              </w:r>
            </w:hyperlink>
          </w:p>
        </w:tc>
      </w:tr>
    </w:tbl>
    <w:p w:rsidR="00EF1705" w:rsidRPr="00DC00DC" w:rsidRDefault="00EF1705" w:rsidP="00512C99"/>
    <w:sectPr w:rsidR="00EF1705" w:rsidRPr="00DC00DC" w:rsidSect="00512C99">
      <w:headerReference w:type="default" r:id="rId14"/>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915" w:rsidRDefault="000C7915" w:rsidP="000C7915">
      <w:r>
        <w:separator/>
      </w:r>
    </w:p>
  </w:endnote>
  <w:endnote w:type="continuationSeparator" w:id="0">
    <w:p w:rsidR="000C7915" w:rsidRDefault="000C7915" w:rsidP="000C7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915" w:rsidRDefault="000C7915" w:rsidP="000C7915">
      <w:r>
        <w:separator/>
      </w:r>
    </w:p>
  </w:footnote>
  <w:footnote w:type="continuationSeparator" w:id="0">
    <w:p w:rsidR="000C7915" w:rsidRDefault="000C7915" w:rsidP="000C7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282252"/>
      <w:docPartObj>
        <w:docPartGallery w:val="Page Numbers (Top of Page)"/>
        <w:docPartUnique/>
      </w:docPartObj>
    </w:sdtPr>
    <w:sdtEndPr>
      <w:rPr>
        <w:rFonts w:ascii="Times New Roman" w:hAnsi="Times New Roman"/>
        <w:sz w:val="24"/>
        <w:szCs w:val="24"/>
      </w:rPr>
    </w:sdtEndPr>
    <w:sdtContent>
      <w:p w:rsidR="00B25290" w:rsidRPr="00AA19CA" w:rsidRDefault="00B25290" w:rsidP="00B25290">
        <w:pPr>
          <w:pStyle w:val="Header"/>
          <w:spacing w:after="40"/>
          <w:jc w:val="right"/>
          <w:rPr>
            <w:rFonts w:ascii="Times New Roman" w:hAnsi="Times New Roman"/>
            <w:b/>
            <w:sz w:val="24"/>
            <w:szCs w:val="24"/>
            <w:lang w:val="fr-FR"/>
          </w:rPr>
        </w:pPr>
        <w:r w:rsidRPr="00AA19CA">
          <w:rPr>
            <w:rFonts w:ascii="Times New Roman" w:hAnsi="Times New Roman"/>
            <w:b/>
            <w:sz w:val="24"/>
            <w:szCs w:val="24"/>
            <w:lang w:val="fr-FR"/>
          </w:rPr>
          <w:t>An</w:t>
        </w:r>
        <w:r w:rsidR="0026101A" w:rsidRPr="00AA19CA">
          <w:rPr>
            <w:rFonts w:ascii="Times New Roman" w:hAnsi="Times New Roman"/>
            <w:b/>
            <w:sz w:val="24"/>
            <w:szCs w:val="24"/>
            <w:lang w:val="fr-FR"/>
          </w:rPr>
          <w:t>n</w:t>
        </w:r>
        <w:r w:rsidRPr="00AA19CA">
          <w:rPr>
            <w:rFonts w:ascii="Times New Roman" w:hAnsi="Times New Roman"/>
            <w:b/>
            <w:sz w:val="24"/>
            <w:szCs w:val="24"/>
            <w:lang w:val="fr-FR"/>
          </w:rPr>
          <w:t xml:space="preserve">ex II </w:t>
        </w:r>
        <w:r w:rsidR="003A04C1" w:rsidRPr="00AA19CA">
          <w:rPr>
            <w:rFonts w:ascii="Times New Roman" w:hAnsi="Times New Roman"/>
            <w:b/>
            <w:sz w:val="24"/>
            <w:szCs w:val="24"/>
            <w:lang w:val="fr-FR"/>
          </w:rPr>
          <w:t>–</w:t>
        </w:r>
        <w:r w:rsidRPr="00AA19CA">
          <w:rPr>
            <w:rFonts w:ascii="Times New Roman" w:hAnsi="Times New Roman"/>
            <w:b/>
            <w:sz w:val="24"/>
            <w:szCs w:val="24"/>
            <w:lang w:val="fr-FR"/>
          </w:rPr>
          <w:t xml:space="preserve"> </w:t>
        </w:r>
        <w:r w:rsidR="0026101A" w:rsidRPr="00AA19CA">
          <w:rPr>
            <w:rFonts w:ascii="Times New Roman" w:hAnsi="Times New Roman"/>
            <w:b/>
            <w:sz w:val="24"/>
            <w:szCs w:val="24"/>
            <w:lang w:val="fr-FR"/>
          </w:rPr>
          <w:t>BL</w:t>
        </w:r>
        <w:r w:rsidR="003A04C1" w:rsidRPr="00AA19CA">
          <w:rPr>
            <w:rFonts w:ascii="Times New Roman" w:hAnsi="Times New Roman"/>
            <w:b/>
            <w:sz w:val="24"/>
            <w:szCs w:val="24"/>
            <w:lang w:val="fr-FR"/>
          </w:rPr>
          <w:t>-T</w:t>
        </w:r>
        <w:r w:rsidR="00B93C75" w:rsidRPr="00AA19CA">
          <w:rPr>
            <w:rFonts w:ascii="Times New Roman" w:hAnsi="Times New Roman"/>
            <w:b/>
            <w:sz w:val="24"/>
            <w:szCs w:val="24"/>
            <w:lang w:val="fr-FR"/>
          </w:rPr>
          <w:t>10</w:t>
        </w:r>
        <w:r w:rsidR="0026101A" w:rsidRPr="00AA19CA">
          <w:rPr>
            <w:rFonts w:ascii="Times New Roman" w:hAnsi="Times New Roman"/>
            <w:b/>
            <w:sz w:val="24"/>
            <w:szCs w:val="24"/>
            <w:lang w:val="fr-FR"/>
          </w:rPr>
          <w:t>59</w:t>
        </w:r>
      </w:p>
      <w:p w:rsidR="00B25290" w:rsidRPr="00AA19CA" w:rsidRDefault="00B25290" w:rsidP="00B25290">
        <w:pPr>
          <w:pStyle w:val="Header"/>
          <w:spacing w:after="40"/>
          <w:jc w:val="right"/>
          <w:rPr>
            <w:rFonts w:ascii="Times New Roman" w:hAnsi="Times New Roman"/>
            <w:sz w:val="24"/>
            <w:szCs w:val="24"/>
            <w:lang w:val="fr-FR"/>
          </w:rPr>
        </w:pPr>
        <w:r w:rsidRPr="00AA19CA">
          <w:rPr>
            <w:rFonts w:ascii="Times New Roman" w:hAnsi="Times New Roman"/>
            <w:sz w:val="24"/>
            <w:szCs w:val="24"/>
            <w:lang w:val="fr-FR"/>
          </w:rPr>
          <w:t>P</w:t>
        </w:r>
        <w:r w:rsidR="00AA19CA" w:rsidRPr="00AA19CA">
          <w:rPr>
            <w:rFonts w:ascii="Times New Roman" w:hAnsi="Times New Roman"/>
            <w:sz w:val="24"/>
            <w:szCs w:val="24"/>
            <w:lang w:val="fr-FR"/>
          </w:rPr>
          <w:t>a</w:t>
        </w:r>
        <w:r w:rsidRPr="00AA19CA">
          <w:rPr>
            <w:rFonts w:ascii="Times New Roman" w:hAnsi="Times New Roman"/>
            <w:sz w:val="24"/>
            <w:szCs w:val="24"/>
            <w:lang w:val="fr-FR"/>
          </w:rPr>
          <w:t>g</w:t>
        </w:r>
        <w:r w:rsidR="00AA19CA" w:rsidRPr="00AA19CA">
          <w:rPr>
            <w:rFonts w:ascii="Times New Roman" w:hAnsi="Times New Roman"/>
            <w:sz w:val="24"/>
            <w:szCs w:val="24"/>
            <w:lang w:val="fr-FR"/>
          </w:rPr>
          <w:t>e</w:t>
        </w:r>
        <w:r w:rsidRPr="00AA19CA">
          <w:rPr>
            <w:rFonts w:ascii="Times New Roman" w:hAnsi="Times New Roman"/>
            <w:sz w:val="24"/>
            <w:szCs w:val="24"/>
            <w:lang w:val="fr-FR"/>
          </w:rPr>
          <w:t xml:space="preserve"> </w:t>
        </w:r>
        <w:r w:rsidRPr="00B25290">
          <w:rPr>
            <w:rFonts w:ascii="Times New Roman" w:hAnsi="Times New Roman"/>
            <w:b/>
            <w:bCs/>
            <w:sz w:val="24"/>
            <w:szCs w:val="24"/>
          </w:rPr>
          <w:fldChar w:fldCharType="begin"/>
        </w:r>
        <w:r w:rsidRPr="00AA19CA">
          <w:rPr>
            <w:rFonts w:ascii="Times New Roman" w:hAnsi="Times New Roman"/>
            <w:b/>
            <w:bCs/>
            <w:sz w:val="24"/>
            <w:szCs w:val="24"/>
            <w:lang w:val="fr-FR"/>
          </w:rPr>
          <w:instrText xml:space="preserve"> PAGE </w:instrText>
        </w:r>
        <w:r w:rsidRPr="00B25290">
          <w:rPr>
            <w:rFonts w:ascii="Times New Roman" w:hAnsi="Times New Roman"/>
            <w:b/>
            <w:bCs/>
            <w:sz w:val="24"/>
            <w:szCs w:val="24"/>
          </w:rPr>
          <w:fldChar w:fldCharType="separate"/>
        </w:r>
        <w:r w:rsidR="001D2B71">
          <w:rPr>
            <w:rFonts w:ascii="Times New Roman" w:hAnsi="Times New Roman"/>
            <w:b/>
            <w:bCs/>
            <w:noProof/>
            <w:sz w:val="24"/>
            <w:szCs w:val="24"/>
            <w:lang w:val="fr-FR"/>
          </w:rPr>
          <w:t>1</w:t>
        </w:r>
        <w:r w:rsidRPr="00B25290">
          <w:rPr>
            <w:rFonts w:ascii="Times New Roman" w:hAnsi="Times New Roman"/>
            <w:b/>
            <w:bCs/>
            <w:sz w:val="24"/>
            <w:szCs w:val="24"/>
          </w:rPr>
          <w:fldChar w:fldCharType="end"/>
        </w:r>
        <w:r w:rsidRPr="00AA19CA">
          <w:rPr>
            <w:rFonts w:ascii="Times New Roman" w:hAnsi="Times New Roman"/>
            <w:sz w:val="24"/>
            <w:szCs w:val="24"/>
            <w:lang w:val="fr-FR"/>
          </w:rPr>
          <w:t xml:space="preserve"> de </w:t>
        </w:r>
        <w:r w:rsidRPr="00B25290">
          <w:rPr>
            <w:rFonts w:ascii="Times New Roman" w:hAnsi="Times New Roman"/>
            <w:b/>
            <w:bCs/>
            <w:sz w:val="24"/>
            <w:szCs w:val="24"/>
          </w:rPr>
          <w:fldChar w:fldCharType="begin"/>
        </w:r>
        <w:r w:rsidRPr="00AA19CA">
          <w:rPr>
            <w:rFonts w:ascii="Times New Roman" w:hAnsi="Times New Roman"/>
            <w:b/>
            <w:bCs/>
            <w:sz w:val="24"/>
            <w:szCs w:val="24"/>
            <w:lang w:val="fr-FR"/>
          </w:rPr>
          <w:instrText xml:space="preserve"> NUMPAGES  </w:instrText>
        </w:r>
        <w:r w:rsidRPr="00B25290">
          <w:rPr>
            <w:rFonts w:ascii="Times New Roman" w:hAnsi="Times New Roman"/>
            <w:b/>
            <w:bCs/>
            <w:sz w:val="24"/>
            <w:szCs w:val="24"/>
          </w:rPr>
          <w:fldChar w:fldCharType="separate"/>
        </w:r>
        <w:r w:rsidR="001D2B71">
          <w:rPr>
            <w:rFonts w:ascii="Times New Roman" w:hAnsi="Times New Roman"/>
            <w:b/>
            <w:bCs/>
            <w:noProof/>
            <w:sz w:val="24"/>
            <w:szCs w:val="24"/>
            <w:lang w:val="fr-FR"/>
          </w:rPr>
          <w:t>1</w:t>
        </w:r>
        <w:r w:rsidRPr="00B25290">
          <w:rPr>
            <w:rFonts w:ascii="Times New Roman" w:hAnsi="Times New Roman"/>
            <w:b/>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
    <w:nsid w:val="1794445A"/>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2">
    <w:nsid w:val="192B4974"/>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3">
    <w:nsid w:val="5EB330D6"/>
    <w:multiLevelType w:val="multilevel"/>
    <w:tmpl w:val="2B188B8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5F6E44B4"/>
    <w:multiLevelType w:val="hybridMultilevel"/>
    <w:tmpl w:val="055009DE"/>
    <w:lvl w:ilvl="0" w:tplc="D8B2DD2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6340336"/>
    <w:multiLevelType w:val="multilevel"/>
    <w:tmpl w:val="49FA895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5"/>
  </w:num>
  <w:num w:numId="2">
    <w:abstractNumId w:val="0"/>
  </w:num>
  <w:num w:numId="3">
    <w:abstractNumId w:val="1"/>
  </w:num>
  <w:num w:numId="4">
    <w:abstractNumId w:val="2"/>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3"/>
  </w:num>
  <w:num w:numId="24">
    <w:abstractNumId w:val="4"/>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275"/>
    <w:rsid w:val="00003358"/>
    <w:rsid w:val="00084B8D"/>
    <w:rsid w:val="000939A3"/>
    <w:rsid w:val="000C2E55"/>
    <w:rsid w:val="000C7915"/>
    <w:rsid w:val="000F2376"/>
    <w:rsid w:val="00135F69"/>
    <w:rsid w:val="001D2B71"/>
    <w:rsid w:val="00255012"/>
    <w:rsid w:val="0026101A"/>
    <w:rsid w:val="00263CAC"/>
    <w:rsid w:val="00284653"/>
    <w:rsid w:val="00287123"/>
    <w:rsid w:val="002B4D17"/>
    <w:rsid w:val="002D6275"/>
    <w:rsid w:val="002E58DB"/>
    <w:rsid w:val="003345F8"/>
    <w:rsid w:val="00355CD1"/>
    <w:rsid w:val="003731F6"/>
    <w:rsid w:val="003A04C1"/>
    <w:rsid w:val="003C265B"/>
    <w:rsid w:val="004104A6"/>
    <w:rsid w:val="00443B8F"/>
    <w:rsid w:val="00477DA7"/>
    <w:rsid w:val="004B15E4"/>
    <w:rsid w:val="004B223D"/>
    <w:rsid w:val="004B6610"/>
    <w:rsid w:val="00512C99"/>
    <w:rsid w:val="00544283"/>
    <w:rsid w:val="005659D6"/>
    <w:rsid w:val="005B1D8F"/>
    <w:rsid w:val="005D378F"/>
    <w:rsid w:val="00605FD9"/>
    <w:rsid w:val="006577DF"/>
    <w:rsid w:val="0066683C"/>
    <w:rsid w:val="00742ACB"/>
    <w:rsid w:val="007508DC"/>
    <w:rsid w:val="0077108A"/>
    <w:rsid w:val="00793CE8"/>
    <w:rsid w:val="0079520C"/>
    <w:rsid w:val="007971CD"/>
    <w:rsid w:val="007E40C6"/>
    <w:rsid w:val="00851B4F"/>
    <w:rsid w:val="00882A20"/>
    <w:rsid w:val="00891359"/>
    <w:rsid w:val="008C26D7"/>
    <w:rsid w:val="0098092F"/>
    <w:rsid w:val="00982AB9"/>
    <w:rsid w:val="00993F20"/>
    <w:rsid w:val="009F76DB"/>
    <w:rsid w:val="00A32403"/>
    <w:rsid w:val="00A5552E"/>
    <w:rsid w:val="00A82EBA"/>
    <w:rsid w:val="00A83A64"/>
    <w:rsid w:val="00AA19CA"/>
    <w:rsid w:val="00AD40DF"/>
    <w:rsid w:val="00AD699E"/>
    <w:rsid w:val="00B00B0E"/>
    <w:rsid w:val="00B128F8"/>
    <w:rsid w:val="00B15E43"/>
    <w:rsid w:val="00B25290"/>
    <w:rsid w:val="00B73E44"/>
    <w:rsid w:val="00B8512F"/>
    <w:rsid w:val="00B93136"/>
    <w:rsid w:val="00B93C75"/>
    <w:rsid w:val="00BB22E1"/>
    <w:rsid w:val="00BB312C"/>
    <w:rsid w:val="00BB3172"/>
    <w:rsid w:val="00BE3A62"/>
    <w:rsid w:val="00C252F4"/>
    <w:rsid w:val="00CB7A2C"/>
    <w:rsid w:val="00D42CF2"/>
    <w:rsid w:val="00D83AFB"/>
    <w:rsid w:val="00D96248"/>
    <w:rsid w:val="00DC00DC"/>
    <w:rsid w:val="00DC0FA6"/>
    <w:rsid w:val="00E61160"/>
    <w:rsid w:val="00E86CAB"/>
    <w:rsid w:val="00EA5B0C"/>
    <w:rsid w:val="00EB36D7"/>
    <w:rsid w:val="00EF1705"/>
    <w:rsid w:val="00EF1EE5"/>
    <w:rsid w:val="00F44FBC"/>
    <w:rsid w:val="00F60923"/>
    <w:rsid w:val="00F62108"/>
    <w:rsid w:val="00FA7056"/>
    <w:rsid w:val="00FD103C"/>
    <w:rsid w:val="00FD4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6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915"/>
    <w:pPr>
      <w:tabs>
        <w:tab w:val="center" w:pos="4680"/>
        <w:tab w:val="right" w:pos="9360"/>
      </w:tabs>
    </w:pPr>
  </w:style>
  <w:style w:type="character" w:customStyle="1" w:styleId="HeaderChar">
    <w:name w:val="Header Char"/>
    <w:basedOn w:val="DefaultParagraphFont"/>
    <w:link w:val="Header"/>
    <w:uiPriority w:val="99"/>
    <w:rsid w:val="000C7915"/>
    <w:rPr>
      <w:rFonts w:ascii="Calibri" w:hAnsi="Calibri" w:cs="Times New Roman"/>
    </w:rPr>
  </w:style>
  <w:style w:type="paragraph" w:styleId="Footer">
    <w:name w:val="footer"/>
    <w:basedOn w:val="Normal"/>
    <w:link w:val="FooterChar"/>
    <w:uiPriority w:val="99"/>
    <w:unhideWhenUsed/>
    <w:rsid w:val="000C7915"/>
    <w:pPr>
      <w:tabs>
        <w:tab w:val="center" w:pos="4680"/>
        <w:tab w:val="right" w:pos="9360"/>
      </w:tabs>
    </w:pPr>
  </w:style>
  <w:style w:type="character" w:customStyle="1" w:styleId="FooterChar">
    <w:name w:val="Footer Char"/>
    <w:basedOn w:val="DefaultParagraphFont"/>
    <w:link w:val="Footer"/>
    <w:uiPriority w:val="99"/>
    <w:rsid w:val="000C7915"/>
    <w:rPr>
      <w:rFonts w:ascii="Calibri" w:hAnsi="Calibri" w:cs="Times New Roman"/>
    </w:rPr>
  </w:style>
  <w:style w:type="paragraph" w:styleId="ListParagraph">
    <w:name w:val="List Paragraph"/>
    <w:basedOn w:val="Normal"/>
    <w:link w:val="ListParagraphChar"/>
    <w:uiPriority w:val="34"/>
    <w:qFormat/>
    <w:rsid w:val="000C7915"/>
    <w:pPr>
      <w:ind w:left="720"/>
      <w:contextualSpacing/>
    </w:pPr>
  </w:style>
  <w:style w:type="character" w:styleId="Hyperlink">
    <w:name w:val="Hyperlink"/>
    <w:basedOn w:val="DefaultParagraphFont"/>
    <w:uiPriority w:val="99"/>
    <w:unhideWhenUsed/>
    <w:rsid w:val="00B25290"/>
    <w:rPr>
      <w:color w:val="0000FF" w:themeColor="hyperlink"/>
      <w:u w:val="single"/>
    </w:rPr>
  </w:style>
  <w:style w:type="character" w:customStyle="1" w:styleId="ListParagraphChar">
    <w:name w:val="List Paragraph Char"/>
    <w:link w:val="ListParagraph"/>
    <w:uiPriority w:val="34"/>
    <w:rsid w:val="004B15E4"/>
    <w:rPr>
      <w:rFonts w:ascii="Calibri" w:hAnsi="Calibri" w:cs="Times New Roman"/>
    </w:rPr>
  </w:style>
  <w:style w:type="paragraph" w:customStyle="1" w:styleId="Chapter">
    <w:name w:val="Chapter"/>
    <w:basedOn w:val="Normal"/>
    <w:next w:val="Normal"/>
    <w:rsid w:val="004B15E4"/>
    <w:pPr>
      <w:keepNext/>
      <w:numPr>
        <w:numId w:val="1"/>
      </w:numPr>
      <w:tabs>
        <w:tab w:val="clear" w:pos="1800"/>
        <w:tab w:val="num" w:pos="648"/>
        <w:tab w:val="left" w:pos="1440"/>
      </w:tabs>
      <w:spacing w:before="240" w:after="240"/>
      <w:ind w:left="0"/>
      <w:jc w:val="center"/>
    </w:pPr>
    <w:rPr>
      <w:rFonts w:ascii="Times New Roman" w:eastAsiaTheme="minorEastAsia" w:hAnsi="Times New Roman"/>
      <w:b/>
      <w:smallCaps/>
      <w:sz w:val="24"/>
      <w:lang w:val="es-ES"/>
    </w:rPr>
  </w:style>
  <w:style w:type="paragraph" w:customStyle="1" w:styleId="Paragraph">
    <w:name w:val="Paragraph"/>
    <w:aliases w:val="paragraph,p,PARAGRAPH,PG,pa,at"/>
    <w:basedOn w:val="BodyTextIndent"/>
    <w:link w:val="ParagraphChar"/>
    <w:rsid w:val="004B15E4"/>
    <w:pPr>
      <w:numPr>
        <w:ilvl w:val="1"/>
        <w:numId w:val="1"/>
      </w:numPr>
      <w:spacing w:before="120"/>
      <w:jc w:val="both"/>
      <w:outlineLvl w:val="1"/>
    </w:pPr>
    <w:rPr>
      <w:rFonts w:ascii="Times New Roman" w:eastAsiaTheme="minorEastAsia" w:hAnsi="Times New Roman"/>
      <w:sz w:val="24"/>
      <w:lang w:val="es-ES"/>
    </w:rPr>
  </w:style>
  <w:style w:type="character" w:customStyle="1" w:styleId="ParagraphChar">
    <w:name w:val="Paragraph Char"/>
    <w:aliases w:val="paragraph Char,p Char,PARAGRAPH Char,PG Char,pa Char,at Char"/>
    <w:basedOn w:val="DefaultParagraphFont"/>
    <w:link w:val="Paragraph"/>
    <w:rsid w:val="004B15E4"/>
    <w:rPr>
      <w:rFonts w:ascii="Times New Roman" w:eastAsiaTheme="minorEastAsia" w:hAnsi="Times New Roman" w:cs="Times New Roman"/>
      <w:sz w:val="24"/>
      <w:lang w:val="es-ES"/>
    </w:rPr>
  </w:style>
  <w:style w:type="paragraph" w:customStyle="1" w:styleId="subpar">
    <w:name w:val="subpar"/>
    <w:basedOn w:val="BodyTextIndent3"/>
    <w:rsid w:val="004B15E4"/>
    <w:pPr>
      <w:numPr>
        <w:ilvl w:val="2"/>
        <w:numId w:val="1"/>
      </w:numPr>
      <w:tabs>
        <w:tab w:val="clear" w:pos="2304"/>
        <w:tab w:val="num" w:pos="1152"/>
      </w:tabs>
      <w:spacing w:before="120"/>
      <w:ind w:left="1152"/>
      <w:jc w:val="both"/>
      <w:outlineLvl w:val="2"/>
    </w:pPr>
    <w:rPr>
      <w:rFonts w:ascii="Times New Roman" w:eastAsiaTheme="minorEastAsia" w:hAnsi="Times New Roman"/>
      <w:sz w:val="24"/>
      <w:lang w:val="es-ES"/>
    </w:rPr>
  </w:style>
  <w:style w:type="paragraph" w:customStyle="1" w:styleId="SubSubPar">
    <w:name w:val="SubSubPar"/>
    <w:basedOn w:val="subpar"/>
    <w:rsid w:val="004B15E4"/>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4B15E4"/>
    <w:pPr>
      <w:spacing w:after="120"/>
      <w:ind w:left="360"/>
    </w:pPr>
  </w:style>
  <w:style w:type="character" w:customStyle="1" w:styleId="BodyTextIndentChar">
    <w:name w:val="Body Text Indent Char"/>
    <w:basedOn w:val="DefaultParagraphFont"/>
    <w:link w:val="BodyTextIndent"/>
    <w:uiPriority w:val="99"/>
    <w:semiHidden/>
    <w:rsid w:val="004B15E4"/>
    <w:rPr>
      <w:rFonts w:ascii="Calibri" w:hAnsi="Calibri" w:cs="Times New Roman"/>
    </w:rPr>
  </w:style>
  <w:style w:type="paragraph" w:styleId="BodyTextIndent3">
    <w:name w:val="Body Text Indent 3"/>
    <w:basedOn w:val="Normal"/>
    <w:link w:val="BodyTextIndent3Char"/>
    <w:uiPriority w:val="99"/>
    <w:semiHidden/>
    <w:unhideWhenUsed/>
    <w:rsid w:val="004B15E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B15E4"/>
    <w:rPr>
      <w:rFonts w:ascii="Calibri" w:hAnsi="Calibri" w:cs="Times New Roman"/>
      <w:sz w:val="16"/>
      <w:szCs w:val="16"/>
    </w:rPr>
  </w:style>
  <w:style w:type="character" w:styleId="FollowedHyperlink">
    <w:name w:val="FollowedHyperlink"/>
    <w:basedOn w:val="DefaultParagraphFont"/>
    <w:uiPriority w:val="99"/>
    <w:semiHidden/>
    <w:unhideWhenUsed/>
    <w:rsid w:val="005D378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6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915"/>
    <w:pPr>
      <w:tabs>
        <w:tab w:val="center" w:pos="4680"/>
        <w:tab w:val="right" w:pos="9360"/>
      </w:tabs>
    </w:pPr>
  </w:style>
  <w:style w:type="character" w:customStyle="1" w:styleId="HeaderChar">
    <w:name w:val="Header Char"/>
    <w:basedOn w:val="DefaultParagraphFont"/>
    <w:link w:val="Header"/>
    <w:uiPriority w:val="99"/>
    <w:rsid w:val="000C7915"/>
    <w:rPr>
      <w:rFonts w:ascii="Calibri" w:hAnsi="Calibri" w:cs="Times New Roman"/>
    </w:rPr>
  </w:style>
  <w:style w:type="paragraph" w:styleId="Footer">
    <w:name w:val="footer"/>
    <w:basedOn w:val="Normal"/>
    <w:link w:val="FooterChar"/>
    <w:uiPriority w:val="99"/>
    <w:unhideWhenUsed/>
    <w:rsid w:val="000C7915"/>
    <w:pPr>
      <w:tabs>
        <w:tab w:val="center" w:pos="4680"/>
        <w:tab w:val="right" w:pos="9360"/>
      </w:tabs>
    </w:pPr>
  </w:style>
  <w:style w:type="character" w:customStyle="1" w:styleId="FooterChar">
    <w:name w:val="Footer Char"/>
    <w:basedOn w:val="DefaultParagraphFont"/>
    <w:link w:val="Footer"/>
    <w:uiPriority w:val="99"/>
    <w:rsid w:val="000C7915"/>
    <w:rPr>
      <w:rFonts w:ascii="Calibri" w:hAnsi="Calibri" w:cs="Times New Roman"/>
    </w:rPr>
  </w:style>
  <w:style w:type="paragraph" w:styleId="ListParagraph">
    <w:name w:val="List Paragraph"/>
    <w:basedOn w:val="Normal"/>
    <w:link w:val="ListParagraphChar"/>
    <w:uiPriority w:val="34"/>
    <w:qFormat/>
    <w:rsid w:val="000C7915"/>
    <w:pPr>
      <w:ind w:left="720"/>
      <w:contextualSpacing/>
    </w:pPr>
  </w:style>
  <w:style w:type="character" w:styleId="Hyperlink">
    <w:name w:val="Hyperlink"/>
    <w:basedOn w:val="DefaultParagraphFont"/>
    <w:uiPriority w:val="99"/>
    <w:unhideWhenUsed/>
    <w:rsid w:val="00B25290"/>
    <w:rPr>
      <w:color w:val="0000FF" w:themeColor="hyperlink"/>
      <w:u w:val="single"/>
    </w:rPr>
  </w:style>
  <w:style w:type="character" w:customStyle="1" w:styleId="ListParagraphChar">
    <w:name w:val="List Paragraph Char"/>
    <w:link w:val="ListParagraph"/>
    <w:uiPriority w:val="34"/>
    <w:rsid w:val="004B15E4"/>
    <w:rPr>
      <w:rFonts w:ascii="Calibri" w:hAnsi="Calibri" w:cs="Times New Roman"/>
    </w:rPr>
  </w:style>
  <w:style w:type="paragraph" w:customStyle="1" w:styleId="Chapter">
    <w:name w:val="Chapter"/>
    <w:basedOn w:val="Normal"/>
    <w:next w:val="Normal"/>
    <w:rsid w:val="004B15E4"/>
    <w:pPr>
      <w:keepNext/>
      <w:numPr>
        <w:numId w:val="1"/>
      </w:numPr>
      <w:tabs>
        <w:tab w:val="clear" w:pos="1800"/>
        <w:tab w:val="num" w:pos="648"/>
        <w:tab w:val="left" w:pos="1440"/>
      </w:tabs>
      <w:spacing w:before="240" w:after="240"/>
      <w:ind w:left="0"/>
      <w:jc w:val="center"/>
    </w:pPr>
    <w:rPr>
      <w:rFonts w:ascii="Times New Roman" w:eastAsiaTheme="minorEastAsia" w:hAnsi="Times New Roman"/>
      <w:b/>
      <w:smallCaps/>
      <w:sz w:val="24"/>
      <w:lang w:val="es-ES"/>
    </w:rPr>
  </w:style>
  <w:style w:type="paragraph" w:customStyle="1" w:styleId="Paragraph">
    <w:name w:val="Paragraph"/>
    <w:aliases w:val="paragraph,p,PARAGRAPH,PG,pa,at"/>
    <w:basedOn w:val="BodyTextIndent"/>
    <w:link w:val="ParagraphChar"/>
    <w:rsid w:val="004B15E4"/>
    <w:pPr>
      <w:numPr>
        <w:ilvl w:val="1"/>
        <w:numId w:val="1"/>
      </w:numPr>
      <w:spacing w:before="120"/>
      <w:jc w:val="both"/>
      <w:outlineLvl w:val="1"/>
    </w:pPr>
    <w:rPr>
      <w:rFonts w:ascii="Times New Roman" w:eastAsiaTheme="minorEastAsia" w:hAnsi="Times New Roman"/>
      <w:sz w:val="24"/>
      <w:lang w:val="es-ES"/>
    </w:rPr>
  </w:style>
  <w:style w:type="character" w:customStyle="1" w:styleId="ParagraphChar">
    <w:name w:val="Paragraph Char"/>
    <w:aliases w:val="paragraph Char,p Char,PARAGRAPH Char,PG Char,pa Char,at Char"/>
    <w:basedOn w:val="DefaultParagraphFont"/>
    <w:link w:val="Paragraph"/>
    <w:rsid w:val="004B15E4"/>
    <w:rPr>
      <w:rFonts w:ascii="Times New Roman" w:eastAsiaTheme="minorEastAsia" w:hAnsi="Times New Roman" w:cs="Times New Roman"/>
      <w:sz w:val="24"/>
      <w:lang w:val="es-ES"/>
    </w:rPr>
  </w:style>
  <w:style w:type="paragraph" w:customStyle="1" w:styleId="subpar">
    <w:name w:val="subpar"/>
    <w:basedOn w:val="BodyTextIndent3"/>
    <w:rsid w:val="004B15E4"/>
    <w:pPr>
      <w:numPr>
        <w:ilvl w:val="2"/>
        <w:numId w:val="1"/>
      </w:numPr>
      <w:tabs>
        <w:tab w:val="clear" w:pos="2304"/>
        <w:tab w:val="num" w:pos="1152"/>
      </w:tabs>
      <w:spacing w:before="120"/>
      <w:ind w:left="1152"/>
      <w:jc w:val="both"/>
      <w:outlineLvl w:val="2"/>
    </w:pPr>
    <w:rPr>
      <w:rFonts w:ascii="Times New Roman" w:eastAsiaTheme="minorEastAsia" w:hAnsi="Times New Roman"/>
      <w:sz w:val="24"/>
      <w:lang w:val="es-ES"/>
    </w:rPr>
  </w:style>
  <w:style w:type="paragraph" w:customStyle="1" w:styleId="SubSubPar">
    <w:name w:val="SubSubPar"/>
    <w:basedOn w:val="subpar"/>
    <w:rsid w:val="004B15E4"/>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4B15E4"/>
    <w:pPr>
      <w:spacing w:after="120"/>
      <w:ind w:left="360"/>
    </w:pPr>
  </w:style>
  <w:style w:type="character" w:customStyle="1" w:styleId="BodyTextIndentChar">
    <w:name w:val="Body Text Indent Char"/>
    <w:basedOn w:val="DefaultParagraphFont"/>
    <w:link w:val="BodyTextIndent"/>
    <w:uiPriority w:val="99"/>
    <w:semiHidden/>
    <w:rsid w:val="004B15E4"/>
    <w:rPr>
      <w:rFonts w:ascii="Calibri" w:hAnsi="Calibri" w:cs="Times New Roman"/>
    </w:rPr>
  </w:style>
  <w:style w:type="paragraph" w:styleId="BodyTextIndent3">
    <w:name w:val="Body Text Indent 3"/>
    <w:basedOn w:val="Normal"/>
    <w:link w:val="BodyTextIndent3Char"/>
    <w:uiPriority w:val="99"/>
    <w:semiHidden/>
    <w:unhideWhenUsed/>
    <w:rsid w:val="004B15E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B15E4"/>
    <w:rPr>
      <w:rFonts w:ascii="Calibri" w:hAnsi="Calibri" w:cs="Times New Roman"/>
      <w:sz w:val="16"/>
      <w:szCs w:val="16"/>
    </w:rPr>
  </w:style>
  <w:style w:type="character" w:styleId="FollowedHyperlink">
    <w:name w:val="FollowedHyperlink"/>
    <w:basedOn w:val="DefaultParagraphFont"/>
    <w:uiPriority w:val="99"/>
    <w:semiHidden/>
    <w:unhideWhenUsed/>
    <w:rsid w:val="005D37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78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8889705"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idbdocs.iadb.org/wsdocs/getDocument.aspx?DOCNUM=38649352"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8889703"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dbdocs.iadb.org/wsdocs/getDocument.aspx?DOCNUM=38597974"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idbdocs.iadb.org/wsdocs/getDocument.aspx?DOCNUM=3888970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135279640401D48B9E222AA7166BB1B" ma:contentTypeVersion="0" ma:contentTypeDescription="A content type to manage public (operations) IDB documents" ma:contentTypeScope="" ma:versionID="9afa86e28061c9e752b27b2eb8619c11">
  <xsd:schema xmlns:xsd="http://www.w3.org/2001/XMLSchema" xmlns:xs="http://www.w3.org/2001/XMLSchema" xmlns:p="http://schemas.microsoft.com/office/2006/metadata/properties" xmlns:ns2="9c571b2f-e523-4ab2-ba2e-09e151a03ef4" targetNamespace="http://schemas.microsoft.com/office/2006/metadata/properties" ma:root="true" ma:fieldsID="d9166a675ce5c5ba28fe5350297ec70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6ce60cc-6323-4c7e-b2fc-bf86d1786272}" ma:internalName="TaxCatchAll" ma:showField="CatchAllData"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6ce60cc-6323-4c7e-b2fc-bf86d1786272}" ma:internalName="TaxCatchAllLabel" ma:readOnly="true" ma:showField="CatchAllDataLabel"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38900727</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ATN/OC-14563-BL</Approval_x0020_Number>
    <Document_x0020_Author xmlns="9c571b2f-e523-4ab2-ba2e-09e151a03ef4">fvelayos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BL-T1059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CM-FIS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A7F08CB2-7800-4D8D-A92D-4C99C78C5F82}"/>
</file>

<file path=customXml/itemProps2.xml><?xml version="1.0" encoding="utf-8"?>
<ds:datastoreItem xmlns:ds="http://schemas.openxmlformats.org/officeDocument/2006/customXml" ds:itemID="{67DE5C4D-B99D-4738-B058-67B3A7D5B9C6}"/>
</file>

<file path=customXml/itemProps3.xml><?xml version="1.0" encoding="utf-8"?>
<ds:datastoreItem xmlns:ds="http://schemas.openxmlformats.org/officeDocument/2006/customXml" ds:itemID="{1DB8FD11-8FA7-4699-BFF9-CB593E30DCA0}"/>
</file>

<file path=customXml/itemProps4.xml><?xml version="1.0" encoding="utf-8"?>
<ds:datastoreItem xmlns:ds="http://schemas.openxmlformats.org/officeDocument/2006/customXml" ds:itemID="{BE4D880B-778A-484A-859C-3D17D0E66063}"/>
</file>

<file path=customXml/itemProps5.xml><?xml version="1.0" encoding="utf-8"?>
<ds:datastoreItem xmlns:ds="http://schemas.openxmlformats.org/officeDocument/2006/customXml" ds:itemID="{B033988D-4633-4650-9E73-FC5801AF3C04}"/>
</file>

<file path=customXml/itemProps6.xml><?xml version="1.0" encoding="utf-8"?>
<ds:datastoreItem xmlns:ds="http://schemas.openxmlformats.org/officeDocument/2006/customXml" ds:itemID="{1E796F30-7543-49BA-91F2-9E1808CE8BC5}"/>
</file>

<file path=docProps/app.xml><?xml version="1.0" encoding="utf-8"?>
<Properties xmlns="http://schemas.openxmlformats.org/officeDocument/2006/extended-properties" xmlns:vt="http://schemas.openxmlformats.org/officeDocument/2006/docPropsVTypes">
  <Template>Normal.dotm</Template>
  <TotalTime>183</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Terms of Reference</dc:title>
  <dc:creator>Test</dc:creator>
  <cp:lastModifiedBy>marinam</cp:lastModifiedBy>
  <cp:revision>4</cp:revision>
  <cp:lastPrinted>2013-04-19T19:56:00Z</cp:lastPrinted>
  <dcterms:created xsi:type="dcterms:W3CDTF">2014-07-03T16:32:00Z</dcterms:created>
  <dcterms:modified xsi:type="dcterms:W3CDTF">2014-07-03T19:38:00Z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0x01010046CF21643EE8D14686A648AA6DAD089200E135279640401D48B9E222AA7166BB1B</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