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52C312" w14:textId="77777777" w:rsidR="007F036E" w:rsidRDefault="007F036E" w:rsidP="007F036E">
      <w:pPr>
        <w:tabs>
          <w:tab w:val="left" w:pos="1440"/>
        </w:tabs>
        <w:jc w:val="center"/>
        <w:rPr>
          <w:lang w:val="en-US"/>
        </w:rPr>
      </w:pPr>
      <w:bookmarkStart w:id="0" w:name="_GoBack"/>
      <w:bookmarkEnd w:id="0"/>
      <w:r w:rsidRPr="006B57BB">
        <w:rPr>
          <w:rFonts w:ascii="Arial" w:hAnsi="Arial" w:cs="Arial"/>
          <w:b/>
          <w:sz w:val="20"/>
          <w:szCs w:val="20"/>
          <w:lang w:val="es-EC"/>
        </w:rPr>
        <w:t xml:space="preserve">Presupuesto </w:t>
      </w:r>
      <w:r>
        <w:rPr>
          <w:rFonts w:ascii="Arial" w:hAnsi="Arial" w:cs="Arial"/>
          <w:b/>
          <w:sz w:val="20"/>
          <w:szCs w:val="20"/>
          <w:lang w:val="es-EC"/>
        </w:rPr>
        <w:t xml:space="preserve">Detallado </w:t>
      </w:r>
    </w:p>
    <w:tbl>
      <w:tblPr>
        <w:tblStyle w:val="TableGrid"/>
        <w:tblW w:w="9265" w:type="dxa"/>
        <w:tblLayout w:type="fixed"/>
        <w:tblLook w:val="04A0" w:firstRow="1" w:lastRow="0" w:firstColumn="1" w:lastColumn="0" w:noHBand="0" w:noVBand="1"/>
      </w:tblPr>
      <w:tblGrid>
        <w:gridCol w:w="1384"/>
        <w:gridCol w:w="3471"/>
        <w:gridCol w:w="1980"/>
        <w:gridCol w:w="1170"/>
        <w:gridCol w:w="1260"/>
      </w:tblGrid>
      <w:tr w:rsidR="007F036E" w:rsidRPr="005447BF" w14:paraId="4A88B809" w14:textId="77777777" w:rsidTr="00A044B9">
        <w:trPr>
          <w:trHeight w:val="600"/>
        </w:trPr>
        <w:tc>
          <w:tcPr>
            <w:tcW w:w="4855" w:type="dxa"/>
            <w:gridSpan w:val="2"/>
            <w:shd w:val="clear" w:color="auto" w:fill="548DD4" w:themeFill="text2" w:themeFillTint="99"/>
            <w:hideMark/>
          </w:tcPr>
          <w:p w14:paraId="5E125152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hAnsi="Arial" w:cs="Arial"/>
                <w:b/>
                <w:sz w:val="18"/>
                <w:szCs w:val="18"/>
              </w:rPr>
              <w:t>Descripción</w:t>
            </w:r>
          </w:p>
        </w:tc>
        <w:tc>
          <w:tcPr>
            <w:tcW w:w="1980" w:type="dxa"/>
            <w:shd w:val="clear" w:color="auto" w:fill="548DD4" w:themeFill="text2" w:themeFillTint="99"/>
            <w:noWrap/>
            <w:hideMark/>
          </w:tcPr>
          <w:p w14:paraId="7FC69113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hAnsi="Arial" w:cs="Arial"/>
                <w:b/>
                <w:sz w:val="18"/>
                <w:szCs w:val="18"/>
              </w:rPr>
              <w:t>BID/Financiamiento por Fondo</w:t>
            </w:r>
          </w:p>
        </w:tc>
        <w:tc>
          <w:tcPr>
            <w:tcW w:w="1170" w:type="dxa"/>
            <w:shd w:val="clear" w:color="auto" w:fill="548DD4" w:themeFill="text2" w:themeFillTint="99"/>
            <w:hideMark/>
          </w:tcPr>
          <w:p w14:paraId="7FB88161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</w:p>
        </w:tc>
        <w:tc>
          <w:tcPr>
            <w:tcW w:w="1260" w:type="dxa"/>
            <w:shd w:val="clear" w:color="auto" w:fill="548DD4" w:themeFill="text2" w:themeFillTint="99"/>
            <w:hideMark/>
          </w:tcPr>
          <w:p w14:paraId="644873A0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hAnsi="Arial" w:cs="Arial"/>
                <w:b/>
                <w:sz w:val="18"/>
                <w:szCs w:val="18"/>
              </w:rPr>
              <w:t>Actividad / Componente</w:t>
            </w:r>
          </w:p>
        </w:tc>
      </w:tr>
      <w:tr w:rsidR="007F036E" w:rsidRPr="005447BF" w14:paraId="63C6A143" w14:textId="77777777" w:rsidTr="00A044B9">
        <w:trPr>
          <w:trHeight w:val="251"/>
        </w:trPr>
        <w:tc>
          <w:tcPr>
            <w:tcW w:w="4855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7A091538" w14:textId="77777777" w:rsidR="007F036E" w:rsidRPr="005447BF" w:rsidRDefault="007F036E" w:rsidP="00A044B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hAnsi="Arial" w:cs="Arial"/>
                <w:b/>
                <w:sz w:val="18"/>
                <w:szCs w:val="18"/>
                <w:lang w:val="es-EC"/>
              </w:rPr>
              <w:t>Componente 1.-</w:t>
            </w: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 xml:space="preserve"> </w:t>
            </w:r>
            <w:r w:rsidRPr="005447BF">
              <w:rPr>
                <w:rFonts w:ascii="Arial" w:hAnsi="Arial" w:cs="Arial"/>
                <w:b/>
                <w:sz w:val="18"/>
                <w:szCs w:val="18"/>
                <w:lang w:val="es-EC"/>
              </w:rPr>
              <w:t>Plataforma de interoperabilidad para los servicios judiciales y de seguridad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  <w:hideMark/>
          </w:tcPr>
          <w:p w14:paraId="49801162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93,000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  <w:hideMark/>
          </w:tcPr>
          <w:p w14:paraId="5127C92C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hideMark/>
          </w:tcPr>
          <w:p w14:paraId="7E5D7E63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93,000</w:t>
            </w:r>
          </w:p>
        </w:tc>
      </w:tr>
      <w:tr w:rsidR="007F036E" w:rsidRPr="005447BF" w14:paraId="68F199C3" w14:textId="77777777" w:rsidTr="00A044B9">
        <w:trPr>
          <w:trHeight w:val="58"/>
        </w:trPr>
        <w:tc>
          <w:tcPr>
            <w:tcW w:w="4855" w:type="dxa"/>
            <w:gridSpan w:val="2"/>
            <w:noWrap/>
          </w:tcPr>
          <w:p w14:paraId="56256693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Diagnóstico de situación actual de interoperabilidad entre las diferentes entidades del sistema de administración de justicia y seguridad</w:t>
            </w:r>
          </w:p>
        </w:tc>
        <w:tc>
          <w:tcPr>
            <w:tcW w:w="1980" w:type="dxa"/>
            <w:noWrap/>
            <w:hideMark/>
          </w:tcPr>
          <w:p w14:paraId="73DCEA12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20.000</w:t>
            </w:r>
          </w:p>
        </w:tc>
        <w:tc>
          <w:tcPr>
            <w:tcW w:w="1170" w:type="dxa"/>
            <w:noWrap/>
          </w:tcPr>
          <w:p w14:paraId="7D0C981E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</w:tcPr>
          <w:p w14:paraId="6734A02C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20.000</w:t>
            </w:r>
          </w:p>
        </w:tc>
      </w:tr>
      <w:tr w:rsidR="007F036E" w:rsidRPr="005447BF" w14:paraId="16D89D6E" w14:textId="77777777" w:rsidTr="00A044B9">
        <w:trPr>
          <w:trHeight w:val="300"/>
        </w:trPr>
        <w:tc>
          <w:tcPr>
            <w:tcW w:w="4855" w:type="dxa"/>
            <w:gridSpan w:val="2"/>
            <w:noWrap/>
          </w:tcPr>
          <w:p w14:paraId="17A4CF9E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Desarrollo de la normativa que contenga un estándar nacional de interoperabilidad entre los servicios judiciales y de seguridad (técnicos, semánticos, legales, de procesos)</w:t>
            </w:r>
          </w:p>
        </w:tc>
        <w:tc>
          <w:tcPr>
            <w:tcW w:w="1980" w:type="dxa"/>
            <w:noWrap/>
            <w:hideMark/>
          </w:tcPr>
          <w:p w14:paraId="28BDAAF4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50.000</w:t>
            </w:r>
          </w:p>
        </w:tc>
        <w:tc>
          <w:tcPr>
            <w:tcW w:w="1170" w:type="dxa"/>
            <w:noWrap/>
          </w:tcPr>
          <w:p w14:paraId="0F542238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</w:tcPr>
          <w:p w14:paraId="29B16E13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50.000</w:t>
            </w:r>
          </w:p>
        </w:tc>
      </w:tr>
      <w:tr w:rsidR="007F036E" w:rsidRPr="005447BF" w14:paraId="5AAE3E07" w14:textId="77777777" w:rsidTr="00A044B9">
        <w:trPr>
          <w:trHeight w:val="300"/>
        </w:trPr>
        <w:tc>
          <w:tcPr>
            <w:tcW w:w="4855" w:type="dxa"/>
            <w:gridSpan w:val="2"/>
            <w:noWrap/>
          </w:tcPr>
          <w:p w14:paraId="0F1C463A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Diseño de especificaciones técnicas para Bus de Servicios (</w:t>
            </w:r>
            <w:proofErr w:type="spellStart"/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ESB</w:t>
            </w:r>
            <w:proofErr w:type="spellEnd"/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) de la Función Judicial</w:t>
            </w:r>
          </w:p>
        </w:tc>
        <w:tc>
          <w:tcPr>
            <w:tcW w:w="1980" w:type="dxa"/>
            <w:noWrap/>
            <w:hideMark/>
          </w:tcPr>
          <w:p w14:paraId="4ABEDA90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23.000</w:t>
            </w:r>
          </w:p>
        </w:tc>
        <w:tc>
          <w:tcPr>
            <w:tcW w:w="1170" w:type="dxa"/>
            <w:noWrap/>
          </w:tcPr>
          <w:p w14:paraId="16D3A8B2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</w:tcPr>
          <w:p w14:paraId="50FB7B19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23.000</w:t>
            </w:r>
          </w:p>
        </w:tc>
      </w:tr>
      <w:tr w:rsidR="007F036E" w:rsidRPr="005447BF" w14:paraId="47335AD7" w14:textId="77777777" w:rsidTr="00A044B9">
        <w:trPr>
          <w:trHeight w:val="58"/>
        </w:trPr>
        <w:tc>
          <w:tcPr>
            <w:tcW w:w="4855" w:type="dxa"/>
            <w:gridSpan w:val="2"/>
            <w:shd w:val="clear" w:color="auto" w:fill="D9D9D9" w:themeFill="background1" w:themeFillShade="D9"/>
            <w:noWrap/>
          </w:tcPr>
          <w:p w14:paraId="698E8B7A" w14:textId="77777777" w:rsidR="007F036E" w:rsidRPr="005447BF" w:rsidRDefault="007F036E" w:rsidP="00A044B9">
            <w:pP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C" w:eastAsia="es-EC"/>
              </w:rPr>
            </w:pPr>
            <w:bookmarkStart w:id="1" w:name="OLE_LINK1"/>
            <w:r w:rsidRPr="005447BF">
              <w:rPr>
                <w:rFonts w:ascii="Arial" w:hAnsi="Arial" w:cs="Arial"/>
                <w:b/>
                <w:sz w:val="18"/>
                <w:szCs w:val="18"/>
                <w:lang w:val="es-EC"/>
              </w:rPr>
              <w:t>Componente 2.-</w:t>
            </w: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 xml:space="preserve"> </w:t>
            </w:r>
            <w:r w:rsidRPr="005447BF">
              <w:rPr>
                <w:rFonts w:ascii="Arial" w:hAnsi="Arial" w:cs="Arial"/>
                <w:b/>
                <w:sz w:val="18"/>
                <w:szCs w:val="18"/>
                <w:lang w:val="es-EC"/>
              </w:rPr>
              <w:t>Gestión del cambio para la implementación de la gestión judicial a través de medios electrónicos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</w:tcPr>
          <w:p w14:paraId="1C89A79B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97,000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</w:tcPr>
          <w:p w14:paraId="67EFA871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</w:tcPr>
          <w:p w14:paraId="701DEDA9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97,000</w:t>
            </w:r>
          </w:p>
        </w:tc>
      </w:tr>
      <w:tr w:rsidR="007F036E" w:rsidRPr="005447BF" w14:paraId="3B4B9890" w14:textId="77777777" w:rsidTr="00A044B9">
        <w:trPr>
          <w:trHeight w:val="300"/>
        </w:trPr>
        <w:tc>
          <w:tcPr>
            <w:tcW w:w="4855" w:type="dxa"/>
            <w:gridSpan w:val="2"/>
            <w:noWrap/>
            <w:hideMark/>
          </w:tcPr>
          <w:p w14:paraId="1830BA0F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Diagnóstico sobre resistencia al uso de medios tecnológicos en los servicios judiciales</w:t>
            </w:r>
          </w:p>
        </w:tc>
        <w:tc>
          <w:tcPr>
            <w:tcW w:w="1980" w:type="dxa"/>
            <w:noWrap/>
            <w:hideMark/>
          </w:tcPr>
          <w:p w14:paraId="205E7DA9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15,000</w:t>
            </w:r>
          </w:p>
        </w:tc>
        <w:tc>
          <w:tcPr>
            <w:tcW w:w="1170" w:type="dxa"/>
            <w:noWrap/>
            <w:hideMark/>
          </w:tcPr>
          <w:p w14:paraId="64077650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0D52C491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15,000</w:t>
            </w:r>
          </w:p>
        </w:tc>
      </w:tr>
      <w:tr w:rsidR="007F036E" w:rsidRPr="005447BF" w14:paraId="37D64316" w14:textId="77777777" w:rsidTr="00A044B9">
        <w:trPr>
          <w:trHeight w:val="143"/>
        </w:trPr>
        <w:tc>
          <w:tcPr>
            <w:tcW w:w="4855" w:type="dxa"/>
            <w:gridSpan w:val="2"/>
            <w:noWrap/>
            <w:hideMark/>
          </w:tcPr>
          <w:p w14:paraId="5E289464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Diseño del Plan de gestión de cambio</w:t>
            </w:r>
          </w:p>
        </w:tc>
        <w:tc>
          <w:tcPr>
            <w:tcW w:w="1980" w:type="dxa"/>
            <w:noWrap/>
            <w:hideMark/>
          </w:tcPr>
          <w:p w14:paraId="55D1B67D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20,000</w:t>
            </w:r>
          </w:p>
        </w:tc>
        <w:tc>
          <w:tcPr>
            <w:tcW w:w="1170" w:type="dxa"/>
            <w:noWrap/>
            <w:hideMark/>
          </w:tcPr>
          <w:p w14:paraId="6952C468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2745B24F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20,000</w:t>
            </w:r>
          </w:p>
        </w:tc>
      </w:tr>
      <w:tr w:rsidR="007F036E" w:rsidRPr="005447BF" w14:paraId="080F5133" w14:textId="77777777" w:rsidTr="00A044B9">
        <w:trPr>
          <w:trHeight w:val="58"/>
        </w:trPr>
        <w:tc>
          <w:tcPr>
            <w:tcW w:w="4855" w:type="dxa"/>
            <w:gridSpan w:val="2"/>
            <w:noWrap/>
            <w:hideMark/>
          </w:tcPr>
          <w:p w14:paraId="31D87A49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Manual de aplicación del plan de gestión de cambio</w:t>
            </w:r>
          </w:p>
        </w:tc>
        <w:tc>
          <w:tcPr>
            <w:tcW w:w="1980" w:type="dxa"/>
            <w:noWrap/>
            <w:hideMark/>
          </w:tcPr>
          <w:p w14:paraId="58D80D72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15,000</w:t>
            </w:r>
          </w:p>
        </w:tc>
        <w:tc>
          <w:tcPr>
            <w:tcW w:w="1170" w:type="dxa"/>
            <w:noWrap/>
            <w:hideMark/>
          </w:tcPr>
          <w:p w14:paraId="7388C0D4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605A6CDD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15,000</w:t>
            </w:r>
          </w:p>
        </w:tc>
      </w:tr>
      <w:tr w:rsidR="007F036E" w:rsidRPr="005447BF" w14:paraId="46741E54" w14:textId="77777777" w:rsidTr="00A044B9">
        <w:trPr>
          <w:trHeight w:val="58"/>
        </w:trPr>
        <w:tc>
          <w:tcPr>
            <w:tcW w:w="4855" w:type="dxa"/>
            <w:gridSpan w:val="2"/>
            <w:noWrap/>
            <w:hideMark/>
          </w:tcPr>
          <w:p w14:paraId="4EAACF1E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Desarrollo curricular para formación de líderes de implementación</w:t>
            </w:r>
          </w:p>
        </w:tc>
        <w:tc>
          <w:tcPr>
            <w:tcW w:w="1980" w:type="dxa"/>
            <w:noWrap/>
            <w:hideMark/>
          </w:tcPr>
          <w:p w14:paraId="09D89794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8,500</w:t>
            </w:r>
          </w:p>
        </w:tc>
        <w:tc>
          <w:tcPr>
            <w:tcW w:w="1170" w:type="dxa"/>
            <w:noWrap/>
            <w:hideMark/>
          </w:tcPr>
          <w:p w14:paraId="553BCEE6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727D27FE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8,500</w:t>
            </w:r>
          </w:p>
        </w:tc>
      </w:tr>
      <w:tr w:rsidR="007F036E" w:rsidRPr="005447BF" w14:paraId="3FFB74DD" w14:textId="77777777" w:rsidTr="00A044B9">
        <w:trPr>
          <w:trHeight w:val="58"/>
        </w:trPr>
        <w:tc>
          <w:tcPr>
            <w:tcW w:w="4855" w:type="dxa"/>
            <w:gridSpan w:val="2"/>
            <w:noWrap/>
            <w:hideMark/>
          </w:tcPr>
          <w:p w14:paraId="6FBC5B72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Talleres a líderes de implementación</w:t>
            </w:r>
          </w:p>
        </w:tc>
        <w:tc>
          <w:tcPr>
            <w:tcW w:w="1980" w:type="dxa"/>
            <w:noWrap/>
            <w:hideMark/>
          </w:tcPr>
          <w:p w14:paraId="280D29F0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15,000</w:t>
            </w:r>
          </w:p>
        </w:tc>
        <w:tc>
          <w:tcPr>
            <w:tcW w:w="1170" w:type="dxa"/>
            <w:noWrap/>
            <w:hideMark/>
          </w:tcPr>
          <w:p w14:paraId="1C0EAA0A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799E10E7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15,000</w:t>
            </w:r>
          </w:p>
        </w:tc>
      </w:tr>
      <w:tr w:rsidR="007F036E" w:rsidRPr="005447BF" w14:paraId="70A608A6" w14:textId="77777777" w:rsidTr="00A044B9">
        <w:trPr>
          <w:trHeight w:val="58"/>
        </w:trPr>
        <w:tc>
          <w:tcPr>
            <w:tcW w:w="4855" w:type="dxa"/>
            <w:gridSpan w:val="2"/>
            <w:noWrap/>
            <w:hideMark/>
          </w:tcPr>
          <w:p w14:paraId="2CBF215F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Talleres para desarrollo de destrezas y habilidades en procesos orales utilizando medios electrónicos.</w:t>
            </w:r>
          </w:p>
        </w:tc>
        <w:tc>
          <w:tcPr>
            <w:tcW w:w="1980" w:type="dxa"/>
            <w:noWrap/>
            <w:hideMark/>
          </w:tcPr>
          <w:p w14:paraId="3B70003F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10,000</w:t>
            </w:r>
          </w:p>
        </w:tc>
        <w:tc>
          <w:tcPr>
            <w:tcW w:w="1170" w:type="dxa"/>
            <w:noWrap/>
            <w:hideMark/>
          </w:tcPr>
          <w:p w14:paraId="52C63658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191FB66C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10,000</w:t>
            </w:r>
          </w:p>
        </w:tc>
      </w:tr>
      <w:tr w:rsidR="007F036E" w:rsidRPr="005447BF" w14:paraId="3B9BF995" w14:textId="77777777" w:rsidTr="00A044B9">
        <w:trPr>
          <w:trHeight w:val="287"/>
        </w:trPr>
        <w:tc>
          <w:tcPr>
            <w:tcW w:w="4855" w:type="dxa"/>
            <w:gridSpan w:val="2"/>
            <w:noWrap/>
          </w:tcPr>
          <w:p w14:paraId="2CA6CA15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Formación de formadores en gestión del cambio de la Escuela de la Función Judicial</w:t>
            </w:r>
          </w:p>
        </w:tc>
        <w:tc>
          <w:tcPr>
            <w:tcW w:w="1980" w:type="dxa"/>
            <w:noWrap/>
            <w:hideMark/>
          </w:tcPr>
          <w:p w14:paraId="15A3522F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13,500</w:t>
            </w:r>
          </w:p>
        </w:tc>
        <w:tc>
          <w:tcPr>
            <w:tcW w:w="1170" w:type="dxa"/>
            <w:noWrap/>
          </w:tcPr>
          <w:p w14:paraId="3594A4A6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-</w:t>
            </w:r>
          </w:p>
        </w:tc>
        <w:tc>
          <w:tcPr>
            <w:tcW w:w="1260" w:type="dxa"/>
            <w:noWrap/>
            <w:hideMark/>
          </w:tcPr>
          <w:p w14:paraId="227D4A66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13,500</w:t>
            </w:r>
          </w:p>
        </w:tc>
      </w:tr>
      <w:bookmarkEnd w:id="1"/>
      <w:tr w:rsidR="007F036E" w:rsidRPr="005447BF" w14:paraId="64B93222" w14:textId="77777777" w:rsidTr="00A044B9">
        <w:trPr>
          <w:trHeight w:val="197"/>
        </w:trPr>
        <w:tc>
          <w:tcPr>
            <w:tcW w:w="4855" w:type="dxa"/>
            <w:gridSpan w:val="2"/>
            <w:shd w:val="clear" w:color="auto" w:fill="D9D9D9" w:themeFill="background1" w:themeFillShade="D9"/>
            <w:noWrap/>
            <w:vAlign w:val="center"/>
          </w:tcPr>
          <w:p w14:paraId="69C28A64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hAnsi="Arial" w:cs="Arial"/>
                <w:b/>
                <w:sz w:val="18"/>
                <w:szCs w:val="18"/>
                <w:lang w:val="es-EC"/>
              </w:rPr>
              <w:t>Componente 3.- Evaluación, difusión y retroalimentación de resultados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</w:tcPr>
          <w:p w14:paraId="6744002F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60,000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</w:tcPr>
          <w:p w14:paraId="36C7ED75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</w:tcPr>
          <w:p w14:paraId="2EED67F0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60,000</w:t>
            </w:r>
          </w:p>
        </w:tc>
      </w:tr>
      <w:tr w:rsidR="007F036E" w:rsidRPr="005447BF" w14:paraId="63F52BD5" w14:textId="77777777" w:rsidTr="00A044B9">
        <w:trPr>
          <w:trHeight w:val="58"/>
        </w:trPr>
        <w:tc>
          <w:tcPr>
            <w:tcW w:w="4855" w:type="dxa"/>
            <w:gridSpan w:val="2"/>
            <w:noWrap/>
          </w:tcPr>
          <w:p w14:paraId="2FC53B4A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 xml:space="preserve">Consultoría para el monitoreo y documentación de resultados </w:t>
            </w:r>
          </w:p>
        </w:tc>
        <w:tc>
          <w:tcPr>
            <w:tcW w:w="1980" w:type="dxa"/>
            <w:noWrap/>
          </w:tcPr>
          <w:p w14:paraId="3C803FCE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2</w:t>
            </w: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0,000</w:t>
            </w:r>
          </w:p>
        </w:tc>
        <w:tc>
          <w:tcPr>
            <w:tcW w:w="1170" w:type="dxa"/>
            <w:noWrap/>
          </w:tcPr>
          <w:p w14:paraId="1F1C84F9" w14:textId="77777777" w:rsidR="007F036E" w:rsidRPr="005447BF" w:rsidRDefault="007F036E" w:rsidP="00A044B9">
            <w:pPr>
              <w:jc w:val="center"/>
              <w:rPr>
                <w:rFonts w:ascii="Arial" w:hAnsi="Arial" w:cs="Arial"/>
                <w:sz w:val="18"/>
                <w:szCs w:val="18"/>
                <w:lang w:val="es-EC"/>
              </w:rPr>
            </w:pP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-</w:t>
            </w:r>
          </w:p>
        </w:tc>
        <w:tc>
          <w:tcPr>
            <w:tcW w:w="1260" w:type="dxa"/>
            <w:noWrap/>
          </w:tcPr>
          <w:p w14:paraId="242614B5" w14:textId="77777777" w:rsidR="007F036E" w:rsidRPr="005447BF" w:rsidRDefault="007F036E" w:rsidP="00A044B9">
            <w:pPr>
              <w:jc w:val="center"/>
              <w:rPr>
                <w:rFonts w:ascii="Arial" w:hAnsi="Arial" w:cs="Arial"/>
                <w:sz w:val="18"/>
                <w:szCs w:val="18"/>
                <w:lang w:val="es-EC"/>
              </w:rPr>
            </w:pPr>
            <w:r>
              <w:rPr>
                <w:rFonts w:ascii="Arial" w:hAnsi="Arial" w:cs="Arial"/>
                <w:sz w:val="18"/>
                <w:szCs w:val="18"/>
                <w:lang w:val="es-EC"/>
              </w:rPr>
              <w:t>2</w:t>
            </w: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0,000</w:t>
            </w:r>
          </w:p>
        </w:tc>
      </w:tr>
      <w:tr w:rsidR="007F036E" w:rsidRPr="00257304" w14:paraId="6F45A9E5" w14:textId="77777777" w:rsidTr="00A044B9">
        <w:trPr>
          <w:trHeight w:val="58"/>
        </w:trPr>
        <w:tc>
          <w:tcPr>
            <w:tcW w:w="4855" w:type="dxa"/>
            <w:gridSpan w:val="2"/>
            <w:noWrap/>
          </w:tcPr>
          <w:p w14:paraId="4F9F808A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Consultoría para la evaluación de los resultados de la CT</w:t>
            </w:r>
          </w:p>
        </w:tc>
        <w:tc>
          <w:tcPr>
            <w:tcW w:w="1980" w:type="dxa"/>
            <w:noWrap/>
          </w:tcPr>
          <w:p w14:paraId="35131922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20,000</w:t>
            </w:r>
          </w:p>
        </w:tc>
        <w:tc>
          <w:tcPr>
            <w:tcW w:w="1170" w:type="dxa"/>
            <w:noWrap/>
          </w:tcPr>
          <w:p w14:paraId="38B7EF84" w14:textId="77777777" w:rsidR="007F036E" w:rsidRPr="005447BF" w:rsidRDefault="007F036E" w:rsidP="00A044B9">
            <w:pPr>
              <w:jc w:val="center"/>
              <w:rPr>
                <w:rFonts w:ascii="Arial" w:hAnsi="Arial" w:cs="Arial"/>
                <w:sz w:val="18"/>
                <w:szCs w:val="18"/>
                <w:lang w:val="es-EC"/>
              </w:rPr>
            </w:pPr>
          </w:p>
        </w:tc>
        <w:tc>
          <w:tcPr>
            <w:tcW w:w="1260" w:type="dxa"/>
            <w:noWrap/>
          </w:tcPr>
          <w:p w14:paraId="036C5D58" w14:textId="77777777" w:rsidR="007F036E" w:rsidRPr="005447BF" w:rsidRDefault="007F036E" w:rsidP="00A044B9">
            <w:pPr>
              <w:jc w:val="center"/>
              <w:rPr>
                <w:rFonts w:ascii="Arial" w:hAnsi="Arial" w:cs="Arial"/>
                <w:sz w:val="18"/>
                <w:szCs w:val="18"/>
                <w:lang w:val="es-EC"/>
              </w:rPr>
            </w:pPr>
            <w:r>
              <w:rPr>
                <w:rFonts w:ascii="Arial" w:hAnsi="Arial" w:cs="Arial"/>
                <w:sz w:val="18"/>
                <w:szCs w:val="18"/>
                <w:lang w:val="es-EC"/>
              </w:rPr>
              <w:t>20,000</w:t>
            </w:r>
          </w:p>
        </w:tc>
      </w:tr>
      <w:tr w:rsidR="007F036E" w:rsidRPr="005447BF" w14:paraId="15676FCD" w14:textId="77777777" w:rsidTr="00A044B9">
        <w:trPr>
          <w:trHeight w:val="58"/>
        </w:trPr>
        <w:tc>
          <w:tcPr>
            <w:tcW w:w="4855" w:type="dxa"/>
            <w:gridSpan w:val="2"/>
            <w:noWrap/>
          </w:tcPr>
          <w:p w14:paraId="5E93A77B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Edición e impresión de documentos con productos de la CT para difusión</w:t>
            </w:r>
          </w:p>
        </w:tc>
        <w:tc>
          <w:tcPr>
            <w:tcW w:w="1980" w:type="dxa"/>
            <w:noWrap/>
          </w:tcPr>
          <w:p w14:paraId="618D0C19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5,000</w:t>
            </w:r>
          </w:p>
        </w:tc>
        <w:tc>
          <w:tcPr>
            <w:tcW w:w="1170" w:type="dxa"/>
            <w:noWrap/>
          </w:tcPr>
          <w:p w14:paraId="7B1602EE" w14:textId="77777777" w:rsidR="007F036E" w:rsidRPr="005447BF" w:rsidRDefault="007F036E" w:rsidP="00A044B9">
            <w:pPr>
              <w:jc w:val="center"/>
              <w:rPr>
                <w:rFonts w:ascii="Arial" w:hAnsi="Arial" w:cs="Arial"/>
                <w:sz w:val="18"/>
                <w:szCs w:val="18"/>
                <w:lang w:val="es-EC"/>
              </w:rPr>
            </w:pP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-</w:t>
            </w:r>
          </w:p>
        </w:tc>
        <w:tc>
          <w:tcPr>
            <w:tcW w:w="1260" w:type="dxa"/>
            <w:noWrap/>
          </w:tcPr>
          <w:p w14:paraId="167B5B3A" w14:textId="77777777" w:rsidR="007F036E" w:rsidRPr="005447BF" w:rsidRDefault="007F036E" w:rsidP="00A044B9">
            <w:pPr>
              <w:jc w:val="center"/>
              <w:rPr>
                <w:rFonts w:ascii="Arial" w:hAnsi="Arial" w:cs="Arial"/>
                <w:sz w:val="18"/>
                <w:szCs w:val="18"/>
                <w:lang w:val="es-EC"/>
              </w:rPr>
            </w:pP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5,000</w:t>
            </w:r>
          </w:p>
        </w:tc>
      </w:tr>
      <w:tr w:rsidR="007F036E" w:rsidRPr="005447BF" w14:paraId="18316C09" w14:textId="77777777" w:rsidTr="00A044B9">
        <w:trPr>
          <w:trHeight w:val="58"/>
        </w:trPr>
        <w:tc>
          <w:tcPr>
            <w:tcW w:w="4855" w:type="dxa"/>
            <w:gridSpan w:val="2"/>
            <w:noWrap/>
          </w:tcPr>
          <w:p w14:paraId="3C38DA00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Taller regional de difusión de resultados y retroalimentación</w:t>
            </w:r>
          </w:p>
        </w:tc>
        <w:tc>
          <w:tcPr>
            <w:tcW w:w="1980" w:type="dxa"/>
            <w:noWrap/>
          </w:tcPr>
          <w:p w14:paraId="6C0FF343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15,000</w:t>
            </w:r>
          </w:p>
        </w:tc>
        <w:tc>
          <w:tcPr>
            <w:tcW w:w="1170" w:type="dxa"/>
            <w:noWrap/>
          </w:tcPr>
          <w:p w14:paraId="3AF43332" w14:textId="77777777" w:rsidR="007F036E" w:rsidRPr="005447BF" w:rsidRDefault="007F036E" w:rsidP="00A044B9">
            <w:pPr>
              <w:jc w:val="center"/>
              <w:rPr>
                <w:rFonts w:ascii="Arial" w:hAnsi="Arial" w:cs="Arial"/>
                <w:sz w:val="18"/>
                <w:szCs w:val="18"/>
                <w:lang w:val="es-EC"/>
              </w:rPr>
            </w:pP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-</w:t>
            </w:r>
          </w:p>
        </w:tc>
        <w:tc>
          <w:tcPr>
            <w:tcW w:w="1260" w:type="dxa"/>
            <w:noWrap/>
          </w:tcPr>
          <w:p w14:paraId="455CE7B2" w14:textId="77777777" w:rsidR="007F036E" w:rsidRPr="005447BF" w:rsidRDefault="007F036E" w:rsidP="00A044B9">
            <w:pPr>
              <w:jc w:val="center"/>
              <w:rPr>
                <w:rFonts w:ascii="Arial" w:hAnsi="Arial" w:cs="Arial"/>
                <w:sz w:val="18"/>
                <w:szCs w:val="18"/>
                <w:lang w:val="es-EC"/>
              </w:rPr>
            </w:pPr>
            <w:r w:rsidRPr="005447BF">
              <w:rPr>
                <w:rFonts w:ascii="Arial" w:hAnsi="Arial" w:cs="Arial"/>
                <w:sz w:val="18"/>
                <w:szCs w:val="18"/>
                <w:lang w:val="es-EC"/>
              </w:rPr>
              <w:t>15,000</w:t>
            </w:r>
          </w:p>
        </w:tc>
      </w:tr>
      <w:tr w:rsidR="007F036E" w:rsidRPr="005447BF" w14:paraId="5FFA2291" w14:textId="77777777" w:rsidTr="00A044B9">
        <w:trPr>
          <w:trHeight w:val="58"/>
        </w:trPr>
        <w:tc>
          <w:tcPr>
            <w:tcW w:w="1384" w:type="dxa"/>
            <w:shd w:val="clear" w:color="auto" w:fill="D9D9D9" w:themeFill="background1" w:themeFillShade="D9"/>
            <w:hideMark/>
          </w:tcPr>
          <w:p w14:paraId="3B0A5CFA" w14:textId="77777777" w:rsidR="007F036E" w:rsidRPr="005447BF" w:rsidRDefault="007F036E" w:rsidP="00A044B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TOTAL:</w:t>
            </w:r>
          </w:p>
        </w:tc>
        <w:tc>
          <w:tcPr>
            <w:tcW w:w="3471" w:type="dxa"/>
            <w:shd w:val="clear" w:color="auto" w:fill="D9D9D9" w:themeFill="background1" w:themeFillShade="D9"/>
            <w:noWrap/>
            <w:hideMark/>
          </w:tcPr>
          <w:p w14:paraId="179DB625" w14:textId="77777777" w:rsidR="007F036E" w:rsidRPr="005447BF" w:rsidRDefault="007F036E" w:rsidP="00A044B9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color w:val="000000"/>
                <w:sz w:val="18"/>
                <w:szCs w:val="18"/>
                <w:lang w:val="es-EC" w:eastAsia="es-EC"/>
              </w:rPr>
              <w:t> </w:t>
            </w:r>
          </w:p>
        </w:tc>
        <w:tc>
          <w:tcPr>
            <w:tcW w:w="1980" w:type="dxa"/>
            <w:shd w:val="clear" w:color="auto" w:fill="D9D9D9" w:themeFill="background1" w:themeFillShade="D9"/>
            <w:noWrap/>
            <w:hideMark/>
          </w:tcPr>
          <w:p w14:paraId="18615C52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250.000</w:t>
            </w:r>
          </w:p>
        </w:tc>
        <w:tc>
          <w:tcPr>
            <w:tcW w:w="1170" w:type="dxa"/>
            <w:shd w:val="clear" w:color="auto" w:fill="D9D9D9" w:themeFill="background1" w:themeFillShade="D9"/>
            <w:noWrap/>
            <w:hideMark/>
          </w:tcPr>
          <w:p w14:paraId="6A1F7613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val="es-EC" w:eastAsia="es-EC"/>
              </w:rPr>
              <w:t>0</w:t>
            </w:r>
          </w:p>
        </w:tc>
        <w:tc>
          <w:tcPr>
            <w:tcW w:w="1260" w:type="dxa"/>
            <w:shd w:val="clear" w:color="auto" w:fill="D9D9D9" w:themeFill="background1" w:themeFillShade="D9"/>
            <w:noWrap/>
            <w:hideMark/>
          </w:tcPr>
          <w:p w14:paraId="5401B142" w14:textId="77777777" w:rsidR="007F036E" w:rsidRPr="005447BF" w:rsidRDefault="007F036E" w:rsidP="00A044B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</w:pPr>
            <w:r w:rsidRPr="005447BF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val="es-EC" w:eastAsia="es-EC"/>
              </w:rPr>
              <w:t>250.000</w:t>
            </w:r>
          </w:p>
        </w:tc>
      </w:tr>
    </w:tbl>
    <w:p w14:paraId="1A0CFC9B" w14:textId="77777777" w:rsidR="007F036E" w:rsidRPr="007F036E" w:rsidRDefault="007F036E">
      <w:pPr>
        <w:rPr>
          <w:lang w:val="en-US"/>
        </w:rPr>
      </w:pPr>
    </w:p>
    <w:sectPr w:rsidR="007F036E" w:rsidRPr="007F036E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569821" w14:textId="77777777" w:rsidR="00E45C07" w:rsidRDefault="00E45C07" w:rsidP="007F036E">
      <w:pPr>
        <w:spacing w:after="0" w:line="240" w:lineRule="auto"/>
      </w:pPr>
      <w:r>
        <w:separator/>
      </w:r>
    </w:p>
  </w:endnote>
  <w:endnote w:type="continuationSeparator" w:id="0">
    <w:p w14:paraId="394E09F0" w14:textId="77777777" w:rsidR="00E45C07" w:rsidRDefault="00E45C07" w:rsidP="007F0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23EFE" w14:textId="77777777" w:rsidR="00E45C07" w:rsidRDefault="00E45C07" w:rsidP="007F036E">
      <w:pPr>
        <w:spacing w:after="0" w:line="240" w:lineRule="auto"/>
      </w:pPr>
      <w:r>
        <w:separator/>
      </w:r>
    </w:p>
  </w:footnote>
  <w:footnote w:type="continuationSeparator" w:id="0">
    <w:p w14:paraId="16FEEAB5" w14:textId="77777777" w:rsidR="00E45C07" w:rsidRDefault="00E45C07" w:rsidP="007F03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F04A0" w14:textId="77777777" w:rsidR="007F036E" w:rsidRDefault="007F036E">
    <w:pPr>
      <w:pStyle w:val="Header"/>
      <w:jc w:val="right"/>
    </w:pPr>
    <w:r>
      <w:t>EC-</w:t>
    </w:r>
    <w:proofErr w:type="spellStart"/>
    <w:r>
      <w:t>T1368</w:t>
    </w:r>
    <w:proofErr w:type="spellEnd"/>
  </w:p>
  <w:p w14:paraId="5161207A" w14:textId="77777777" w:rsidR="007F036E" w:rsidRDefault="009A1F18">
    <w:pPr>
      <w:pStyle w:val="Header"/>
      <w:jc w:val="right"/>
    </w:pPr>
    <w:sdt>
      <w:sdtPr>
        <w:id w:val="-1318336367"/>
        <w:docPartObj>
          <w:docPartGallery w:val="Page Numbers (Top of Page)"/>
          <w:docPartUnique/>
        </w:docPartObj>
      </w:sdtPr>
      <w:sdtEndPr/>
      <w:sdtContent>
        <w:r w:rsidR="007F036E">
          <w:t xml:space="preserve">Página </w:t>
        </w:r>
        <w:r w:rsidR="007F036E">
          <w:rPr>
            <w:b/>
            <w:bCs/>
            <w:sz w:val="24"/>
            <w:szCs w:val="24"/>
          </w:rPr>
          <w:fldChar w:fldCharType="begin"/>
        </w:r>
        <w:r w:rsidR="007F036E">
          <w:rPr>
            <w:b/>
            <w:bCs/>
          </w:rPr>
          <w:instrText xml:space="preserve"> PAGE </w:instrText>
        </w:r>
        <w:r w:rsidR="007F036E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 w:rsidR="007F036E">
          <w:rPr>
            <w:b/>
            <w:bCs/>
            <w:sz w:val="24"/>
            <w:szCs w:val="24"/>
          </w:rPr>
          <w:fldChar w:fldCharType="end"/>
        </w:r>
        <w:r w:rsidR="007F036E">
          <w:t xml:space="preserve"> de </w:t>
        </w:r>
        <w:r w:rsidR="007F036E">
          <w:rPr>
            <w:b/>
            <w:bCs/>
            <w:sz w:val="24"/>
            <w:szCs w:val="24"/>
          </w:rPr>
          <w:fldChar w:fldCharType="begin"/>
        </w:r>
        <w:r w:rsidR="007F036E">
          <w:rPr>
            <w:b/>
            <w:bCs/>
          </w:rPr>
          <w:instrText xml:space="preserve"> NUMPAGES  </w:instrText>
        </w:r>
        <w:r w:rsidR="007F036E"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 w:rsidR="007F036E">
          <w:rPr>
            <w:b/>
            <w:bCs/>
            <w:sz w:val="24"/>
            <w:szCs w:val="24"/>
          </w:rPr>
          <w:fldChar w:fldCharType="end"/>
        </w:r>
      </w:sdtContent>
    </w:sdt>
  </w:p>
  <w:p w14:paraId="1627DB8E" w14:textId="77777777" w:rsidR="007F036E" w:rsidRDefault="007F036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36E"/>
    <w:rsid w:val="001B2AD2"/>
    <w:rsid w:val="00490B2C"/>
    <w:rsid w:val="007F036E"/>
    <w:rsid w:val="009A1F18"/>
    <w:rsid w:val="00E45C07"/>
    <w:rsid w:val="00E6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74CA43"/>
  <w15:chartTrackingRefBased/>
  <w15:docId w15:val="{9AC7AC94-D182-48C9-B3B9-1E50C03DB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036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0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36E"/>
    <w:rPr>
      <w:lang w:val="es-AR"/>
    </w:rPr>
  </w:style>
  <w:style w:type="paragraph" w:styleId="Footer">
    <w:name w:val="footer"/>
    <w:basedOn w:val="Normal"/>
    <w:link w:val="FooterChar"/>
    <w:uiPriority w:val="99"/>
    <w:unhideWhenUsed/>
    <w:rsid w:val="007F03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036E"/>
    <w:rPr>
      <w:lang w:val="es-A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1F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F18"/>
    <w:rPr>
      <w:rFonts w:ascii="Segoe UI" w:hAnsi="Segoe UI" w:cs="Segoe UI"/>
      <w:sz w:val="18"/>
      <w:szCs w:val="18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Gonzalez, Melissa Maria Laura</dc:creator>
  <cp:keywords/>
  <dc:description/>
  <cp:lastModifiedBy>Gonzalez, Melissa Maria Laura</cp:lastModifiedBy>
  <cp:revision>2</cp:revision>
  <cp:lastPrinted>2017-10-12T14:56:00Z</cp:lastPrinted>
  <dcterms:created xsi:type="dcterms:W3CDTF">2017-10-12T14:05:00Z</dcterms:created>
  <dcterms:modified xsi:type="dcterms:W3CDTF">2017-10-12T14:56:00Z</dcterms:modified>
</cp:coreProperties>
</file>