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B1D08" w14:textId="77777777" w:rsidR="00B1652C" w:rsidRDefault="00B1652C" w:rsidP="00B1652C">
      <w:pPr>
        <w:ind w:left="-450"/>
        <w:jc w:val="center"/>
        <w:rPr>
          <w:rStyle w:val="BookTitle"/>
          <w:rFonts w:ascii="Arial" w:hAnsi="Arial" w:cs="Arial"/>
          <w:sz w:val="17"/>
          <w:szCs w:val="17"/>
          <w:lang w:val="es-ES_tradnl"/>
        </w:rPr>
      </w:pPr>
    </w:p>
    <w:p w14:paraId="79758F73" w14:textId="77777777" w:rsidR="00B1652C" w:rsidRPr="007C4669" w:rsidRDefault="5269B710" w:rsidP="5269B710">
      <w:pPr>
        <w:ind w:left="-450"/>
        <w:jc w:val="center"/>
        <w:rPr>
          <w:rStyle w:val="BookTitle"/>
          <w:rFonts w:ascii="Arial" w:hAnsi="Arial" w:cs="Arial"/>
          <w:sz w:val="17"/>
          <w:szCs w:val="17"/>
          <w:lang w:val="es-ES"/>
        </w:rPr>
      </w:pPr>
      <w:r w:rsidRPr="5269B710">
        <w:rPr>
          <w:rStyle w:val="BookTitle"/>
          <w:rFonts w:ascii="Arial" w:hAnsi="Arial" w:cs="Arial"/>
          <w:sz w:val="17"/>
          <w:szCs w:val="17"/>
          <w:lang w:val="es-ES"/>
        </w:rPr>
        <w:t>Matriz de Medios de Verificación</w:t>
      </w:r>
    </w:p>
    <w:p w14:paraId="2E0D1CEC" w14:textId="77777777" w:rsidR="00B1652C" w:rsidRPr="007C4669" w:rsidRDefault="00B1652C" w:rsidP="00B1652C">
      <w:pPr>
        <w:ind w:left="-450"/>
        <w:jc w:val="center"/>
        <w:rPr>
          <w:rStyle w:val="BookTitle"/>
          <w:rFonts w:ascii="Arial" w:hAnsi="Arial" w:cs="Arial"/>
          <w:sz w:val="17"/>
          <w:szCs w:val="17"/>
          <w:lang w:val="es-ES_tradnl"/>
        </w:rPr>
      </w:pPr>
    </w:p>
    <w:tbl>
      <w:tblPr>
        <w:tblStyle w:val="TableGrid"/>
        <w:tblW w:w="4939" w:type="pct"/>
        <w:tblLayout w:type="fixed"/>
        <w:tblLook w:val="04A0" w:firstRow="1" w:lastRow="0" w:firstColumn="1" w:lastColumn="0" w:noHBand="0" w:noVBand="1"/>
      </w:tblPr>
      <w:tblGrid>
        <w:gridCol w:w="2212"/>
        <w:gridCol w:w="3519"/>
        <w:gridCol w:w="3161"/>
        <w:gridCol w:w="2982"/>
        <w:gridCol w:w="2340"/>
      </w:tblGrid>
      <w:tr w:rsidR="00B1652C" w:rsidRPr="007C4669" w14:paraId="114D7A21" w14:textId="77777777" w:rsidTr="5269B710">
        <w:trPr>
          <w:tblHeader/>
        </w:trPr>
        <w:tc>
          <w:tcPr>
            <w:tcW w:w="778" w:type="pct"/>
            <w:tcBorders>
              <w:bottom w:val="single" w:sz="4" w:space="0" w:color="auto"/>
            </w:tcBorders>
            <w:shd w:val="clear" w:color="auto" w:fill="808080" w:themeFill="text1" w:themeFillTint="7F"/>
            <w:vAlign w:val="center"/>
          </w:tcPr>
          <w:p w14:paraId="5DDECF0A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Objetivo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shd w:val="clear" w:color="auto" w:fill="808080" w:themeFill="text1" w:themeFillTint="7F"/>
            <w:vAlign w:val="center"/>
          </w:tcPr>
          <w:p w14:paraId="47B9916B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Condiciones de Políticas</w:t>
            </w:r>
          </w:p>
          <w:p w14:paraId="350C8718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Programático I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shd w:val="clear" w:color="auto" w:fill="808080" w:themeFill="text1" w:themeFillTint="7F"/>
            <w:vAlign w:val="center"/>
          </w:tcPr>
          <w:p w14:paraId="3CA779A9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Medios de verificación / responsable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shd w:val="clear" w:color="auto" w:fill="808080" w:themeFill="text1" w:themeFillTint="7F"/>
            <w:vAlign w:val="center"/>
          </w:tcPr>
          <w:p w14:paraId="7FF32F58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Mecanismos Activadores</w:t>
            </w:r>
          </w:p>
          <w:p w14:paraId="2F6C32D7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Programático II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shd w:val="clear" w:color="auto" w:fill="808080" w:themeFill="text1" w:themeFillTint="7F"/>
            <w:vAlign w:val="center"/>
          </w:tcPr>
          <w:p w14:paraId="64E71CEC" w14:textId="77777777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Medios de verificación / responsable</w:t>
            </w:r>
          </w:p>
        </w:tc>
      </w:tr>
      <w:tr w:rsidR="00B1652C" w:rsidRPr="007C4669" w14:paraId="6092C361" w14:textId="77777777" w:rsidTr="5269B710">
        <w:trPr>
          <w:trHeight w:val="296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4530925" w14:textId="77777777" w:rsidR="00B1652C" w:rsidRPr="007C4669" w:rsidRDefault="5269B710" w:rsidP="5269B710">
            <w:pPr>
              <w:snapToGrid w:val="0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Componente 1. Estabilidad macroeconómica</w:t>
            </w:r>
          </w:p>
        </w:tc>
      </w:tr>
      <w:tr w:rsidR="00B1652C" w:rsidRPr="007C4669" w14:paraId="2C0F9D05" w14:textId="77777777" w:rsidTr="5269B710"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14:paraId="795E5280" w14:textId="77777777" w:rsidR="00B1652C" w:rsidRPr="007C4669" w:rsidRDefault="5269B710" w:rsidP="5269B710">
            <w:pPr>
              <w:ind w:left="-18" w:right="-66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Estabilidad del Marco General de Políticas Macroeconómicas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14:paraId="328FF8C7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Marco macroeconómico estable y </w:t>
            </w:r>
            <w:r w:rsidRPr="5269B710">
              <w:rPr>
                <w:rFonts w:ascii="Arial" w:hAnsi="Arial" w:cs="Arial"/>
                <w:sz w:val="17"/>
                <w:szCs w:val="17"/>
                <w:lang w:val="es-CO"/>
              </w:rPr>
              <w:t>congruente con los objetivos del programa según lo establecido en la Matriz de Políticas y en la Carta de Política Sectorial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5847C2EF" w14:textId="461E321E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CO"/>
              </w:rPr>
              <w:t>Evaluación Independiente de Condiciones Macro-económicas (IAMC) vigente al momento de solicitar el desembolso.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540E2017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Marco macroeconómico estable y </w:t>
            </w:r>
            <w:r w:rsidRPr="5269B710">
              <w:rPr>
                <w:rFonts w:ascii="Arial" w:hAnsi="Arial" w:cs="Arial"/>
                <w:sz w:val="17"/>
                <w:szCs w:val="17"/>
                <w:lang w:val="es-CO"/>
              </w:rPr>
              <w:t xml:space="preserve">congruente con los objetivos del programa según lo establecido en la Matriz de Políticas y 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en la Carta de Política Sectorial.</w:t>
            </w: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14:paraId="3CF20752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IMAC (BID)</w:t>
            </w:r>
          </w:p>
        </w:tc>
      </w:tr>
      <w:tr w:rsidR="00B1652C" w:rsidRPr="00F3528B" w14:paraId="368D51FB" w14:textId="77777777" w:rsidTr="5269B710">
        <w:trPr>
          <w:trHeight w:val="32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07A68D" w14:textId="77777777" w:rsidR="00B1652C" w:rsidRPr="007C4669" w:rsidRDefault="5269B710" w:rsidP="5269B710">
            <w:pPr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Componente 2: Desarrollo Sostenible del Sector Energético</w:t>
            </w:r>
            <w:bookmarkStart w:id="0" w:name="_GoBack"/>
            <w:bookmarkEnd w:id="0"/>
          </w:p>
        </w:tc>
      </w:tr>
      <w:tr w:rsidR="00B1652C" w:rsidRPr="00F3528B" w14:paraId="0F64B32B" w14:textId="77777777" w:rsidTr="5269B710">
        <w:trPr>
          <w:trHeight w:val="323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8ECD3E" w14:textId="55224075" w:rsidR="00B1652C" w:rsidRPr="007C4669" w:rsidRDefault="5269B710" w:rsidP="5269B710">
            <w:pPr>
              <w:ind w:left="720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 xml:space="preserve">Subcomponente 2.1. Desarrollo de una matriz energética sostenible </w:t>
            </w:r>
          </w:p>
        </w:tc>
      </w:tr>
      <w:tr w:rsidR="00AA6D64" w:rsidRPr="00F3528B" w14:paraId="74276BCE" w14:textId="77777777" w:rsidTr="5269B710">
        <w:trPr>
          <w:trHeight w:val="1070"/>
        </w:trPr>
        <w:tc>
          <w:tcPr>
            <w:tcW w:w="778" w:type="pct"/>
            <w:vMerge w:val="restart"/>
            <w:vAlign w:val="center"/>
          </w:tcPr>
          <w:p w14:paraId="253A44D3" w14:textId="25DF4F5A" w:rsidR="00AA6D64" w:rsidRPr="007C4669" w:rsidRDefault="5269B710" w:rsidP="5269B710">
            <w:pPr>
              <w:ind w:left="-18" w:right="-66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Mejorar la seguridad energética por medio de la diversificación de la matriz energética, la eficiencia energética y la integración regional</w:t>
            </w:r>
          </w:p>
        </w:tc>
        <w:tc>
          <w:tcPr>
            <w:tcW w:w="1238" w:type="pct"/>
          </w:tcPr>
          <w:p w14:paraId="36DFEA2A" w14:textId="25C7F54E" w:rsidR="00067F27" w:rsidRPr="008C5279" w:rsidRDefault="00067F27" w:rsidP="00067F27">
            <w:pPr>
              <w:tabs>
                <w:tab w:val="left" w:pos="1340"/>
              </w:tabs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067F27">
              <w:rPr>
                <w:rFonts w:ascii="Arial" w:hAnsi="Arial" w:cs="Arial"/>
                <w:sz w:val="17"/>
                <w:szCs w:val="17"/>
                <w:lang w:val="es-ES"/>
              </w:rPr>
              <w:t xml:space="preserve">Anteproyecto de Ley de Gas Natural (GN) que establece el marco regulatorio para la importación, regasificación, almacenamiento, exportación, transporte por gasoducto, distribución por redes, y el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transporte y distribución virtual de GN, presentado por la Secretaria Nacional de Energía (SNE) al Consejo de Gabinete.</w:t>
            </w:r>
          </w:p>
          <w:p w14:paraId="472718B6" w14:textId="77777777" w:rsidR="00067F27" w:rsidRPr="00067F27" w:rsidRDefault="00067F27" w:rsidP="00067F27">
            <w:pPr>
              <w:tabs>
                <w:tab w:val="left" w:pos="1340"/>
              </w:tabs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0D7B216D" w14:textId="77777777" w:rsidR="00AA6D64" w:rsidRPr="008C5279" w:rsidRDefault="00AA6D64" w:rsidP="00AB7E31">
            <w:pPr>
              <w:spacing w:before="60"/>
              <w:jc w:val="both"/>
              <w:rPr>
                <w:rFonts w:ascii="Arial" w:hAnsi="Arial" w:cs="Arial"/>
                <w:bCs/>
                <w:sz w:val="17"/>
                <w:szCs w:val="17"/>
                <w:lang w:val="es-ES"/>
              </w:rPr>
            </w:pPr>
          </w:p>
          <w:p w14:paraId="47BE0300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</w:tc>
        <w:tc>
          <w:tcPr>
            <w:tcW w:w="1112" w:type="pct"/>
          </w:tcPr>
          <w:p w14:paraId="5F85FDE0" w14:textId="7D453797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Comunicación oficial de la Secretaría de Energía (SNE) de presentación del anteproyecto de Ley de GN, al Consejo de Gabinete. </w:t>
            </w:r>
          </w:p>
        </w:tc>
        <w:tc>
          <w:tcPr>
            <w:tcW w:w="1049" w:type="pct"/>
          </w:tcPr>
          <w:p w14:paraId="2688E567" w14:textId="2C15B6A4" w:rsidR="00067F27" w:rsidRPr="008C5279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Anteproyecto de Ley de GN presentado por </w:t>
            </w:r>
            <w:r w:rsidR="004243C6"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el Consejo de Gabinete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ante la Asamblea Nacional.</w:t>
            </w:r>
            <w:r w:rsidR="00E9429C"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 </w:t>
            </w:r>
          </w:p>
          <w:p w14:paraId="63F91C70" w14:textId="77777777" w:rsidR="00E9429C" w:rsidRPr="008C5279" w:rsidRDefault="00E9429C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6CD55A69" w14:textId="77777777" w:rsidR="00067F27" w:rsidRPr="008C5279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4FFA5E9C" w14:textId="1CEEF631" w:rsidR="00067F27" w:rsidRPr="008C5279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Borrador de los Reglamentos para el desarrollo de las actividades de transporte, distribución por redes y distribución virtual de GN, de acuerdo al anteproyecto de Ley de GN, preparados por la Autoridad Nacional de los Servicios Públicos (ASEP)</w:t>
            </w:r>
            <w:r w:rsidR="00B217AF" w:rsidRPr="008C5279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  <w:p w14:paraId="530C793D" w14:textId="77777777" w:rsidR="00067F27" w:rsidRPr="008C5279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27DD49C5" w14:textId="093DE1C9" w:rsidR="00AA6D64" w:rsidRPr="008C5279" w:rsidRDefault="00067F27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Plan Maestro de desarrollo de largo plazo del GN, aprobado por 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>el Consejo de Gabinete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</w:tc>
        <w:tc>
          <w:tcPr>
            <w:tcW w:w="823" w:type="pct"/>
          </w:tcPr>
          <w:p w14:paraId="6F63D81D" w14:textId="77777777" w:rsidR="00AA6D64" w:rsidRPr="007C4669" w:rsidRDefault="5269B710" w:rsidP="5269B710">
            <w:pPr>
              <w:jc w:val="both"/>
              <w:rPr>
                <w:rFonts w:ascii="Arial" w:hAnsi="Arial" w:cs="Arial"/>
                <w:i/>
                <w:i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i/>
                <w:iCs/>
                <w:sz w:val="17"/>
                <w:szCs w:val="17"/>
                <w:lang w:val="es-ES"/>
              </w:rPr>
              <w:t xml:space="preserve">Resolución del Gabinete de Ministros presentando ante 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la Asamblea Nacional, el Anteproyecto de Ley</w:t>
            </w:r>
            <w:r w:rsidRPr="5269B710">
              <w:rPr>
                <w:rFonts w:ascii="Arial" w:hAnsi="Arial" w:cs="Arial"/>
                <w:i/>
                <w:iCs/>
                <w:sz w:val="17"/>
                <w:szCs w:val="17"/>
                <w:lang w:val="es-ES"/>
              </w:rPr>
              <w:t>.</w:t>
            </w:r>
          </w:p>
          <w:p w14:paraId="6466D0A9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575FD49C" w14:textId="2DA5FB92" w:rsidR="00AA6D64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la Autoridad Nacional de Servicios Públicos (ASEP) conteniendo los borradores de los reglamentos.</w:t>
            </w:r>
          </w:p>
          <w:p w14:paraId="53B0E934" w14:textId="6D1FCE53" w:rsidR="00E9429C" w:rsidRDefault="00E9429C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783B3B0A" w14:textId="77777777" w:rsidR="00E9429C" w:rsidRPr="007C4669" w:rsidRDefault="00E9429C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126C501F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604A7ADE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24588D0A" w14:textId="260B9019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Resolución del Consejo de Gabinete que aprueba el Plan Maestro de GN.</w:t>
            </w:r>
          </w:p>
        </w:tc>
      </w:tr>
      <w:tr w:rsidR="00AA6D64" w:rsidRPr="00F3528B" w14:paraId="557184F8" w14:textId="77777777" w:rsidTr="5269B710">
        <w:trPr>
          <w:trHeight w:val="431"/>
        </w:trPr>
        <w:tc>
          <w:tcPr>
            <w:tcW w:w="778" w:type="pct"/>
            <w:vMerge/>
            <w:vAlign w:val="center"/>
          </w:tcPr>
          <w:p w14:paraId="275FC05D" w14:textId="77777777" w:rsidR="00AA6D64" w:rsidRPr="007C4669" w:rsidRDefault="00AA6D64" w:rsidP="00AB7E31">
            <w:pPr>
              <w:ind w:left="-18" w:right="-66"/>
              <w:jc w:val="center"/>
              <w:rPr>
                <w:rFonts w:ascii="Arial" w:hAnsi="Arial" w:cs="Arial"/>
                <w:b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</w:tcPr>
          <w:p w14:paraId="4550B714" w14:textId="22E74956" w:rsidR="00AA6D64" w:rsidRPr="008C5279" w:rsidRDefault="00067F27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067F27">
              <w:rPr>
                <w:rFonts w:ascii="Arial" w:hAnsi="Arial" w:cs="Arial"/>
                <w:sz w:val="17"/>
                <w:szCs w:val="17"/>
                <w:lang w:val="es-ES"/>
              </w:rPr>
              <w:t>Propuesta de Plan de Acción Nacional para el Fortalecimiento Institucional en Eficiencia Energética (EE), preparada por la SNE, y que establezca lineamientos institucionales, legales, regulatorios y de financiamiento, orientados a reducir el consumo de energía en los diferentes sectores del país.</w:t>
            </w:r>
            <w:r w:rsidRPr="00067F27" w:rsidDel="00067F27">
              <w:rPr>
                <w:rFonts w:ascii="Arial" w:hAnsi="Arial" w:cs="Arial"/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1112" w:type="pct"/>
          </w:tcPr>
          <w:p w14:paraId="448C4BDD" w14:textId="77777777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la SNE, donde aprueba la propuesta de Plan de Acción Nacional para el fortalecimiento institucional en EE.</w:t>
            </w:r>
          </w:p>
        </w:tc>
        <w:tc>
          <w:tcPr>
            <w:tcW w:w="1049" w:type="pct"/>
            <w:tcBorders>
              <w:bottom w:val="single" w:sz="4" w:space="0" w:color="auto"/>
            </w:tcBorders>
          </w:tcPr>
          <w:p w14:paraId="648D4446" w14:textId="6DB538D4" w:rsidR="00067F27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067F27">
              <w:rPr>
                <w:rFonts w:ascii="Arial" w:hAnsi="Arial" w:cs="Arial"/>
                <w:sz w:val="17"/>
                <w:szCs w:val="17"/>
                <w:lang w:val="es-ES"/>
              </w:rPr>
              <w:t xml:space="preserve">Estudio de alternativas para la capitalización y financiamiento del Fondo para el Uso Racional y Eficiente de Energía </w:t>
            </w:r>
            <w:r>
              <w:rPr>
                <w:rFonts w:ascii="Arial" w:hAnsi="Arial" w:cs="Arial"/>
                <w:sz w:val="17"/>
                <w:szCs w:val="17"/>
                <w:lang w:val="es-ES"/>
              </w:rPr>
              <w:t>(UREE)</w:t>
            </w:r>
            <w:r w:rsidRPr="00067F27">
              <w:rPr>
                <w:rFonts w:ascii="Arial" w:hAnsi="Arial" w:cs="Arial"/>
                <w:sz w:val="17"/>
                <w:szCs w:val="17"/>
                <w:lang w:val="es-ES"/>
              </w:rPr>
              <w:t>, diseñado y aprobado por la SNE.</w:t>
            </w:r>
          </w:p>
          <w:p w14:paraId="5C520C82" w14:textId="77777777" w:rsidR="00067F27" w:rsidRPr="00067F27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1A81184F" w14:textId="77777777" w:rsidR="00067F27" w:rsidRPr="00067F27" w:rsidRDefault="00067F27" w:rsidP="00067F27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7A1681D2" w14:textId="64820114" w:rsidR="00AA6D64" w:rsidRPr="007C4669" w:rsidRDefault="00067F27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067F27">
              <w:rPr>
                <w:rFonts w:ascii="Arial" w:hAnsi="Arial" w:cs="Arial"/>
                <w:sz w:val="17"/>
                <w:szCs w:val="17"/>
                <w:lang w:val="es-ES"/>
              </w:rPr>
              <w:t>Presupuesto para adoptar medidas de EE y ejecutar auditorías energéticas, asignado en al menos una institución pública.</w:t>
            </w:r>
          </w:p>
        </w:tc>
        <w:tc>
          <w:tcPr>
            <w:tcW w:w="823" w:type="pct"/>
            <w:tcBorders>
              <w:bottom w:val="single" w:sz="4" w:space="0" w:color="auto"/>
            </w:tcBorders>
          </w:tcPr>
          <w:p w14:paraId="4C7F4B27" w14:textId="77777777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la SNE conteniendo el Estudio de alternativas para la capitalización y financiamiento del Fondo UREE, aprobado.</w:t>
            </w:r>
          </w:p>
          <w:p w14:paraId="4A72E65E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34FC7DC4" w14:textId="77777777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la SNE adjuntando las partidas presupuestarias y conteniendo instrucciones para adoptar medidas de EE y para la ejecución de auditorías en una institución pública del sector.</w:t>
            </w:r>
          </w:p>
        </w:tc>
      </w:tr>
      <w:tr w:rsidR="00AA6D64" w:rsidRPr="00F3528B" w14:paraId="727CD3BD" w14:textId="77777777" w:rsidTr="5269B710">
        <w:trPr>
          <w:trHeight w:val="692"/>
        </w:trPr>
        <w:tc>
          <w:tcPr>
            <w:tcW w:w="778" w:type="pct"/>
            <w:vMerge/>
            <w:vAlign w:val="center"/>
          </w:tcPr>
          <w:p w14:paraId="7F0703D8" w14:textId="77777777" w:rsidR="00AA6D64" w:rsidRPr="007C4669" w:rsidRDefault="00AA6D64" w:rsidP="00AB7E31">
            <w:pPr>
              <w:ind w:left="-18" w:right="-66"/>
              <w:jc w:val="center"/>
              <w:rPr>
                <w:rFonts w:ascii="Arial" w:hAnsi="Arial" w:cs="Arial"/>
                <w:b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</w:tcPr>
          <w:p w14:paraId="4B2B68EF" w14:textId="6F316BF5" w:rsidR="00AA6D64" w:rsidRPr="008C5279" w:rsidRDefault="00276838" w:rsidP="5269B710">
            <w:pPr>
              <w:spacing w:beforeLines="60" w:before="144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Reglamento Técnico en materia de EE en el uso de aires acondicionados, 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aprobado por el Ministerio de Comercio e Industrias,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y guía de construcción sostenible para el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>ahorro de energía en edificaci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>ones, aprobada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 por la SNE.</w:t>
            </w:r>
          </w:p>
        </w:tc>
        <w:tc>
          <w:tcPr>
            <w:tcW w:w="1112" w:type="pct"/>
          </w:tcPr>
          <w:p w14:paraId="5B656F37" w14:textId="77777777" w:rsidR="00AA6D64" w:rsidRPr="007C4669" w:rsidRDefault="5269B710" w:rsidP="5269B710">
            <w:pPr>
              <w:spacing w:beforeLines="60" w:before="144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Publicación en la Gaceta Oficial del Reglamento Técnico de la Dirección General de Normas y Tecnología Industrial estableciendo disposiciones de EE en aires acondicionados. </w:t>
            </w:r>
          </w:p>
          <w:p w14:paraId="5D687B61" w14:textId="77777777" w:rsidR="00AA6D64" w:rsidRPr="007C4669" w:rsidRDefault="00AA6D64" w:rsidP="00AB7E31">
            <w:pPr>
              <w:spacing w:beforeLines="60" w:before="144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0C520F62" w14:textId="77777777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Publicación en la Gaceta Oficial de la Guía de Construcción Sostenible para el Ahorro de Energía en Edificaciones.</w:t>
            </w:r>
          </w:p>
        </w:tc>
        <w:tc>
          <w:tcPr>
            <w:tcW w:w="1049" w:type="pct"/>
            <w:shd w:val="clear" w:color="auto" w:fill="D9D9D9" w:themeFill="background1" w:themeFillShade="D9"/>
          </w:tcPr>
          <w:p w14:paraId="4324DF98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</w:tc>
        <w:tc>
          <w:tcPr>
            <w:tcW w:w="823" w:type="pct"/>
            <w:shd w:val="clear" w:color="auto" w:fill="D9D9D9" w:themeFill="background1" w:themeFillShade="D9"/>
          </w:tcPr>
          <w:p w14:paraId="78A29E83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11A7EEB2" w14:textId="77777777" w:rsidR="00AA6D64" w:rsidRPr="007C4669" w:rsidRDefault="00AA6D64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</w:tc>
      </w:tr>
      <w:tr w:rsidR="00AA6D64" w:rsidRPr="00D21AC3" w14:paraId="37DBD855" w14:textId="77777777" w:rsidTr="5269B710">
        <w:trPr>
          <w:trHeight w:val="1070"/>
        </w:trPr>
        <w:tc>
          <w:tcPr>
            <w:tcW w:w="778" w:type="pct"/>
            <w:vMerge/>
            <w:vAlign w:val="center"/>
          </w:tcPr>
          <w:p w14:paraId="39D3F8E4" w14:textId="77777777" w:rsidR="00AA6D64" w:rsidRPr="007C4669" w:rsidRDefault="00AA6D64" w:rsidP="00AB7E31">
            <w:pPr>
              <w:ind w:left="-18" w:right="-66"/>
              <w:jc w:val="center"/>
              <w:rPr>
                <w:rFonts w:ascii="Arial" w:hAnsi="Arial" w:cs="Arial"/>
                <w:b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</w:tcPr>
          <w:p w14:paraId="140006CB" w14:textId="7203C4C4" w:rsidR="00AA6D64" w:rsidRPr="007C4669" w:rsidRDefault="00276838" w:rsidP="5269B710">
            <w:pPr>
              <w:spacing w:beforeLines="60" w:before="144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Refuerzos del Sistema Nacional de Transmisión (SNT) en </w:t>
            </w:r>
            <w:r w:rsidR="00D21AC3">
              <w:rPr>
                <w:rFonts w:ascii="Arial" w:hAnsi="Arial" w:cs="Arial"/>
                <w:sz w:val="17"/>
                <w:szCs w:val="17"/>
                <w:lang w:val="es-ES"/>
              </w:rPr>
              <w:t>el</w:t>
            </w: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 Tramo Veladero-Llano</w:t>
            </w:r>
            <w:r w:rsidR="002C6BB7">
              <w:rPr>
                <w:rFonts w:ascii="Arial" w:hAnsi="Arial" w:cs="Arial"/>
                <w:sz w:val="17"/>
                <w:szCs w:val="17"/>
                <w:lang w:val="es-ES"/>
              </w:rPr>
              <w:t xml:space="preserve"> Sanchez</w:t>
            </w: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 coincidente con el SIEPAC, que mejoran los intercambios regionales, completados por la Empresa Estatal de Transmisión Eléctrica (ETESA).</w:t>
            </w:r>
          </w:p>
        </w:tc>
        <w:tc>
          <w:tcPr>
            <w:tcW w:w="1112" w:type="pct"/>
          </w:tcPr>
          <w:p w14:paraId="6011438E" w14:textId="77777777" w:rsidR="00AA6D64" w:rsidRPr="007C4669" w:rsidRDefault="5269B710" w:rsidP="5269B710">
            <w:pPr>
              <w:spacing w:beforeLines="60" w:before="144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Acta de recepción substancial de las obras, aprobada por ETESA.</w:t>
            </w:r>
          </w:p>
        </w:tc>
        <w:tc>
          <w:tcPr>
            <w:tcW w:w="1049" w:type="pct"/>
          </w:tcPr>
          <w:p w14:paraId="19B5D0F6" w14:textId="77777777" w:rsidR="00276838" w:rsidRDefault="00276838" w:rsidP="00276838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>Propuesta de financiamiento para la construcción del Refuerzo del SNT a través de la IV Línea de Transmisión coincidente con el SIEPAC para mejorar los intercambios eléctricos regionales, desarrollada por ETESA.</w:t>
            </w:r>
          </w:p>
          <w:p w14:paraId="6B7A1E64" w14:textId="77777777" w:rsidR="00276838" w:rsidRDefault="00276838" w:rsidP="00276838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4F16F7DB" w14:textId="5AFE5E72" w:rsidR="00276838" w:rsidRPr="00276838" w:rsidRDefault="00276838" w:rsidP="00276838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 </w:t>
            </w:r>
          </w:p>
          <w:p w14:paraId="3F2F78AE" w14:textId="77777777" w:rsidR="00276838" w:rsidRPr="00276838" w:rsidRDefault="00276838" w:rsidP="00276838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7C4C97D7" w14:textId="0E4D5568" w:rsidR="00AA6D64" w:rsidRPr="007C4669" w:rsidRDefault="00276838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Nuevo Plan de Expansión de la Transmisión Eléctrica alineado con el Plan de Expansión Indicativo Regional del Mercado Eléctrico Regional (MER), aprobado por la   ASEP </w:t>
            </w:r>
          </w:p>
        </w:tc>
        <w:tc>
          <w:tcPr>
            <w:tcW w:w="823" w:type="pct"/>
          </w:tcPr>
          <w:p w14:paraId="216A0EE4" w14:textId="77777777" w:rsidR="00AA6D64" w:rsidRPr="007C4669" w:rsidRDefault="5269B710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ETESA remitiendo la propuesta del esquema financiero e institucional que le permita al país acceder al financiamiento y ejecución de la IV Línea de Transmisión en Panamá.</w:t>
            </w:r>
          </w:p>
          <w:p w14:paraId="7CC9F6FF" w14:textId="77777777" w:rsidR="00AA6D64" w:rsidRPr="007C4669" w:rsidRDefault="00AA6D64" w:rsidP="00AB7E31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6B15A15A" w14:textId="4272D699" w:rsidR="00AA6D64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Comunicación de ETESA remitiendo el Plan de Expansión de la Transmisión Eléctrica alineado con el Plan de Expansión Indicativo Regional del MER, aprobado</w:t>
            </w:r>
            <w:r w:rsidR="00F46E02">
              <w:rPr>
                <w:rFonts w:ascii="Arial" w:hAnsi="Arial" w:cs="Arial"/>
                <w:sz w:val="17"/>
                <w:szCs w:val="17"/>
                <w:lang w:val="es-ES"/>
              </w:rPr>
              <w:t xml:space="preserve"> la ASEP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</w:tc>
      </w:tr>
      <w:tr w:rsidR="00B1652C" w:rsidRPr="00D21AC3" w14:paraId="0E6E2151" w14:textId="77777777" w:rsidTr="5269B710">
        <w:trPr>
          <w:trHeight w:val="35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806F83E" w14:textId="63056AA8" w:rsidR="00B1652C" w:rsidRPr="007C4669" w:rsidRDefault="5269B710" w:rsidP="5269B710">
            <w:pPr>
              <w:ind w:left="720"/>
              <w:jc w:val="both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Subcomponente 2.2. Mejora y consolidación de la capacidad institucional del sector</w:t>
            </w:r>
          </w:p>
        </w:tc>
      </w:tr>
      <w:tr w:rsidR="00B1652C" w:rsidRPr="00D21AC3" w14:paraId="2F94AE77" w14:textId="77777777" w:rsidTr="5269B710">
        <w:trPr>
          <w:trHeight w:val="692"/>
        </w:trPr>
        <w:tc>
          <w:tcPr>
            <w:tcW w:w="778" w:type="pct"/>
            <w:vMerge w:val="restart"/>
            <w:vAlign w:val="center"/>
          </w:tcPr>
          <w:p w14:paraId="3200DC25" w14:textId="49211478" w:rsidR="00B1652C" w:rsidRPr="007C4669" w:rsidRDefault="5269B710" w:rsidP="5269B710">
            <w:pPr>
              <w:ind w:right="-24"/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Fortalecer la institucionalidad en aspectos de planeación y compra de energía</w:t>
            </w:r>
          </w:p>
        </w:tc>
        <w:tc>
          <w:tcPr>
            <w:tcW w:w="1238" w:type="pct"/>
            <w:tcBorders>
              <w:bottom w:val="single" w:sz="4" w:space="0" w:color="auto"/>
            </w:tcBorders>
            <w:vAlign w:val="center"/>
          </w:tcPr>
          <w:p w14:paraId="3386F838" w14:textId="25F3BD05" w:rsidR="00B1652C" w:rsidRPr="008C5279" w:rsidRDefault="00276838" w:rsidP="00AB7E31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Plan Energético Nacional (PEN) 2015-2050 que establece la hoja de ruta de la política energética del país y que se rige por cuatro ejes conductores: (i) acceso universal y reducción de la pobreza; (ii) descarbonización de la matriz; (iii) uso eficiente de la energía y moderación del consumo; y (iv) seguridad del suministro, aprobado por 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>el Consejo de Gabinete.</w:t>
            </w:r>
            <w:r w:rsidR="00EC54F4" w:rsidRPr="008C5279" w:rsidDel="00276838">
              <w:rPr>
                <w:rFonts w:ascii="Arial" w:hAnsi="Arial" w:cs="Arial"/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1112" w:type="pct"/>
            <w:tcBorders>
              <w:bottom w:val="single" w:sz="4" w:space="0" w:color="auto"/>
            </w:tcBorders>
            <w:vAlign w:val="center"/>
          </w:tcPr>
          <w:p w14:paraId="5BED4D6A" w14:textId="77777777" w:rsidR="00B1652C" w:rsidRPr="008C5279" w:rsidRDefault="5269B710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Publicación en la Gaceta Oficial de la Resolución del Consejo de Gabinete aprobando el Plan Energético Nacional (PEN) 2015-2050.</w:t>
            </w:r>
          </w:p>
        </w:tc>
        <w:tc>
          <w:tcPr>
            <w:tcW w:w="1049" w:type="pct"/>
            <w:tcBorders>
              <w:bottom w:val="single" w:sz="4" w:space="0" w:color="auto"/>
            </w:tcBorders>
            <w:vAlign w:val="center"/>
          </w:tcPr>
          <w:p w14:paraId="39BFC9E1" w14:textId="32034341" w:rsidR="00B1652C" w:rsidRPr="008C5279" w:rsidRDefault="00276838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Plan Energético Nacional 2015-2050 actualizado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,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aprobado por </w:t>
            </w:r>
            <w:r w:rsidR="00EC54F4" w:rsidRPr="008C5279">
              <w:rPr>
                <w:rFonts w:ascii="Arial" w:hAnsi="Arial" w:cs="Arial"/>
                <w:sz w:val="17"/>
                <w:szCs w:val="17"/>
                <w:lang w:val="es-ES"/>
              </w:rPr>
              <w:t>el Consejo de Gabinete</w:t>
            </w:r>
            <w:r w:rsidR="00B1652C" w:rsidRPr="008C5279">
              <w:rPr>
                <w:rStyle w:val="FootnoteReference"/>
                <w:rFonts w:ascii="Arial" w:hAnsi="Arial" w:cs="Arial"/>
                <w:sz w:val="17"/>
                <w:szCs w:val="17"/>
                <w:lang w:val="es-ES"/>
              </w:rPr>
              <w:footnoteReference w:id="2"/>
            </w:r>
            <w:r w:rsidR="00B1652C" w:rsidRPr="008C5279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  <w:p w14:paraId="0DB08592" w14:textId="77777777" w:rsidR="00B1652C" w:rsidRPr="008C5279" w:rsidRDefault="00B1652C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</w:tc>
        <w:tc>
          <w:tcPr>
            <w:tcW w:w="823" w:type="pct"/>
            <w:tcBorders>
              <w:bottom w:val="single" w:sz="4" w:space="0" w:color="auto"/>
            </w:tcBorders>
            <w:vAlign w:val="center"/>
          </w:tcPr>
          <w:p w14:paraId="4800FACB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Resolución del Consejo de Gabinete que aprueba el Plan Energético Nacional 2015-2050. </w:t>
            </w:r>
          </w:p>
          <w:p w14:paraId="68A225E5" w14:textId="77777777" w:rsidR="00B1652C" w:rsidRPr="007C4669" w:rsidRDefault="00B1652C" w:rsidP="00AB7E31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</w:p>
        </w:tc>
      </w:tr>
      <w:tr w:rsidR="00B1652C" w:rsidRPr="00D21AC3" w14:paraId="37C8251E" w14:textId="77777777" w:rsidTr="5269B710">
        <w:trPr>
          <w:trHeight w:val="1583"/>
        </w:trPr>
        <w:tc>
          <w:tcPr>
            <w:tcW w:w="778" w:type="pct"/>
            <w:vMerge/>
            <w:vAlign w:val="center"/>
          </w:tcPr>
          <w:p w14:paraId="75F5D0C3" w14:textId="77777777" w:rsidR="00B1652C" w:rsidRPr="007C4669" w:rsidRDefault="00B1652C" w:rsidP="00AB7E31">
            <w:pPr>
              <w:rPr>
                <w:rFonts w:ascii="Arial" w:hAnsi="Arial" w:cs="Arial"/>
                <w:b/>
                <w:sz w:val="17"/>
                <w:szCs w:val="17"/>
                <w:lang w:val="es-ES"/>
              </w:rPr>
            </w:pPr>
          </w:p>
        </w:tc>
        <w:tc>
          <w:tcPr>
            <w:tcW w:w="1238" w:type="pct"/>
            <w:tcBorders>
              <w:bottom w:val="nil"/>
            </w:tcBorders>
            <w:vAlign w:val="center"/>
          </w:tcPr>
          <w:p w14:paraId="7256B841" w14:textId="72E9B62B" w:rsidR="00B1652C" w:rsidRPr="008C5279" w:rsidRDefault="00276838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Definición del alcance de una propuesta de modificación de los modelos de pliegos de contratación de energía eléctrica de largo plazo para que consideren múltiples fuentes y tecnologías de generación, aprobado por la SNE.</w:t>
            </w:r>
          </w:p>
        </w:tc>
        <w:tc>
          <w:tcPr>
            <w:tcW w:w="1112" w:type="pct"/>
            <w:tcBorders>
              <w:bottom w:val="nil"/>
            </w:tcBorders>
            <w:vAlign w:val="center"/>
          </w:tcPr>
          <w:p w14:paraId="03E799B7" w14:textId="0AFE8975" w:rsidR="00B1652C" w:rsidRPr="008C5279" w:rsidRDefault="5269B710" w:rsidP="5269B710">
            <w:pPr>
              <w:jc w:val="both"/>
              <w:rPr>
                <w:rFonts w:ascii="Arial" w:hAnsi="Arial" w:cs="Arial"/>
                <w:i/>
                <w:iCs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Comunicación de la SNE, aprobando los Términos de Referencia para la preparación de</w:t>
            </w:r>
            <w:r w:rsidR="00276838"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 la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propuesta de modificación de los pliegos de contratación de energía eléctrica de largo plazo, que considera múltiples fuentes y tecnologías. </w:t>
            </w: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6700BDF2" w14:textId="37F3D794" w:rsidR="00B1652C" w:rsidRPr="008C5279" w:rsidRDefault="00276838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 xml:space="preserve">Reglas de compra conteniendo los modelos de pliegos de contratación de energía eléctrica de largo plazo para que consideren múltiples fuentes y tecnologías de generación, aprobadas por </w:t>
            </w:r>
            <w:r w:rsidR="00F46E02" w:rsidRPr="008C5279">
              <w:rPr>
                <w:rFonts w:ascii="Arial" w:hAnsi="Arial" w:cs="Arial"/>
                <w:sz w:val="17"/>
                <w:szCs w:val="17"/>
                <w:lang w:val="es-ES"/>
              </w:rPr>
              <w:t>la ASEP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</w:p>
        </w:tc>
        <w:tc>
          <w:tcPr>
            <w:tcW w:w="823" w:type="pct"/>
            <w:tcBorders>
              <w:bottom w:val="nil"/>
            </w:tcBorders>
            <w:vAlign w:val="center"/>
          </w:tcPr>
          <w:p w14:paraId="2283DD29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Resolución de la ASEP conteniendo las reglas de compra y los modelos de pliegos.</w:t>
            </w:r>
          </w:p>
        </w:tc>
      </w:tr>
      <w:tr w:rsidR="00B1652C" w:rsidRPr="00D21AC3" w14:paraId="3C3EAAEF" w14:textId="77777777" w:rsidTr="5269B710">
        <w:trPr>
          <w:trHeight w:val="260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3F37016E" w14:textId="20A21545" w:rsidR="00B1652C" w:rsidRPr="007C4669" w:rsidRDefault="5269B710" w:rsidP="5269B710">
            <w:pPr>
              <w:ind w:left="720"/>
              <w:jc w:val="both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 xml:space="preserve">Subcomponente 2.3. </w:t>
            </w:r>
            <w:r w:rsidR="00953E8A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 xml:space="preserve">Racionalización </w:t>
            </w: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de subsidios en el sector energético</w:t>
            </w:r>
          </w:p>
        </w:tc>
      </w:tr>
      <w:tr w:rsidR="00B1652C" w:rsidRPr="00D21AC3" w14:paraId="22B27470" w14:textId="77777777" w:rsidTr="5269B710">
        <w:trPr>
          <w:trHeight w:val="809"/>
        </w:trPr>
        <w:tc>
          <w:tcPr>
            <w:tcW w:w="778" w:type="pct"/>
            <w:vMerge w:val="restart"/>
            <w:vAlign w:val="center"/>
          </w:tcPr>
          <w:p w14:paraId="4B3061B9" w14:textId="64965151" w:rsidR="00B1652C" w:rsidRPr="007C4669" w:rsidRDefault="5269B710" w:rsidP="5269B710">
            <w:pPr>
              <w:jc w:val="center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 xml:space="preserve">Mejorar la sostenibilidad financiera y social del sector de energía y la carga fiscal, a través de </w:t>
            </w: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lastRenderedPageBreak/>
              <w:t>la reducción del costo de los subsidios del sector y de la mejora de su focalización</w:t>
            </w:r>
          </w:p>
        </w:tc>
        <w:tc>
          <w:tcPr>
            <w:tcW w:w="1238" w:type="pct"/>
            <w:tcBorders>
              <w:bottom w:val="nil"/>
            </w:tcBorders>
            <w:vAlign w:val="center"/>
          </w:tcPr>
          <w:p w14:paraId="16542E4D" w14:textId="40706BA2" w:rsidR="00B1652C" w:rsidRPr="007C4669" w:rsidRDefault="00276838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Focalización de subsidios en el sector energético mediante la reducción del subsidio del Fondo Tarifario de Occidente (FTO), y la eliminación del Fondo de </w:t>
            </w:r>
            <w:r w:rsidRPr="00276838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>Compensación Energética (FACE), aprobada por el Gabinete de Ministros.</w:t>
            </w:r>
          </w:p>
        </w:tc>
        <w:tc>
          <w:tcPr>
            <w:tcW w:w="1112" w:type="pct"/>
            <w:tcBorders>
              <w:bottom w:val="nil"/>
            </w:tcBorders>
            <w:vAlign w:val="center"/>
          </w:tcPr>
          <w:p w14:paraId="3680EE94" w14:textId="58D38DD4" w:rsidR="00B1652C" w:rsidRPr="007C4669" w:rsidRDefault="5269B710" w:rsidP="5269B710">
            <w:pPr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>Publicación en la Gaceta Oficial</w:t>
            </w:r>
            <w:r w:rsidR="00CF4CF1">
              <w:rPr>
                <w:rFonts w:ascii="Arial" w:hAnsi="Arial" w:cs="Arial"/>
                <w:sz w:val="17"/>
                <w:szCs w:val="17"/>
                <w:lang w:val="es-ES"/>
              </w:rPr>
              <w:t xml:space="preserve"> de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 la </w:t>
            </w:r>
            <w:hyperlink r:id="rId9">
              <w:r w:rsidRPr="5269B710">
                <w:rPr>
                  <w:rFonts w:ascii="Arial" w:hAnsi="Arial" w:cs="Arial"/>
                  <w:sz w:val="17"/>
                  <w:szCs w:val="17"/>
                  <w:lang w:val="es-ES"/>
                </w:rPr>
                <w:t xml:space="preserve">Resolución </w:t>
              </w:r>
            </w:hyperlink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que establece la reducción del subsidio del Fondo Tarifario de Occidente (FTO). </w:t>
            </w:r>
          </w:p>
          <w:p w14:paraId="0B4D7CDC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"/>
              </w:rPr>
            </w:pPr>
          </w:p>
          <w:p w14:paraId="36BBB646" w14:textId="77777777" w:rsidR="00B1652C" w:rsidRPr="007C4669" w:rsidRDefault="5269B710" w:rsidP="5269B710">
            <w:pPr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Publicación en la Gaceta Oficial de la </w:t>
            </w:r>
            <w:hyperlink r:id="rId10">
              <w:r w:rsidRPr="5269B710">
                <w:rPr>
                  <w:rFonts w:ascii="Arial" w:hAnsi="Arial" w:cs="Arial"/>
                  <w:sz w:val="17"/>
                  <w:szCs w:val="17"/>
                  <w:lang w:val="es-ES"/>
                </w:rPr>
                <w:t xml:space="preserve">Resolución  </w:t>
              </w:r>
            </w:hyperlink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que establece la disolución del Fideicomiso y extinción del FACE.</w:t>
            </w:r>
          </w:p>
        </w:tc>
        <w:tc>
          <w:tcPr>
            <w:tcW w:w="1049" w:type="pct"/>
            <w:tcBorders>
              <w:bottom w:val="nil"/>
            </w:tcBorders>
            <w:vAlign w:val="center"/>
          </w:tcPr>
          <w:p w14:paraId="4297A59A" w14:textId="7F261D92" w:rsidR="00B1652C" w:rsidRPr="007C4669" w:rsidRDefault="00871427" w:rsidP="00AB7E31">
            <w:pPr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71427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Estudio para la focalización de subsidios en tarifas eléctricas y de Gas Licuado de Petróleo que beneficien exclusivamente a </w:t>
            </w:r>
            <w:r w:rsidRPr="008C5279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población de menores ingresos; aprobado </w:t>
            </w:r>
            <w:r w:rsidR="00F46E02" w:rsidRPr="008C5279">
              <w:rPr>
                <w:rFonts w:ascii="Arial" w:hAnsi="Arial" w:cs="Arial"/>
                <w:sz w:val="17"/>
                <w:szCs w:val="17"/>
                <w:lang w:val="es-ES"/>
              </w:rPr>
              <w:t>la SNE</w:t>
            </w:r>
            <w:r w:rsidR="008C5279">
              <w:rPr>
                <w:rFonts w:ascii="Arial" w:hAnsi="Arial" w:cs="Arial"/>
                <w:sz w:val="17"/>
                <w:szCs w:val="17"/>
                <w:lang w:val="es-ES"/>
              </w:rPr>
              <w:t>.</w:t>
            </w:r>
            <w:r w:rsidRPr="00871427" w:rsidDel="00871427">
              <w:rPr>
                <w:rFonts w:ascii="Arial" w:hAnsi="Arial" w:cs="Arial"/>
                <w:sz w:val="17"/>
                <w:szCs w:val="17"/>
                <w:lang w:val="es-ES"/>
              </w:rPr>
              <w:t xml:space="preserve"> </w:t>
            </w:r>
          </w:p>
        </w:tc>
        <w:tc>
          <w:tcPr>
            <w:tcW w:w="823" w:type="pct"/>
            <w:tcBorders>
              <w:bottom w:val="nil"/>
            </w:tcBorders>
            <w:vAlign w:val="center"/>
          </w:tcPr>
          <w:p w14:paraId="4EB8CD8D" w14:textId="77777777" w:rsidR="00B1652C" w:rsidRPr="007C4669" w:rsidRDefault="5269B710" w:rsidP="5269B710">
            <w:pPr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Comunicación de la SNE del estudio para la focalización de subsidios en tarifas eléctricas y de Gas </w:t>
            </w: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lastRenderedPageBreak/>
              <w:t xml:space="preserve">Licuado de Petróleo que beneficien exclusivamente a población de menores ingresos, aprobado. </w:t>
            </w:r>
          </w:p>
        </w:tc>
      </w:tr>
      <w:tr w:rsidR="00B1652C" w:rsidRPr="00F3528B" w14:paraId="01451EA9" w14:textId="77777777" w:rsidTr="5269B710">
        <w:tc>
          <w:tcPr>
            <w:tcW w:w="778" w:type="pct"/>
            <w:vMerge/>
            <w:vAlign w:val="center"/>
          </w:tcPr>
          <w:p w14:paraId="3329BAD7" w14:textId="77777777" w:rsidR="00B1652C" w:rsidRPr="007C4669" w:rsidRDefault="00B1652C" w:rsidP="00AB7E31">
            <w:pPr>
              <w:rPr>
                <w:rFonts w:ascii="Arial" w:hAnsi="Arial" w:cs="Arial"/>
                <w:b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  <w:vAlign w:val="center"/>
          </w:tcPr>
          <w:p w14:paraId="62F18EE3" w14:textId="5082EA8A" w:rsidR="00B1652C" w:rsidRPr="007C4669" w:rsidRDefault="00871427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71427">
              <w:rPr>
                <w:rFonts w:ascii="Arial" w:hAnsi="Arial" w:cs="Arial"/>
                <w:sz w:val="17"/>
                <w:szCs w:val="17"/>
                <w:lang w:val="es-ES"/>
              </w:rPr>
              <w:t>Estudio para la revisión y definición de un nuevo esquema tarifario que promueva que las tarifas eléctricas se estructuren sobre la base de costos eficientes, contratado por la ASEP.</w:t>
            </w:r>
          </w:p>
        </w:tc>
        <w:tc>
          <w:tcPr>
            <w:tcW w:w="1112" w:type="pct"/>
            <w:vAlign w:val="center"/>
          </w:tcPr>
          <w:p w14:paraId="680390ED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 xml:space="preserve">Comunicación de la ASEP remitiendo copia del contrato firmado para llevar a cabo los estudios de revisión y definición de un nuevo esquema tarifario que promueva que las tarifas eléctricas se estructuren sobre la base de costos eficientes. </w:t>
            </w:r>
          </w:p>
        </w:tc>
        <w:tc>
          <w:tcPr>
            <w:tcW w:w="1049" w:type="pct"/>
            <w:vAlign w:val="center"/>
          </w:tcPr>
          <w:p w14:paraId="6BDBB49A" w14:textId="496C9E5A" w:rsidR="00B1652C" w:rsidRPr="007C4669" w:rsidRDefault="00871427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871427">
              <w:rPr>
                <w:rFonts w:ascii="Arial" w:hAnsi="Arial" w:cs="Arial"/>
                <w:sz w:val="17"/>
                <w:szCs w:val="17"/>
                <w:lang w:val="es-ES"/>
              </w:rPr>
              <w:t>Nuevo esquema tarifario que refleje criterios de costos eficientes de suministro, aprobado por la ASEP.</w:t>
            </w:r>
          </w:p>
        </w:tc>
        <w:tc>
          <w:tcPr>
            <w:tcW w:w="823" w:type="pct"/>
            <w:vAlign w:val="center"/>
          </w:tcPr>
          <w:p w14:paraId="66AC7659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sz w:val="17"/>
                <w:szCs w:val="17"/>
                <w:lang w:val="es-ES"/>
              </w:rPr>
              <w:t>Resolución de la ASEP que aprueba el nuevo esquema tarifario.</w:t>
            </w:r>
          </w:p>
        </w:tc>
      </w:tr>
      <w:tr w:rsidR="00B1652C" w:rsidRPr="00F3528B" w14:paraId="03DA295F" w14:textId="77777777" w:rsidTr="5269B710">
        <w:trPr>
          <w:trHeight w:val="404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53B5E334" w14:textId="77777777" w:rsidR="00B1652C" w:rsidRPr="007C4669" w:rsidRDefault="5269B710" w:rsidP="5269B710">
            <w:pPr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Componente 3. Desarrollo sostenible del sector de agua y saneamiento</w:t>
            </w:r>
          </w:p>
        </w:tc>
      </w:tr>
      <w:tr w:rsidR="00B1652C" w:rsidRPr="00F3528B" w14:paraId="21D97604" w14:textId="77777777" w:rsidTr="5269B710">
        <w:trPr>
          <w:trHeight w:val="404"/>
        </w:trPr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6371DA88" w14:textId="6703C3F3" w:rsidR="00B1652C" w:rsidRPr="007C4669" w:rsidRDefault="5269B710" w:rsidP="5269B710">
            <w:pPr>
              <w:ind w:left="720"/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sz w:val="17"/>
                <w:szCs w:val="17"/>
                <w:lang w:val="es-ES"/>
              </w:rPr>
              <w:t>Subcomponente 3.1. Mejora y consolidación de la capacidad institucional del sector</w:t>
            </w:r>
          </w:p>
        </w:tc>
      </w:tr>
      <w:tr w:rsidR="00B1652C" w:rsidRPr="00F3528B" w14:paraId="59F5E2C9" w14:textId="77777777" w:rsidTr="5269B710">
        <w:trPr>
          <w:trHeight w:val="1052"/>
        </w:trPr>
        <w:tc>
          <w:tcPr>
            <w:tcW w:w="778" w:type="pct"/>
            <w:vMerge w:val="restart"/>
            <w:vAlign w:val="center"/>
          </w:tcPr>
          <w:p w14:paraId="2E912C6E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  <w:p w14:paraId="12623B8D" w14:textId="77777777" w:rsidR="00B1652C" w:rsidRPr="007C4669" w:rsidRDefault="00B1652C" w:rsidP="00AB7E31">
            <w:pPr>
              <w:rPr>
                <w:rFonts w:ascii="Arial" w:hAnsi="Arial" w:cs="Arial"/>
                <w:b/>
                <w:sz w:val="17"/>
                <w:szCs w:val="17"/>
                <w:lang w:val="es-ES_tradnl"/>
              </w:rPr>
            </w:pPr>
          </w:p>
          <w:p w14:paraId="74AD464D" w14:textId="3070AC26" w:rsidR="00B1652C" w:rsidRPr="007C4669" w:rsidRDefault="5269B710" w:rsidP="5269B710">
            <w:pPr>
              <w:jc w:val="center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b/>
                <w:bCs/>
                <w:color w:val="000000" w:themeColor="text1"/>
                <w:sz w:val="17"/>
                <w:szCs w:val="17"/>
                <w:lang w:val="es-ES"/>
              </w:rPr>
              <w:t xml:space="preserve">Mejorar la coordinación interinstitucional en el sector de AyS, con una planificación estratégica definida y una clara asignación de roles de todas las entidades del sector </w:t>
            </w:r>
          </w:p>
          <w:p w14:paraId="366EF062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  <w:p w14:paraId="5908B58B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  <w:p w14:paraId="3E297C73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  <w:p w14:paraId="58981148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  <w:p w14:paraId="5CDBD843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  <w:vAlign w:val="center"/>
          </w:tcPr>
          <w:p w14:paraId="79046BC3" w14:textId="7666AC9D" w:rsidR="00B1652C" w:rsidRPr="009F680A" w:rsidDel="00D84E16" w:rsidRDefault="5269B710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Plan Nacional de Seguridad Hídrica (PNSH) 2015-2050 Agua para Todos</w:t>
            </w:r>
            <w:r w:rsidR="009F680A" w:rsidRPr="008C5279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, que es la hoja de ruta que establece las políticas, ejes temáticos y un plan de acción para garantizar la provisión de agua en cantidad y calidad aceptable para todos los usuarios en especial el consumo humano, aprobado por el Consejo de Gabinete.</w:t>
            </w:r>
          </w:p>
        </w:tc>
        <w:tc>
          <w:tcPr>
            <w:tcW w:w="1112" w:type="pct"/>
            <w:vAlign w:val="center"/>
          </w:tcPr>
          <w:p w14:paraId="39A7077C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Publicación en la Gaceta Oficial de la Resolución del Consejo de Gabinete que aprueba el PNSH, adjuntando el documento del PNSH.</w:t>
            </w:r>
          </w:p>
        </w:tc>
        <w:tc>
          <w:tcPr>
            <w:tcW w:w="1049" w:type="pct"/>
            <w:vAlign w:val="center"/>
          </w:tcPr>
          <w:p w14:paraId="57D6EC66" w14:textId="159CD6C3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Planes Operativos (quinquenal y anual) del PNSH, aprobados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por CONAGUA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y recursos presupuestarios asignados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por el MEF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. </w:t>
            </w:r>
          </w:p>
        </w:tc>
        <w:tc>
          <w:tcPr>
            <w:tcW w:w="823" w:type="pct"/>
            <w:vAlign w:val="center"/>
          </w:tcPr>
          <w:p w14:paraId="6B37E26A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Acta del CONAGUA aprobando los Planes Operativos del PNSH y nota del Ministerio de Economía y Finanzas (MEF) adjuntando las partidas presupuestarias para la ejecución del Plan Operativo anual.</w:t>
            </w:r>
          </w:p>
        </w:tc>
      </w:tr>
      <w:tr w:rsidR="00B1652C" w:rsidRPr="00F3528B" w14:paraId="1315237D" w14:textId="77777777" w:rsidTr="5269B710">
        <w:trPr>
          <w:trHeight w:val="647"/>
        </w:trPr>
        <w:tc>
          <w:tcPr>
            <w:tcW w:w="778" w:type="pct"/>
            <w:vMerge/>
            <w:vAlign w:val="center"/>
          </w:tcPr>
          <w:p w14:paraId="490A109C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  <w:vAlign w:val="center"/>
          </w:tcPr>
          <w:p w14:paraId="222C177A" w14:textId="3CB07AFB" w:rsidR="00B1652C" w:rsidRPr="007C4669" w:rsidDel="00D84E16" w:rsidRDefault="5269B710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Consejo Nacional del Agua (CONAGUA) creado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por el Consejo de Gabinete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, presidido por MIAMBIENTE e integrado por MEF, MINSA, MIDA, ACP, ASEP, IDAAN y Ministerio de la Presidencia para impulsar, orientar, coordinar y garantizar la implementación del Plan Nacional de Seguridad Hídrica 2015-2050</w:t>
            </w:r>
            <w:r w:rsid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Agua para Todos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; y la Secretaría Técnica de CONAGUA creada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por el Consejo de Gabinete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.</w:t>
            </w:r>
          </w:p>
        </w:tc>
        <w:tc>
          <w:tcPr>
            <w:tcW w:w="1112" w:type="pct"/>
            <w:vAlign w:val="center"/>
          </w:tcPr>
          <w:p w14:paraId="108D5EE4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Publicación en la Gaceta Oficial de la Resolución del Consejo de Gabinete creando el CONAGUA y la Secretaría Técnica.</w:t>
            </w:r>
          </w:p>
        </w:tc>
        <w:tc>
          <w:tcPr>
            <w:tcW w:w="1049" w:type="pct"/>
            <w:vAlign w:val="center"/>
          </w:tcPr>
          <w:p w14:paraId="1A7E13D1" w14:textId="67F2DB71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Estructura técnico administrativa de la Secretaría Técnica del CONAGUA creada 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por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MIAMBIENTE y asignación presupuestaria para 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su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funcionamiento</w:t>
            </w:r>
            <w:r w:rsidR="00FE34C4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por el MEF</w:t>
            </w: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.</w:t>
            </w:r>
          </w:p>
        </w:tc>
        <w:tc>
          <w:tcPr>
            <w:tcW w:w="823" w:type="pct"/>
            <w:vAlign w:val="center"/>
          </w:tcPr>
          <w:p w14:paraId="71CAFB3C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Publicación en la Gaceta Oficial de la Resolución Ministerial que crea la estructura técnico administrativa de la Secretaría Técnica dentro de MIAMBIENTE y partidas presupuestarias para su funcionamiento.</w:t>
            </w:r>
          </w:p>
        </w:tc>
      </w:tr>
      <w:tr w:rsidR="00B1652C" w:rsidRPr="00F3528B" w14:paraId="0F2919A2" w14:textId="77777777" w:rsidTr="5269B710">
        <w:trPr>
          <w:trHeight w:val="1052"/>
        </w:trPr>
        <w:tc>
          <w:tcPr>
            <w:tcW w:w="778" w:type="pct"/>
            <w:vMerge/>
          </w:tcPr>
          <w:p w14:paraId="2CFF1B19" w14:textId="77777777" w:rsidR="00B1652C" w:rsidRPr="007C4669" w:rsidRDefault="00B1652C" w:rsidP="00AB7E31">
            <w:pPr>
              <w:rPr>
                <w:rFonts w:ascii="Arial" w:hAnsi="Arial" w:cs="Arial"/>
                <w:sz w:val="17"/>
                <w:szCs w:val="17"/>
                <w:lang w:val="es-ES_tradnl"/>
              </w:rPr>
            </w:pPr>
          </w:p>
        </w:tc>
        <w:tc>
          <w:tcPr>
            <w:tcW w:w="1238" w:type="pct"/>
            <w:vAlign w:val="center"/>
          </w:tcPr>
          <w:p w14:paraId="51BF59C2" w14:textId="503377DE" w:rsidR="00B1652C" w:rsidRPr="009F680A" w:rsidDel="00D84E16" w:rsidRDefault="5269B710" w:rsidP="5269B710">
            <w:pPr>
              <w:spacing w:before="60"/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Anteproyecto de ley para la creación de la Empresa Pública de Saneamiento de Panamá </w:t>
            </w:r>
            <w:r w:rsidR="009F680A" w:rsidRPr="008C5279">
              <w:rPr>
                <w:rFonts w:ascii="Arial" w:hAnsi="Arial" w:cs="Arial"/>
                <w:color w:val="000000"/>
                <w:sz w:val="17"/>
                <w:szCs w:val="17"/>
                <w:lang w:val="es-ES"/>
              </w:rPr>
              <w:t>que define sus objetivos, atribuciones y prerrogativas, gobierno corporativo, régimen laboral y estructura salarial, patrimonio, y tarifas, tasas y régimen de subsidio, elaborado y presentado por el MINSA ante el Consejo de Gabinete.</w:t>
            </w:r>
          </w:p>
        </w:tc>
        <w:tc>
          <w:tcPr>
            <w:tcW w:w="1112" w:type="pct"/>
            <w:vAlign w:val="center"/>
          </w:tcPr>
          <w:p w14:paraId="34E352DA" w14:textId="77777777" w:rsidR="00B1652C" w:rsidRPr="007C4669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5269B710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Nota del Ministro de Salud al Consejo de Gabinete adjuntando el anteproyecto de ley.</w:t>
            </w:r>
          </w:p>
        </w:tc>
        <w:tc>
          <w:tcPr>
            <w:tcW w:w="1049" w:type="pct"/>
            <w:vAlign w:val="center"/>
          </w:tcPr>
          <w:p w14:paraId="0FEE33D7" w14:textId="6DC2EA4E" w:rsidR="00B1652C" w:rsidRPr="009F680A" w:rsidRDefault="5269B710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Anteproyecto de ley para la creación de la Empresa Pública de Saneamiento de Panamá</w:t>
            </w:r>
            <w:r w:rsid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>,</w:t>
            </w:r>
            <w:r w:rsidRPr="009F680A">
              <w:rPr>
                <w:rFonts w:ascii="Arial" w:hAnsi="Arial" w:cs="Arial"/>
                <w:color w:val="000000" w:themeColor="text1"/>
                <w:sz w:val="17"/>
                <w:szCs w:val="17"/>
                <w:lang w:val="es-ES"/>
              </w:rPr>
              <w:t xml:space="preserve"> </w:t>
            </w:r>
            <w:r w:rsidR="009F680A" w:rsidRPr="008C5279">
              <w:rPr>
                <w:rFonts w:ascii="Arial" w:hAnsi="Arial" w:cs="Arial"/>
                <w:color w:val="000000"/>
                <w:sz w:val="17"/>
                <w:szCs w:val="17"/>
                <w:lang w:val="es-ES"/>
              </w:rPr>
              <w:t xml:space="preserve">presentado por el </w:t>
            </w:r>
            <w:r w:rsidR="00F46E02" w:rsidRPr="008C5279">
              <w:rPr>
                <w:rFonts w:ascii="Arial" w:hAnsi="Arial" w:cs="Arial"/>
                <w:color w:val="000000"/>
                <w:sz w:val="17"/>
                <w:szCs w:val="17"/>
                <w:lang w:val="es-ES"/>
              </w:rPr>
              <w:t>Consejo de Gabi</w:t>
            </w:r>
            <w:r w:rsidR="004243C6" w:rsidRPr="008C5279">
              <w:rPr>
                <w:rFonts w:ascii="Arial" w:hAnsi="Arial" w:cs="Arial"/>
                <w:color w:val="000000"/>
                <w:sz w:val="17"/>
                <w:szCs w:val="17"/>
                <w:lang w:val="es-ES"/>
              </w:rPr>
              <w:t>nete</w:t>
            </w:r>
            <w:r w:rsidR="009F680A" w:rsidRPr="008C5279">
              <w:rPr>
                <w:rFonts w:ascii="Arial" w:hAnsi="Arial" w:cs="Arial"/>
                <w:color w:val="000000"/>
                <w:sz w:val="17"/>
                <w:szCs w:val="17"/>
                <w:lang w:val="es-ES"/>
              </w:rPr>
              <w:t xml:space="preserve"> a la Asamblea Nacional.</w:t>
            </w:r>
          </w:p>
        </w:tc>
        <w:tc>
          <w:tcPr>
            <w:tcW w:w="823" w:type="pct"/>
            <w:vAlign w:val="center"/>
          </w:tcPr>
          <w:p w14:paraId="40476CE3" w14:textId="1B1AD48A" w:rsidR="00B1652C" w:rsidRPr="00FB0684" w:rsidRDefault="00673226" w:rsidP="5269B710">
            <w:pPr>
              <w:jc w:val="both"/>
              <w:rPr>
                <w:rFonts w:ascii="Arial" w:hAnsi="Arial" w:cs="Arial"/>
                <w:sz w:val="17"/>
                <w:szCs w:val="17"/>
                <w:lang w:val="es-ES"/>
              </w:rPr>
            </w:pPr>
            <w:r w:rsidRPr="00202E9B">
              <w:rPr>
                <w:rFonts w:ascii="Arial" w:hAnsi="Arial" w:cs="Arial"/>
                <w:iCs/>
                <w:sz w:val="17"/>
                <w:szCs w:val="17"/>
                <w:lang w:val="es-ES"/>
              </w:rPr>
              <w:t xml:space="preserve">Resolución del </w:t>
            </w:r>
            <w:r w:rsidR="00AF7E01">
              <w:rPr>
                <w:rFonts w:ascii="Arial" w:hAnsi="Arial" w:cs="Arial"/>
                <w:iCs/>
                <w:sz w:val="17"/>
                <w:szCs w:val="17"/>
                <w:lang w:val="es-ES"/>
              </w:rPr>
              <w:t xml:space="preserve">Consejo de </w:t>
            </w:r>
            <w:r w:rsidRPr="00202E9B">
              <w:rPr>
                <w:rFonts w:ascii="Arial" w:hAnsi="Arial" w:cs="Arial"/>
                <w:iCs/>
                <w:sz w:val="17"/>
                <w:szCs w:val="17"/>
                <w:lang w:val="es-ES"/>
              </w:rPr>
              <w:t xml:space="preserve">Gabinete presentando ante </w:t>
            </w:r>
            <w:r w:rsidRPr="0022730D">
              <w:rPr>
                <w:rFonts w:ascii="Arial" w:hAnsi="Arial" w:cs="Arial"/>
                <w:sz w:val="17"/>
                <w:szCs w:val="17"/>
                <w:lang w:val="es-ES"/>
              </w:rPr>
              <w:t>la Asamblea Nacional, el Anteproyecto de Ley</w:t>
            </w:r>
            <w:r w:rsidRPr="00202E9B">
              <w:rPr>
                <w:rFonts w:ascii="Arial" w:hAnsi="Arial" w:cs="Arial"/>
                <w:iCs/>
                <w:sz w:val="17"/>
                <w:szCs w:val="17"/>
                <w:lang w:val="es-ES"/>
              </w:rPr>
              <w:t>.</w:t>
            </w:r>
          </w:p>
        </w:tc>
      </w:tr>
    </w:tbl>
    <w:p w14:paraId="35238E0F" w14:textId="752B51FB" w:rsidR="002906C2" w:rsidRPr="00C53287" w:rsidRDefault="002906C2">
      <w:pPr>
        <w:jc w:val="both"/>
        <w:rPr>
          <w:rFonts w:ascii="Arial" w:hAnsi="Arial" w:cs="Arial"/>
          <w:b/>
          <w:bCs/>
          <w:sz w:val="17"/>
          <w:szCs w:val="17"/>
          <w:lang w:val="es-ES"/>
        </w:rPr>
      </w:pPr>
    </w:p>
    <w:sectPr w:rsidR="002906C2" w:rsidRPr="00C53287" w:rsidSect="00B1652C">
      <w:headerReference w:type="default" r:id="rId11"/>
      <w:pgSz w:w="15840" w:h="12240" w:orient="landscape"/>
      <w:pgMar w:top="540" w:right="540" w:bottom="63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E1A1D" w14:textId="77777777" w:rsidR="00462173" w:rsidRDefault="00462173">
      <w:r>
        <w:separator/>
      </w:r>
    </w:p>
  </w:endnote>
  <w:endnote w:type="continuationSeparator" w:id="0">
    <w:p w14:paraId="70992C26" w14:textId="77777777" w:rsidR="00462173" w:rsidRDefault="00462173">
      <w:r>
        <w:continuationSeparator/>
      </w:r>
    </w:p>
  </w:endnote>
  <w:endnote w:type="continuationNotice" w:id="1">
    <w:p w14:paraId="07FDC02C" w14:textId="77777777" w:rsidR="00462173" w:rsidRDefault="004621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neva">
    <w:altName w:val="Arial"/>
    <w:charset w:val="00"/>
    <w:family w:val="auto"/>
    <w:pitch w:val="variable"/>
    <w:sig w:usb0="E00002FF" w:usb1="5200205F" w:usb2="00A0C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FFEBD6" w14:textId="77777777" w:rsidR="00462173" w:rsidRDefault="00462173">
      <w:r>
        <w:separator/>
      </w:r>
    </w:p>
  </w:footnote>
  <w:footnote w:type="continuationSeparator" w:id="0">
    <w:p w14:paraId="1744B2AF" w14:textId="77777777" w:rsidR="00462173" w:rsidRDefault="00462173">
      <w:r>
        <w:continuationSeparator/>
      </w:r>
    </w:p>
  </w:footnote>
  <w:footnote w:type="continuationNotice" w:id="1">
    <w:p w14:paraId="0ACBB31D" w14:textId="77777777" w:rsidR="00462173" w:rsidRDefault="00462173"/>
  </w:footnote>
  <w:footnote w:id="2">
    <w:p w14:paraId="0B06F838" w14:textId="77777777" w:rsidR="00B1652C" w:rsidRPr="007C4669" w:rsidRDefault="00B1652C" w:rsidP="5269B710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5269B710">
        <w:rPr>
          <w:lang w:val="es-ES"/>
        </w:rPr>
        <w:t xml:space="preserve"> El PEN fue aprobado en junio de 2016 y para el establecimiento de sus metas se usó información de 2013. La actualización del PEN incluirá actualización de la línea base y metas del mismo, así como un análisis de su la implementación.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</w:rPr>
      <w:id w:val="1460137025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EBAC3F" w14:textId="73131083" w:rsidR="00462173" w:rsidRPr="0027193B" w:rsidRDefault="5269B710" w:rsidP="5269B710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269B710">
          <w:rPr>
            <w:rFonts w:ascii="Arial" w:hAnsi="Arial" w:cs="Arial"/>
            <w:sz w:val="18"/>
            <w:szCs w:val="18"/>
            <w:lang w:val="pt-BR"/>
          </w:rPr>
          <w:t>PN-L1145</w:t>
        </w:r>
      </w:p>
      <w:p w14:paraId="143BB62B" w14:textId="1C1DBF3E" w:rsidR="00462173" w:rsidRPr="00946E39" w:rsidRDefault="5269B710" w:rsidP="5269B710">
        <w:pPr>
          <w:pStyle w:val="Header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5269B710">
          <w:rPr>
            <w:rFonts w:ascii="Arial" w:hAnsi="Arial" w:cs="Arial"/>
            <w:sz w:val="18"/>
            <w:szCs w:val="18"/>
            <w:lang w:val="pt-BR"/>
          </w:rPr>
          <w:t xml:space="preserve">Página </w:t>
        </w:r>
        <w:r w:rsidR="00462173" w:rsidRPr="5269B710">
          <w:rPr>
            <w:rFonts w:ascii="Arial" w:hAnsi="Arial" w:cs="Arial"/>
            <w:noProof/>
            <w:sz w:val="18"/>
            <w:szCs w:val="18"/>
            <w:lang w:val="pt-BR"/>
          </w:rPr>
          <w:fldChar w:fldCharType="begin"/>
        </w:r>
        <w:r w:rsidR="00462173" w:rsidRPr="5269B710">
          <w:rPr>
            <w:rFonts w:ascii="Arial" w:hAnsi="Arial" w:cs="Arial"/>
            <w:noProof/>
            <w:sz w:val="18"/>
            <w:szCs w:val="18"/>
            <w:lang w:val="pt-BR"/>
          </w:rPr>
          <w:instrText xml:space="preserve"> PAGE   \* MERGEFORMAT </w:instrText>
        </w:r>
        <w:r w:rsidR="00462173" w:rsidRPr="5269B710">
          <w:rPr>
            <w:rFonts w:ascii="Arial" w:hAnsi="Arial" w:cs="Arial"/>
            <w:noProof/>
            <w:sz w:val="18"/>
            <w:szCs w:val="18"/>
            <w:lang w:val="pt-BR"/>
          </w:rPr>
          <w:fldChar w:fldCharType="separate"/>
        </w:r>
        <w:r w:rsidR="00F3528B">
          <w:rPr>
            <w:rFonts w:ascii="Arial" w:hAnsi="Arial" w:cs="Arial"/>
            <w:noProof/>
            <w:sz w:val="18"/>
            <w:szCs w:val="18"/>
            <w:lang w:val="pt-BR"/>
          </w:rPr>
          <w:t>3</w:t>
        </w:r>
        <w:r w:rsidR="00462173" w:rsidRPr="5269B710">
          <w:rPr>
            <w:rFonts w:ascii="Arial" w:hAnsi="Arial" w:cs="Arial"/>
            <w:noProof/>
            <w:sz w:val="18"/>
            <w:szCs w:val="18"/>
            <w:lang w:val="pt-BR"/>
          </w:rPr>
          <w:fldChar w:fldCharType="end"/>
        </w:r>
        <w:r w:rsidRPr="5269B710">
          <w:rPr>
            <w:rFonts w:ascii="Arial" w:hAnsi="Arial" w:cs="Arial"/>
            <w:noProof/>
            <w:sz w:val="18"/>
            <w:szCs w:val="18"/>
            <w:lang w:val="pt-BR"/>
          </w:rPr>
          <w:t xml:space="preserve"> de </w:t>
        </w:r>
        <w:r w:rsidR="000F6066">
          <w:rPr>
            <w:rFonts w:ascii="Arial" w:hAnsi="Arial" w:cs="Arial"/>
            <w:noProof/>
            <w:sz w:val="18"/>
            <w:szCs w:val="18"/>
            <w:lang w:val="pt-BR"/>
          </w:rPr>
          <w:t>3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B7FC9"/>
    <w:multiLevelType w:val="multilevel"/>
    <w:tmpl w:val="50FC2F7A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16A9031D"/>
    <w:multiLevelType w:val="hybridMultilevel"/>
    <w:tmpl w:val="5A6C4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837AF2"/>
    <w:multiLevelType w:val="hybridMultilevel"/>
    <w:tmpl w:val="B094AD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BD218C"/>
    <w:multiLevelType w:val="hybridMultilevel"/>
    <w:tmpl w:val="75DE635A"/>
    <w:lvl w:ilvl="0" w:tplc="04090001">
      <w:start w:val="1"/>
      <w:numFmt w:val="bullet"/>
      <w:lvlText w:val=""/>
      <w:lvlJc w:val="left"/>
      <w:pPr>
        <w:ind w:left="11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4" w15:restartNumberingAfterBreak="0">
    <w:nsid w:val="4AFF6156"/>
    <w:multiLevelType w:val="hybridMultilevel"/>
    <w:tmpl w:val="CB9A4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CF4999"/>
    <w:multiLevelType w:val="hybridMultilevel"/>
    <w:tmpl w:val="5C6E44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4A94650"/>
    <w:multiLevelType w:val="hybridMultilevel"/>
    <w:tmpl w:val="8236F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98345F"/>
    <w:multiLevelType w:val="hybridMultilevel"/>
    <w:tmpl w:val="AE28EA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698"/>
    <w:rsid w:val="00000531"/>
    <w:rsid w:val="000005AB"/>
    <w:rsid w:val="00000608"/>
    <w:rsid w:val="00002B34"/>
    <w:rsid w:val="00002D15"/>
    <w:rsid w:val="00003415"/>
    <w:rsid w:val="000053F5"/>
    <w:rsid w:val="00006089"/>
    <w:rsid w:val="000062D5"/>
    <w:rsid w:val="000069D4"/>
    <w:rsid w:val="00006F58"/>
    <w:rsid w:val="000076AE"/>
    <w:rsid w:val="00011552"/>
    <w:rsid w:val="00012460"/>
    <w:rsid w:val="00013B28"/>
    <w:rsid w:val="000157DE"/>
    <w:rsid w:val="00017D38"/>
    <w:rsid w:val="00020A03"/>
    <w:rsid w:val="000216E8"/>
    <w:rsid w:val="00025356"/>
    <w:rsid w:val="000271A1"/>
    <w:rsid w:val="0003171A"/>
    <w:rsid w:val="0003235E"/>
    <w:rsid w:val="00032B5B"/>
    <w:rsid w:val="0003409F"/>
    <w:rsid w:val="00034A08"/>
    <w:rsid w:val="00035F14"/>
    <w:rsid w:val="00040206"/>
    <w:rsid w:val="00041117"/>
    <w:rsid w:val="00042B08"/>
    <w:rsid w:val="00042CDF"/>
    <w:rsid w:val="00043343"/>
    <w:rsid w:val="00045628"/>
    <w:rsid w:val="000461E0"/>
    <w:rsid w:val="00051470"/>
    <w:rsid w:val="0005379B"/>
    <w:rsid w:val="00053BEF"/>
    <w:rsid w:val="00054B69"/>
    <w:rsid w:val="00054E89"/>
    <w:rsid w:val="00054EB5"/>
    <w:rsid w:val="000556A8"/>
    <w:rsid w:val="00055F4F"/>
    <w:rsid w:val="00056198"/>
    <w:rsid w:val="00056F23"/>
    <w:rsid w:val="00057A56"/>
    <w:rsid w:val="0006072C"/>
    <w:rsid w:val="000612F6"/>
    <w:rsid w:val="00061C92"/>
    <w:rsid w:val="00064111"/>
    <w:rsid w:val="00066A0A"/>
    <w:rsid w:val="00066B68"/>
    <w:rsid w:val="00066B7B"/>
    <w:rsid w:val="00067D40"/>
    <w:rsid w:val="00067F27"/>
    <w:rsid w:val="000717FE"/>
    <w:rsid w:val="00072106"/>
    <w:rsid w:val="00072F7C"/>
    <w:rsid w:val="00073326"/>
    <w:rsid w:val="00073F90"/>
    <w:rsid w:val="0007538D"/>
    <w:rsid w:val="00077961"/>
    <w:rsid w:val="00077DB1"/>
    <w:rsid w:val="0008081A"/>
    <w:rsid w:val="00081C7E"/>
    <w:rsid w:val="0008312A"/>
    <w:rsid w:val="00083F05"/>
    <w:rsid w:val="0008483A"/>
    <w:rsid w:val="00084B52"/>
    <w:rsid w:val="00085135"/>
    <w:rsid w:val="0008649A"/>
    <w:rsid w:val="0009095A"/>
    <w:rsid w:val="00091396"/>
    <w:rsid w:val="00091CF5"/>
    <w:rsid w:val="00093545"/>
    <w:rsid w:val="00093DDA"/>
    <w:rsid w:val="00094614"/>
    <w:rsid w:val="0009563E"/>
    <w:rsid w:val="00095E3A"/>
    <w:rsid w:val="000A20F8"/>
    <w:rsid w:val="000A3E1A"/>
    <w:rsid w:val="000A4536"/>
    <w:rsid w:val="000A4A65"/>
    <w:rsid w:val="000A51E3"/>
    <w:rsid w:val="000A7B47"/>
    <w:rsid w:val="000B09DC"/>
    <w:rsid w:val="000B2795"/>
    <w:rsid w:val="000B409C"/>
    <w:rsid w:val="000B4645"/>
    <w:rsid w:val="000B47C0"/>
    <w:rsid w:val="000B4D4E"/>
    <w:rsid w:val="000B4DBB"/>
    <w:rsid w:val="000B5BE9"/>
    <w:rsid w:val="000C005D"/>
    <w:rsid w:val="000C08ED"/>
    <w:rsid w:val="000C0BF5"/>
    <w:rsid w:val="000C234F"/>
    <w:rsid w:val="000C3F84"/>
    <w:rsid w:val="000C42A3"/>
    <w:rsid w:val="000C49A7"/>
    <w:rsid w:val="000C5E36"/>
    <w:rsid w:val="000C7BF4"/>
    <w:rsid w:val="000D15F1"/>
    <w:rsid w:val="000D41C0"/>
    <w:rsid w:val="000D4B8E"/>
    <w:rsid w:val="000D589A"/>
    <w:rsid w:val="000D75A6"/>
    <w:rsid w:val="000D7D6B"/>
    <w:rsid w:val="000E0DDC"/>
    <w:rsid w:val="000E18D2"/>
    <w:rsid w:val="000E1EFB"/>
    <w:rsid w:val="000E4887"/>
    <w:rsid w:val="000E54B7"/>
    <w:rsid w:val="000E704B"/>
    <w:rsid w:val="000E73C2"/>
    <w:rsid w:val="000F19A6"/>
    <w:rsid w:val="000F1C75"/>
    <w:rsid w:val="000F563D"/>
    <w:rsid w:val="000F58FC"/>
    <w:rsid w:val="000F6066"/>
    <w:rsid w:val="001021FE"/>
    <w:rsid w:val="00102DDA"/>
    <w:rsid w:val="001033B7"/>
    <w:rsid w:val="001060AA"/>
    <w:rsid w:val="001074CF"/>
    <w:rsid w:val="00107706"/>
    <w:rsid w:val="00110090"/>
    <w:rsid w:val="00110910"/>
    <w:rsid w:val="00111202"/>
    <w:rsid w:val="001117AB"/>
    <w:rsid w:val="00112DC9"/>
    <w:rsid w:val="00113E11"/>
    <w:rsid w:val="001146B9"/>
    <w:rsid w:val="0011593B"/>
    <w:rsid w:val="00120214"/>
    <w:rsid w:val="00121650"/>
    <w:rsid w:val="001233D4"/>
    <w:rsid w:val="0012346A"/>
    <w:rsid w:val="001245AF"/>
    <w:rsid w:val="00124ED4"/>
    <w:rsid w:val="0012678F"/>
    <w:rsid w:val="001309F5"/>
    <w:rsid w:val="001317B5"/>
    <w:rsid w:val="00132E75"/>
    <w:rsid w:val="001350B4"/>
    <w:rsid w:val="0013551A"/>
    <w:rsid w:val="0013762B"/>
    <w:rsid w:val="00137948"/>
    <w:rsid w:val="0014064F"/>
    <w:rsid w:val="00141143"/>
    <w:rsid w:val="001413B5"/>
    <w:rsid w:val="001415E7"/>
    <w:rsid w:val="001421D5"/>
    <w:rsid w:val="001423D0"/>
    <w:rsid w:val="00143C21"/>
    <w:rsid w:val="00145A68"/>
    <w:rsid w:val="00146CFF"/>
    <w:rsid w:val="00150684"/>
    <w:rsid w:val="00150F64"/>
    <w:rsid w:val="001536FE"/>
    <w:rsid w:val="00154C24"/>
    <w:rsid w:val="00160D60"/>
    <w:rsid w:val="001616BC"/>
    <w:rsid w:val="001636CE"/>
    <w:rsid w:val="00164DEF"/>
    <w:rsid w:val="001656FA"/>
    <w:rsid w:val="0017077E"/>
    <w:rsid w:val="001718A3"/>
    <w:rsid w:val="00171A51"/>
    <w:rsid w:val="00173D92"/>
    <w:rsid w:val="00174232"/>
    <w:rsid w:val="00174692"/>
    <w:rsid w:val="00176972"/>
    <w:rsid w:val="00176F97"/>
    <w:rsid w:val="001774D0"/>
    <w:rsid w:val="0018023C"/>
    <w:rsid w:val="00182722"/>
    <w:rsid w:val="00182C77"/>
    <w:rsid w:val="001841FC"/>
    <w:rsid w:val="001848BC"/>
    <w:rsid w:val="00184F98"/>
    <w:rsid w:val="00184F9A"/>
    <w:rsid w:val="001878DB"/>
    <w:rsid w:val="00190573"/>
    <w:rsid w:val="0019070D"/>
    <w:rsid w:val="001918A4"/>
    <w:rsid w:val="00191AE4"/>
    <w:rsid w:val="00191E78"/>
    <w:rsid w:val="00194D31"/>
    <w:rsid w:val="001950D2"/>
    <w:rsid w:val="001970B9"/>
    <w:rsid w:val="00197265"/>
    <w:rsid w:val="001978F7"/>
    <w:rsid w:val="001A1732"/>
    <w:rsid w:val="001A23C3"/>
    <w:rsid w:val="001A260B"/>
    <w:rsid w:val="001A284C"/>
    <w:rsid w:val="001A2A14"/>
    <w:rsid w:val="001A35E0"/>
    <w:rsid w:val="001A40D5"/>
    <w:rsid w:val="001A53EB"/>
    <w:rsid w:val="001A712B"/>
    <w:rsid w:val="001B14CC"/>
    <w:rsid w:val="001B2699"/>
    <w:rsid w:val="001B4ED9"/>
    <w:rsid w:val="001B61FB"/>
    <w:rsid w:val="001B6BAD"/>
    <w:rsid w:val="001B6DCB"/>
    <w:rsid w:val="001B7917"/>
    <w:rsid w:val="001C0073"/>
    <w:rsid w:val="001C18A8"/>
    <w:rsid w:val="001C30FD"/>
    <w:rsid w:val="001C3A3F"/>
    <w:rsid w:val="001C4076"/>
    <w:rsid w:val="001C4B2C"/>
    <w:rsid w:val="001C6067"/>
    <w:rsid w:val="001D0054"/>
    <w:rsid w:val="001D0F3D"/>
    <w:rsid w:val="001D11D7"/>
    <w:rsid w:val="001D1698"/>
    <w:rsid w:val="001D3179"/>
    <w:rsid w:val="001D3A32"/>
    <w:rsid w:val="001D4BBD"/>
    <w:rsid w:val="001D6045"/>
    <w:rsid w:val="001D641E"/>
    <w:rsid w:val="001E1021"/>
    <w:rsid w:val="001E1721"/>
    <w:rsid w:val="001E3DCB"/>
    <w:rsid w:val="001E4084"/>
    <w:rsid w:val="001E40B8"/>
    <w:rsid w:val="001E50BE"/>
    <w:rsid w:val="001E5681"/>
    <w:rsid w:val="001E5A27"/>
    <w:rsid w:val="001E7E92"/>
    <w:rsid w:val="001F17D1"/>
    <w:rsid w:val="001F1963"/>
    <w:rsid w:val="001F1BC7"/>
    <w:rsid w:val="001F1FAE"/>
    <w:rsid w:val="001F2716"/>
    <w:rsid w:val="001F282E"/>
    <w:rsid w:val="001F396F"/>
    <w:rsid w:val="001F4940"/>
    <w:rsid w:val="001F5FAF"/>
    <w:rsid w:val="001F6099"/>
    <w:rsid w:val="001F64A8"/>
    <w:rsid w:val="001F74B5"/>
    <w:rsid w:val="00200E2D"/>
    <w:rsid w:val="00202F4A"/>
    <w:rsid w:val="00205B61"/>
    <w:rsid w:val="00207A76"/>
    <w:rsid w:val="00210B73"/>
    <w:rsid w:val="0021217C"/>
    <w:rsid w:val="00212388"/>
    <w:rsid w:val="00213257"/>
    <w:rsid w:val="002137F8"/>
    <w:rsid w:val="002149A1"/>
    <w:rsid w:val="00215399"/>
    <w:rsid w:val="0021583A"/>
    <w:rsid w:val="002173F4"/>
    <w:rsid w:val="00220A57"/>
    <w:rsid w:val="00220E0F"/>
    <w:rsid w:val="002216C7"/>
    <w:rsid w:val="00221DF8"/>
    <w:rsid w:val="00222DA1"/>
    <w:rsid w:val="00226C80"/>
    <w:rsid w:val="0022718E"/>
    <w:rsid w:val="0023137C"/>
    <w:rsid w:val="00231DB5"/>
    <w:rsid w:val="002351BB"/>
    <w:rsid w:val="0023615E"/>
    <w:rsid w:val="00236F1B"/>
    <w:rsid w:val="00237C52"/>
    <w:rsid w:val="00240BC9"/>
    <w:rsid w:val="0024125C"/>
    <w:rsid w:val="00241321"/>
    <w:rsid w:val="0024174B"/>
    <w:rsid w:val="00241FFD"/>
    <w:rsid w:val="00243947"/>
    <w:rsid w:val="002449A3"/>
    <w:rsid w:val="00244C10"/>
    <w:rsid w:val="00244E10"/>
    <w:rsid w:val="00252C9A"/>
    <w:rsid w:val="002545F7"/>
    <w:rsid w:val="00255341"/>
    <w:rsid w:val="002556DC"/>
    <w:rsid w:val="00255BB0"/>
    <w:rsid w:val="002601FE"/>
    <w:rsid w:val="00262DB0"/>
    <w:rsid w:val="00262E1D"/>
    <w:rsid w:val="0026412E"/>
    <w:rsid w:val="002645D5"/>
    <w:rsid w:val="002646C8"/>
    <w:rsid w:val="0026516F"/>
    <w:rsid w:val="00266E8A"/>
    <w:rsid w:val="00270C98"/>
    <w:rsid w:val="0027193B"/>
    <w:rsid w:val="0027389E"/>
    <w:rsid w:val="002750B1"/>
    <w:rsid w:val="00275BB3"/>
    <w:rsid w:val="0027653B"/>
    <w:rsid w:val="00276838"/>
    <w:rsid w:val="00280B14"/>
    <w:rsid w:val="00281DBD"/>
    <w:rsid w:val="002830F4"/>
    <w:rsid w:val="002847CF"/>
    <w:rsid w:val="00286682"/>
    <w:rsid w:val="00286F91"/>
    <w:rsid w:val="002877F7"/>
    <w:rsid w:val="002906C2"/>
    <w:rsid w:val="002908BA"/>
    <w:rsid w:val="00291082"/>
    <w:rsid w:val="00295E60"/>
    <w:rsid w:val="002965A7"/>
    <w:rsid w:val="002A28F2"/>
    <w:rsid w:val="002A3458"/>
    <w:rsid w:val="002A5556"/>
    <w:rsid w:val="002A7BCA"/>
    <w:rsid w:val="002B0182"/>
    <w:rsid w:val="002B0EF0"/>
    <w:rsid w:val="002B3FD2"/>
    <w:rsid w:val="002B4AA6"/>
    <w:rsid w:val="002B6ABE"/>
    <w:rsid w:val="002B6B86"/>
    <w:rsid w:val="002B7BC9"/>
    <w:rsid w:val="002C1117"/>
    <w:rsid w:val="002C22D1"/>
    <w:rsid w:val="002C2C98"/>
    <w:rsid w:val="002C3671"/>
    <w:rsid w:val="002C43F6"/>
    <w:rsid w:val="002C6BB7"/>
    <w:rsid w:val="002C70BC"/>
    <w:rsid w:val="002C79D4"/>
    <w:rsid w:val="002D07D2"/>
    <w:rsid w:val="002D1631"/>
    <w:rsid w:val="002D3379"/>
    <w:rsid w:val="002D3725"/>
    <w:rsid w:val="002D4CEC"/>
    <w:rsid w:val="002D5B77"/>
    <w:rsid w:val="002D670E"/>
    <w:rsid w:val="002D68F7"/>
    <w:rsid w:val="002E1BC3"/>
    <w:rsid w:val="002E231B"/>
    <w:rsid w:val="002E243E"/>
    <w:rsid w:val="002E2547"/>
    <w:rsid w:val="002E2608"/>
    <w:rsid w:val="002E2F31"/>
    <w:rsid w:val="002E3E4E"/>
    <w:rsid w:val="002E4F8E"/>
    <w:rsid w:val="002E55D8"/>
    <w:rsid w:val="002E71B1"/>
    <w:rsid w:val="002E76B8"/>
    <w:rsid w:val="002E78CC"/>
    <w:rsid w:val="002E7A5C"/>
    <w:rsid w:val="002F0392"/>
    <w:rsid w:val="002F116A"/>
    <w:rsid w:val="002F2463"/>
    <w:rsid w:val="002F3CED"/>
    <w:rsid w:val="002F449F"/>
    <w:rsid w:val="002F4C3F"/>
    <w:rsid w:val="002F50FA"/>
    <w:rsid w:val="002F5CD6"/>
    <w:rsid w:val="00301778"/>
    <w:rsid w:val="00302A94"/>
    <w:rsid w:val="00304A43"/>
    <w:rsid w:val="0030524F"/>
    <w:rsid w:val="00306E6E"/>
    <w:rsid w:val="00307C69"/>
    <w:rsid w:val="00307CC4"/>
    <w:rsid w:val="00310115"/>
    <w:rsid w:val="003153A0"/>
    <w:rsid w:val="00315836"/>
    <w:rsid w:val="00316DD2"/>
    <w:rsid w:val="003175C9"/>
    <w:rsid w:val="0032099F"/>
    <w:rsid w:val="00320C13"/>
    <w:rsid w:val="00322B06"/>
    <w:rsid w:val="00323A4B"/>
    <w:rsid w:val="00323BB2"/>
    <w:rsid w:val="00323D5F"/>
    <w:rsid w:val="003253D1"/>
    <w:rsid w:val="003259FB"/>
    <w:rsid w:val="00325DFD"/>
    <w:rsid w:val="003313DB"/>
    <w:rsid w:val="003318CE"/>
    <w:rsid w:val="00332E86"/>
    <w:rsid w:val="003336C1"/>
    <w:rsid w:val="00335B6A"/>
    <w:rsid w:val="00337FA9"/>
    <w:rsid w:val="00341082"/>
    <w:rsid w:val="003427D0"/>
    <w:rsid w:val="00342ADA"/>
    <w:rsid w:val="00342E17"/>
    <w:rsid w:val="00344234"/>
    <w:rsid w:val="00345E5A"/>
    <w:rsid w:val="00346703"/>
    <w:rsid w:val="0034688C"/>
    <w:rsid w:val="00347CAD"/>
    <w:rsid w:val="003514A2"/>
    <w:rsid w:val="00353623"/>
    <w:rsid w:val="003548ED"/>
    <w:rsid w:val="00355501"/>
    <w:rsid w:val="003567EA"/>
    <w:rsid w:val="00356EEB"/>
    <w:rsid w:val="003572CC"/>
    <w:rsid w:val="003575B6"/>
    <w:rsid w:val="003611FC"/>
    <w:rsid w:val="003612E2"/>
    <w:rsid w:val="0036131E"/>
    <w:rsid w:val="00361A69"/>
    <w:rsid w:val="003628B8"/>
    <w:rsid w:val="003631CC"/>
    <w:rsid w:val="00363B08"/>
    <w:rsid w:val="00364864"/>
    <w:rsid w:val="003662E4"/>
    <w:rsid w:val="003671CA"/>
    <w:rsid w:val="00367AB0"/>
    <w:rsid w:val="00370260"/>
    <w:rsid w:val="00370DC9"/>
    <w:rsid w:val="00372386"/>
    <w:rsid w:val="003745C0"/>
    <w:rsid w:val="00375122"/>
    <w:rsid w:val="00376C12"/>
    <w:rsid w:val="00380F57"/>
    <w:rsid w:val="003813E0"/>
    <w:rsid w:val="00382070"/>
    <w:rsid w:val="003824CA"/>
    <w:rsid w:val="0038280E"/>
    <w:rsid w:val="00383D7A"/>
    <w:rsid w:val="003840CB"/>
    <w:rsid w:val="00385412"/>
    <w:rsid w:val="003855EB"/>
    <w:rsid w:val="00385BC1"/>
    <w:rsid w:val="00385D35"/>
    <w:rsid w:val="003873BC"/>
    <w:rsid w:val="003900FE"/>
    <w:rsid w:val="00391A62"/>
    <w:rsid w:val="003940D5"/>
    <w:rsid w:val="00395B16"/>
    <w:rsid w:val="00395BBB"/>
    <w:rsid w:val="003A0749"/>
    <w:rsid w:val="003A2977"/>
    <w:rsid w:val="003A2A52"/>
    <w:rsid w:val="003A38D0"/>
    <w:rsid w:val="003A3BF7"/>
    <w:rsid w:val="003A4DDE"/>
    <w:rsid w:val="003A5205"/>
    <w:rsid w:val="003A641E"/>
    <w:rsid w:val="003A68FE"/>
    <w:rsid w:val="003A6C4D"/>
    <w:rsid w:val="003B047D"/>
    <w:rsid w:val="003B4039"/>
    <w:rsid w:val="003B5778"/>
    <w:rsid w:val="003B5EC8"/>
    <w:rsid w:val="003B6DE5"/>
    <w:rsid w:val="003B70EC"/>
    <w:rsid w:val="003B7215"/>
    <w:rsid w:val="003C07C6"/>
    <w:rsid w:val="003C093B"/>
    <w:rsid w:val="003C25EB"/>
    <w:rsid w:val="003C312F"/>
    <w:rsid w:val="003C325B"/>
    <w:rsid w:val="003C351F"/>
    <w:rsid w:val="003C38C4"/>
    <w:rsid w:val="003C508A"/>
    <w:rsid w:val="003C6586"/>
    <w:rsid w:val="003C6A70"/>
    <w:rsid w:val="003C6F0A"/>
    <w:rsid w:val="003C77BD"/>
    <w:rsid w:val="003D09AB"/>
    <w:rsid w:val="003D19DE"/>
    <w:rsid w:val="003D1DD8"/>
    <w:rsid w:val="003D27EA"/>
    <w:rsid w:val="003D6F26"/>
    <w:rsid w:val="003E0840"/>
    <w:rsid w:val="003E13D9"/>
    <w:rsid w:val="003E1E99"/>
    <w:rsid w:val="003E3A0D"/>
    <w:rsid w:val="003E4117"/>
    <w:rsid w:val="003E4ECF"/>
    <w:rsid w:val="003E5BB3"/>
    <w:rsid w:val="003E69A7"/>
    <w:rsid w:val="003E6BEA"/>
    <w:rsid w:val="003E6C1D"/>
    <w:rsid w:val="003E6D6F"/>
    <w:rsid w:val="003E7C85"/>
    <w:rsid w:val="003F12D8"/>
    <w:rsid w:val="003F26BF"/>
    <w:rsid w:val="003F2ACD"/>
    <w:rsid w:val="003F3B0C"/>
    <w:rsid w:val="003F4DD2"/>
    <w:rsid w:val="003F75C3"/>
    <w:rsid w:val="0040345F"/>
    <w:rsid w:val="0040454F"/>
    <w:rsid w:val="004047EA"/>
    <w:rsid w:val="00406369"/>
    <w:rsid w:val="00406B81"/>
    <w:rsid w:val="00406E2F"/>
    <w:rsid w:val="00410BE6"/>
    <w:rsid w:val="00413ADB"/>
    <w:rsid w:val="004146B9"/>
    <w:rsid w:val="0041553F"/>
    <w:rsid w:val="00416539"/>
    <w:rsid w:val="00416DCB"/>
    <w:rsid w:val="00420100"/>
    <w:rsid w:val="00422B8E"/>
    <w:rsid w:val="00422FFB"/>
    <w:rsid w:val="004243C6"/>
    <w:rsid w:val="00424DC4"/>
    <w:rsid w:val="00424E77"/>
    <w:rsid w:val="00426256"/>
    <w:rsid w:val="004305FE"/>
    <w:rsid w:val="00430D7F"/>
    <w:rsid w:val="00430DFA"/>
    <w:rsid w:val="00430FC5"/>
    <w:rsid w:val="004315B7"/>
    <w:rsid w:val="00431B59"/>
    <w:rsid w:val="00431D2B"/>
    <w:rsid w:val="00432008"/>
    <w:rsid w:val="00432D74"/>
    <w:rsid w:val="00432FCE"/>
    <w:rsid w:val="004344E7"/>
    <w:rsid w:val="00434653"/>
    <w:rsid w:val="004350AD"/>
    <w:rsid w:val="004359C5"/>
    <w:rsid w:val="00435DFD"/>
    <w:rsid w:val="00436C37"/>
    <w:rsid w:val="004378D6"/>
    <w:rsid w:val="004379B4"/>
    <w:rsid w:val="00442B41"/>
    <w:rsid w:val="0044301B"/>
    <w:rsid w:val="00443F45"/>
    <w:rsid w:val="00445BFD"/>
    <w:rsid w:val="00446109"/>
    <w:rsid w:val="00447A44"/>
    <w:rsid w:val="0045058E"/>
    <w:rsid w:val="00454AB5"/>
    <w:rsid w:val="00454CE5"/>
    <w:rsid w:val="004551F8"/>
    <w:rsid w:val="0045547E"/>
    <w:rsid w:val="00460093"/>
    <w:rsid w:val="0046073E"/>
    <w:rsid w:val="00460879"/>
    <w:rsid w:val="00460E64"/>
    <w:rsid w:val="00460F00"/>
    <w:rsid w:val="00462173"/>
    <w:rsid w:val="00462F18"/>
    <w:rsid w:val="00465AF7"/>
    <w:rsid w:val="00466383"/>
    <w:rsid w:val="004703DC"/>
    <w:rsid w:val="00470C5A"/>
    <w:rsid w:val="00470F56"/>
    <w:rsid w:val="004742EA"/>
    <w:rsid w:val="004754F3"/>
    <w:rsid w:val="004764DF"/>
    <w:rsid w:val="00476526"/>
    <w:rsid w:val="00477192"/>
    <w:rsid w:val="0048049B"/>
    <w:rsid w:val="00480F6C"/>
    <w:rsid w:val="00481F56"/>
    <w:rsid w:val="00485C26"/>
    <w:rsid w:val="00486585"/>
    <w:rsid w:val="00487042"/>
    <w:rsid w:val="0049177F"/>
    <w:rsid w:val="00495547"/>
    <w:rsid w:val="00496C07"/>
    <w:rsid w:val="00496F08"/>
    <w:rsid w:val="004A0922"/>
    <w:rsid w:val="004A0EF9"/>
    <w:rsid w:val="004A0F70"/>
    <w:rsid w:val="004A105C"/>
    <w:rsid w:val="004A30D6"/>
    <w:rsid w:val="004A3F2E"/>
    <w:rsid w:val="004A4514"/>
    <w:rsid w:val="004A7A3D"/>
    <w:rsid w:val="004B0E9E"/>
    <w:rsid w:val="004B2E5A"/>
    <w:rsid w:val="004B431E"/>
    <w:rsid w:val="004C00A9"/>
    <w:rsid w:val="004C06FC"/>
    <w:rsid w:val="004C07F5"/>
    <w:rsid w:val="004C12DA"/>
    <w:rsid w:val="004C3EAC"/>
    <w:rsid w:val="004C5118"/>
    <w:rsid w:val="004C54C7"/>
    <w:rsid w:val="004C57AD"/>
    <w:rsid w:val="004C70C7"/>
    <w:rsid w:val="004D0183"/>
    <w:rsid w:val="004D0218"/>
    <w:rsid w:val="004D051C"/>
    <w:rsid w:val="004D24AD"/>
    <w:rsid w:val="004D3E6E"/>
    <w:rsid w:val="004D481D"/>
    <w:rsid w:val="004D6C11"/>
    <w:rsid w:val="004E06FB"/>
    <w:rsid w:val="004E071E"/>
    <w:rsid w:val="004E40ED"/>
    <w:rsid w:val="004F05CF"/>
    <w:rsid w:val="004F1391"/>
    <w:rsid w:val="004F16BC"/>
    <w:rsid w:val="004F1C9F"/>
    <w:rsid w:val="004F21B5"/>
    <w:rsid w:val="004F2396"/>
    <w:rsid w:val="004F3612"/>
    <w:rsid w:val="004F50CF"/>
    <w:rsid w:val="004F52FD"/>
    <w:rsid w:val="004F60B6"/>
    <w:rsid w:val="004F6AFC"/>
    <w:rsid w:val="004F7DDA"/>
    <w:rsid w:val="00501C37"/>
    <w:rsid w:val="00502383"/>
    <w:rsid w:val="00505201"/>
    <w:rsid w:val="00506F26"/>
    <w:rsid w:val="005073DE"/>
    <w:rsid w:val="005115A8"/>
    <w:rsid w:val="005134CF"/>
    <w:rsid w:val="00513E4D"/>
    <w:rsid w:val="00514DF0"/>
    <w:rsid w:val="005154BE"/>
    <w:rsid w:val="00515B72"/>
    <w:rsid w:val="005166A1"/>
    <w:rsid w:val="00516986"/>
    <w:rsid w:val="00517C43"/>
    <w:rsid w:val="00520C95"/>
    <w:rsid w:val="00520F92"/>
    <w:rsid w:val="005250AF"/>
    <w:rsid w:val="0052600A"/>
    <w:rsid w:val="00526678"/>
    <w:rsid w:val="0052711C"/>
    <w:rsid w:val="00527A37"/>
    <w:rsid w:val="005302D7"/>
    <w:rsid w:val="005315AC"/>
    <w:rsid w:val="00531CBD"/>
    <w:rsid w:val="00533417"/>
    <w:rsid w:val="00533826"/>
    <w:rsid w:val="0053386E"/>
    <w:rsid w:val="00534D96"/>
    <w:rsid w:val="005351E5"/>
    <w:rsid w:val="00535928"/>
    <w:rsid w:val="005365D2"/>
    <w:rsid w:val="00537449"/>
    <w:rsid w:val="0053785D"/>
    <w:rsid w:val="00537F06"/>
    <w:rsid w:val="005400E5"/>
    <w:rsid w:val="00540F60"/>
    <w:rsid w:val="00542336"/>
    <w:rsid w:val="0054313C"/>
    <w:rsid w:val="0054378D"/>
    <w:rsid w:val="0054425A"/>
    <w:rsid w:val="005447C9"/>
    <w:rsid w:val="00544D28"/>
    <w:rsid w:val="00545770"/>
    <w:rsid w:val="005507E7"/>
    <w:rsid w:val="005532B2"/>
    <w:rsid w:val="005553AA"/>
    <w:rsid w:val="0055591F"/>
    <w:rsid w:val="0055599B"/>
    <w:rsid w:val="005563C4"/>
    <w:rsid w:val="00556F40"/>
    <w:rsid w:val="005573D0"/>
    <w:rsid w:val="00557916"/>
    <w:rsid w:val="00560B60"/>
    <w:rsid w:val="00561AF6"/>
    <w:rsid w:val="005622C2"/>
    <w:rsid w:val="00562A1D"/>
    <w:rsid w:val="00562A53"/>
    <w:rsid w:val="00563B1C"/>
    <w:rsid w:val="005643F3"/>
    <w:rsid w:val="005645A3"/>
    <w:rsid w:val="00564887"/>
    <w:rsid w:val="00564BB1"/>
    <w:rsid w:val="00565336"/>
    <w:rsid w:val="00566EFC"/>
    <w:rsid w:val="005674CF"/>
    <w:rsid w:val="00567B6E"/>
    <w:rsid w:val="00571029"/>
    <w:rsid w:val="00572B4A"/>
    <w:rsid w:val="00575224"/>
    <w:rsid w:val="00577735"/>
    <w:rsid w:val="005802ED"/>
    <w:rsid w:val="00581327"/>
    <w:rsid w:val="00585241"/>
    <w:rsid w:val="00585308"/>
    <w:rsid w:val="0058763B"/>
    <w:rsid w:val="00590110"/>
    <w:rsid w:val="00590CA4"/>
    <w:rsid w:val="00591414"/>
    <w:rsid w:val="00593657"/>
    <w:rsid w:val="00597076"/>
    <w:rsid w:val="00597B57"/>
    <w:rsid w:val="005A0E5C"/>
    <w:rsid w:val="005A47CF"/>
    <w:rsid w:val="005A4847"/>
    <w:rsid w:val="005A55B6"/>
    <w:rsid w:val="005A61C8"/>
    <w:rsid w:val="005A77C7"/>
    <w:rsid w:val="005A7A9E"/>
    <w:rsid w:val="005B2CB2"/>
    <w:rsid w:val="005B3741"/>
    <w:rsid w:val="005B3DD2"/>
    <w:rsid w:val="005B4039"/>
    <w:rsid w:val="005B446D"/>
    <w:rsid w:val="005B542B"/>
    <w:rsid w:val="005B665F"/>
    <w:rsid w:val="005B7D07"/>
    <w:rsid w:val="005C2663"/>
    <w:rsid w:val="005C2935"/>
    <w:rsid w:val="005C3EE6"/>
    <w:rsid w:val="005C3F51"/>
    <w:rsid w:val="005C3FB5"/>
    <w:rsid w:val="005C47DA"/>
    <w:rsid w:val="005C5147"/>
    <w:rsid w:val="005C6F18"/>
    <w:rsid w:val="005D08C8"/>
    <w:rsid w:val="005D092B"/>
    <w:rsid w:val="005D0D25"/>
    <w:rsid w:val="005D0F04"/>
    <w:rsid w:val="005D36F1"/>
    <w:rsid w:val="005D3F1A"/>
    <w:rsid w:val="005D659F"/>
    <w:rsid w:val="005D67D9"/>
    <w:rsid w:val="005D6ECB"/>
    <w:rsid w:val="005D7637"/>
    <w:rsid w:val="005E0097"/>
    <w:rsid w:val="005E0A65"/>
    <w:rsid w:val="005E13DE"/>
    <w:rsid w:val="005E18D5"/>
    <w:rsid w:val="005E1C07"/>
    <w:rsid w:val="005E2627"/>
    <w:rsid w:val="005E4A7C"/>
    <w:rsid w:val="005E58EF"/>
    <w:rsid w:val="005F2DBC"/>
    <w:rsid w:val="005F372C"/>
    <w:rsid w:val="005F3EBC"/>
    <w:rsid w:val="005F443C"/>
    <w:rsid w:val="005F66FF"/>
    <w:rsid w:val="005F7A63"/>
    <w:rsid w:val="006003D1"/>
    <w:rsid w:val="006027FE"/>
    <w:rsid w:val="00602D43"/>
    <w:rsid w:val="00603818"/>
    <w:rsid w:val="0060477E"/>
    <w:rsid w:val="00610013"/>
    <w:rsid w:val="006200A8"/>
    <w:rsid w:val="00620214"/>
    <w:rsid w:val="006237DC"/>
    <w:rsid w:val="00625C22"/>
    <w:rsid w:val="00626520"/>
    <w:rsid w:val="0062734D"/>
    <w:rsid w:val="00627457"/>
    <w:rsid w:val="00627C5B"/>
    <w:rsid w:val="00627CCC"/>
    <w:rsid w:val="00630C94"/>
    <w:rsid w:val="0063186E"/>
    <w:rsid w:val="00631D26"/>
    <w:rsid w:val="0063491B"/>
    <w:rsid w:val="0063519E"/>
    <w:rsid w:val="00636153"/>
    <w:rsid w:val="006368CB"/>
    <w:rsid w:val="006369C1"/>
    <w:rsid w:val="00637DBC"/>
    <w:rsid w:val="00637FF7"/>
    <w:rsid w:val="00641258"/>
    <w:rsid w:val="0064289F"/>
    <w:rsid w:val="00644E67"/>
    <w:rsid w:val="006452DD"/>
    <w:rsid w:val="0064547B"/>
    <w:rsid w:val="00645D0C"/>
    <w:rsid w:val="00647CA9"/>
    <w:rsid w:val="0065042E"/>
    <w:rsid w:val="006507F2"/>
    <w:rsid w:val="00650A44"/>
    <w:rsid w:val="00651772"/>
    <w:rsid w:val="00652214"/>
    <w:rsid w:val="006530AD"/>
    <w:rsid w:val="00653BC8"/>
    <w:rsid w:val="006545D7"/>
    <w:rsid w:val="00656C69"/>
    <w:rsid w:val="006573F6"/>
    <w:rsid w:val="00657DA9"/>
    <w:rsid w:val="006614BB"/>
    <w:rsid w:val="0066183F"/>
    <w:rsid w:val="006624DC"/>
    <w:rsid w:val="00662966"/>
    <w:rsid w:val="006652F2"/>
    <w:rsid w:val="00665A0F"/>
    <w:rsid w:val="00666B6F"/>
    <w:rsid w:val="006678DE"/>
    <w:rsid w:val="00670E7E"/>
    <w:rsid w:val="00671A67"/>
    <w:rsid w:val="00671AAA"/>
    <w:rsid w:val="00673226"/>
    <w:rsid w:val="00673BB0"/>
    <w:rsid w:val="00674313"/>
    <w:rsid w:val="00677632"/>
    <w:rsid w:val="006776AF"/>
    <w:rsid w:val="006800C5"/>
    <w:rsid w:val="0068098D"/>
    <w:rsid w:val="006837A4"/>
    <w:rsid w:val="00683A6F"/>
    <w:rsid w:val="00687E90"/>
    <w:rsid w:val="00690057"/>
    <w:rsid w:val="006914DC"/>
    <w:rsid w:val="00693AAE"/>
    <w:rsid w:val="00693E72"/>
    <w:rsid w:val="00694434"/>
    <w:rsid w:val="006949BB"/>
    <w:rsid w:val="00696B81"/>
    <w:rsid w:val="006975C4"/>
    <w:rsid w:val="006A22F5"/>
    <w:rsid w:val="006A3851"/>
    <w:rsid w:val="006A5370"/>
    <w:rsid w:val="006A5936"/>
    <w:rsid w:val="006B090C"/>
    <w:rsid w:val="006B190E"/>
    <w:rsid w:val="006B2085"/>
    <w:rsid w:val="006B2DEC"/>
    <w:rsid w:val="006B52BF"/>
    <w:rsid w:val="006B5396"/>
    <w:rsid w:val="006B58E6"/>
    <w:rsid w:val="006B6E3E"/>
    <w:rsid w:val="006B74FA"/>
    <w:rsid w:val="006C0807"/>
    <w:rsid w:val="006C097A"/>
    <w:rsid w:val="006C0C7C"/>
    <w:rsid w:val="006C1096"/>
    <w:rsid w:val="006C16D1"/>
    <w:rsid w:val="006C22B7"/>
    <w:rsid w:val="006C2C60"/>
    <w:rsid w:val="006C2E06"/>
    <w:rsid w:val="006C424D"/>
    <w:rsid w:val="006C61F3"/>
    <w:rsid w:val="006C7A17"/>
    <w:rsid w:val="006C7A25"/>
    <w:rsid w:val="006C7B08"/>
    <w:rsid w:val="006D0088"/>
    <w:rsid w:val="006D02D2"/>
    <w:rsid w:val="006D12FD"/>
    <w:rsid w:val="006D16AD"/>
    <w:rsid w:val="006D1E0D"/>
    <w:rsid w:val="006D2460"/>
    <w:rsid w:val="006D5023"/>
    <w:rsid w:val="006D569D"/>
    <w:rsid w:val="006D5DCD"/>
    <w:rsid w:val="006E3C16"/>
    <w:rsid w:val="006E4C3F"/>
    <w:rsid w:val="006E5437"/>
    <w:rsid w:val="006E5EFF"/>
    <w:rsid w:val="006F1E57"/>
    <w:rsid w:val="006F2755"/>
    <w:rsid w:val="006F3781"/>
    <w:rsid w:val="006F6BB2"/>
    <w:rsid w:val="007000AA"/>
    <w:rsid w:val="00700910"/>
    <w:rsid w:val="00700F76"/>
    <w:rsid w:val="00701279"/>
    <w:rsid w:val="00701B57"/>
    <w:rsid w:val="00703CC1"/>
    <w:rsid w:val="00704693"/>
    <w:rsid w:val="00705B25"/>
    <w:rsid w:val="00707ED4"/>
    <w:rsid w:val="00711F93"/>
    <w:rsid w:val="0071264C"/>
    <w:rsid w:val="007139F5"/>
    <w:rsid w:val="00715AA1"/>
    <w:rsid w:val="00725003"/>
    <w:rsid w:val="00725C83"/>
    <w:rsid w:val="0073010F"/>
    <w:rsid w:val="0073023E"/>
    <w:rsid w:val="00731B0C"/>
    <w:rsid w:val="0073247F"/>
    <w:rsid w:val="00732FD1"/>
    <w:rsid w:val="00736A91"/>
    <w:rsid w:val="007373C2"/>
    <w:rsid w:val="00737C11"/>
    <w:rsid w:val="00740630"/>
    <w:rsid w:val="00740D0E"/>
    <w:rsid w:val="0074146F"/>
    <w:rsid w:val="00741D2C"/>
    <w:rsid w:val="00742D20"/>
    <w:rsid w:val="00742DC3"/>
    <w:rsid w:val="00743695"/>
    <w:rsid w:val="007437C1"/>
    <w:rsid w:val="00744007"/>
    <w:rsid w:val="00750BA6"/>
    <w:rsid w:val="00754AFF"/>
    <w:rsid w:val="00755980"/>
    <w:rsid w:val="007566FF"/>
    <w:rsid w:val="00756F88"/>
    <w:rsid w:val="00757520"/>
    <w:rsid w:val="00760BAA"/>
    <w:rsid w:val="007615F8"/>
    <w:rsid w:val="00761AF8"/>
    <w:rsid w:val="00761CE6"/>
    <w:rsid w:val="00762BA0"/>
    <w:rsid w:val="007647CD"/>
    <w:rsid w:val="00765145"/>
    <w:rsid w:val="00766333"/>
    <w:rsid w:val="00766CBF"/>
    <w:rsid w:val="007674EA"/>
    <w:rsid w:val="00771C96"/>
    <w:rsid w:val="007742FE"/>
    <w:rsid w:val="00775AB5"/>
    <w:rsid w:val="00775B3A"/>
    <w:rsid w:val="00775D56"/>
    <w:rsid w:val="00775DAD"/>
    <w:rsid w:val="007771FB"/>
    <w:rsid w:val="0077767B"/>
    <w:rsid w:val="007801C0"/>
    <w:rsid w:val="00780E32"/>
    <w:rsid w:val="007849A2"/>
    <w:rsid w:val="00785F88"/>
    <w:rsid w:val="00791E10"/>
    <w:rsid w:val="00792183"/>
    <w:rsid w:val="00792F66"/>
    <w:rsid w:val="00793BAB"/>
    <w:rsid w:val="00794007"/>
    <w:rsid w:val="00794385"/>
    <w:rsid w:val="00795C9B"/>
    <w:rsid w:val="00795DD9"/>
    <w:rsid w:val="007972EF"/>
    <w:rsid w:val="007977D7"/>
    <w:rsid w:val="007A03D4"/>
    <w:rsid w:val="007A05F6"/>
    <w:rsid w:val="007A157F"/>
    <w:rsid w:val="007A1815"/>
    <w:rsid w:val="007A23C6"/>
    <w:rsid w:val="007A3C8C"/>
    <w:rsid w:val="007A56AB"/>
    <w:rsid w:val="007A7DFD"/>
    <w:rsid w:val="007B3B64"/>
    <w:rsid w:val="007B565D"/>
    <w:rsid w:val="007B6573"/>
    <w:rsid w:val="007B6C94"/>
    <w:rsid w:val="007B730A"/>
    <w:rsid w:val="007C0FBB"/>
    <w:rsid w:val="007C16B1"/>
    <w:rsid w:val="007C4AC1"/>
    <w:rsid w:val="007C5E61"/>
    <w:rsid w:val="007C6D64"/>
    <w:rsid w:val="007C7365"/>
    <w:rsid w:val="007D1199"/>
    <w:rsid w:val="007D234C"/>
    <w:rsid w:val="007D2486"/>
    <w:rsid w:val="007D3396"/>
    <w:rsid w:val="007D3C25"/>
    <w:rsid w:val="007D5721"/>
    <w:rsid w:val="007D5762"/>
    <w:rsid w:val="007D60E4"/>
    <w:rsid w:val="007D64A8"/>
    <w:rsid w:val="007E1824"/>
    <w:rsid w:val="007E1D6F"/>
    <w:rsid w:val="007E2CA5"/>
    <w:rsid w:val="007E4811"/>
    <w:rsid w:val="007E4FA2"/>
    <w:rsid w:val="007E52EE"/>
    <w:rsid w:val="007E54B6"/>
    <w:rsid w:val="007E5AA6"/>
    <w:rsid w:val="007E5B3E"/>
    <w:rsid w:val="007E7F9F"/>
    <w:rsid w:val="007F191B"/>
    <w:rsid w:val="007F1AC5"/>
    <w:rsid w:val="007F3273"/>
    <w:rsid w:val="007F3585"/>
    <w:rsid w:val="007F3AA2"/>
    <w:rsid w:val="00801A17"/>
    <w:rsid w:val="008034E7"/>
    <w:rsid w:val="00804A98"/>
    <w:rsid w:val="00805535"/>
    <w:rsid w:val="008056FE"/>
    <w:rsid w:val="008065CE"/>
    <w:rsid w:val="00807166"/>
    <w:rsid w:val="0080721E"/>
    <w:rsid w:val="0081186B"/>
    <w:rsid w:val="00811BF0"/>
    <w:rsid w:val="00812FBF"/>
    <w:rsid w:val="0081496D"/>
    <w:rsid w:val="00815F77"/>
    <w:rsid w:val="00820C18"/>
    <w:rsid w:val="00820D02"/>
    <w:rsid w:val="008214CC"/>
    <w:rsid w:val="00821BBA"/>
    <w:rsid w:val="00824331"/>
    <w:rsid w:val="0082644A"/>
    <w:rsid w:val="0083050C"/>
    <w:rsid w:val="008308EF"/>
    <w:rsid w:val="00831956"/>
    <w:rsid w:val="008322E9"/>
    <w:rsid w:val="00833055"/>
    <w:rsid w:val="008336D6"/>
    <w:rsid w:val="0083400B"/>
    <w:rsid w:val="008342B2"/>
    <w:rsid w:val="00834A95"/>
    <w:rsid w:val="00835088"/>
    <w:rsid w:val="00835382"/>
    <w:rsid w:val="008359D6"/>
    <w:rsid w:val="00837B24"/>
    <w:rsid w:val="008411D2"/>
    <w:rsid w:val="00842B12"/>
    <w:rsid w:val="008432FE"/>
    <w:rsid w:val="00846D78"/>
    <w:rsid w:val="0085124B"/>
    <w:rsid w:val="00856426"/>
    <w:rsid w:val="008606EB"/>
    <w:rsid w:val="008610F5"/>
    <w:rsid w:val="008619E2"/>
    <w:rsid w:val="0086234F"/>
    <w:rsid w:val="008632E4"/>
    <w:rsid w:val="008644A1"/>
    <w:rsid w:val="008646FA"/>
    <w:rsid w:val="008669AE"/>
    <w:rsid w:val="008678AF"/>
    <w:rsid w:val="00870C38"/>
    <w:rsid w:val="00870D94"/>
    <w:rsid w:val="00871427"/>
    <w:rsid w:val="00871DAD"/>
    <w:rsid w:val="00872CB6"/>
    <w:rsid w:val="00875417"/>
    <w:rsid w:val="00877657"/>
    <w:rsid w:val="00877C8F"/>
    <w:rsid w:val="00877D81"/>
    <w:rsid w:val="00877DD5"/>
    <w:rsid w:val="00881745"/>
    <w:rsid w:val="00881A9B"/>
    <w:rsid w:val="00881C1B"/>
    <w:rsid w:val="00883099"/>
    <w:rsid w:val="00883428"/>
    <w:rsid w:val="00884643"/>
    <w:rsid w:val="00884E75"/>
    <w:rsid w:val="008857B2"/>
    <w:rsid w:val="00886609"/>
    <w:rsid w:val="008868A1"/>
    <w:rsid w:val="00890049"/>
    <w:rsid w:val="00890617"/>
    <w:rsid w:val="00890B26"/>
    <w:rsid w:val="00890C81"/>
    <w:rsid w:val="00890CEB"/>
    <w:rsid w:val="00891458"/>
    <w:rsid w:val="00891D09"/>
    <w:rsid w:val="008946B1"/>
    <w:rsid w:val="00896294"/>
    <w:rsid w:val="008A0F92"/>
    <w:rsid w:val="008A1E18"/>
    <w:rsid w:val="008A26B3"/>
    <w:rsid w:val="008A3E0D"/>
    <w:rsid w:val="008A5056"/>
    <w:rsid w:val="008A657A"/>
    <w:rsid w:val="008A7628"/>
    <w:rsid w:val="008B0E29"/>
    <w:rsid w:val="008B1294"/>
    <w:rsid w:val="008B20DE"/>
    <w:rsid w:val="008B25A8"/>
    <w:rsid w:val="008B260C"/>
    <w:rsid w:val="008B6786"/>
    <w:rsid w:val="008B6822"/>
    <w:rsid w:val="008B6EEC"/>
    <w:rsid w:val="008B75AA"/>
    <w:rsid w:val="008B7D4C"/>
    <w:rsid w:val="008C08C2"/>
    <w:rsid w:val="008C24A9"/>
    <w:rsid w:val="008C2594"/>
    <w:rsid w:val="008C30BF"/>
    <w:rsid w:val="008C427C"/>
    <w:rsid w:val="008C513E"/>
    <w:rsid w:val="008C5279"/>
    <w:rsid w:val="008C5611"/>
    <w:rsid w:val="008C613F"/>
    <w:rsid w:val="008D023B"/>
    <w:rsid w:val="008D110E"/>
    <w:rsid w:val="008D1715"/>
    <w:rsid w:val="008D1733"/>
    <w:rsid w:val="008D28D9"/>
    <w:rsid w:val="008D28DB"/>
    <w:rsid w:val="008D33EB"/>
    <w:rsid w:val="008D383E"/>
    <w:rsid w:val="008D400A"/>
    <w:rsid w:val="008D57FE"/>
    <w:rsid w:val="008D74C8"/>
    <w:rsid w:val="008D79CB"/>
    <w:rsid w:val="008E03A6"/>
    <w:rsid w:val="008E4D50"/>
    <w:rsid w:val="008E58AA"/>
    <w:rsid w:val="008E6911"/>
    <w:rsid w:val="008E6E93"/>
    <w:rsid w:val="008E73E1"/>
    <w:rsid w:val="008E7BAE"/>
    <w:rsid w:val="008F08BE"/>
    <w:rsid w:val="008F0F83"/>
    <w:rsid w:val="008F14A6"/>
    <w:rsid w:val="008F1B9E"/>
    <w:rsid w:val="008F1F13"/>
    <w:rsid w:val="008F206C"/>
    <w:rsid w:val="008F24FA"/>
    <w:rsid w:val="008F380B"/>
    <w:rsid w:val="008F3941"/>
    <w:rsid w:val="008F5FB2"/>
    <w:rsid w:val="009011E4"/>
    <w:rsid w:val="00902525"/>
    <w:rsid w:val="00902975"/>
    <w:rsid w:val="00903B6B"/>
    <w:rsid w:val="009046AA"/>
    <w:rsid w:val="00904BF5"/>
    <w:rsid w:val="009055F0"/>
    <w:rsid w:val="00905DE1"/>
    <w:rsid w:val="00906519"/>
    <w:rsid w:val="00906D67"/>
    <w:rsid w:val="00910036"/>
    <w:rsid w:val="00910797"/>
    <w:rsid w:val="00911E71"/>
    <w:rsid w:val="009131BB"/>
    <w:rsid w:val="00913B9D"/>
    <w:rsid w:val="009163B3"/>
    <w:rsid w:val="00916D37"/>
    <w:rsid w:val="0092006D"/>
    <w:rsid w:val="0092033F"/>
    <w:rsid w:val="00922EF2"/>
    <w:rsid w:val="00922F7F"/>
    <w:rsid w:val="0092374E"/>
    <w:rsid w:val="00923DBD"/>
    <w:rsid w:val="00926AFA"/>
    <w:rsid w:val="00926DA0"/>
    <w:rsid w:val="00926E72"/>
    <w:rsid w:val="00930092"/>
    <w:rsid w:val="00930709"/>
    <w:rsid w:val="009308C7"/>
    <w:rsid w:val="00933F36"/>
    <w:rsid w:val="0093579B"/>
    <w:rsid w:val="00935BDF"/>
    <w:rsid w:val="00935E10"/>
    <w:rsid w:val="009361C1"/>
    <w:rsid w:val="009366A4"/>
    <w:rsid w:val="00936BAA"/>
    <w:rsid w:val="0094011C"/>
    <w:rsid w:val="009403EB"/>
    <w:rsid w:val="009408CD"/>
    <w:rsid w:val="00940EF1"/>
    <w:rsid w:val="00941396"/>
    <w:rsid w:val="00943A37"/>
    <w:rsid w:val="009463A8"/>
    <w:rsid w:val="00946AB6"/>
    <w:rsid w:val="00946E39"/>
    <w:rsid w:val="00947795"/>
    <w:rsid w:val="00947F56"/>
    <w:rsid w:val="00951D27"/>
    <w:rsid w:val="0095284D"/>
    <w:rsid w:val="00952A10"/>
    <w:rsid w:val="0095356D"/>
    <w:rsid w:val="00953E8A"/>
    <w:rsid w:val="00954070"/>
    <w:rsid w:val="0095499D"/>
    <w:rsid w:val="00954EF0"/>
    <w:rsid w:val="009554EE"/>
    <w:rsid w:val="00956873"/>
    <w:rsid w:val="009569BF"/>
    <w:rsid w:val="00956D88"/>
    <w:rsid w:val="009611F7"/>
    <w:rsid w:val="00961CD7"/>
    <w:rsid w:val="009620D5"/>
    <w:rsid w:val="00962245"/>
    <w:rsid w:val="0096268B"/>
    <w:rsid w:val="00962A51"/>
    <w:rsid w:val="00967102"/>
    <w:rsid w:val="00967C14"/>
    <w:rsid w:val="00970AA8"/>
    <w:rsid w:val="00971FC9"/>
    <w:rsid w:val="00972CE0"/>
    <w:rsid w:val="009747E5"/>
    <w:rsid w:val="00977C72"/>
    <w:rsid w:val="00977F21"/>
    <w:rsid w:val="009800E9"/>
    <w:rsid w:val="009804AB"/>
    <w:rsid w:val="00981EE7"/>
    <w:rsid w:val="009820C4"/>
    <w:rsid w:val="00982BA2"/>
    <w:rsid w:val="00983576"/>
    <w:rsid w:val="0098685C"/>
    <w:rsid w:val="00987294"/>
    <w:rsid w:val="009907A5"/>
    <w:rsid w:val="00991062"/>
    <w:rsid w:val="009918BC"/>
    <w:rsid w:val="00993326"/>
    <w:rsid w:val="0099354B"/>
    <w:rsid w:val="00993C6A"/>
    <w:rsid w:val="00994653"/>
    <w:rsid w:val="009961EB"/>
    <w:rsid w:val="009964EA"/>
    <w:rsid w:val="0099668F"/>
    <w:rsid w:val="00996839"/>
    <w:rsid w:val="00997E27"/>
    <w:rsid w:val="009A37AC"/>
    <w:rsid w:val="009A57EC"/>
    <w:rsid w:val="009A625D"/>
    <w:rsid w:val="009A6BB1"/>
    <w:rsid w:val="009B02B9"/>
    <w:rsid w:val="009B2FF8"/>
    <w:rsid w:val="009B3266"/>
    <w:rsid w:val="009B37CF"/>
    <w:rsid w:val="009B585C"/>
    <w:rsid w:val="009C03F3"/>
    <w:rsid w:val="009C09EE"/>
    <w:rsid w:val="009C0E0B"/>
    <w:rsid w:val="009C1FED"/>
    <w:rsid w:val="009C2E77"/>
    <w:rsid w:val="009C3D82"/>
    <w:rsid w:val="009C4085"/>
    <w:rsid w:val="009C4DA0"/>
    <w:rsid w:val="009C6C3F"/>
    <w:rsid w:val="009C6DCB"/>
    <w:rsid w:val="009C6E53"/>
    <w:rsid w:val="009C70D0"/>
    <w:rsid w:val="009D0289"/>
    <w:rsid w:val="009D0D4A"/>
    <w:rsid w:val="009D0FEC"/>
    <w:rsid w:val="009D1451"/>
    <w:rsid w:val="009D1A1D"/>
    <w:rsid w:val="009D3234"/>
    <w:rsid w:val="009D4313"/>
    <w:rsid w:val="009D4A76"/>
    <w:rsid w:val="009D5780"/>
    <w:rsid w:val="009D5E2B"/>
    <w:rsid w:val="009D5F1A"/>
    <w:rsid w:val="009D65AC"/>
    <w:rsid w:val="009E026C"/>
    <w:rsid w:val="009E11A9"/>
    <w:rsid w:val="009E3DE4"/>
    <w:rsid w:val="009E4608"/>
    <w:rsid w:val="009E585F"/>
    <w:rsid w:val="009E6027"/>
    <w:rsid w:val="009F1B73"/>
    <w:rsid w:val="009F212F"/>
    <w:rsid w:val="009F2D67"/>
    <w:rsid w:val="009F3F47"/>
    <w:rsid w:val="009F47D6"/>
    <w:rsid w:val="009F551C"/>
    <w:rsid w:val="009F62BB"/>
    <w:rsid w:val="009F680A"/>
    <w:rsid w:val="009F6D12"/>
    <w:rsid w:val="00A02B79"/>
    <w:rsid w:val="00A02C91"/>
    <w:rsid w:val="00A03B7B"/>
    <w:rsid w:val="00A04B23"/>
    <w:rsid w:val="00A05B72"/>
    <w:rsid w:val="00A05C82"/>
    <w:rsid w:val="00A05D0D"/>
    <w:rsid w:val="00A07869"/>
    <w:rsid w:val="00A110DD"/>
    <w:rsid w:val="00A11616"/>
    <w:rsid w:val="00A12C19"/>
    <w:rsid w:val="00A14C18"/>
    <w:rsid w:val="00A15B09"/>
    <w:rsid w:val="00A1632B"/>
    <w:rsid w:val="00A16E90"/>
    <w:rsid w:val="00A17253"/>
    <w:rsid w:val="00A20677"/>
    <w:rsid w:val="00A211D7"/>
    <w:rsid w:val="00A2225E"/>
    <w:rsid w:val="00A225D8"/>
    <w:rsid w:val="00A243EA"/>
    <w:rsid w:val="00A26295"/>
    <w:rsid w:val="00A30234"/>
    <w:rsid w:val="00A309D9"/>
    <w:rsid w:val="00A31C52"/>
    <w:rsid w:val="00A35231"/>
    <w:rsid w:val="00A3582C"/>
    <w:rsid w:val="00A35F34"/>
    <w:rsid w:val="00A37413"/>
    <w:rsid w:val="00A37747"/>
    <w:rsid w:val="00A37D1B"/>
    <w:rsid w:val="00A40692"/>
    <w:rsid w:val="00A43203"/>
    <w:rsid w:val="00A43CE7"/>
    <w:rsid w:val="00A43FB3"/>
    <w:rsid w:val="00A447EB"/>
    <w:rsid w:val="00A4495C"/>
    <w:rsid w:val="00A45B8F"/>
    <w:rsid w:val="00A45E6E"/>
    <w:rsid w:val="00A50AC0"/>
    <w:rsid w:val="00A51485"/>
    <w:rsid w:val="00A51EA2"/>
    <w:rsid w:val="00A54475"/>
    <w:rsid w:val="00A54E5E"/>
    <w:rsid w:val="00A57029"/>
    <w:rsid w:val="00A57121"/>
    <w:rsid w:val="00A57F2C"/>
    <w:rsid w:val="00A57FB2"/>
    <w:rsid w:val="00A61619"/>
    <w:rsid w:val="00A61EC4"/>
    <w:rsid w:val="00A62123"/>
    <w:rsid w:val="00A6403B"/>
    <w:rsid w:val="00A64AB2"/>
    <w:rsid w:val="00A64FD0"/>
    <w:rsid w:val="00A655ED"/>
    <w:rsid w:val="00A66043"/>
    <w:rsid w:val="00A66496"/>
    <w:rsid w:val="00A670D2"/>
    <w:rsid w:val="00A67A8C"/>
    <w:rsid w:val="00A67F61"/>
    <w:rsid w:val="00A722E3"/>
    <w:rsid w:val="00A7433B"/>
    <w:rsid w:val="00A76ABC"/>
    <w:rsid w:val="00A7764C"/>
    <w:rsid w:val="00A77FF7"/>
    <w:rsid w:val="00A80FE3"/>
    <w:rsid w:val="00A81DFA"/>
    <w:rsid w:val="00A834D2"/>
    <w:rsid w:val="00A84B8D"/>
    <w:rsid w:val="00A85254"/>
    <w:rsid w:val="00A855E8"/>
    <w:rsid w:val="00A901E0"/>
    <w:rsid w:val="00A902D5"/>
    <w:rsid w:val="00A9094D"/>
    <w:rsid w:val="00A92193"/>
    <w:rsid w:val="00A938DC"/>
    <w:rsid w:val="00A94E86"/>
    <w:rsid w:val="00A9519D"/>
    <w:rsid w:val="00A970EB"/>
    <w:rsid w:val="00AA0C3B"/>
    <w:rsid w:val="00AA11D5"/>
    <w:rsid w:val="00AA2A2A"/>
    <w:rsid w:val="00AA40E0"/>
    <w:rsid w:val="00AA4B1A"/>
    <w:rsid w:val="00AA4CB8"/>
    <w:rsid w:val="00AA4D95"/>
    <w:rsid w:val="00AA5C63"/>
    <w:rsid w:val="00AA6D64"/>
    <w:rsid w:val="00AB01A4"/>
    <w:rsid w:val="00AB0A20"/>
    <w:rsid w:val="00AB0EE4"/>
    <w:rsid w:val="00AB1E29"/>
    <w:rsid w:val="00AB335B"/>
    <w:rsid w:val="00AB371B"/>
    <w:rsid w:val="00AB4EC4"/>
    <w:rsid w:val="00AC1AEF"/>
    <w:rsid w:val="00AC2713"/>
    <w:rsid w:val="00AC27BD"/>
    <w:rsid w:val="00AC3391"/>
    <w:rsid w:val="00AC34B3"/>
    <w:rsid w:val="00AC6B62"/>
    <w:rsid w:val="00AD45AE"/>
    <w:rsid w:val="00AD6189"/>
    <w:rsid w:val="00AD728D"/>
    <w:rsid w:val="00AE0C61"/>
    <w:rsid w:val="00AE325F"/>
    <w:rsid w:val="00AE38AA"/>
    <w:rsid w:val="00AE5638"/>
    <w:rsid w:val="00AE7161"/>
    <w:rsid w:val="00AF01CC"/>
    <w:rsid w:val="00AF08FD"/>
    <w:rsid w:val="00AF153B"/>
    <w:rsid w:val="00AF25A4"/>
    <w:rsid w:val="00AF64F3"/>
    <w:rsid w:val="00AF65F9"/>
    <w:rsid w:val="00AF6F28"/>
    <w:rsid w:val="00AF75E0"/>
    <w:rsid w:val="00AF7E01"/>
    <w:rsid w:val="00B007A1"/>
    <w:rsid w:val="00B01757"/>
    <w:rsid w:val="00B02BDD"/>
    <w:rsid w:val="00B065B4"/>
    <w:rsid w:val="00B1074E"/>
    <w:rsid w:val="00B10F35"/>
    <w:rsid w:val="00B117AA"/>
    <w:rsid w:val="00B13025"/>
    <w:rsid w:val="00B1306C"/>
    <w:rsid w:val="00B144F6"/>
    <w:rsid w:val="00B145DB"/>
    <w:rsid w:val="00B14ADD"/>
    <w:rsid w:val="00B14EC1"/>
    <w:rsid w:val="00B1652C"/>
    <w:rsid w:val="00B16CAD"/>
    <w:rsid w:val="00B17239"/>
    <w:rsid w:val="00B17BD2"/>
    <w:rsid w:val="00B20486"/>
    <w:rsid w:val="00B21061"/>
    <w:rsid w:val="00B217AF"/>
    <w:rsid w:val="00B23D74"/>
    <w:rsid w:val="00B25E8C"/>
    <w:rsid w:val="00B279DD"/>
    <w:rsid w:val="00B3237A"/>
    <w:rsid w:val="00B3250E"/>
    <w:rsid w:val="00B33407"/>
    <w:rsid w:val="00B33A3C"/>
    <w:rsid w:val="00B35947"/>
    <w:rsid w:val="00B36409"/>
    <w:rsid w:val="00B36A9E"/>
    <w:rsid w:val="00B36C3D"/>
    <w:rsid w:val="00B36E0A"/>
    <w:rsid w:val="00B40A9E"/>
    <w:rsid w:val="00B40E37"/>
    <w:rsid w:val="00B41216"/>
    <w:rsid w:val="00B4138D"/>
    <w:rsid w:val="00B416AE"/>
    <w:rsid w:val="00B42C3E"/>
    <w:rsid w:val="00B51B2E"/>
    <w:rsid w:val="00B52D18"/>
    <w:rsid w:val="00B533A6"/>
    <w:rsid w:val="00B537FF"/>
    <w:rsid w:val="00B55208"/>
    <w:rsid w:val="00B557D3"/>
    <w:rsid w:val="00B55E63"/>
    <w:rsid w:val="00B55FB9"/>
    <w:rsid w:val="00B565E5"/>
    <w:rsid w:val="00B56948"/>
    <w:rsid w:val="00B6079B"/>
    <w:rsid w:val="00B60A83"/>
    <w:rsid w:val="00B6120D"/>
    <w:rsid w:val="00B61935"/>
    <w:rsid w:val="00B62AEB"/>
    <w:rsid w:val="00B6313B"/>
    <w:rsid w:val="00B64D19"/>
    <w:rsid w:val="00B66661"/>
    <w:rsid w:val="00B6688F"/>
    <w:rsid w:val="00B67477"/>
    <w:rsid w:val="00B67A19"/>
    <w:rsid w:val="00B70EDB"/>
    <w:rsid w:val="00B721F2"/>
    <w:rsid w:val="00B72FD4"/>
    <w:rsid w:val="00B73DBD"/>
    <w:rsid w:val="00B76306"/>
    <w:rsid w:val="00B76E9A"/>
    <w:rsid w:val="00B7734E"/>
    <w:rsid w:val="00B7787F"/>
    <w:rsid w:val="00B77AA3"/>
    <w:rsid w:val="00B815C6"/>
    <w:rsid w:val="00B81958"/>
    <w:rsid w:val="00B83CC7"/>
    <w:rsid w:val="00B850E2"/>
    <w:rsid w:val="00B86832"/>
    <w:rsid w:val="00B878D2"/>
    <w:rsid w:val="00B90457"/>
    <w:rsid w:val="00B9058E"/>
    <w:rsid w:val="00B93269"/>
    <w:rsid w:val="00B93C13"/>
    <w:rsid w:val="00B93F13"/>
    <w:rsid w:val="00B94991"/>
    <w:rsid w:val="00B94DE5"/>
    <w:rsid w:val="00B96262"/>
    <w:rsid w:val="00B96B0B"/>
    <w:rsid w:val="00B979E0"/>
    <w:rsid w:val="00BA1878"/>
    <w:rsid w:val="00BA2412"/>
    <w:rsid w:val="00BA40C9"/>
    <w:rsid w:val="00BA563E"/>
    <w:rsid w:val="00BA6F26"/>
    <w:rsid w:val="00BA7034"/>
    <w:rsid w:val="00BA74DC"/>
    <w:rsid w:val="00BA7672"/>
    <w:rsid w:val="00BA7774"/>
    <w:rsid w:val="00BA7AFA"/>
    <w:rsid w:val="00BB0D7F"/>
    <w:rsid w:val="00BB11C7"/>
    <w:rsid w:val="00BB344C"/>
    <w:rsid w:val="00BB40C6"/>
    <w:rsid w:val="00BB4255"/>
    <w:rsid w:val="00BB48C6"/>
    <w:rsid w:val="00BB5F04"/>
    <w:rsid w:val="00BB65CC"/>
    <w:rsid w:val="00BB668C"/>
    <w:rsid w:val="00BB6847"/>
    <w:rsid w:val="00BB7432"/>
    <w:rsid w:val="00BC05B4"/>
    <w:rsid w:val="00BC09B5"/>
    <w:rsid w:val="00BC1A32"/>
    <w:rsid w:val="00BC282A"/>
    <w:rsid w:val="00BC4B75"/>
    <w:rsid w:val="00BC4F4D"/>
    <w:rsid w:val="00BC7F9B"/>
    <w:rsid w:val="00BD013D"/>
    <w:rsid w:val="00BD2D99"/>
    <w:rsid w:val="00BD3C45"/>
    <w:rsid w:val="00BD46FE"/>
    <w:rsid w:val="00BD50E9"/>
    <w:rsid w:val="00BD580A"/>
    <w:rsid w:val="00BD6070"/>
    <w:rsid w:val="00BD68FB"/>
    <w:rsid w:val="00BE0EE5"/>
    <w:rsid w:val="00BE29AA"/>
    <w:rsid w:val="00BE468D"/>
    <w:rsid w:val="00BE4AEA"/>
    <w:rsid w:val="00BE4E7C"/>
    <w:rsid w:val="00BE6AA3"/>
    <w:rsid w:val="00BE6B28"/>
    <w:rsid w:val="00BE72D5"/>
    <w:rsid w:val="00BE7556"/>
    <w:rsid w:val="00BF2926"/>
    <w:rsid w:val="00BF3275"/>
    <w:rsid w:val="00BF3650"/>
    <w:rsid w:val="00BF45B4"/>
    <w:rsid w:val="00BF4617"/>
    <w:rsid w:val="00BF461B"/>
    <w:rsid w:val="00BF4962"/>
    <w:rsid w:val="00BF5E03"/>
    <w:rsid w:val="00BF69F3"/>
    <w:rsid w:val="00BF7E5D"/>
    <w:rsid w:val="00C004F2"/>
    <w:rsid w:val="00C00565"/>
    <w:rsid w:val="00C01307"/>
    <w:rsid w:val="00C04AA5"/>
    <w:rsid w:val="00C062C9"/>
    <w:rsid w:val="00C0781E"/>
    <w:rsid w:val="00C124E3"/>
    <w:rsid w:val="00C13C8A"/>
    <w:rsid w:val="00C227C1"/>
    <w:rsid w:val="00C237AA"/>
    <w:rsid w:val="00C25BF4"/>
    <w:rsid w:val="00C25CB6"/>
    <w:rsid w:val="00C264A8"/>
    <w:rsid w:val="00C267D9"/>
    <w:rsid w:val="00C30035"/>
    <w:rsid w:val="00C3023E"/>
    <w:rsid w:val="00C302B1"/>
    <w:rsid w:val="00C30A28"/>
    <w:rsid w:val="00C319CE"/>
    <w:rsid w:val="00C32064"/>
    <w:rsid w:val="00C33D42"/>
    <w:rsid w:val="00C350C6"/>
    <w:rsid w:val="00C35F76"/>
    <w:rsid w:val="00C3603B"/>
    <w:rsid w:val="00C406AB"/>
    <w:rsid w:val="00C40C7C"/>
    <w:rsid w:val="00C4101F"/>
    <w:rsid w:val="00C41F2E"/>
    <w:rsid w:val="00C42A99"/>
    <w:rsid w:val="00C450AF"/>
    <w:rsid w:val="00C45536"/>
    <w:rsid w:val="00C4621F"/>
    <w:rsid w:val="00C4777B"/>
    <w:rsid w:val="00C51902"/>
    <w:rsid w:val="00C51C09"/>
    <w:rsid w:val="00C51CBE"/>
    <w:rsid w:val="00C524F9"/>
    <w:rsid w:val="00C5251A"/>
    <w:rsid w:val="00C529A6"/>
    <w:rsid w:val="00C52DB3"/>
    <w:rsid w:val="00C53287"/>
    <w:rsid w:val="00C54A0A"/>
    <w:rsid w:val="00C551AE"/>
    <w:rsid w:val="00C55EB0"/>
    <w:rsid w:val="00C55ECF"/>
    <w:rsid w:val="00C574E9"/>
    <w:rsid w:val="00C6040A"/>
    <w:rsid w:val="00C62E92"/>
    <w:rsid w:val="00C6608E"/>
    <w:rsid w:val="00C669E0"/>
    <w:rsid w:val="00C703D1"/>
    <w:rsid w:val="00C70F04"/>
    <w:rsid w:val="00C72CA7"/>
    <w:rsid w:val="00C72D8C"/>
    <w:rsid w:val="00C72E05"/>
    <w:rsid w:val="00C73679"/>
    <w:rsid w:val="00C73AE6"/>
    <w:rsid w:val="00C73FA5"/>
    <w:rsid w:val="00C74283"/>
    <w:rsid w:val="00C748C1"/>
    <w:rsid w:val="00C756DB"/>
    <w:rsid w:val="00C76A4C"/>
    <w:rsid w:val="00C76B61"/>
    <w:rsid w:val="00C770C1"/>
    <w:rsid w:val="00C80775"/>
    <w:rsid w:val="00C80FEF"/>
    <w:rsid w:val="00C81543"/>
    <w:rsid w:val="00C8176D"/>
    <w:rsid w:val="00C85BEC"/>
    <w:rsid w:val="00C8682A"/>
    <w:rsid w:val="00C87271"/>
    <w:rsid w:val="00C90517"/>
    <w:rsid w:val="00C91156"/>
    <w:rsid w:val="00C91FFB"/>
    <w:rsid w:val="00C9747A"/>
    <w:rsid w:val="00CA6C95"/>
    <w:rsid w:val="00CA7027"/>
    <w:rsid w:val="00CB16EC"/>
    <w:rsid w:val="00CB2FCA"/>
    <w:rsid w:val="00CB499D"/>
    <w:rsid w:val="00CC09C7"/>
    <w:rsid w:val="00CC1913"/>
    <w:rsid w:val="00CC551C"/>
    <w:rsid w:val="00CC67E0"/>
    <w:rsid w:val="00CD0781"/>
    <w:rsid w:val="00CD181A"/>
    <w:rsid w:val="00CD578B"/>
    <w:rsid w:val="00CD6475"/>
    <w:rsid w:val="00CD6F26"/>
    <w:rsid w:val="00CD7287"/>
    <w:rsid w:val="00CD75F3"/>
    <w:rsid w:val="00CE0941"/>
    <w:rsid w:val="00CE1408"/>
    <w:rsid w:val="00CE3433"/>
    <w:rsid w:val="00CE4FCE"/>
    <w:rsid w:val="00CE54FF"/>
    <w:rsid w:val="00CF1048"/>
    <w:rsid w:val="00CF3E8E"/>
    <w:rsid w:val="00CF45A5"/>
    <w:rsid w:val="00CF4CF1"/>
    <w:rsid w:val="00CF5BD7"/>
    <w:rsid w:val="00CF5F61"/>
    <w:rsid w:val="00CF647A"/>
    <w:rsid w:val="00CF6E6D"/>
    <w:rsid w:val="00CF79DF"/>
    <w:rsid w:val="00D00EB6"/>
    <w:rsid w:val="00D01ACF"/>
    <w:rsid w:val="00D01E8B"/>
    <w:rsid w:val="00D047F6"/>
    <w:rsid w:val="00D05F78"/>
    <w:rsid w:val="00D064A5"/>
    <w:rsid w:val="00D06FF7"/>
    <w:rsid w:val="00D112E4"/>
    <w:rsid w:val="00D11682"/>
    <w:rsid w:val="00D14F48"/>
    <w:rsid w:val="00D152C1"/>
    <w:rsid w:val="00D162B7"/>
    <w:rsid w:val="00D21298"/>
    <w:rsid w:val="00D2168B"/>
    <w:rsid w:val="00D21AC3"/>
    <w:rsid w:val="00D23E72"/>
    <w:rsid w:val="00D2499A"/>
    <w:rsid w:val="00D24F95"/>
    <w:rsid w:val="00D262D4"/>
    <w:rsid w:val="00D26C4C"/>
    <w:rsid w:val="00D26F2B"/>
    <w:rsid w:val="00D312D3"/>
    <w:rsid w:val="00D36A4A"/>
    <w:rsid w:val="00D36C17"/>
    <w:rsid w:val="00D4346E"/>
    <w:rsid w:val="00D43503"/>
    <w:rsid w:val="00D43DD7"/>
    <w:rsid w:val="00D4604E"/>
    <w:rsid w:val="00D507B2"/>
    <w:rsid w:val="00D513B8"/>
    <w:rsid w:val="00D51A36"/>
    <w:rsid w:val="00D54AB6"/>
    <w:rsid w:val="00D54CC6"/>
    <w:rsid w:val="00D560C3"/>
    <w:rsid w:val="00D56E40"/>
    <w:rsid w:val="00D574C3"/>
    <w:rsid w:val="00D57847"/>
    <w:rsid w:val="00D60AA5"/>
    <w:rsid w:val="00D62F58"/>
    <w:rsid w:val="00D659D5"/>
    <w:rsid w:val="00D66440"/>
    <w:rsid w:val="00D66DDD"/>
    <w:rsid w:val="00D6750B"/>
    <w:rsid w:val="00D704B9"/>
    <w:rsid w:val="00D72C5E"/>
    <w:rsid w:val="00D72CCF"/>
    <w:rsid w:val="00D7311A"/>
    <w:rsid w:val="00D758E3"/>
    <w:rsid w:val="00D75FA3"/>
    <w:rsid w:val="00D766E4"/>
    <w:rsid w:val="00D8166F"/>
    <w:rsid w:val="00D819D5"/>
    <w:rsid w:val="00D81D69"/>
    <w:rsid w:val="00D81EA6"/>
    <w:rsid w:val="00D832F5"/>
    <w:rsid w:val="00D84A67"/>
    <w:rsid w:val="00D84E16"/>
    <w:rsid w:val="00D86BD7"/>
    <w:rsid w:val="00D870D3"/>
    <w:rsid w:val="00D87E3C"/>
    <w:rsid w:val="00D954C1"/>
    <w:rsid w:val="00D972D6"/>
    <w:rsid w:val="00D978B7"/>
    <w:rsid w:val="00D97979"/>
    <w:rsid w:val="00DA1D40"/>
    <w:rsid w:val="00DA3086"/>
    <w:rsid w:val="00DA372B"/>
    <w:rsid w:val="00DA4B08"/>
    <w:rsid w:val="00DA4DBE"/>
    <w:rsid w:val="00DA5E50"/>
    <w:rsid w:val="00DA71F0"/>
    <w:rsid w:val="00DB186A"/>
    <w:rsid w:val="00DB293A"/>
    <w:rsid w:val="00DB3B01"/>
    <w:rsid w:val="00DB3B3A"/>
    <w:rsid w:val="00DB5814"/>
    <w:rsid w:val="00DB5A72"/>
    <w:rsid w:val="00DB65B0"/>
    <w:rsid w:val="00DC0DDD"/>
    <w:rsid w:val="00DC0DEE"/>
    <w:rsid w:val="00DC2244"/>
    <w:rsid w:val="00DC3B7C"/>
    <w:rsid w:val="00DC4EB5"/>
    <w:rsid w:val="00DC509E"/>
    <w:rsid w:val="00DC5CD4"/>
    <w:rsid w:val="00DC69F4"/>
    <w:rsid w:val="00DC70EC"/>
    <w:rsid w:val="00DC7319"/>
    <w:rsid w:val="00DD1512"/>
    <w:rsid w:val="00DD1F33"/>
    <w:rsid w:val="00DD2F25"/>
    <w:rsid w:val="00DD2FC2"/>
    <w:rsid w:val="00DD343C"/>
    <w:rsid w:val="00DD42B7"/>
    <w:rsid w:val="00DD4DBA"/>
    <w:rsid w:val="00DD68CD"/>
    <w:rsid w:val="00DD6BBE"/>
    <w:rsid w:val="00DD7A9D"/>
    <w:rsid w:val="00DD7FA8"/>
    <w:rsid w:val="00DE1608"/>
    <w:rsid w:val="00DE245A"/>
    <w:rsid w:val="00DE3DF5"/>
    <w:rsid w:val="00DE4353"/>
    <w:rsid w:val="00DE58F0"/>
    <w:rsid w:val="00DE5E5D"/>
    <w:rsid w:val="00DE66CF"/>
    <w:rsid w:val="00DE6B96"/>
    <w:rsid w:val="00DE71E6"/>
    <w:rsid w:val="00DE7EC9"/>
    <w:rsid w:val="00DF0ECD"/>
    <w:rsid w:val="00DF19D2"/>
    <w:rsid w:val="00DF1E19"/>
    <w:rsid w:val="00DF591C"/>
    <w:rsid w:val="00DF5B72"/>
    <w:rsid w:val="00DF7800"/>
    <w:rsid w:val="00E006F6"/>
    <w:rsid w:val="00E0180B"/>
    <w:rsid w:val="00E01F28"/>
    <w:rsid w:val="00E03706"/>
    <w:rsid w:val="00E03ED8"/>
    <w:rsid w:val="00E05180"/>
    <w:rsid w:val="00E0750B"/>
    <w:rsid w:val="00E07E5F"/>
    <w:rsid w:val="00E101F6"/>
    <w:rsid w:val="00E105EC"/>
    <w:rsid w:val="00E109F1"/>
    <w:rsid w:val="00E10A36"/>
    <w:rsid w:val="00E10AED"/>
    <w:rsid w:val="00E12100"/>
    <w:rsid w:val="00E12168"/>
    <w:rsid w:val="00E13AB0"/>
    <w:rsid w:val="00E14562"/>
    <w:rsid w:val="00E15755"/>
    <w:rsid w:val="00E16074"/>
    <w:rsid w:val="00E17D10"/>
    <w:rsid w:val="00E21315"/>
    <w:rsid w:val="00E21D45"/>
    <w:rsid w:val="00E23909"/>
    <w:rsid w:val="00E25C34"/>
    <w:rsid w:val="00E271D7"/>
    <w:rsid w:val="00E272A6"/>
    <w:rsid w:val="00E27866"/>
    <w:rsid w:val="00E27C19"/>
    <w:rsid w:val="00E32463"/>
    <w:rsid w:val="00E329B2"/>
    <w:rsid w:val="00E346B2"/>
    <w:rsid w:val="00E34727"/>
    <w:rsid w:val="00E3476B"/>
    <w:rsid w:val="00E34DAC"/>
    <w:rsid w:val="00E34F13"/>
    <w:rsid w:val="00E35744"/>
    <w:rsid w:val="00E35A99"/>
    <w:rsid w:val="00E404DE"/>
    <w:rsid w:val="00E405C7"/>
    <w:rsid w:val="00E40BAB"/>
    <w:rsid w:val="00E40EA4"/>
    <w:rsid w:val="00E4342D"/>
    <w:rsid w:val="00E454FE"/>
    <w:rsid w:val="00E46889"/>
    <w:rsid w:val="00E504EF"/>
    <w:rsid w:val="00E54C9A"/>
    <w:rsid w:val="00E54E8A"/>
    <w:rsid w:val="00E55A2E"/>
    <w:rsid w:val="00E55A64"/>
    <w:rsid w:val="00E62524"/>
    <w:rsid w:val="00E645A5"/>
    <w:rsid w:val="00E66396"/>
    <w:rsid w:val="00E66C07"/>
    <w:rsid w:val="00E6752F"/>
    <w:rsid w:val="00E721AE"/>
    <w:rsid w:val="00E72ED9"/>
    <w:rsid w:val="00E74289"/>
    <w:rsid w:val="00E749E0"/>
    <w:rsid w:val="00E81F12"/>
    <w:rsid w:val="00E82055"/>
    <w:rsid w:val="00E830FF"/>
    <w:rsid w:val="00E83822"/>
    <w:rsid w:val="00E83F3C"/>
    <w:rsid w:val="00E846D4"/>
    <w:rsid w:val="00E84AE8"/>
    <w:rsid w:val="00E856C1"/>
    <w:rsid w:val="00E85CC5"/>
    <w:rsid w:val="00E870DB"/>
    <w:rsid w:val="00E9163C"/>
    <w:rsid w:val="00E9424E"/>
    <w:rsid w:val="00E9429C"/>
    <w:rsid w:val="00E9638C"/>
    <w:rsid w:val="00E96681"/>
    <w:rsid w:val="00E97183"/>
    <w:rsid w:val="00E9798D"/>
    <w:rsid w:val="00EA0327"/>
    <w:rsid w:val="00EA0330"/>
    <w:rsid w:val="00EA6655"/>
    <w:rsid w:val="00EA784A"/>
    <w:rsid w:val="00EB1791"/>
    <w:rsid w:val="00EB1C29"/>
    <w:rsid w:val="00EB43EE"/>
    <w:rsid w:val="00EB5158"/>
    <w:rsid w:val="00EB7327"/>
    <w:rsid w:val="00EC14DD"/>
    <w:rsid w:val="00EC1A3A"/>
    <w:rsid w:val="00EC1DFD"/>
    <w:rsid w:val="00EC3345"/>
    <w:rsid w:val="00EC3397"/>
    <w:rsid w:val="00EC54F4"/>
    <w:rsid w:val="00EC5E13"/>
    <w:rsid w:val="00ED07C4"/>
    <w:rsid w:val="00ED30A9"/>
    <w:rsid w:val="00ED4DA2"/>
    <w:rsid w:val="00ED6B0D"/>
    <w:rsid w:val="00EE0282"/>
    <w:rsid w:val="00EE0478"/>
    <w:rsid w:val="00EE17D7"/>
    <w:rsid w:val="00EE22AB"/>
    <w:rsid w:val="00EE29DB"/>
    <w:rsid w:val="00EE2D22"/>
    <w:rsid w:val="00EE41E6"/>
    <w:rsid w:val="00EE4233"/>
    <w:rsid w:val="00EE4C1D"/>
    <w:rsid w:val="00EE5332"/>
    <w:rsid w:val="00EE5EDA"/>
    <w:rsid w:val="00EF0F44"/>
    <w:rsid w:val="00EF1BF6"/>
    <w:rsid w:val="00EF1FD8"/>
    <w:rsid w:val="00EF3C36"/>
    <w:rsid w:val="00EF4A41"/>
    <w:rsid w:val="00EF4F85"/>
    <w:rsid w:val="00EF5FA3"/>
    <w:rsid w:val="00F00562"/>
    <w:rsid w:val="00F01219"/>
    <w:rsid w:val="00F01320"/>
    <w:rsid w:val="00F035C8"/>
    <w:rsid w:val="00F04B23"/>
    <w:rsid w:val="00F058CA"/>
    <w:rsid w:val="00F0673E"/>
    <w:rsid w:val="00F06C3A"/>
    <w:rsid w:val="00F07509"/>
    <w:rsid w:val="00F078AC"/>
    <w:rsid w:val="00F10853"/>
    <w:rsid w:val="00F1533C"/>
    <w:rsid w:val="00F17906"/>
    <w:rsid w:val="00F205BD"/>
    <w:rsid w:val="00F21C69"/>
    <w:rsid w:val="00F226C5"/>
    <w:rsid w:val="00F22751"/>
    <w:rsid w:val="00F23EA4"/>
    <w:rsid w:val="00F24D55"/>
    <w:rsid w:val="00F25416"/>
    <w:rsid w:val="00F25BA4"/>
    <w:rsid w:val="00F26140"/>
    <w:rsid w:val="00F277AB"/>
    <w:rsid w:val="00F3257C"/>
    <w:rsid w:val="00F3528B"/>
    <w:rsid w:val="00F3797A"/>
    <w:rsid w:val="00F407E8"/>
    <w:rsid w:val="00F410A5"/>
    <w:rsid w:val="00F41D18"/>
    <w:rsid w:val="00F43847"/>
    <w:rsid w:val="00F44A21"/>
    <w:rsid w:val="00F455FF"/>
    <w:rsid w:val="00F46265"/>
    <w:rsid w:val="00F4640E"/>
    <w:rsid w:val="00F467B5"/>
    <w:rsid w:val="00F46E02"/>
    <w:rsid w:val="00F50C31"/>
    <w:rsid w:val="00F53981"/>
    <w:rsid w:val="00F5432A"/>
    <w:rsid w:val="00F551F1"/>
    <w:rsid w:val="00F552E0"/>
    <w:rsid w:val="00F60E93"/>
    <w:rsid w:val="00F619AF"/>
    <w:rsid w:val="00F62AA6"/>
    <w:rsid w:val="00F6416E"/>
    <w:rsid w:val="00F647F3"/>
    <w:rsid w:val="00F66661"/>
    <w:rsid w:val="00F672B5"/>
    <w:rsid w:val="00F674B9"/>
    <w:rsid w:val="00F67936"/>
    <w:rsid w:val="00F70B98"/>
    <w:rsid w:val="00F71711"/>
    <w:rsid w:val="00F71DD9"/>
    <w:rsid w:val="00F72691"/>
    <w:rsid w:val="00F73C90"/>
    <w:rsid w:val="00F74BFD"/>
    <w:rsid w:val="00F77584"/>
    <w:rsid w:val="00F776C4"/>
    <w:rsid w:val="00F80623"/>
    <w:rsid w:val="00F80AD0"/>
    <w:rsid w:val="00F847B6"/>
    <w:rsid w:val="00F84EFE"/>
    <w:rsid w:val="00F86083"/>
    <w:rsid w:val="00F866AF"/>
    <w:rsid w:val="00F87872"/>
    <w:rsid w:val="00F90ABE"/>
    <w:rsid w:val="00F923D4"/>
    <w:rsid w:val="00F9254D"/>
    <w:rsid w:val="00F92AF7"/>
    <w:rsid w:val="00F92B10"/>
    <w:rsid w:val="00F93153"/>
    <w:rsid w:val="00F93A18"/>
    <w:rsid w:val="00F9502A"/>
    <w:rsid w:val="00F9736F"/>
    <w:rsid w:val="00F9748B"/>
    <w:rsid w:val="00FA11F7"/>
    <w:rsid w:val="00FA2376"/>
    <w:rsid w:val="00FA415F"/>
    <w:rsid w:val="00FA5784"/>
    <w:rsid w:val="00FA61C3"/>
    <w:rsid w:val="00FA799A"/>
    <w:rsid w:val="00FB04F8"/>
    <w:rsid w:val="00FB0684"/>
    <w:rsid w:val="00FB06EA"/>
    <w:rsid w:val="00FB08EB"/>
    <w:rsid w:val="00FB3375"/>
    <w:rsid w:val="00FB36E2"/>
    <w:rsid w:val="00FB4746"/>
    <w:rsid w:val="00FB49C0"/>
    <w:rsid w:val="00FB6B12"/>
    <w:rsid w:val="00FB7451"/>
    <w:rsid w:val="00FB7C81"/>
    <w:rsid w:val="00FC210F"/>
    <w:rsid w:val="00FC396C"/>
    <w:rsid w:val="00FC3BFB"/>
    <w:rsid w:val="00FC46BA"/>
    <w:rsid w:val="00FC4A3C"/>
    <w:rsid w:val="00FC714D"/>
    <w:rsid w:val="00FC7891"/>
    <w:rsid w:val="00FC7960"/>
    <w:rsid w:val="00FC7999"/>
    <w:rsid w:val="00FC7ABB"/>
    <w:rsid w:val="00FD07C8"/>
    <w:rsid w:val="00FD194B"/>
    <w:rsid w:val="00FD2D38"/>
    <w:rsid w:val="00FD33C5"/>
    <w:rsid w:val="00FD43CA"/>
    <w:rsid w:val="00FD4B18"/>
    <w:rsid w:val="00FD66C2"/>
    <w:rsid w:val="00FE0176"/>
    <w:rsid w:val="00FE0405"/>
    <w:rsid w:val="00FE07EE"/>
    <w:rsid w:val="00FE2265"/>
    <w:rsid w:val="00FE34C4"/>
    <w:rsid w:val="00FE661E"/>
    <w:rsid w:val="00FF049F"/>
    <w:rsid w:val="00FF1BC9"/>
    <w:rsid w:val="00FF23E0"/>
    <w:rsid w:val="00FF26AC"/>
    <w:rsid w:val="00FF4CED"/>
    <w:rsid w:val="00FF64A7"/>
    <w:rsid w:val="00FF67DA"/>
    <w:rsid w:val="00FF6EDA"/>
    <w:rsid w:val="5269B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9393"/>
    <o:shapelayout v:ext="edit">
      <o:idmap v:ext="edit" data="1"/>
    </o:shapelayout>
  </w:shapeDefaults>
  <w:decimalSymbol w:val="."/>
  <w:listSeparator w:val=","/>
  <w14:docId w14:val="4FA298A8"/>
  <w15:docId w15:val="{85CB26E4-96D4-4ECC-9FAA-A0052B1A2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3A2A52"/>
  </w:style>
  <w:style w:type="paragraph" w:styleId="Heading1">
    <w:name w:val="heading 1"/>
    <w:basedOn w:val="Normal"/>
    <w:next w:val="Normal"/>
    <w:qFormat/>
    <w:rsid w:val="003A2A52"/>
    <w:pPr>
      <w:keepNext/>
      <w:jc w:val="right"/>
      <w:outlineLvl w:val="0"/>
    </w:pPr>
    <w:rPr>
      <w:rFonts w:ascii="Arial" w:hAnsi="Arial" w:cs="Arial"/>
      <w:b/>
      <w:bCs/>
      <w:sz w:val="18"/>
      <w:szCs w:val="18"/>
    </w:rPr>
  </w:style>
  <w:style w:type="paragraph" w:styleId="Heading2">
    <w:name w:val="heading 2"/>
    <w:basedOn w:val="Normal"/>
    <w:next w:val="Normal"/>
    <w:qFormat/>
    <w:rsid w:val="003A2A52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color w:val="000000"/>
      <w:sz w:val="18"/>
      <w:szCs w:val="18"/>
    </w:rPr>
  </w:style>
  <w:style w:type="paragraph" w:styleId="Heading3">
    <w:name w:val="heading 3"/>
    <w:basedOn w:val="Normal"/>
    <w:next w:val="Normal"/>
    <w:qFormat/>
    <w:rsid w:val="003A2A52"/>
    <w:pPr>
      <w:keepNext/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18"/>
      <w:szCs w:val="18"/>
    </w:rPr>
  </w:style>
  <w:style w:type="paragraph" w:styleId="Heading4">
    <w:name w:val="heading 4"/>
    <w:basedOn w:val="Normal"/>
    <w:next w:val="Normal"/>
    <w:qFormat/>
    <w:rsid w:val="003A2A52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lang w:val="es-ES_tradnl"/>
    </w:rPr>
  </w:style>
  <w:style w:type="paragraph" w:styleId="Heading5">
    <w:name w:val="heading 5"/>
    <w:basedOn w:val="Normal"/>
    <w:next w:val="Normal"/>
    <w:qFormat/>
    <w:rsid w:val="003A2A52"/>
    <w:pPr>
      <w:keepNext/>
      <w:autoSpaceDE w:val="0"/>
      <w:autoSpaceDN w:val="0"/>
      <w:adjustRightInd w:val="0"/>
      <w:outlineLvl w:val="4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styleId="Heading6">
    <w:name w:val="heading 6"/>
    <w:basedOn w:val="Normal"/>
    <w:next w:val="Normal"/>
    <w:qFormat/>
    <w:rsid w:val="003A2A52"/>
    <w:pPr>
      <w:keepNext/>
      <w:autoSpaceDE w:val="0"/>
      <w:autoSpaceDN w:val="0"/>
      <w:adjustRightInd w:val="0"/>
      <w:outlineLvl w:val="5"/>
    </w:pPr>
    <w:rPr>
      <w:b/>
      <w:bCs/>
      <w:sz w:val="18"/>
      <w:szCs w:val="18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2A5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A2A5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A2A52"/>
  </w:style>
  <w:style w:type="paragraph" w:customStyle="1" w:styleId="Textodeglobo2">
    <w:name w:val="Texto de globo2"/>
    <w:basedOn w:val="Normal"/>
    <w:semiHidden/>
    <w:rsid w:val="003A2A5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3A2A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A2A52"/>
  </w:style>
  <w:style w:type="paragraph" w:customStyle="1" w:styleId="Asuntodelcomentario1">
    <w:name w:val="Asunto del comentario1"/>
    <w:basedOn w:val="CommentText"/>
    <w:next w:val="CommentText"/>
    <w:semiHidden/>
    <w:rsid w:val="003A2A52"/>
    <w:rPr>
      <w:b/>
      <w:bCs/>
    </w:rPr>
  </w:style>
  <w:style w:type="paragraph" w:styleId="BodyText">
    <w:name w:val="Body Text"/>
    <w:basedOn w:val="Normal"/>
    <w:rsid w:val="003A2A52"/>
    <w:pPr>
      <w:autoSpaceDE w:val="0"/>
      <w:autoSpaceDN w:val="0"/>
      <w:adjustRightInd w:val="0"/>
      <w:jc w:val="both"/>
    </w:pPr>
    <w:rPr>
      <w:rFonts w:ascii="Arial" w:hAnsi="Arial" w:cs="Arial"/>
      <w:color w:val="000000"/>
      <w:sz w:val="18"/>
      <w:szCs w:val="18"/>
    </w:rPr>
  </w:style>
  <w:style w:type="paragraph" w:styleId="BodyText2">
    <w:name w:val="Body Text 2"/>
    <w:basedOn w:val="Normal"/>
    <w:rsid w:val="003A2A52"/>
    <w:pPr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BodyText3">
    <w:name w:val="Body Text 3"/>
    <w:basedOn w:val="Normal"/>
    <w:rsid w:val="003A2A52"/>
    <w:pPr>
      <w:autoSpaceDE w:val="0"/>
      <w:autoSpaceDN w:val="0"/>
      <w:adjustRightInd w:val="0"/>
    </w:pPr>
    <w:rPr>
      <w:rFonts w:ascii="Geneva" w:hAnsi="Geneva" w:cs="Arial"/>
      <w:b/>
      <w:bCs/>
      <w:i/>
      <w:iCs/>
      <w:color w:val="000000"/>
      <w:sz w:val="18"/>
      <w:szCs w:val="18"/>
      <w:lang w:val="es-ES_tradnl"/>
    </w:rPr>
  </w:style>
  <w:style w:type="paragraph" w:customStyle="1" w:styleId="Textodeglobo1">
    <w:name w:val="Texto de globo1"/>
    <w:basedOn w:val="Normal"/>
    <w:semiHidden/>
    <w:rsid w:val="003A2A52"/>
    <w:rPr>
      <w:rFonts w:ascii="Tahoma" w:hAnsi="Tahoma" w:cs="Tahoma"/>
      <w:sz w:val="16"/>
      <w:szCs w:val="16"/>
    </w:rPr>
  </w:style>
  <w:style w:type="paragraph" w:customStyle="1" w:styleId="Chapter">
    <w:name w:val="Chapter"/>
    <w:basedOn w:val="Normal"/>
    <w:next w:val="Normal"/>
    <w:rsid w:val="003A2A52"/>
    <w:pPr>
      <w:numPr>
        <w:numId w:val="1"/>
      </w:numPr>
      <w:tabs>
        <w:tab w:val="left" w:pos="1440"/>
      </w:tabs>
      <w:spacing w:before="240" w:after="240"/>
      <w:jc w:val="center"/>
    </w:pPr>
    <w:rPr>
      <w:b/>
      <w:smallCaps/>
      <w:sz w:val="24"/>
      <w:lang w:val="es-ES"/>
    </w:rPr>
  </w:style>
  <w:style w:type="paragraph" w:customStyle="1" w:styleId="Paragraph">
    <w:name w:val="Paragraph"/>
    <w:basedOn w:val="BodyTextIndent"/>
    <w:rsid w:val="003A2A52"/>
    <w:pPr>
      <w:numPr>
        <w:ilvl w:val="1"/>
        <w:numId w:val="1"/>
      </w:numPr>
      <w:spacing w:before="120"/>
      <w:jc w:val="both"/>
      <w:outlineLvl w:val="1"/>
    </w:pPr>
    <w:rPr>
      <w:sz w:val="24"/>
      <w:lang w:val="es-ES"/>
    </w:rPr>
  </w:style>
  <w:style w:type="paragraph" w:customStyle="1" w:styleId="subpar">
    <w:name w:val="subpar"/>
    <w:basedOn w:val="BodyTextIndent3"/>
    <w:rsid w:val="003A2A52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  <w:lang w:val="es-ES_tradnl"/>
    </w:rPr>
  </w:style>
  <w:style w:type="paragraph" w:customStyle="1" w:styleId="SubSubPar">
    <w:name w:val="SubSubPar"/>
    <w:basedOn w:val="subpar"/>
    <w:rsid w:val="003A2A52"/>
    <w:pPr>
      <w:numPr>
        <w:ilvl w:val="3"/>
      </w:numPr>
      <w:tabs>
        <w:tab w:val="left" w:pos="0"/>
      </w:tabs>
    </w:pPr>
  </w:style>
  <w:style w:type="paragraph" w:styleId="BodyTextIndent">
    <w:name w:val="Body Text Indent"/>
    <w:basedOn w:val="Normal"/>
    <w:rsid w:val="003A2A52"/>
    <w:pPr>
      <w:spacing w:after="120"/>
      <w:ind w:left="360"/>
    </w:pPr>
  </w:style>
  <w:style w:type="paragraph" w:styleId="BodyTextIndent3">
    <w:name w:val="Body Text Indent 3"/>
    <w:basedOn w:val="Normal"/>
    <w:rsid w:val="003A2A52"/>
    <w:pPr>
      <w:spacing w:after="120"/>
      <w:ind w:left="360"/>
    </w:pPr>
    <w:rPr>
      <w:sz w:val="16"/>
      <w:szCs w:val="16"/>
    </w:rPr>
  </w:style>
  <w:style w:type="paragraph" w:styleId="FootnoteText">
    <w:name w:val="footnote text"/>
    <w:basedOn w:val="Normal"/>
    <w:semiHidden/>
    <w:rsid w:val="003A2A52"/>
  </w:style>
  <w:style w:type="character" w:styleId="FootnoteReference">
    <w:name w:val="footnote reference"/>
    <w:basedOn w:val="DefaultParagraphFont"/>
    <w:semiHidden/>
    <w:rsid w:val="003A2A52"/>
    <w:rPr>
      <w:vertAlign w:val="superscript"/>
    </w:rPr>
  </w:style>
  <w:style w:type="paragraph" w:styleId="BalloonText">
    <w:name w:val="Balloon Text"/>
    <w:basedOn w:val="Normal"/>
    <w:semiHidden/>
    <w:rsid w:val="001D1698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E21D45"/>
    <w:rPr>
      <w:lang w:val="en-US" w:eastAsia="en-US"/>
    </w:rPr>
  </w:style>
  <w:style w:type="character" w:styleId="Emphasis">
    <w:name w:val="Emphasis"/>
    <w:basedOn w:val="DefaultParagraphFont"/>
    <w:uiPriority w:val="20"/>
    <w:qFormat/>
    <w:rsid w:val="00D36C17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A31C52"/>
  </w:style>
  <w:style w:type="table" w:styleId="TableGrid">
    <w:name w:val="Table Grid"/>
    <w:basedOn w:val="TableNormal"/>
    <w:uiPriority w:val="59"/>
    <w:rsid w:val="001F49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F4940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B67A1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168"/>
  </w:style>
  <w:style w:type="paragraph" w:customStyle="1" w:styleId="Default">
    <w:name w:val="Default"/>
    <w:rsid w:val="00E12168"/>
    <w:pPr>
      <w:autoSpaceDE w:val="0"/>
      <w:autoSpaceDN w:val="0"/>
      <w:adjustRightInd w:val="0"/>
    </w:pPr>
    <w:rPr>
      <w:color w:val="000000"/>
      <w:sz w:val="24"/>
      <w:szCs w:val="24"/>
      <w:lang w:val="es-CO" w:eastAsia="es-CO"/>
    </w:rPr>
  </w:style>
  <w:style w:type="character" w:styleId="Hyperlink">
    <w:name w:val="Hyperlink"/>
    <w:basedOn w:val="DefaultParagraphFont"/>
    <w:rsid w:val="006624DC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514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51470"/>
    <w:rPr>
      <w:b/>
      <w:bCs/>
    </w:rPr>
  </w:style>
  <w:style w:type="character" w:styleId="FollowedHyperlink">
    <w:name w:val="FollowedHyperlink"/>
    <w:basedOn w:val="DefaultParagraphFont"/>
    <w:semiHidden/>
    <w:unhideWhenUsed/>
    <w:rsid w:val="00943A37"/>
    <w:rPr>
      <w:color w:val="800080" w:themeColor="followedHyperlink"/>
      <w:u w:val="single"/>
    </w:rPr>
  </w:style>
  <w:style w:type="character" w:styleId="BookTitle">
    <w:name w:val="Book Title"/>
    <w:basedOn w:val="DefaultParagraphFont"/>
    <w:uiPriority w:val="33"/>
    <w:qFormat/>
    <w:rsid w:val="0027193B"/>
    <w:rPr>
      <w:b/>
      <w:bCs/>
      <w:smallCaps/>
      <w:spacing w:val="5"/>
    </w:rPr>
  </w:style>
  <w:style w:type="paragraph" w:styleId="Revision">
    <w:name w:val="Revision"/>
    <w:hidden/>
    <w:uiPriority w:val="99"/>
    <w:semiHidden/>
    <w:rsid w:val="00A938DC"/>
  </w:style>
  <w:style w:type="character" w:styleId="Mention">
    <w:name w:val="Mention"/>
    <w:basedOn w:val="DefaultParagraphFont"/>
    <w:uiPriority w:val="99"/>
    <w:semiHidden/>
    <w:unhideWhenUsed/>
    <w:rsid w:val="00072F7C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432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91157">
          <w:marLeft w:val="44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4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225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2869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51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3704">
          <w:marLeft w:val="418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1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51426">
          <w:marLeft w:val="446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inisteriopublico.gob.pa/wp-content/multimedia/2017/01/Decreto-Ejecutivo-No.-1-de-5-de-enero-de-2016.pdf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gacetaoficial.gob.pa/pdfTemp/28066/GacetaNo_28066_20160704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3F9C2-E3FE-4876-B38F-3B13EE10F9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F6CD24-DA64-4D4B-B5EE-3ED995E3A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PE-L1061</vt:lpstr>
    </vt:vector>
  </TitlesOfParts>
  <Company>Inter-American Development Bank</Company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PE-L1061</dc:title>
  <dc:subject>Matriz de Políticas</dc:subject>
  <dc:creator>Administrator</dc:creator>
  <cp:lastModifiedBy>Vanegas, Wilkferg Rico</cp:lastModifiedBy>
  <cp:revision>217</cp:revision>
  <cp:lastPrinted>2017-01-12T19:41:00Z</cp:lastPrinted>
  <dcterms:created xsi:type="dcterms:W3CDTF">2017-04-11T20:23:00Z</dcterms:created>
  <dcterms:modified xsi:type="dcterms:W3CDTF">2017-07-07T16:17:00Z</dcterms:modified>
  <cp:category>Borrador de Trabajo</cp:category>
</cp:coreProperties>
</file>