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45A48" w14:textId="77777777" w:rsidR="00A763AE" w:rsidRPr="0083531C" w:rsidRDefault="00DB2EA2" w:rsidP="0083531C">
      <w:pPr>
        <w:autoSpaceDE w:val="0"/>
        <w:autoSpaceDN w:val="0"/>
        <w:adjustRightInd w:val="0"/>
        <w:snapToGrid w:val="0"/>
        <w:spacing w:after="120" w:line="240" w:lineRule="auto"/>
        <w:jc w:val="center"/>
        <w:rPr>
          <w:rFonts w:ascii="Arial" w:hAnsi="Arial" w:cs="Arial"/>
          <w:b/>
          <w:smallCaps/>
          <w:szCs w:val="20"/>
          <w:lang w:val="es-CR"/>
        </w:rPr>
      </w:pPr>
      <w:r w:rsidRPr="0083531C">
        <w:rPr>
          <w:rFonts w:ascii="Arial" w:hAnsi="Arial" w:cs="Arial"/>
          <w:b/>
          <w:smallCaps/>
          <w:szCs w:val="20"/>
          <w:lang w:val="es-CR"/>
        </w:rPr>
        <w:t>Matriz de Resultados</w:t>
      </w:r>
    </w:p>
    <w:tbl>
      <w:tblPr>
        <w:tblStyle w:val="TableGrid"/>
        <w:tblW w:w="13207" w:type="dxa"/>
        <w:tblInd w:w="-612" w:type="dxa"/>
        <w:tblLook w:val="04A0" w:firstRow="1" w:lastRow="0" w:firstColumn="1" w:lastColumn="0" w:noHBand="0" w:noVBand="1"/>
      </w:tblPr>
      <w:tblGrid>
        <w:gridCol w:w="1440"/>
        <w:gridCol w:w="11767"/>
      </w:tblGrid>
      <w:tr w:rsidR="00795640" w:rsidRPr="00CF0BED" w14:paraId="78326C41" w14:textId="77777777" w:rsidTr="0083531C">
        <w:trPr>
          <w:trHeight w:val="1538"/>
        </w:trPr>
        <w:tc>
          <w:tcPr>
            <w:tcW w:w="1440" w:type="dxa"/>
            <w:vAlign w:val="center"/>
          </w:tcPr>
          <w:p w14:paraId="41185E16" w14:textId="77777777" w:rsidR="00795640" w:rsidRPr="002619F0" w:rsidRDefault="00DB2EA2" w:rsidP="002619F0">
            <w:pPr>
              <w:pStyle w:val="Paragraph"/>
              <w:numPr>
                <w:ilvl w:val="1"/>
                <w:numId w:val="0"/>
              </w:numPr>
              <w:spacing w:before="0" w:after="0"/>
              <w:jc w:val="left"/>
              <w:rPr>
                <w:rFonts w:ascii="Arial" w:hAnsi="Arial" w:cs="Arial"/>
                <w:b/>
                <w:sz w:val="20"/>
                <w:lang w:val="es-CR"/>
              </w:rPr>
            </w:pPr>
            <w:r w:rsidRPr="002619F0">
              <w:rPr>
                <w:rFonts w:ascii="Arial" w:hAnsi="Arial" w:cs="Arial"/>
                <w:b/>
                <w:sz w:val="20"/>
                <w:lang w:val="es-CR"/>
              </w:rPr>
              <w:t>Objetivo del programa</w:t>
            </w:r>
            <w:r w:rsidR="00795640" w:rsidRPr="002619F0">
              <w:rPr>
                <w:rFonts w:ascii="Arial" w:hAnsi="Arial" w:cs="Arial"/>
                <w:b/>
                <w:sz w:val="20"/>
                <w:lang w:val="es-CR"/>
              </w:rPr>
              <w:t>:</w:t>
            </w:r>
          </w:p>
        </w:tc>
        <w:tc>
          <w:tcPr>
            <w:tcW w:w="11767" w:type="dxa"/>
          </w:tcPr>
          <w:p w14:paraId="3495F706" w14:textId="56A0F4E3" w:rsidR="00192135" w:rsidRPr="002619F0" w:rsidRDefault="00F21824" w:rsidP="002619F0">
            <w:pPr>
              <w:autoSpaceDE w:val="0"/>
              <w:autoSpaceDN w:val="0"/>
              <w:adjustRightInd w:val="0"/>
              <w:spacing w:after="0" w:line="240" w:lineRule="auto"/>
              <w:jc w:val="both"/>
              <w:rPr>
                <w:rFonts w:ascii="Arial" w:hAnsi="Arial" w:cs="Arial"/>
                <w:sz w:val="20"/>
                <w:szCs w:val="20"/>
                <w:lang w:val="es-CR"/>
              </w:rPr>
            </w:pPr>
            <w:r w:rsidRPr="002619F0">
              <w:rPr>
                <w:rFonts w:ascii="Arial" w:hAnsi="Arial" w:cs="Arial"/>
                <w:sz w:val="20"/>
                <w:szCs w:val="20"/>
                <w:lang w:val="es-CR"/>
              </w:rPr>
              <w:t>El programa tiene como objetivo general contribuir a la sostenibilidad del sector de energía, y al incremento de cobertura y mejora en la gestión de los servicios de Agua y Saneamiento (AyS), a través de una serie de reformas de políticas orientadas a fortalecer y complementar el marco normativo e institucional de los sectores de energía y AyS. Los objetivos específicos son: (i) mejorar la seguridad energética por medio de la diversificación de la matriz energética, la eficiencia energética y la integración regional; (ii) mejorar la sostenibilidad financiera y social del sector de energía y la carga fiscal, a través de la reducción del costo de los subsidios del sector y de la mejora de su focalización; (iii) fortalecer la institucionalidad en aspectos de planeación y compra de energía; y (iv)  mejorar la coordinación interinstitucional en el sector de AyS, con una planificación estratégica definida y una clara asignación de roles de todas las entidades del sector.</w:t>
            </w:r>
          </w:p>
        </w:tc>
      </w:tr>
    </w:tbl>
    <w:p w14:paraId="7FD55869" w14:textId="232BB26C" w:rsidR="00FE40E8" w:rsidRPr="002619F0" w:rsidRDefault="00FE40E8" w:rsidP="002619F0">
      <w:pPr>
        <w:autoSpaceDE w:val="0"/>
        <w:autoSpaceDN w:val="0"/>
        <w:adjustRightInd w:val="0"/>
        <w:spacing w:after="0" w:line="240" w:lineRule="auto"/>
        <w:jc w:val="center"/>
        <w:rPr>
          <w:rFonts w:ascii="Arial" w:hAnsi="Arial" w:cs="Arial"/>
          <w:b/>
          <w:smallCaps/>
          <w:sz w:val="20"/>
          <w:szCs w:val="20"/>
          <w:lang w:val="es-ES_tradnl"/>
        </w:rPr>
      </w:pPr>
    </w:p>
    <w:tbl>
      <w:tblPr>
        <w:tblW w:w="13207"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440"/>
        <w:gridCol w:w="1530"/>
        <w:gridCol w:w="1080"/>
        <w:gridCol w:w="5760"/>
      </w:tblGrid>
      <w:tr w:rsidR="00A41560" w:rsidRPr="002619F0" w14:paraId="1FEEE67A" w14:textId="77777777" w:rsidTr="008D4F0A">
        <w:trPr>
          <w:trHeight w:val="467"/>
        </w:trPr>
        <w:tc>
          <w:tcPr>
            <w:tcW w:w="3397" w:type="dxa"/>
            <w:shd w:val="clear" w:color="auto" w:fill="D9D9D9" w:themeFill="background1" w:themeFillShade="D9"/>
            <w:vAlign w:val="center"/>
          </w:tcPr>
          <w:p w14:paraId="36ADB2A0" w14:textId="7AEBDA7C" w:rsidR="00A41560" w:rsidRPr="002619F0" w:rsidRDefault="00A41560" w:rsidP="002619F0">
            <w:pPr>
              <w:spacing w:after="0" w:line="240" w:lineRule="auto"/>
              <w:jc w:val="center"/>
              <w:rPr>
                <w:rFonts w:ascii="Arial" w:hAnsi="Arial" w:cs="Arial"/>
                <w:b/>
                <w:sz w:val="20"/>
                <w:szCs w:val="20"/>
                <w:lang w:val="es-BO"/>
              </w:rPr>
            </w:pPr>
            <w:r w:rsidRPr="002619F0">
              <w:rPr>
                <w:rFonts w:ascii="Arial" w:hAnsi="Arial" w:cs="Arial"/>
                <w:b/>
                <w:sz w:val="20"/>
                <w:szCs w:val="20"/>
                <w:lang w:val="es-BO"/>
              </w:rPr>
              <w:t>Impacto/Indicador</w:t>
            </w:r>
          </w:p>
        </w:tc>
        <w:tc>
          <w:tcPr>
            <w:tcW w:w="1440" w:type="dxa"/>
            <w:shd w:val="clear" w:color="auto" w:fill="D9D9D9" w:themeFill="background1" w:themeFillShade="D9"/>
            <w:vAlign w:val="center"/>
          </w:tcPr>
          <w:p w14:paraId="40AA6EFB" w14:textId="77777777" w:rsidR="00A41560" w:rsidRPr="002619F0" w:rsidRDefault="00A41560" w:rsidP="002619F0">
            <w:pPr>
              <w:spacing w:after="0" w:line="240" w:lineRule="auto"/>
              <w:jc w:val="center"/>
              <w:rPr>
                <w:rFonts w:ascii="Arial" w:hAnsi="Arial" w:cs="Arial"/>
                <w:b/>
                <w:sz w:val="20"/>
                <w:szCs w:val="20"/>
                <w:lang w:val="es-BO"/>
              </w:rPr>
            </w:pPr>
            <w:r w:rsidRPr="002619F0">
              <w:rPr>
                <w:rFonts w:ascii="Arial" w:hAnsi="Arial" w:cs="Arial"/>
                <w:b/>
                <w:sz w:val="20"/>
                <w:szCs w:val="20"/>
                <w:lang w:val="es-BO"/>
              </w:rPr>
              <w:t>Unidad de medida</w:t>
            </w:r>
          </w:p>
        </w:tc>
        <w:tc>
          <w:tcPr>
            <w:tcW w:w="1530" w:type="dxa"/>
            <w:shd w:val="clear" w:color="auto" w:fill="D9D9D9" w:themeFill="background1" w:themeFillShade="D9"/>
            <w:vAlign w:val="center"/>
          </w:tcPr>
          <w:p w14:paraId="65705844" w14:textId="77777777" w:rsidR="00A41560" w:rsidRPr="002619F0" w:rsidRDefault="00A41560" w:rsidP="002619F0">
            <w:pPr>
              <w:spacing w:after="0" w:line="240" w:lineRule="auto"/>
              <w:jc w:val="center"/>
              <w:rPr>
                <w:rFonts w:ascii="Arial" w:hAnsi="Arial" w:cs="Arial"/>
                <w:b/>
                <w:sz w:val="20"/>
                <w:szCs w:val="20"/>
                <w:lang w:val="es-BO"/>
              </w:rPr>
            </w:pPr>
            <w:r w:rsidRPr="002619F0">
              <w:rPr>
                <w:rFonts w:ascii="Arial" w:hAnsi="Arial" w:cs="Arial"/>
                <w:b/>
                <w:sz w:val="20"/>
                <w:szCs w:val="20"/>
                <w:lang w:val="es-BO"/>
              </w:rPr>
              <w:t>Línea de base (2015)</w:t>
            </w:r>
          </w:p>
        </w:tc>
        <w:tc>
          <w:tcPr>
            <w:tcW w:w="1080" w:type="dxa"/>
            <w:shd w:val="clear" w:color="auto" w:fill="D9D9D9" w:themeFill="background1" w:themeFillShade="D9"/>
            <w:vAlign w:val="center"/>
          </w:tcPr>
          <w:p w14:paraId="21F714AD" w14:textId="32495831" w:rsidR="00A41560" w:rsidRPr="002619F0" w:rsidRDefault="00A41560" w:rsidP="002619F0">
            <w:pPr>
              <w:spacing w:after="0" w:line="240" w:lineRule="auto"/>
              <w:jc w:val="center"/>
              <w:rPr>
                <w:rFonts w:ascii="Arial" w:hAnsi="Arial" w:cs="Arial"/>
                <w:b/>
                <w:sz w:val="20"/>
                <w:szCs w:val="20"/>
                <w:lang w:val="es-BO"/>
              </w:rPr>
            </w:pPr>
            <w:r w:rsidRPr="002619F0">
              <w:rPr>
                <w:rFonts w:ascii="Arial" w:hAnsi="Arial" w:cs="Arial"/>
                <w:b/>
                <w:sz w:val="20"/>
                <w:szCs w:val="20"/>
                <w:lang w:val="es-BO"/>
              </w:rPr>
              <w:t>Meta Final (2020)</w:t>
            </w:r>
          </w:p>
        </w:tc>
        <w:tc>
          <w:tcPr>
            <w:tcW w:w="5760" w:type="dxa"/>
            <w:shd w:val="clear" w:color="auto" w:fill="D9D9D9" w:themeFill="background1" w:themeFillShade="D9"/>
            <w:vAlign w:val="center"/>
          </w:tcPr>
          <w:p w14:paraId="788BCEA2" w14:textId="77777777" w:rsidR="00A41560" w:rsidRPr="002619F0" w:rsidRDefault="00A41560" w:rsidP="002619F0">
            <w:pPr>
              <w:spacing w:after="0" w:line="240" w:lineRule="auto"/>
              <w:jc w:val="center"/>
              <w:rPr>
                <w:rFonts w:ascii="Arial" w:hAnsi="Arial" w:cs="Arial"/>
                <w:b/>
                <w:sz w:val="20"/>
                <w:szCs w:val="20"/>
              </w:rPr>
            </w:pPr>
            <w:r w:rsidRPr="002619F0">
              <w:rPr>
                <w:rFonts w:ascii="Arial" w:hAnsi="Arial" w:cs="Arial"/>
                <w:b/>
                <w:sz w:val="20"/>
                <w:szCs w:val="20"/>
                <w:lang w:val="es-BO"/>
              </w:rPr>
              <w:t>Medios de verificación/</w:t>
            </w:r>
          </w:p>
          <w:p w14:paraId="34B1B163" w14:textId="167B495C" w:rsidR="00A41560" w:rsidRPr="002619F0" w:rsidRDefault="00A41560" w:rsidP="002619F0">
            <w:pPr>
              <w:spacing w:after="0" w:line="240" w:lineRule="auto"/>
              <w:jc w:val="center"/>
              <w:rPr>
                <w:rFonts w:ascii="Arial" w:hAnsi="Arial" w:cs="Arial"/>
                <w:b/>
                <w:sz w:val="20"/>
                <w:szCs w:val="20"/>
                <w:lang w:val="es-CO"/>
              </w:rPr>
            </w:pPr>
            <w:r w:rsidRPr="002619F0">
              <w:rPr>
                <w:rFonts w:ascii="Arial" w:hAnsi="Arial" w:cs="Arial"/>
                <w:b/>
                <w:sz w:val="20"/>
                <w:szCs w:val="20"/>
                <w:lang w:val="es-CO"/>
              </w:rPr>
              <w:t>Observaciones</w:t>
            </w:r>
          </w:p>
        </w:tc>
      </w:tr>
      <w:tr w:rsidR="00557306" w:rsidRPr="002619F0" w14:paraId="5A4DBF33" w14:textId="77777777" w:rsidTr="00CD7CCF">
        <w:trPr>
          <w:trHeight w:val="215"/>
        </w:trPr>
        <w:tc>
          <w:tcPr>
            <w:tcW w:w="13207" w:type="dxa"/>
            <w:gridSpan w:val="5"/>
            <w:shd w:val="clear" w:color="auto" w:fill="C6D9F1" w:themeFill="text2" w:themeFillTint="33"/>
          </w:tcPr>
          <w:p w14:paraId="1ED7DD33" w14:textId="1866FEF2" w:rsidR="00557306" w:rsidRPr="002619F0" w:rsidRDefault="00140FAD" w:rsidP="002619F0">
            <w:pPr>
              <w:spacing w:after="0" w:line="240" w:lineRule="auto"/>
              <w:rPr>
                <w:rFonts w:ascii="Arial" w:hAnsi="Arial" w:cs="Arial"/>
                <w:b/>
                <w:i/>
                <w:sz w:val="20"/>
                <w:szCs w:val="20"/>
                <w:lang w:val="es-BO"/>
              </w:rPr>
            </w:pPr>
            <w:r w:rsidRPr="002619F0">
              <w:rPr>
                <w:rFonts w:ascii="Arial" w:hAnsi="Arial" w:cs="Arial"/>
                <w:b/>
                <w:i/>
                <w:sz w:val="20"/>
                <w:szCs w:val="20"/>
                <w:lang w:val="es-US"/>
              </w:rPr>
              <w:t>Productividad Energética mejorada</w:t>
            </w:r>
          </w:p>
        </w:tc>
      </w:tr>
      <w:tr w:rsidR="00071E1C" w:rsidRPr="00CF0BED" w14:paraId="7414D620" w14:textId="77777777" w:rsidTr="008D4F0A">
        <w:trPr>
          <w:trHeight w:val="1088"/>
        </w:trPr>
        <w:tc>
          <w:tcPr>
            <w:tcW w:w="3397" w:type="dxa"/>
            <w:vAlign w:val="center"/>
          </w:tcPr>
          <w:p w14:paraId="306F6A56" w14:textId="3F6018B9" w:rsidR="00071E1C" w:rsidRPr="002619F0" w:rsidRDefault="00071E1C" w:rsidP="002619F0">
            <w:pPr>
              <w:spacing w:after="0" w:line="240" w:lineRule="auto"/>
              <w:rPr>
                <w:rFonts w:ascii="Arial" w:hAnsi="Arial" w:cs="Arial"/>
                <w:sz w:val="20"/>
                <w:szCs w:val="20"/>
                <w:lang w:val="es-BO"/>
              </w:rPr>
            </w:pPr>
            <w:r w:rsidRPr="002619F0">
              <w:rPr>
                <w:rFonts w:ascii="Arial" w:hAnsi="Arial" w:cs="Arial"/>
                <w:color w:val="000000" w:themeColor="text1"/>
                <w:sz w:val="20"/>
                <w:szCs w:val="20"/>
                <w:lang w:val="es-BO"/>
              </w:rPr>
              <w:t>Intensidad de consumo eléctrico</w:t>
            </w:r>
            <w:r w:rsidR="008D4F0A" w:rsidRPr="002619F0">
              <w:rPr>
                <w:rFonts w:ascii="Arial" w:hAnsi="Arial" w:cs="Arial"/>
                <w:color w:val="000000" w:themeColor="text1"/>
                <w:sz w:val="20"/>
                <w:szCs w:val="20"/>
                <w:lang w:val="es-BO"/>
              </w:rPr>
              <w:t>.</w:t>
            </w:r>
            <w:r w:rsidRPr="002619F0">
              <w:rPr>
                <w:rFonts w:ascii="Arial" w:hAnsi="Arial" w:cs="Arial"/>
                <w:color w:val="000000" w:themeColor="text1"/>
                <w:sz w:val="20"/>
                <w:szCs w:val="20"/>
                <w:lang w:val="es-BO"/>
              </w:rPr>
              <w:t xml:space="preserve"> </w:t>
            </w:r>
          </w:p>
        </w:tc>
        <w:tc>
          <w:tcPr>
            <w:tcW w:w="1440" w:type="dxa"/>
            <w:vAlign w:val="center"/>
          </w:tcPr>
          <w:p w14:paraId="2220123A" w14:textId="054C41B4" w:rsidR="00071E1C" w:rsidRPr="002619F0" w:rsidRDefault="00071E1C" w:rsidP="002619F0">
            <w:pPr>
              <w:spacing w:after="0" w:line="240" w:lineRule="auto"/>
              <w:jc w:val="center"/>
              <w:rPr>
                <w:rFonts w:ascii="Arial" w:hAnsi="Arial" w:cs="Arial"/>
                <w:sz w:val="20"/>
                <w:szCs w:val="20"/>
                <w:lang w:val="es-BO"/>
              </w:rPr>
            </w:pPr>
            <w:r w:rsidRPr="002619F0">
              <w:rPr>
                <w:rFonts w:ascii="Arial" w:hAnsi="Arial" w:cs="Arial"/>
                <w:color w:val="000000" w:themeColor="text1"/>
                <w:sz w:val="20"/>
                <w:szCs w:val="20"/>
                <w:lang w:val="es-BO" w:eastAsia="zh-CN"/>
              </w:rPr>
              <w:t>Kbep/</w:t>
            </w:r>
            <w:r w:rsidR="00410FF5" w:rsidRPr="002619F0">
              <w:rPr>
                <w:rFonts w:ascii="Arial" w:hAnsi="Arial" w:cs="Arial"/>
                <w:color w:val="000000" w:themeColor="text1"/>
                <w:sz w:val="20"/>
                <w:szCs w:val="20"/>
                <w:lang w:val="es-BO" w:eastAsia="zh-CN"/>
              </w:rPr>
              <w:t>PIB US$</w:t>
            </w:r>
            <w:r w:rsidRPr="002619F0">
              <w:rPr>
                <w:rFonts w:ascii="Arial" w:hAnsi="Arial" w:cs="Arial"/>
                <w:color w:val="000000" w:themeColor="text1"/>
                <w:sz w:val="20"/>
                <w:szCs w:val="20"/>
                <w:lang w:val="es-BO" w:eastAsia="zh-CN"/>
              </w:rPr>
              <w:t xml:space="preserve">millones </w:t>
            </w:r>
          </w:p>
        </w:tc>
        <w:tc>
          <w:tcPr>
            <w:tcW w:w="1530" w:type="dxa"/>
            <w:vAlign w:val="center"/>
          </w:tcPr>
          <w:p w14:paraId="43680F97" w14:textId="598152A2" w:rsidR="00071E1C" w:rsidRPr="002619F0" w:rsidRDefault="00071E1C" w:rsidP="002619F0">
            <w:pPr>
              <w:spacing w:after="0" w:line="240" w:lineRule="auto"/>
              <w:ind w:left="-117" w:right="-99"/>
              <w:jc w:val="center"/>
              <w:rPr>
                <w:rFonts w:ascii="Arial" w:hAnsi="Arial" w:cs="Arial"/>
                <w:sz w:val="20"/>
                <w:szCs w:val="20"/>
                <w:lang w:val="es-ES"/>
              </w:rPr>
            </w:pPr>
            <w:r w:rsidRPr="002619F0">
              <w:rPr>
                <w:rFonts w:ascii="Arial" w:hAnsi="Arial" w:cs="Arial"/>
                <w:color w:val="000000" w:themeColor="text1"/>
                <w:sz w:val="20"/>
                <w:szCs w:val="20"/>
                <w:lang w:val="es-ES"/>
              </w:rPr>
              <w:t>70</w:t>
            </w:r>
          </w:p>
        </w:tc>
        <w:tc>
          <w:tcPr>
            <w:tcW w:w="1080" w:type="dxa"/>
            <w:vAlign w:val="center"/>
          </w:tcPr>
          <w:p w14:paraId="0A2AE981" w14:textId="68B0D762" w:rsidR="00071E1C" w:rsidRPr="002619F0" w:rsidRDefault="00071E1C" w:rsidP="002619F0">
            <w:pPr>
              <w:spacing w:after="0" w:line="240" w:lineRule="auto"/>
              <w:jc w:val="center"/>
              <w:rPr>
                <w:rFonts w:ascii="Arial" w:hAnsi="Arial" w:cs="Arial"/>
                <w:sz w:val="20"/>
                <w:szCs w:val="20"/>
                <w:lang w:val="es-ES"/>
              </w:rPr>
            </w:pPr>
            <w:r w:rsidRPr="002619F0">
              <w:rPr>
                <w:rFonts w:ascii="Arial" w:hAnsi="Arial" w:cs="Arial"/>
                <w:color w:val="000000" w:themeColor="text1"/>
                <w:sz w:val="20"/>
                <w:szCs w:val="20"/>
                <w:lang w:val="es-ES"/>
              </w:rPr>
              <w:t>65</w:t>
            </w:r>
          </w:p>
        </w:tc>
        <w:tc>
          <w:tcPr>
            <w:tcW w:w="5760" w:type="dxa"/>
            <w:vAlign w:val="center"/>
          </w:tcPr>
          <w:p w14:paraId="2FDB7170" w14:textId="5B10380A" w:rsidR="00071E1C" w:rsidRPr="002619F0" w:rsidRDefault="00071E1C" w:rsidP="002619F0">
            <w:pPr>
              <w:spacing w:after="0" w:line="240" w:lineRule="auto"/>
              <w:rPr>
                <w:rFonts w:ascii="Arial" w:hAnsi="Arial" w:cs="Arial"/>
                <w:color w:val="000000" w:themeColor="text1"/>
                <w:sz w:val="20"/>
                <w:szCs w:val="20"/>
                <w:lang w:val="es-BO"/>
              </w:rPr>
            </w:pPr>
            <w:r w:rsidRPr="002619F0">
              <w:rPr>
                <w:rFonts w:ascii="Arial" w:hAnsi="Arial" w:cs="Arial"/>
                <w:color w:val="000000" w:themeColor="text1"/>
                <w:sz w:val="20"/>
                <w:szCs w:val="20"/>
                <w:lang w:val="es-ES"/>
              </w:rPr>
              <w:t>Estadísticas</w:t>
            </w:r>
            <w:r w:rsidRPr="002619F0">
              <w:rPr>
                <w:rFonts w:ascii="Arial" w:hAnsi="Arial" w:cs="Arial"/>
                <w:color w:val="000000" w:themeColor="text1"/>
                <w:sz w:val="20"/>
                <w:szCs w:val="20"/>
                <w:lang w:val="es-BO"/>
              </w:rPr>
              <w:t xml:space="preserve"> de electricidad de la </w:t>
            </w:r>
            <w:r w:rsidR="00820903" w:rsidRPr="00820903">
              <w:rPr>
                <w:rFonts w:ascii="Arial" w:hAnsi="Arial" w:cs="Arial"/>
                <w:color w:val="000000" w:themeColor="text1"/>
                <w:sz w:val="20"/>
                <w:szCs w:val="20"/>
                <w:lang w:val="es-BO"/>
              </w:rPr>
              <w:t xml:space="preserve">Autoridad Nacional de los Servicios Públicos </w:t>
            </w:r>
            <w:r w:rsidR="00820903">
              <w:rPr>
                <w:rFonts w:ascii="Arial" w:hAnsi="Arial" w:cs="Arial"/>
                <w:color w:val="000000" w:themeColor="text1"/>
                <w:sz w:val="20"/>
                <w:szCs w:val="20"/>
                <w:lang w:val="es-BO"/>
              </w:rPr>
              <w:t>(</w:t>
            </w:r>
            <w:r w:rsidRPr="002619F0">
              <w:rPr>
                <w:rFonts w:ascii="Arial" w:hAnsi="Arial" w:cs="Arial"/>
                <w:color w:val="000000" w:themeColor="text1"/>
                <w:sz w:val="20"/>
                <w:szCs w:val="20"/>
                <w:lang w:val="es-BO"/>
              </w:rPr>
              <w:t>ASEP</w:t>
            </w:r>
            <w:r w:rsidR="00820903">
              <w:rPr>
                <w:rFonts w:ascii="Arial" w:hAnsi="Arial" w:cs="Arial"/>
                <w:color w:val="000000" w:themeColor="text1"/>
                <w:sz w:val="20"/>
                <w:szCs w:val="20"/>
                <w:lang w:val="es-BO"/>
              </w:rPr>
              <w:t>)</w:t>
            </w:r>
            <w:r w:rsidRPr="002619F0">
              <w:rPr>
                <w:rFonts w:ascii="Arial" w:hAnsi="Arial" w:cs="Arial"/>
                <w:color w:val="000000" w:themeColor="text1"/>
                <w:sz w:val="20"/>
                <w:szCs w:val="20"/>
                <w:lang w:val="es-BO"/>
              </w:rPr>
              <w:t xml:space="preserve"> (Oferta)</w:t>
            </w:r>
            <w:r w:rsidR="00820903">
              <w:rPr>
                <w:rFonts w:ascii="Arial" w:hAnsi="Arial" w:cs="Arial"/>
                <w:color w:val="000000" w:themeColor="text1"/>
                <w:sz w:val="20"/>
                <w:szCs w:val="20"/>
                <w:lang w:val="es-BO"/>
              </w:rPr>
              <w:t>.</w:t>
            </w:r>
          </w:p>
          <w:p w14:paraId="38461809" w14:textId="4F91F3D1" w:rsidR="00071E1C" w:rsidRPr="002619F0" w:rsidRDefault="00071E1C" w:rsidP="002619F0">
            <w:pPr>
              <w:spacing w:after="0" w:line="240" w:lineRule="auto"/>
              <w:rPr>
                <w:rFonts w:ascii="Arial" w:hAnsi="Arial" w:cs="Arial"/>
                <w:sz w:val="20"/>
                <w:szCs w:val="20"/>
                <w:lang w:val="es-ES"/>
              </w:rPr>
            </w:pPr>
            <w:r w:rsidRPr="002619F0">
              <w:rPr>
                <w:rFonts w:ascii="Arial" w:hAnsi="Arial" w:cs="Arial"/>
                <w:color w:val="000000" w:themeColor="text1"/>
                <w:sz w:val="20"/>
                <w:szCs w:val="20"/>
                <w:lang w:val="es-BO"/>
              </w:rPr>
              <w:t>Información oficial del PIB de Panamá</w:t>
            </w:r>
            <w:r w:rsidR="009B3E70" w:rsidRPr="002619F0">
              <w:rPr>
                <w:rFonts w:ascii="Arial" w:hAnsi="Arial" w:cs="Arial"/>
                <w:color w:val="000000" w:themeColor="text1"/>
                <w:sz w:val="20"/>
                <w:szCs w:val="20"/>
                <w:lang w:val="es-BO"/>
              </w:rPr>
              <w:t xml:space="preserve"> de la página del </w:t>
            </w:r>
            <w:r w:rsidR="00820903" w:rsidRPr="00820903">
              <w:rPr>
                <w:rFonts w:ascii="Arial" w:hAnsi="Arial" w:cs="Arial"/>
                <w:color w:val="000000" w:themeColor="text1"/>
                <w:sz w:val="20"/>
                <w:szCs w:val="20"/>
                <w:lang w:val="es-BO"/>
              </w:rPr>
              <w:t xml:space="preserve">Ministerio de Economía y Finanzas </w:t>
            </w:r>
            <w:r w:rsidR="00820903">
              <w:rPr>
                <w:rFonts w:ascii="Arial" w:hAnsi="Arial" w:cs="Arial"/>
                <w:color w:val="000000" w:themeColor="text1"/>
                <w:sz w:val="20"/>
                <w:szCs w:val="20"/>
                <w:lang w:val="es-BO"/>
              </w:rPr>
              <w:t>(</w:t>
            </w:r>
            <w:r w:rsidR="009B3E70" w:rsidRPr="002619F0">
              <w:rPr>
                <w:rFonts w:ascii="Arial" w:hAnsi="Arial" w:cs="Arial"/>
                <w:color w:val="000000" w:themeColor="text1"/>
                <w:sz w:val="20"/>
                <w:szCs w:val="20"/>
                <w:lang w:val="es-BO"/>
              </w:rPr>
              <w:t>MEF</w:t>
            </w:r>
            <w:r w:rsidR="00820903">
              <w:rPr>
                <w:rFonts w:ascii="Arial" w:hAnsi="Arial" w:cs="Arial"/>
                <w:color w:val="000000" w:themeColor="text1"/>
                <w:sz w:val="20"/>
                <w:szCs w:val="20"/>
                <w:lang w:val="es-BO"/>
              </w:rPr>
              <w:t>)</w:t>
            </w:r>
            <w:r w:rsidRPr="002619F0">
              <w:rPr>
                <w:rFonts w:ascii="Arial" w:hAnsi="Arial" w:cs="Arial"/>
                <w:color w:val="000000" w:themeColor="text1"/>
                <w:sz w:val="20"/>
                <w:szCs w:val="20"/>
                <w:lang w:val="es-BO"/>
              </w:rPr>
              <w:t xml:space="preserve"> (</w:t>
            </w:r>
            <w:r w:rsidRPr="002619F0">
              <w:rPr>
                <w:rFonts w:ascii="Arial" w:hAnsi="Arial" w:cs="Arial"/>
                <w:color w:val="000000" w:themeColor="text1"/>
                <w:sz w:val="20"/>
                <w:szCs w:val="20"/>
                <w:lang w:val="es-ES"/>
              </w:rPr>
              <w:t>Relación entre consumo energético y el volumen de la actividad económica y se calcula como el cociente entre el consumo energético y el producto interior bruto)</w:t>
            </w:r>
            <w:r w:rsidR="008D4F0A" w:rsidRPr="002619F0">
              <w:rPr>
                <w:rFonts w:ascii="Arial" w:hAnsi="Arial" w:cs="Arial"/>
                <w:color w:val="000000" w:themeColor="text1"/>
                <w:sz w:val="20"/>
                <w:szCs w:val="20"/>
                <w:lang w:val="es-ES"/>
              </w:rPr>
              <w:t>.</w:t>
            </w:r>
          </w:p>
        </w:tc>
      </w:tr>
      <w:tr w:rsidR="00557306" w:rsidRPr="00CF0BED" w14:paraId="263984D1" w14:textId="77777777" w:rsidTr="00CD7CCF">
        <w:trPr>
          <w:trHeight w:val="161"/>
        </w:trPr>
        <w:tc>
          <w:tcPr>
            <w:tcW w:w="13207" w:type="dxa"/>
            <w:gridSpan w:val="5"/>
            <w:shd w:val="clear" w:color="auto" w:fill="C6D9F1" w:themeFill="text2" w:themeFillTint="33"/>
          </w:tcPr>
          <w:p w14:paraId="13E729C1" w14:textId="2CDBCA45" w:rsidR="00557306" w:rsidRPr="002619F0" w:rsidRDefault="00557306" w:rsidP="002619F0">
            <w:pPr>
              <w:spacing w:after="0" w:line="240" w:lineRule="auto"/>
              <w:rPr>
                <w:rFonts w:ascii="Arial" w:hAnsi="Arial" w:cs="Arial"/>
                <w:b/>
                <w:i/>
                <w:color w:val="000000"/>
                <w:sz w:val="20"/>
                <w:szCs w:val="20"/>
                <w:lang w:val="es-ES"/>
              </w:rPr>
            </w:pPr>
            <w:r w:rsidRPr="002619F0">
              <w:rPr>
                <w:rFonts w:ascii="Arial" w:hAnsi="Arial" w:cs="Arial"/>
                <w:b/>
                <w:i/>
                <w:color w:val="000000"/>
                <w:sz w:val="20"/>
                <w:szCs w:val="20"/>
                <w:lang w:val="es-ES"/>
              </w:rPr>
              <w:t>Reducción de emisiones de Gases Efecto Invernadero (GEI)</w:t>
            </w:r>
          </w:p>
        </w:tc>
      </w:tr>
      <w:tr w:rsidR="00071E1C" w:rsidRPr="00CF0BED" w14:paraId="7C453A1B" w14:textId="77777777" w:rsidTr="008D4F0A">
        <w:trPr>
          <w:trHeight w:val="719"/>
        </w:trPr>
        <w:tc>
          <w:tcPr>
            <w:tcW w:w="3397" w:type="dxa"/>
            <w:vAlign w:val="center"/>
          </w:tcPr>
          <w:p w14:paraId="07A90625" w14:textId="7CF25BCA" w:rsidR="00071E1C" w:rsidRPr="002619F0" w:rsidRDefault="00071E1C" w:rsidP="002619F0">
            <w:pPr>
              <w:pStyle w:val="ListParagraph"/>
              <w:spacing w:after="0" w:line="240" w:lineRule="auto"/>
              <w:ind w:left="0"/>
              <w:rPr>
                <w:rFonts w:ascii="Arial" w:hAnsi="Arial" w:cs="Arial"/>
                <w:sz w:val="20"/>
                <w:szCs w:val="20"/>
                <w:lang w:val="es-ES"/>
              </w:rPr>
            </w:pPr>
            <w:r w:rsidRPr="002619F0">
              <w:rPr>
                <w:rFonts w:ascii="Arial" w:hAnsi="Arial" w:cs="Arial"/>
                <w:sz w:val="20"/>
                <w:szCs w:val="20"/>
                <w:lang w:val="es-ES"/>
              </w:rPr>
              <w:t>E</w:t>
            </w:r>
            <w:r w:rsidRPr="002619F0">
              <w:rPr>
                <w:rFonts w:ascii="Arial" w:hAnsi="Arial" w:cs="Arial"/>
                <w:color w:val="000000"/>
                <w:sz w:val="20"/>
                <w:szCs w:val="20"/>
                <w:lang w:val="es-ES"/>
              </w:rPr>
              <w:t xml:space="preserve">misiones </w:t>
            </w:r>
            <w:r w:rsidR="009B3E70" w:rsidRPr="002619F0">
              <w:rPr>
                <w:rFonts w:ascii="Arial" w:hAnsi="Arial" w:cs="Arial"/>
                <w:color w:val="000000"/>
                <w:sz w:val="20"/>
                <w:szCs w:val="20"/>
                <w:lang w:val="es-ES"/>
              </w:rPr>
              <w:t xml:space="preserve">acumuladas </w:t>
            </w:r>
            <w:r w:rsidRPr="002619F0">
              <w:rPr>
                <w:rFonts w:ascii="Arial" w:hAnsi="Arial" w:cs="Arial"/>
                <w:color w:val="000000"/>
                <w:sz w:val="20"/>
                <w:szCs w:val="20"/>
                <w:lang w:val="es-ES"/>
              </w:rPr>
              <w:t>de Gases Efecto Invernadero (GEI)</w:t>
            </w:r>
            <w:r w:rsidRPr="002619F0">
              <w:rPr>
                <w:rStyle w:val="FootnoteReference"/>
                <w:rFonts w:ascii="Arial" w:hAnsi="Arial" w:cs="Arial"/>
                <w:color w:val="000000"/>
                <w:sz w:val="20"/>
                <w:szCs w:val="20"/>
                <w:lang w:val="es-ES"/>
              </w:rPr>
              <w:footnoteReference w:id="2"/>
            </w:r>
            <w:r w:rsidRPr="002619F0">
              <w:rPr>
                <w:rFonts w:ascii="Arial" w:hAnsi="Arial" w:cs="Arial"/>
                <w:color w:val="000000"/>
                <w:sz w:val="20"/>
                <w:szCs w:val="20"/>
                <w:lang w:val="es-ES"/>
              </w:rPr>
              <w:t xml:space="preserve"> evitadas por el Programa en el </w:t>
            </w:r>
            <w:r w:rsidRPr="002619F0">
              <w:rPr>
                <w:rFonts w:ascii="Arial" w:hAnsi="Arial" w:cs="Arial"/>
                <w:sz w:val="20"/>
                <w:szCs w:val="20"/>
                <w:lang w:val="es-ES"/>
              </w:rPr>
              <w:t>Sector Eléctrico</w:t>
            </w:r>
            <w:r w:rsidR="008D4F0A" w:rsidRPr="002619F0">
              <w:rPr>
                <w:rFonts w:ascii="Arial" w:hAnsi="Arial" w:cs="Arial"/>
                <w:sz w:val="20"/>
                <w:szCs w:val="20"/>
                <w:lang w:val="es-ES"/>
              </w:rPr>
              <w:t>.</w:t>
            </w:r>
          </w:p>
        </w:tc>
        <w:tc>
          <w:tcPr>
            <w:tcW w:w="1440" w:type="dxa"/>
            <w:vAlign w:val="center"/>
          </w:tcPr>
          <w:p w14:paraId="13E4D529" w14:textId="4FF187FC" w:rsidR="00071E1C" w:rsidRPr="002619F0" w:rsidRDefault="00071E1C"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tCO</w:t>
            </w:r>
            <w:r w:rsidRPr="002619F0">
              <w:rPr>
                <w:rFonts w:ascii="Arial" w:hAnsi="Arial" w:cs="Arial"/>
                <w:sz w:val="20"/>
                <w:szCs w:val="20"/>
                <w:vertAlign w:val="subscript"/>
                <w:lang w:val="es-ES"/>
              </w:rPr>
              <w:t xml:space="preserve">2 </w:t>
            </w:r>
            <w:r w:rsidRPr="002619F0">
              <w:rPr>
                <w:rFonts w:ascii="Arial" w:hAnsi="Arial" w:cs="Arial"/>
                <w:sz w:val="20"/>
                <w:szCs w:val="20"/>
                <w:lang w:val="es-ES"/>
              </w:rPr>
              <w:t>(millones)</w:t>
            </w:r>
          </w:p>
        </w:tc>
        <w:tc>
          <w:tcPr>
            <w:tcW w:w="1530" w:type="dxa"/>
            <w:vAlign w:val="center"/>
          </w:tcPr>
          <w:p w14:paraId="4CD24176" w14:textId="53A274F8" w:rsidR="00071E1C" w:rsidRPr="002619F0" w:rsidRDefault="00071E1C" w:rsidP="002619F0">
            <w:pPr>
              <w:spacing w:after="0" w:line="240" w:lineRule="auto"/>
              <w:jc w:val="center"/>
              <w:rPr>
                <w:rFonts w:ascii="Arial" w:hAnsi="Arial" w:cs="Arial"/>
                <w:sz w:val="20"/>
                <w:szCs w:val="20"/>
                <w:lang w:val="es-US"/>
              </w:rPr>
            </w:pPr>
            <w:r w:rsidRPr="002619F0">
              <w:rPr>
                <w:rFonts w:ascii="Arial" w:hAnsi="Arial" w:cs="Arial"/>
                <w:color w:val="000000" w:themeColor="text1"/>
                <w:sz w:val="20"/>
                <w:szCs w:val="20"/>
              </w:rPr>
              <w:t>0</w:t>
            </w:r>
          </w:p>
        </w:tc>
        <w:tc>
          <w:tcPr>
            <w:tcW w:w="1080" w:type="dxa"/>
            <w:vAlign w:val="center"/>
          </w:tcPr>
          <w:p w14:paraId="39263538" w14:textId="09D3AB0A" w:rsidR="00071E1C" w:rsidRPr="002619F0" w:rsidRDefault="00071E1C" w:rsidP="002619F0">
            <w:pPr>
              <w:spacing w:after="0" w:line="240" w:lineRule="auto"/>
              <w:jc w:val="center"/>
              <w:rPr>
                <w:rFonts w:ascii="Arial" w:hAnsi="Arial" w:cs="Arial"/>
                <w:sz w:val="20"/>
                <w:szCs w:val="20"/>
                <w:highlight w:val="yellow"/>
                <w:lang w:val="es-US"/>
              </w:rPr>
            </w:pPr>
            <w:r w:rsidRPr="002619F0">
              <w:rPr>
                <w:rFonts w:ascii="Arial" w:hAnsi="Arial" w:cs="Arial"/>
                <w:color w:val="000000" w:themeColor="text1"/>
                <w:sz w:val="20"/>
                <w:szCs w:val="20"/>
                <w:lang w:val="es-BO"/>
              </w:rPr>
              <w:t>3.9</w:t>
            </w:r>
          </w:p>
        </w:tc>
        <w:tc>
          <w:tcPr>
            <w:tcW w:w="5760" w:type="dxa"/>
            <w:vAlign w:val="center"/>
          </w:tcPr>
          <w:p w14:paraId="706D532C" w14:textId="1925D850" w:rsidR="00071E1C" w:rsidRPr="002619F0" w:rsidRDefault="00071E1C" w:rsidP="002619F0">
            <w:pPr>
              <w:spacing w:after="0" w:line="240" w:lineRule="auto"/>
              <w:rPr>
                <w:rFonts w:ascii="Arial" w:hAnsi="Arial" w:cs="Arial"/>
                <w:sz w:val="20"/>
                <w:szCs w:val="20"/>
                <w:lang w:val="es-ES"/>
              </w:rPr>
            </w:pPr>
            <w:r w:rsidRPr="002619F0">
              <w:rPr>
                <w:rFonts w:ascii="Arial" w:hAnsi="Arial" w:cs="Arial"/>
                <w:color w:val="000000" w:themeColor="text1"/>
                <w:sz w:val="20"/>
                <w:szCs w:val="20"/>
                <w:lang w:val="es-ES"/>
              </w:rPr>
              <w:t xml:space="preserve">Plan de Expansión del Sistema Interconectado Nacional </w:t>
            </w:r>
            <w:r w:rsidR="0083531C">
              <w:rPr>
                <w:rFonts w:ascii="Arial" w:hAnsi="Arial" w:cs="Arial"/>
                <w:color w:val="000000" w:themeColor="text1"/>
                <w:sz w:val="20"/>
                <w:szCs w:val="20"/>
                <w:lang w:val="es-ES"/>
              </w:rPr>
              <w:t xml:space="preserve">de </w:t>
            </w:r>
            <w:r w:rsidR="0083531C" w:rsidRPr="0083531C">
              <w:rPr>
                <w:rFonts w:ascii="Arial" w:hAnsi="Arial" w:cs="Arial"/>
                <w:color w:val="000000" w:themeColor="text1"/>
                <w:sz w:val="20"/>
                <w:szCs w:val="20"/>
                <w:lang w:val="es-ES"/>
              </w:rPr>
              <w:t xml:space="preserve">Empresa Estatal de Transmisión Eléctrica </w:t>
            </w:r>
            <w:r w:rsidRPr="002619F0">
              <w:rPr>
                <w:rFonts w:ascii="Arial" w:hAnsi="Arial" w:cs="Arial"/>
                <w:color w:val="000000" w:themeColor="text1"/>
                <w:sz w:val="20"/>
                <w:szCs w:val="20"/>
                <w:lang w:val="es-ES"/>
              </w:rPr>
              <w:t xml:space="preserve">(ETESA)– Escenario de referencia </w:t>
            </w:r>
            <w:r w:rsidR="008D4F0A" w:rsidRPr="002619F0">
              <w:rPr>
                <w:rFonts w:ascii="Arial" w:hAnsi="Arial" w:cs="Arial"/>
                <w:color w:val="000000" w:themeColor="text1"/>
                <w:sz w:val="20"/>
                <w:szCs w:val="20"/>
                <w:lang w:val="es-ES"/>
              </w:rPr>
              <w:t>v</w:t>
            </w:r>
            <w:r w:rsidRPr="002619F0">
              <w:rPr>
                <w:rFonts w:ascii="Arial" w:hAnsi="Arial" w:cs="Arial"/>
                <w:color w:val="000000" w:themeColor="text1"/>
                <w:sz w:val="20"/>
                <w:szCs w:val="20"/>
                <w:lang w:val="es-ES"/>
              </w:rPr>
              <w:t>s. escenario renovable</w:t>
            </w:r>
            <w:r w:rsidR="008D4F0A" w:rsidRPr="002619F0">
              <w:rPr>
                <w:rFonts w:ascii="Arial" w:hAnsi="Arial" w:cs="Arial"/>
                <w:color w:val="000000" w:themeColor="text1"/>
                <w:sz w:val="20"/>
                <w:szCs w:val="20"/>
                <w:lang w:val="es-ES"/>
              </w:rPr>
              <w:t>.</w:t>
            </w:r>
          </w:p>
          <w:p w14:paraId="3499685B" w14:textId="2546480E" w:rsidR="00071E1C" w:rsidRPr="0083531C" w:rsidRDefault="00071E1C" w:rsidP="002619F0">
            <w:pPr>
              <w:spacing w:after="0" w:line="240" w:lineRule="auto"/>
              <w:jc w:val="center"/>
              <w:rPr>
                <w:rFonts w:ascii="Arial" w:hAnsi="Arial" w:cs="Arial"/>
                <w:sz w:val="20"/>
                <w:szCs w:val="20"/>
                <w:lang w:val="es-ES"/>
              </w:rPr>
            </w:pPr>
          </w:p>
        </w:tc>
      </w:tr>
    </w:tbl>
    <w:p w14:paraId="06D30FDA" w14:textId="77777777" w:rsidR="00263EAF" w:rsidRPr="002619F0" w:rsidRDefault="00263EAF" w:rsidP="002619F0">
      <w:pPr>
        <w:autoSpaceDE w:val="0"/>
        <w:autoSpaceDN w:val="0"/>
        <w:adjustRightInd w:val="0"/>
        <w:spacing w:after="0" w:line="240" w:lineRule="auto"/>
        <w:jc w:val="center"/>
        <w:rPr>
          <w:rFonts w:ascii="Arial" w:hAnsi="Arial" w:cs="Arial"/>
          <w:b/>
          <w:smallCaps/>
          <w:color w:val="000000"/>
          <w:sz w:val="20"/>
          <w:szCs w:val="20"/>
          <w:lang w:val="es-ES_tradnl"/>
        </w:rPr>
      </w:pPr>
    </w:p>
    <w:tbl>
      <w:tblPr>
        <w:tblW w:w="1314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30"/>
        <w:gridCol w:w="1440"/>
        <w:gridCol w:w="1553"/>
        <w:gridCol w:w="1057"/>
        <w:gridCol w:w="5760"/>
      </w:tblGrid>
      <w:tr w:rsidR="00071E1C" w:rsidRPr="002619F0" w14:paraId="0516CCC0" w14:textId="77777777" w:rsidTr="008D4F0A">
        <w:trPr>
          <w:trHeight w:val="251"/>
        </w:trPr>
        <w:tc>
          <w:tcPr>
            <w:tcW w:w="3330" w:type="dxa"/>
            <w:shd w:val="clear" w:color="auto" w:fill="D9D9D9" w:themeFill="background1" w:themeFillShade="D9"/>
            <w:vAlign w:val="center"/>
          </w:tcPr>
          <w:p w14:paraId="7BA53B33" w14:textId="77777777" w:rsidR="00071E1C" w:rsidRPr="002619F0" w:rsidRDefault="00071E1C" w:rsidP="002619F0">
            <w:pPr>
              <w:spacing w:after="0" w:line="240" w:lineRule="auto"/>
              <w:jc w:val="center"/>
              <w:rPr>
                <w:rFonts w:ascii="Arial" w:hAnsi="Arial" w:cs="Arial"/>
                <w:b/>
                <w:sz w:val="20"/>
                <w:szCs w:val="20"/>
                <w:lang w:val="es-ES"/>
              </w:rPr>
            </w:pPr>
            <w:bookmarkStart w:id="0" w:name="_Hlk484771514"/>
            <w:r w:rsidRPr="002619F0">
              <w:rPr>
                <w:rFonts w:ascii="Arial" w:hAnsi="Arial" w:cs="Arial"/>
                <w:b/>
                <w:sz w:val="20"/>
                <w:szCs w:val="20"/>
              </w:rPr>
              <w:t>Result</w:t>
            </w:r>
            <w:r w:rsidRPr="002619F0">
              <w:rPr>
                <w:rFonts w:ascii="Arial" w:hAnsi="Arial" w:cs="Arial"/>
                <w:b/>
                <w:sz w:val="20"/>
                <w:szCs w:val="20"/>
                <w:lang w:val="es-ES"/>
              </w:rPr>
              <w:t xml:space="preserve">ado / Indicador </w:t>
            </w:r>
          </w:p>
        </w:tc>
        <w:tc>
          <w:tcPr>
            <w:tcW w:w="1440" w:type="dxa"/>
            <w:shd w:val="clear" w:color="auto" w:fill="D9D9D9" w:themeFill="background1" w:themeFillShade="D9"/>
            <w:vAlign w:val="center"/>
          </w:tcPr>
          <w:p w14:paraId="0CDD0F2A" w14:textId="1446FC48" w:rsidR="00071E1C" w:rsidRPr="002619F0" w:rsidRDefault="00071E1C" w:rsidP="002619F0">
            <w:pPr>
              <w:spacing w:after="0" w:line="240" w:lineRule="auto"/>
              <w:jc w:val="center"/>
              <w:rPr>
                <w:rFonts w:ascii="Arial" w:hAnsi="Arial" w:cs="Arial"/>
                <w:b/>
                <w:sz w:val="20"/>
                <w:szCs w:val="20"/>
                <w:lang w:val="es-ES"/>
              </w:rPr>
            </w:pPr>
            <w:r w:rsidRPr="002619F0">
              <w:rPr>
                <w:rFonts w:ascii="Arial" w:hAnsi="Arial" w:cs="Arial"/>
                <w:b/>
                <w:sz w:val="20"/>
                <w:szCs w:val="20"/>
                <w:lang w:val="es-ES"/>
              </w:rPr>
              <w:t>Unidad de medida</w:t>
            </w:r>
          </w:p>
        </w:tc>
        <w:tc>
          <w:tcPr>
            <w:tcW w:w="1553" w:type="dxa"/>
            <w:shd w:val="clear" w:color="auto" w:fill="D9D9D9" w:themeFill="background1" w:themeFillShade="D9"/>
            <w:vAlign w:val="center"/>
          </w:tcPr>
          <w:p w14:paraId="179B66A6" w14:textId="77777777" w:rsidR="00071E1C" w:rsidRPr="002619F0" w:rsidRDefault="00071E1C" w:rsidP="002619F0">
            <w:pPr>
              <w:spacing w:after="0" w:line="240" w:lineRule="auto"/>
              <w:jc w:val="center"/>
              <w:rPr>
                <w:rFonts w:ascii="Arial" w:hAnsi="Arial" w:cs="Arial"/>
                <w:b/>
                <w:sz w:val="20"/>
                <w:szCs w:val="20"/>
                <w:lang w:val="es-ES"/>
              </w:rPr>
            </w:pPr>
            <w:r w:rsidRPr="002619F0">
              <w:rPr>
                <w:rFonts w:ascii="Arial" w:hAnsi="Arial" w:cs="Arial"/>
                <w:b/>
                <w:sz w:val="20"/>
                <w:szCs w:val="20"/>
                <w:lang w:val="es-ES"/>
              </w:rPr>
              <w:t>Línea de base (2015)</w:t>
            </w:r>
          </w:p>
        </w:tc>
        <w:tc>
          <w:tcPr>
            <w:tcW w:w="1057" w:type="dxa"/>
            <w:shd w:val="clear" w:color="auto" w:fill="D9D9D9" w:themeFill="background1" w:themeFillShade="D9"/>
            <w:vAlign w:val="center"/>
          </w:tcPr>
          <w:p w14:paraId="68676DAA" w14:textId="77777777" w:rsidR="00071E1C" w:rsidRPr="002619F0" w:rsidRDefault="00071E1C" w:rsidP="002619F0">
            <w:pPr>
              <w:spacing w:after="0" w:line="240" w:lineRule="auto"/>
              <w:jc w:val="center"/>
              <w:rPr>
                <w:rFonts w:ascii="Arial" w:hAnsi="Arial" w:cs="Arial"/>
                <w:b/>
                <w:sz w:val="20"/>
                <w:szCs w:val="20"/>
                <w:lang w:val="es-ES"/>
              </w:rPr>
            </w:pPr>
            <w:r w:rsidRPr="002619F0">
              <w:rPr>
                <w:rFonts w:ascii="Arial" w:hAnsi="Arial" w:cs="Arial"/>
                <w:b/>
                <w:sz w:val="20"/>
                <w:szCs w:val="20"/>
                <w:lang w:val="es-ES"/>
              </w:rPr>
              <w:t>Meta (2020)</w:t>
            </w:r>
          </w:p>
        </w:tc>
        <w:tc>
          <w:tcPr>
            <w:tcW w:w="5760" w:type="dxa"/>
            <w:shd w:val="clear" w:color="auto" w:fill="D9D9D9" w:themeFill="background1" w:themeFillShade="D9"/>
            <w:vAlign w:val="center"/>
          </w:tcPr>
          <w:p w14:paraId="53ABD03F" w14:textId="77777777" w:rsidR="00071E1C" w:rsidRPr="002619F0" w:rsidRDefault="00071E1C" w:rsidP="002619F0">
            <w:pPr>
              <w:spacing w:after="0" w:line="240" w:lineRule="auto"/>
              <w:jc w:val="center"/>
              <w:rPr>
                <w:rFonts w:ascii="Arial" w:hAnsi="Arial" w:cs="Arial"/>
                <w:b/>
                <w:sz w:val="20"/>
                <w:szCs w:val="20"/>
                <w:lang w:val="es-ES"/>
              </w:rPr>
            </w:pPr>
            <w:r w:rsidRPr="002619F0">
              <w:rPr>
                <w:rFonts w:ascii="Arial" w:hAnsi="Arial" w:cs="Arial"/>
                <w:b/>
                <w:sz w:val="20"/>
                <w:szCs w:val="20"/>
                <w:lang w:val="es-ES"/>
              </w:rPr>
              <w:t>Medios de verificación/</w:t>
            </w:r>
          </w:p>
          <w:p w14:paraId="0E73A1E7" w14:textId="2D1D81FB" w:rsidR="00071E1C" w:rsidRPr="002619F0" w:rsidRDefault="00071E1C" w:rsidP="002619F0">
            <w:pPr>
              <w:spacing w:after="0" w:line="240" w:lineRule="auto"/>
              <w:jc w:val="center"/>
              <w:rPr>
                <w:rFonts w:ascii="Arial" w:hAnsi="Arial" w:cs="Arial"/>
                <w:b/>
                <w:sz w:val="20"/>
                <w:szCs w:val="20"/>
                <w:lang w:val="es-ES"/>
              </w:rPr>
            </w:pPr>
            <w:r w:rsidRPr="002619F0">
              <w:rPr>
                <w:rFonts w:ascii="Arial" w:hAnsi="Arial" w:cs="Arial"/>
                <w:b/>
                <w:sz w:val="20"/>
                <w:szCs w:val="20"/>
                <w:lang w:val="es-ES"/>
              </w:rPr>
              <w:t>Observaciones</w:t>
            </w:r>
          </w:p>
        </w:tc>
      </w:tr>
      <w:tr w:rsidR="00557306" w:rsidRPr="00CF0BED" w14:paraId="1E547397" w14:textId="77777777" w:rsidTr="000555DF">
        <w:trPr>
          <w:trHeight w:val="413"/>
        </w:trPr>
        <w:tc>
          <w:tcPr>
            <w:tcW w:w="13140"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vAlign w:val="center"/>
          </w:tcPr>
          <w:p w14:paraId="18B62274" w14:textId="45AE023D" w:rsidR="00557306" w:rsidRPr="002619F0" w:rsidRDefault="002619F0" w:rsidP="002619F0">
            <w:pPr>
              <w:spacing w:after="0" w:line="240" w:lineRule="auto"/>
              <w:rPr>
                <w:rFonts w:ascii="Arial" w:hAnsi="Arial" w:cs="Arial"/>
                <w:b/>
                <w:i/>
                <w:sz w:val="20"/>
                <w:szCs w:val="20"/>
                <w:lang w:val="es-ES"/>
              </w:rPr>
            </w:pPr>
            <w:r w:rsidRPr="002619F0">
              <w:rPr>
                <w:rFonts w:ascii="Arial" w:eastAsia="Times New Roman" w:hAnsi="Arial" w:cs="Arial"/>
                <w:b/>
                <w:sz w:val="20"/>
                <w:szCs w:val="20"/>
                <w:lang w:val="es-ES"/>
              </w:rPr>
              <w:t xml:space="preserve">Componente 2. </w:t>
            </w:r>
            <w:r w:rsidR="00557306" w:rsidRPr="002619F0">
              <w:rPr>
                <w:rFonts w:ascii="Arial" w:eastAsia="Times New Roman" w:hAnsi="Arial" w:cs="Arial"/>
                <w:b/>
                <w:sz w:val="20"/>
                <w:szCs w:val="20"/>
                <w:lang w:val="es-ES"/>
              </w:rPr>
              <w:t>Desarrollo Sostenible del Sector Energético</w:t>
            </w:r>
          </w:p>
        </w:tc>
      </w:tr>
      <w:tr w:rsidR="00557306" w:rsidRPr="00CF0BED" w14:paraId="7833E023" w14:textId="77777777" w:rsidTr="00CD7CCF">
        <w:trPr>
          <w:trHeight w:val="64"/>
        </w:trPr>
        <w:tc>
          <w:tcPr>
            <w:tcW w:w="13140" w:type="dxa"/>
            <w:gridSpan w:val="5"/>
            <w:shd w:val="clear" w:color="auto" w:fill="C6D9F1" w:themeFill="text2" w:themeFillTint="33"/>
          </w:tcPr>
          <w:p w14:paraId="671A54CB" w14:textId="67F927CA" w:rsidR="00557306" w:rsidRPr="002619F0" w:rsidRDefault="003E4431" w:rsidP="002619F0">
            <w:pPr>
              <w:spacing w:after="0" w:line="240" w:lineRule="auto"/>
              <w:rPr>
                <w:rFonts w:ascii="Arial" w:hAnsi="Arial" w:cs="Arial"/>
                <w:b/>
                <w:i/>
                <w:sz w:val="20"/>
                <w:szCs w:val="20"/>
                <w:lang w:val="es-CO"/>
              </w:rPr>
            </w:pPr>
            <w:bookmarkStart w:id="1" w:name="_Hlk481058479"/>
            <w:r w:rsidRPr="002619F0">
              <w:rPr>
                <w:rFonts w:ascii="Arial" w:hAnsi="Arial" w:cs="Arial"/>
                <w:b/>
                <w:i/>
                <w:sz w:val="20"/>
                <w:szCs w:val="20"/>
                <w:lang w:val="es-ES"/>
              </w:rPr>
              <w:t>M</w:t>
            </w:r>
            <w:r w:rsidR="00557306" w:rsidRPr="002619F0">
              <w:rPr>
                <w:rFonts w:ascii="Arial" w:hAnsi="Arial" w:cs="Arial"/>
                <w:b/>
                <w:i/>
                <w:sz w:val="20"/>
                <w:szCs w:val="20"/>
                <w:lang w:val="es-ES"/>
              </w:rPr>
              <w:t xml:space="preserve">atriz energética </w:t>
            </w:r>
            <w:r w:rsidRPr="002619F0">
              <w:rPr>
                <w:rFonts w:ascii="Arial" w:hAnsi="Arial" w:cs="Arial"/>
                <w:b/>
                <w:i/>
                <w:sz w:val="20"/>
                <w:szCs w:val="20"/>
                <w:lang w:val="es-ES"/>
              </w:rPr>
              <w:t xml:space="preserve">diversificada y </w:t>
            </w:r>
            <w:r w:rsidR="00557306" w:rsidRPr="002619F0">
              <w:rPr>
                <w:rFonts w:ascii="Arial" w:hAnsi="Arial" w:cs="Arial"/>
                <w:b/>
                <w:i/>
                <w:sz w:val="20"/>
                <w:szCs w:val="20"/>
                <w:lang w:val="es-ES"/>
              </w:rPr>
              <w:t>sostenible</w:t>
            </w:r>
          </w:p>
        </w:tc>
      </w:tr>
      <w:bookmarkEnd w:id="1"/>
      <w:tr w:rsidR="00071E1C" w:rsidRPr="00CF0BED" w14:paraId="4714ECFD" w14:textId="77777777" w:rsidTr="008D4F0A">
        <w:trPr>
          <w:trHeight w:val="64"/>
        </w:trPr>
        <w:tc>
          <w:tcPr>
            <w:tcW w:w="3330" w:type="dxa"/>
            <w:shd w:val="clear" w:color="auto" w:fill="auto"/>
            <w:vAlign w:val="center"/>
          </w:tcPr>
          <w:p w14:paraId="4C5C4D15" w14:textId="7D67E204" w:rsidR="00071E1C" w:rsidRPr="002619F0" w:rsidRDefault="00071E1C" w:rsidP="002619F0">
            <w:pPr>
              <w:pStyle w:val="ListParagraph"/>
              <w:spacing w:after="0" w:line="240" w:lineRule="auto"/>
              <w:ind w:left="0"/>
              <w:contextualSpacing w:val="0"/>
              <w:rPr>
                <w:rFonts w:ascii="Arial" w:hAnsi="Arial" w:cs="Arial"/>
                <w:sz w:val="20"/>
                <w:szCs w:val="20"/>
                <w:lang w:val="es-ES"/>
              </w:rPr>
            </w:pPr>
            <w:r w:rsidRPr="002619F0">
              <w:rPr>
                <w:rFonts w:ascii="Arial" w:hAnsi="Arial" w:cs="Arial"/>
                <w:sz w:val="20"/>
                <w:szCs w:val="20"/>
                <w:lang w:val="es-ES"/>
              </w:rPr>
              <w:t>Capacidad instalada de</w:t>
            </w:r>
            <w:r w:rsidR="00A43E22">
              <w:rPr>
                <w:rFonts w:ascii="Arial" w:hAnsi="Arial" w:cs="Arial"/>
                <w:sz w:val="20"/>
                <w:szCs w:val="20"/>
                <w:lang w:val="es-ES"/>
              </w:rPr>
              <w:t xml:space="preserve"> </w:t>
            </w:r>
            <w:r w:rsidR="00A43E22" w:rsidRPr="00A43E22">
              <w:rPr>
                <w:rFonts w:ascii="Arial" w:hAnsi="Arial" w:cs="Arial"/>
                <w:sz w:val="20"/>
                <w:szCs w:val="20"/>
                <w:lang w:val="es-ES"/>
              </w:rPr>
              <w:t>Energía Renovable</w:t>
            </w:r>
            <w:r w:rsidRPr="002619F0">
              <w:rPr>
                <w:rFonts w:ascii="Arial" w:hAnsi="Arial" w:cs="Arial"/>
                <w:sz w:val="20"/>
                <w:szCs w:val="20"/>
                <w:lang w:val="es-ES"/>
              </w:rPr>
              <w:t xml:space="preserve"> </w:t>
            </w:r>
            <w:r w:rsidR="00A43E22">
              <w:rPr>
                <w:rFonts w:ascii="Arial" w:hAnsi="Arial" w:cs="Arial"/>
                <w:sz w:val="20"/>
                <w:szCs w:val="20"/>
                <w:lang w:val="es-ES"/>
              </w:rPr>
              <w:t>(</w:t>
            </w:r>
            <w:r w:rsidRPr="002619F0">
              <w:rPr>
                <w:rFonts w:ascii="Arial" w:hAnsi="Arial" w:cs="Arial"/>
                <w:sz w:val="20"/>
                <w:szCs w:val="20"/>
                <w:lang w:val="es-ES"/>
              </w:rPr>
              <w:t>ER</w:t>
            </w:r>
            <w:r w:rsidR="00A43E22">
              <w:rPr>
                <w:rFonts w:ascii="Arial" w:hAnsi="Arial" w:cs="Arial"/>
                <w:sz w:val="20"/>
                <w:szCs w:val="20"/>
                <w:lang w:val="es-ES"/>
              </w:rPr>
              <w:t>)</w:t>
            </w:r>
            <w:r w:rsidRPr="002619F0">
              <w:rPr>
                <w:rFonts w:ascii="Arial" w:hAnsi="Arial" w:cs="Arial"/>
                <w:sz w:val="20"/>
                <w:szCs w:val="20"/>
                <w:lang w:val="es-ES"/>
              </w:rPr>
              <w:t xml:space="preserve"> en el</w:t>
            </w:r>
            <w:r w:rsidR="00A43E22">
              <w:rPr>
                <w:rFonts w:ascii="Arial" w:hAnsi="Arial" w:cs="Arial"/>
                <w:sz w:val="20"/>
                <w:szCs w:val="20"/>
                <w:lang w:val="es-ES"/>
              </w:rPr>
              <w:t xml:space="preserve"> </w:t>
            </w:r>
            <w:r w:rsidR="00A43E22" w:rsidRPr="00A43E22">
              <w:rPr>
                <w:rFonts w:ascii="Arial" w:hAnsi="Arial" w:cs="Arial"/>
                <w:sz w:val="20"/>
                <w:szCs w:val="20"/>
                <w:lang w:val="es-ES"/>
              </w:rPr>
              <w:t>Sistema Interconectado Nacional</w:t>
            </w:r>
            <w:r w:rsidRPr="002619F0">
              <w:rPr>
                <w:rFonts w:ascii="Arial" w:hAnsi="Arial" w:cs="Arial"/>
                <w:sz w:val="20"/>
                <w:szCs w:val="20"/>
                <w:lang w:val="es-ES"/>
              </w:rPr>
              <w:t xml:space="preserve"> </w:t>
            </w:r>
            <w:r w:rsidR="00A43E22">
              <w:rPr>
                <w:rFonts w:ascii="Arial" w:hAnsi="Arial" w:cs="Arial"/>
                <w:sz w:val="20"/>
                <w:szCs w:val="20"/>
                <w:lang w:val="es-ES"/>
              </w:rPr>
              <w:t>(</w:t>
            </w:r>
            <w:r w:rsidRPr="002619F0">
              <w:rPr>
                <w:rFonts w:ascii="Arial" w:hAnsi="Arial" w:cs="Arial"/>
                <w:sz w:val="20"/>
                <w:szCs w:val="20"/>
                <w:lang w:val="es-ES"/>
              </w:rPr>
              <w:t>SIN</w:t>
            </w:r>
            <w:r w:rsidR="00A43E22">
              <w:rPr>
                <w:rFonts w:ascii="Arial" w:hAnsi="Arial" w:cs="Arial"/>
                <w:sz w:val="20"/>
                <w:szCs w:val="20"/>
                <w:lang w:val="es-ES"/>
              </w:rPr>
              <w:t>)</w:t>
            </w:r>
            <w:r w:rsidR="008D4F0A" w:rsidRPr="002619F0">
              <w:rPr>
                <w:rFonts w:ascii="Arial" w:hAnsi="Arial" w:cs="Arial"/>
                <w:sz w:val="20"/>
                <w:szCs w:val="20"/>
                <w:lang w:val="es-ES"/>
              </w:rPr>
              <w:t>.</w:t>
            </w:r>
          </w:p>
        </w:tc>
        <w:tc>
          <w:tcPr>
            <w:tcW w:w="1440" w:type="dxa"/>
            <w:shd w:val="clear" w:color="auto" w:fill="auto"/>
            <w:vAlign w:val="center"/>
          </w:tcPr>
          <w:p w14:paraId="0C060895" w14:textId="1A4CCABE" w:rsidR="00071E1C" w:rsidRPr="002619F0" w:rsidRDefault="00071E1C"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MW</w:t>
            </w:r>
          </w:p>
        </w:tc>
        <w:tc>
          <w:tcPr>
            <w:tcW w:w="1553" w:type="dxa"/>
            <w:shd w:val="clear" w:color="auto" w:fill="auto"/>
            <w:vAlign w:val="center"/>
          </w:tcPr>
          <w:p w14:paraId="5E83E976" w14:textId="0B34F1C7" w:rsidR="00071E1C" w:rsidRPr="002619F0" w:rsidRDefault="00071E1C"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248</w:t>
            </w:r>
          </w:p>
        </w:tc>
        <w:tc>
          <w:tcPr>
            <w:tcW w:w="1057" w:type="dxa"/>
            <w:shd w:val="clear" w:color="auto" w:fill="auto"/>
            <w:vAlign w:val="center"/>
          </w:tcPr>
          <w:p w14:paraId="6C683189" w14:textId="6DDB3B7C" w:rsidR="00071E1C" w:rsidRPr="002619F0" w:rsidRDefault="00071E1C"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883</w:t>
            </w:r>
          </w:p>
        </w:tc>
        <w:tc>
          <w:tcPr>
            <w:tcW w:w="5760" w:type="dxa"/>
            <w:vAlign w:val="center"/>
          </w:tcPr>
          <w:p w14:paraId="69A42F07" w14:textId="77777777" w:rsidR="00071E1C" w:rsidRPr="002619F0" w:rsidRDefault="00071E1C" w:rsidP="002619F0">
            <w:pPr>
              <w:spacing w:after="0" w:line="240" w:lineRule="auto"/>
              <w:rPr>
                <w:rFonts w:ascii="Arial" w:hAnsi="Arial" w:cs="Arial"/>
                <w:color w:val="000000" w:themeColor="text1"/>
                <w:sz w:val="20"/>
                <w:szCs w:val="20"/>
                <w:lang w:val="es-BO"/>
              </w:rPr>
            </w:pPr>
            <w:r w:rsidRPr="002619F0">
              <w:rPr>
                <w:rFonts w:ascii="Arial" w:hAnsi="Arial" w:cs="Arial"/>
                <w:color w:val="000000" w:themeColor="text1"/>
                <w:sz w:val="20"/>
                <w:szCs w:val="20"/>
                <w:lang w:val="es-ES"/>
              </w:rPr>
              <w:t>Plan de Expansión SIN (ETESA) – Escenario renovable (</w:t>
            </w:r>
            <w:r w:rsidRPr="002619F0">
              <w:rPr>
                <w:rFonts w:ascii="Arial" w:hAnsi="Arial" w:cs="Arial"/>
                <w:sz w:val="20"/>
                <w:szCs w:val="20"/>
                <w:lang w:val="es-ES"/>
              </w:rPr>
              <w:t>Considera ER como biogás, eólica y solar fotovoltaica)</w:t>
            </w:r>
          </w:p>
          <w:p w14:paraId="59F928F7" w14:textId="77777777" w:rsidR="00071E1C" w:rsidRPr="002619F0" w:rsidRDefault="00071E1C" w:rsidP="002619F0">
            <w:pPr>
              <w:spacing w:after="0" w:line="240" w:lineRule="auto"/>
              <w:rPr>
                <w:rFonts w:ascii="Arial" w:hAnsi="Arial" w:cs="Arial"/>
                <w:sz w:val="20"/>
                <w:szCs w:val="20"/>
                <w:lang w:val="es-BO"/>
              </w:rPr>
            </w:pPr>
            <w:r w:rsidRPr="002619F0">
              <w:rPr>
                <w:rFonts w:ascii="Arial" w:hAnsi="Arial" w:cs="Arial"/>
                <w:color w:val="000000" w:themeColor="text1"/>
                <w:sz w:val="20"/>
                <w:szCs w:val="20"/>
                <w:lang w:val="es-BO"/>
              </w:rPr>
              <w:t>Estadísticas de electricidad semestrales de la ASEP (Oferta)</w:t>
            </w:r>
          </w:p>
          <w:p w14:paraId="08CD4D23" w14:textId="5DC769C8" w:rsidR="00071E1C" w:rsidRPr="002619F0" w:rsidRDefault="00071E1C" w:rsidP="002619F0">
            <w:pPr>
              <w:spacing w:after="0" w:line="240" w:lineRule="auto"/>
              <w:jc w:val="center"/>
              <w:rPr>
                <w:rFonts w:ascii="Arial" w:hAnsi="Arial" w:cs="Arial"/>
                <w:sz w:val="20"/>
                <w:szCs w:val="20"/>
                <w:lang w:val="es-BO"/>
              </w:rPr>
            </w:pPr>
          </w:p>
        </w:tc>
      </w:tr>
      <w:tr w:rsidR="00071E1C" w:rsidRPr="00CF0BED" w14:paraId="1C354337" w14:textId="77777777" w:rsidTr="00820903">
        <w:trPr>
          <w:trHeight w:val="1340"/>
        </w:trPr>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A8D4BB" w14:textId="6B23FF5B" w:rsidR="00071E1C" w:rsidRPr="002619F0" w:rsidRDefault="00071E1C" w:rsidP="002619F0">
            <w:pPr>
              <w:pStyle w:val="ListParagraph"/>
              <w:spacing w:after="0" w:line="240" w:lineRule="auto"/>
              <w:ind w:left="0"/>
              <w:rPr>
                <w:rFonts w:ascii="Arial" w:hAnsi="Arial" w:cs="Arial"/>
                <w:color w:val="000000" w:themeColor="text1"/>
                <w:sz w:val="20"/>
                <w:szCs w:val="20"/>
                <w:lang w:val="es-BO"/>
              </w:rPr>
            </w:pPr>
            <w:r w:rsidRPr="002619F0">
              <w:rPr>
                <w:rFonts w:ascii="Arial" w:hAnsi="Arial" w:cs="Arial"/>
                <w:color w:val="000000" w:themeColor="text1"/>
                <w:sz w:val="20"/>
                <w:szCs w:val="20"/>
                <w:lang w:val="es-BO"/>
              </w:rPr>
              <w:lastRenderedPageBreak/>
              <w:t>Generación eléctrica anual con nuevas fuentes alternativas con bajas emisiones de GEI</w:t>
            </w:r>
            <w:r w:rsidR="008D4F0A" w:rsidRPr="002619F0">
              <w:rPr>
                <w:rFonts w:ascii="Arial" w:hAnsi="Arial" w:cs="Arial"/>
                <w:color w:val="000000" w:themeColor="text1"/>
                <w:sz w:val="20"/>
                <w:szCs w:val="20"/>
                <w:lang w:val="es-BO"/>
              </w:rPr>
              <w:t>.</w:t>
            </w:r>
          </w:p>
        </w:tc>
        <w:tc>
          <w:tcPr>
            <w:tcW w:w="144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F5D29D" w14:textId="088144DB" w:rsidR="00071E1C" w:rsidRPr="002619F0" w:rsidRDefault="00071E1C" w:rsidP="0083531C">
            <w:pPr>
              <w:spacing w:after="0" w:line="240" w:lineRule="auto"/>
              <w:jc w:val="center"/>
              <w:rPr>
                <w:rFonts w:ascii="Arial" w:hAnsi="Arial" w:cs="Arial"/>
                <w:color w:val="000000" w:themeColor="text1"/>
                <w:sz w:val="20"/>
                <w:szCs w:val="20"/>
                <w:lang w:val="es-BO" w:eastAsia="zh-CN"/>
              </w:rPr>
            </w:pPr>
            <w:r w:rsidRPr="002619F0">
              <w:rPr>
                <w:rFonts w:ascii="Arial" w:hAnsi="Arial" w:cs="Arial"/>
                <w:color w:val="000000" w:themeColor="text1"/>
                <w:sz w:val="20"/>
                <w:szCs w:val="20"/>
                <w:lang w:val="es-BO" w:eastAsia="zh-CN"/>
              </w:rPr>
              <w:t>GWh/Año</w:t>
            </w:r>
          </w:p>
        </w:tc>
        <w:tc>
          <w:tcPr>
            <w:tcW w:w="15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9DB238" w14:textId="623B3F1A" w:rsidR="00071E1C" w:rsidRPr="002619F0" w:rsidRDefault="00071E1C" w:rsidP="002619F0">
            <w:pPr>
              <w:spacing w:after="0" w:line="240" w:lineRule="auto"/>
              <w:jc w:val="center"/>
              <w:rPr>
                <w:rFonts w:ascii="Arial" w:hAnsi="Arial" w:cs="Arial"/>
                <w:color w:val="000000" w:themeColor="text1"/>
                <w:sz w:val="20"/>
                <w:szCs w:val="20"/>
                <w:lang w:val="es-ES"/>
              </w:rPr>
            </w:pPr>
            <w:r w:rsidRPr="002619F0">
              <w:rPr>
                <w:rFonts w:ascii="Arial" w:hAnsi="Arial" w:cs="Arial"/>
                <w:color w:val="000000" w:themeColor="text1"/>
                <w:sz w:val="20"/>
                <w:szCs w:val="20"/>
                <w:lang w:val="es-ES"/>
              </w:rPr>
              <w:t>181</w:t>
            </w:r>
          </w:p>
        </w:tc>
        <w:tc>
          <w:tcPr>
            <w:tcW w:w="105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DBA008" w14:textId="4E6E7B15" w:rsidR="00071E1C" w:rsidRPr="002619F0" w:rsidRDefault="00071E1C" w:rsidP="002619F0">
            <w:pPr>
              <w:spacing w:after="0" w:line="240" w:lineRule="auto"/>
              <w:jc w:val="center"/>
              <w:rPr>
                <w:rFonts w:ascii="Arial" w:hAnsi="Arial" w:cs="Arial"/>
                <w:color w:val="000000" w:themeColor="text1"/>
                <w:sz w:val="20"/>
                <w:szCs w:val="20"/>
                <w:lang w:val="es-ES"/>
              </w:rPr>
            </w:pPr>
            <w:r w:rsidRPr="002619F0">
              <w:rPr>
                <w:rFonts w:ascii="Arial" w:hAnsi="Arial" w:cs="Arial"/>
                <w:color w:val="000000" w:themeColor="text1"/>
                <w:sz w:val="20"/>
                <w:szCs w:val="20"/>
                <w:lang w:val="es-ES"/>
              </w:rPr>
              <w:t>6.599</w:t>
            </w:r>
          </w:p>
        </w:tc>
        <w:tc>
          <w:tcPr>
            <w:tcW w:w="57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41A7B0" w14:textId="7EDA4ECD" w:rsidR="00071E1C" w:rsidRPr="002619F0" w:rsidRDefault="00071E1C" w:rsidP="002619F0">
            <w:pPr>
              <w:spacing w:after="0" w:line="240" w:lineRule="auto"/>
              <w:rPr>
                <w:rFonts w:ascii="Arial" w:hAnsi="Arial" w:cs="Arial"/>
                <w:color w:val="000000" w:themeColor="text1"/>
                <w:sz w:val="20"/>
                <w:szCs w:val="20"/>
                <w:lang w:val="es-ES"/>
              </w:rPr>
            </w:pPr>
            <w:r w:rsidRPr="002619F0">
              <w:rPr>
                <w:rFonts w:ascii="Arial" w:hAnsi="Arial" w:cs="Arial"/>
                <w:color w:val="000000" w:themeColor="text1"/>
                <w:sz w:val="20"/>
                <w:szCs w:val="20"/>
                <w:lang w:val="es-ES"/>
              </w:rPr>
              <w:t>Plan de Expansión del Sistema Interconectado Nacional (ETESA) – Escenario de referencia Vs. escenario renovable Considera GN, biogas, generación eólica y solar fotovoltaica</w:t>
            </w:r>
            <w:r w:rsidRPr="002619F0">
              <w:rPr>
                <w:rStyle w:val="FootnoteReference"/>
                <w:rFonts w:ascii="Arial" w:hAnsi="Arial" w:cs="Arial"/>
                <w:color w:val="000000" w:themeColor="text1"/>
                <w:sz w:val="20"/>
                <w:szCs w:val="20"/>
                <w:lang w:val="es-ES"/>
              </w:rPr>
              <w:footnoteReference w:id="3"/>
            </w:r>
            <w:r w:rsidR="008D4F0A" w:rsidRPr="002619F0">
              <w:rPr>
                <w:rFonts w:ascii="Arial" w:hAnsi="Arial" w:cs="Arial"/>
                <w:color w:val="000000" w:themeColor="text1"/>
                <w:sz w:val="20"/>
                <w:szCs w:val="20"/>
                <w:lang w:val="es-ES"/>
              </w:rPr>
              <w:t>.</w:t>
            </w:r>
          </w:p>
          <w:p w14:paraId="27CADB30" w14:textId="77777777" w:rsidR="00071E1C" w:rsidRPr="002619F0" w:rsidRDefault="00071E1C" w:rsidP="002619F0">
            <w:pPr>
              <w:spacing w:after="0" w:line="240" w:lineRule="auto"/>
              <w:jc w:val="center"/>
              <w:rPr>
                <w:rFonts w:ascii="Arial" w:hAnsi="Arial" w:cs="Arial"/>
                <w:color w:val="000000" w:themeColor="text1"/>
                <w:sz w:val="20"/>
                <w:szCs w:val="20"/>
                <w:lang w:val="es-BO"/>
              </w:rPr>
            </w:pPr>
          </w:p>
          <w:p w14:paraId="2E5F61BC" w14:textId="3E422BB2" w:rsidR="00071E1C" w:rsidRPr="002619F0" w:rsidRDefault="00071E1C" w:rsidP="002619F0">
            <w:pPr>
              <w:spacing w:after="0" w:line="240" w:lineRule="auto"/>
              <w:rPr>
                <w:rFonts w:ascii="Arial" w:hAnsi="Arial" w:cs="Arial"/>
                <w:color w:val="000000" w:themeColor="text1"/>
                <w:sz w:val="20"/>
                <w:szCs w:val="20"/>
                <w:lang w:val="es-BO"/>
              </w:rPr>
            </w:pPr>
            <w:r w:rsidRPr="002619F0">
              <w:rPr>
                <w:rFonts w:ascii="Arial" w:hAnsi="Arial" w:cs="Arial"/>
                <w:color w:val="000000" w:themeColor="text1"/>
                <w:sz w:val="20"/>
                <w:szCs w:val="20"/>
                <w:lang w:val="es-BO"/>
              </w:rPr>
              <w:t>Estadísticas de electricidad semestrales de la ASEP (Oferta)</w:t>
            </w:r>
            <w:r w:rsidR="008D4F0A" w:rsidRPr="002619F0">
              <w:rPr>
                <w:rFonts w:ascii="Arial" w:hAnsi="Arial" w:cs="Arial"/>
                <w:color w:val="000000" w:themeColor="text1"/>
                <w:sz w:val="20"/>
                <w:szCs w:val="20"/>
                <w:lang w:val="es-BO"/>
              </w:rPr>
              <w:t>.</w:t>
            </w:r>
          </w:p>
        </w:tc>
      </w:tr>
      <w:tr w:rsidR="00071E1C" w:rsidRPr="00CF0BED" w14:paraId="5AA1A794" w14:textId="77777777" w:rsidTr="008D4F0A">
        <w:trPr>
          <w:trHeight w:val="359"/>
        </w:trPr>
        <w:tc>
          <w:tcPr>
            <w:tcW w:w="3330" w:type="dxa"/>
            <w:tcBorders>
              <w:bottom w:val="single" w:sz="4" w:space="0" w:color="000000" w:themeColor="text1"/>
            </w:tcBorders>
            <w:shd w:val="clear" w:color="auto" w:fill="auto"/>
            <w:vAlign w:val="center"/>
          </w:tcPr>
          <w:p w14:paraId="64FB3D65" w14:textId="78A7EA84" w:rsidR="00071E1C" w:rsidRPr="002619F0" w:rsidRDefault="00071E1C" w:rsidP="002619F0">
            <w:pPr>
              <w:pStyle w:val="ListParagraph"/>
              <w:spacing w:after="0" w:line="240" w:lineRule="auto"/>
              <w:ind w:left="0"/>
              <w:rPr>
                <w:rFonts w:ascii="Arial" w:hAnsi="Arial" w:cs="Arial"/>
                <w:sz w:val="20"/>
                <w:szCs w:val="20"/>
                <w:lang w:val="es-ES"/>
              </w:rPr>
            </w:pPr>
            <w:r w:rsidRPr="002619F0">
              <w:rPr>
                <w:rFonts w:ascii="Arial" w:hAnsi="Arial" w:cs="Arial"/>
                <w:sz w:val="20"/>
                <w:szCs w:val="20"/>
                <w:lang w:val="es-BO"/>
              </w:rPr>
              <w:t>Capacidad instalada de generación con GN en el</w:t>
            </w:r>
            <w:r w:rsidRPr="002619F0">
              <w:rPr>
                <w:rFonts w:ascii="Arial" w:hAnsi="Arial" w:cs="Arial"/>
                <w:sz w:val="20"/>
                <w:szCs w:val="20"/>
                <w:lang w:val="es-ES"/>
              </w:rPr>
              <w:t xml:space="preserve"> SIN</w:t>
            </w:r>
            <w:r w:rsidR="008D4F0A" w:rsidRPr="002619F0">
              <w:rPr>
                <w:rFonts w:ascii="Arial" w:hAnsi="Arial" w:cs="Arial"/>
                <w:sz w:val="20"/>
                <w:szCs w:val="20"/>
                <w:lang w:val="es-ES"/>
              </w:rPr>
              <w:t>.</w:t>
            </w:r>
          </w:p>
        </w:tc>
        <w:tc>
          <w:tcPr>
            <w:tcW w:w="1440" w:type="dxa"/>
            <w:tcBorders>
              <w:bottom w:val="single" w:sz="4" w:space="0" w:color="000000" w:themeColor="text1"/>
            </w:tcBorders>
            <w:shd w:val="clear" w:color="auto" w:fill="auto"/>
            <w:vAlign w:val="center"/>
          </w:tcPr>
          <w:p w14:paraId="156F3F3C" w14:textId="34341DF7" w:rsidR="00071E1C" w:rsidRPr="002619F0" w:rsidRDefault="00071E1C" w:rsidP="0083531C">
            <w:pPr>
              <w:spacing w:after="0" w:line="240" w:lineRule="auto"/>
              <w:jc w:val="center"/>
              <w:rPr>
                <w:rFonts w:ascii="Arial" w:hAnsi="Arial" w:cs="Arial"/>
                <w:sz w:val="20"/>
                <w:szCs w:val="20"/>
                <w:lang w:val="es-ES" w:eastAsia="zh-CN"/>
              </w:rPr>
            </w:pPr>
            <w:r w:rsidRPr="002619F0">
              <w:rPr>
                <w:rFonts w:ascii="Arial" w:hAnsi="Arial" w:cs="Arial"/>
                <w:sz w:val="20"/>
                <w:szCs w:val="20"/>
                <w:lang w:val="es-ES" w:eastAsia="zh-CN"/>
              </w:rPr>
              <w:t>MW</w:t>
            </w:r>
          </w:p>
        </w:tc>
        <w:tc>
          <w:tcPr>
            <w:tcW w:w="1553" w:type="dxa"/>
            <w:tcBorders>
              <w:bottom w:val="single" w:sz="4" w:space="0" w:color="000000" w:themeColor="text1"/>
            </w:tcBorders>
            <w:shd w:val="clear" w:color="auto" w:fill="auto"/>
            <w:vAlign w:val="center"/>
          </w:tcPr>
          <w:p w14:paraId="67D997B8" w14:textId="1384F655" w:rsidR="00071E1C" w:rsidRPr="002619F0" w:rsidRDefault="00071E1C"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0</w:t>
            </w:r>
          </w:p>
        </w:tc>
        <w:tc>
          <w:tcPr>
            <w:tcW w:w="1057" w:type="dxa"/>
            <w:tcBorders>
              <w:bottom w:val="single" w:sz="4" w:space="0" w:color="000000" w:themeColor="text1"/>
            </w:tcBorders>
            <w:shd w:val="clear" w:color="auto" w:fill="auto"/>
            <w:vAlign w:val="center"/>
          </w:tcPr>
          <w:p w14:paraId="5102ACCE" w14:textId="27ABD6F8" w:rsidR="00071E1C" w:rsidRPr="002619F0" w:rsidRDefault="00071E1C"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962</w:t>
            </w:r>
          </w:p>
        </w:tc>
        <w:tc>
          <w:tcPr>
            <w:tcW w:w="5760" w:type="dxa"/>
            <w:tcBorders>
              <w:bottom w:val="single" w:sz="4" w:space="0" w:color="000000" w:themeColor="text1"/>
            </w:tcBorders>
            <w:shd w:val="clear" w:color="auto" w:fill="auto"/>
            <w:vAlign w:val="center"/>
          </w:tcPr>
          <w:p w14:paraId="2AB17304" w14:textId="5E894467" w:rsidR="00071E1C" w:rsidRPr="002619F0" w:rsidRDefault="00071E1C" w:rsidP="002619F0">
            <w:pPr>
              <w:spacing w:after="0" w:line="240" w:lineRule="auto"/>
              <w:rPr>
                <w:rFonts w:ascii="Arial" w:hAnsi="Arial" w:cs="Arial"/>
                <w:sz w:val="20"/>
                <w:szCs w:val="20"/>
                <w:lang w:val="es-BO"/>
              </w:rPr>
            </w:pPr>
            <w:r w:rsidRPr="002619F0">
              <w:rPr>
                <w:rFonts w:ascii="Arial" w:hAnsi="Arial" w:cs="Arial"/>
                <w:sz w:val="20"/>
                <w:szCs w:val="20"/>
                <w:lang w:val="es-ES"/>
              </w:rPr>
              <w:t>Plan de Expansión del SIN (ETESA) – Escenario de referencia Vs. escenario renovable (Incluye resultado de las convocatorias de generación térmica ya realizadas y nuevas plantas)</w:t>
            </w:r>
            <w:r w:rsidR="008D4F0A" w:rsidRPr="002619F0">
              <w:rPr>
                <w:rFonts w:ascii="Arial" w:hAnsi="Arial" w:cs="Arial"/>
                <w:sz w:val="20"/>
                <w:szCs w:val="20"/>
                <w:lang w:val="es-ES"/>
              </w:rPr>
              <w:t>.</w:t>
            </w:r>
          </w:p>
          <w:p w14:paraId="74963019" w14:textId="77777777" w:rsidR="00071E1C" w:rsidRPr="002619F0" w:rsidRDefault="00071E1C" w:rsidP="002619F0">
            <w:pPr>
              <w:spacing w:after="0" w:line="240" w:lineRule="auto"/>
              <w:jc w:val="center"/>
              <w:rPr>
                <w:rFonts w:ascii="Arial" w:hAnsi="Arial" w:cs="Arial"/>
                <w:sz w:val="20"/>
                <w:szCs w:val="20"/>
                <w:lang w:val="es-BO"/>
              </w:rPr>
            </w:pPr>
          </w:p>
          <w:p w14:paraId="604538D2" w14:textId="68D5B090" w:rsidR="00071E1C" w:rsidRPr="002619F0" w:rsidRDefault="00071E1C" w:rsidP="002619F0">
            <w:pPr>
              <w:spacing w:after="0" w:line="240" w:lineRule="auto"/>
              <w:rPr>
                <w:rFonts w:ascii="Arial" w:hAnsi="Arial" w:cs="Arial"/>
                <w:sz w:val="20"/>
                <w:szCs w:val="20"/>
                <w:lang w:val="es-BO"/>
              </w:rPr>
            </w:pPr>
            <w:r w:rsidRPr="002619F0">
              <w:rPr>
                <w:rFonts w:ascii="Arial" w:hAnsi="Arial" w:cs="Arial"/>
                <w:sz w:val="20"/>
                <w:szCs w:val="20"/>
                <w:lang w:val="es-BO"/>
              </w:rPr>
              <w:t>Estadísticas de electricidad semestrales de la ASEP (Oferta)</w:t>
            </w:r>
            <w:r w:rsidR="008D4F0A" w:rsidRPr="002619F0">
              <w:rPr>
                <w:rFonts w:ascii="Arial" w:hAnsi="Arial" w:cs="Arial"/>
                <w:sz w:val="20"/>
                <w:szCs w:val="20"/>
                <w:lang w:val="es-BO"/>
              </w:rPr>
              <w:t>.</w:t>
            </w:r>
          </w:p>
        </w:tc>
      </w:tr>
      <w:tr w:rsidR="002C3B6B" w:rsidRPr="00CF0BED" w14:paraId="154C3CA2" w14:textId="77777777" w:rsidTr="008D4F0A">
        <w:trPr>
          <w:trHeight w:val="359"/>
        </w:trPr>
        <w:tc>
          <w:tcPr>
            <w:tcW w:w="3330" w:type="dxa"/>
            <w:tcBorders>
              <w:bottom w:val="single" w:sz="4" w:space="0" w:color="000000" w:themeColor="text1"/>
            </w:tcBorders>
            <w:shd w:val="clear" w:color="auto" w:fill="auto"/>
            <w:vAlign w:val="center"/>
          </w:tcPr>
          <w:p w14:paraId="251525DE" w14:textId="1801E544" w:rsidR="002C3B6B" w:rsidRPr="002619F0" w:rsidRDefault="00B5791D" w:rsidP="002619F0">
            <w:pPr>
              <w:pStyle w:val="ListParagraph"/>
              <w:spacing w:after="0" w:line="240" w:lineRule="auto"/>
              <w:ind w:left="0"/>
              <w:rPr>
                <w:rFonts w:ascii="Arial" w:hAnsi="Arial" w:cs="Arial"/>
                <w:sz w:val="20"/>
                <w:szCs w:val="20"/>
                <w:lang w:val="es-BO"/>
              </w:rPr>
            </w:pPr>
            <w:r>
              <w:rPr>
                <w:rFonts w:ascii="Arial" w:hAnsi="Arial" w:cs="Arial"/>
                <w:sz w:val="20"/>
                <w:szCs w:val="20"/>
                <w:lang w:val="es-BO"/>
              </w:rPr>
              <w:t xml:space="preserve">Costo </w:t>
            </w:r>
            <w:r w:rsidR="002C3B6B" w:rsidRPr="002619F0">
              <w:rPr>
                <w:rFonts w:ascii="Arial" w:hAnsi="Arial" w:cs="Arial"/>
                <w:sz w:val="20"/>
                <w:szCs w:val="20"/>
                <w:lang w:val="es-BO"/>
              </w:rPr>
              <w:t xml:space="preserve">promedio de </w:t>
            </w:r>
            <w:r w:rsidR="0066454C">
              <w:rPr>
                <w:rFonts w:ascii="Arial" w:hAnsi="Arial" w:cs="Arial"/>
                <w:sz w:val="20"/>
                <w:szCs w:val="20"/>
                <w:lang w:val="es-BO"/>
              </w:rPr>
              <w:t xml:space="preserve">generación de </w:t>
            </w:r>
            <w:r w:rsidR="002C3B6B" w:rsidRPr="002619F0">
              <w:rPr>
                <w:rFonts w:ascii="Arial" w:hAnsi="Arial" w:cs="Arial"/>
                <w:sz w:val="20"/>
                <w:szCs w:val="20"/>
                <w:lang w:val="es-BO"/>
              </w:rPr>
              <w:t>electricidad</w:t>
            </w:r>
            <w:r w:rsidR="008D4F0A" w:rsidRPr="002619F0">
              <w:rPr>
                <w:rFonts w:ascii="Arial" w:hAnsi="Arial" w:cs="Arial"/>
                <w:sz w:val="20"/>
                <w:szCs w:val="20"/>
                <w:lang w:val="es-BO"/>
              </w:rPr>
              <w:t>.</w:t>
            </w:r>
          </w:p>
        </w:tc>
        <w:tc>
          <w:tcPr>
            <w:tcW w:w="1440" w:type="dxa"/>
            <w:tcBorders>
              <w:bottom w:val="single" w:sz="4" w:space="0" w:color="000000" w:themeColor="text1"/>
            </w:tcBorders>
            <w:shd w:val="clear" w:color="auto" w:fill="auto"/>
            <w:vAlign w:val="center"/>
          </w:tcPr>
          <w:p w14:paraId="375A8DD7" w14:textId="53E3A67A" w:rsidR="002C3B6B" w:rsidRPr="002619F0" w:rsidRDefault="002C3B6B" w:rsidP="0083531C">
            <w:pPr>
              <w:spacing w:after="0" w:line="240" w:lineRule="auto"/>
              <w:jc w:val="center"/>
              <w:rPr>
                <w:rFonts w:ascii="Arial" w:hAnsi="Arial" w:cs="Arial"/>
                <w:sz w:val="20"/>
                <w:szCs w:val="20"/>
                <w:lang w:val="es-ES" w:eastAsia="zh-CN"/>
              </w:rPr>
            </w:pPr>
            <w:r w:rsidRPr="002619F0">
              <w:rPr>
                <w:rFonts w:ascii="Arial" w:hAnsi="Arial" w:cs="Arial"/>
                <w:sz w:val="20"/>
                <w:szCs w:val="20"/>
                <w:lang w:val="es-ES" w:eastAsia="zh-CN"/>
              </w:rPr>
              <w:t>US</w:t>
            </w:r>
            <w:r w:rsidR="00155290" w:rsidRPr="002619F0">
              <w:rPr>
                <w:rFonts w:ascii="Arial" w:hAnsi="Arial" w:cs="Arial"/>
                <w:sz w:val="20"/>
                <w:szCs w:val="20"/>
                <w:lang w:val="es-ES" w:eastAsia="zh-CN"/>
              </w:rPr>
              <w:t>$</w:t>
            </w:r>
            <w:r w:rsidRPr="002619F0">
              <w:rPr>
                <w:rFonts w:ascii="Arial" w:hAnsi="Arial" w:cs="Arial"/>
                <w:sz w:val="20"/>
                <w:szCs w:val="20"/>
                <w:lang w:val="es-ES" w:eastAsia="zh-CN"/>
              </w:rPr>
              <w:t>/MWh</w:t>
            </w:r>
          </w:p>
        </w:tc>
        <w:tc>
          <w:tcPr>
            <w:tcW w:w="1553" w:type="dxa"/>
            <w:tcBorders>
              <w:bottom w:val="single" w:sz="4" w:space="0" w:color="000000" w:themeColor="text1"/>
            </w:tcBorders>
            <w:shd w:val="clear" w:color="auto" w:fill="auto"/>
            <w:vAlign w:val="center"/>
          </w:tcPr>
          <w:p w14:paraId="280042EE" w14:textId="078655DD" w:rsidR="002C3B6B" w:rsidRPr="002619F0" w:rsidRDefault="002C3B6B"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117.8</w:t>
            </w:r>
          </w:p>
        </w:tc>
        <w:tc>
          <w:tcPr>
            <w:tcW w:w="1057" w:type="dxa"/>
            <w:tcBorders>
              <w:bottom w:val="single" w:sz="4" w:space="0" w:color="000000" w:themeColor="text1"/>
            </w:tcBorders>
            <w:shd w:val="clear" w:color="auto" w:fill="auto"/>
            <w:vAlign w:val="center"/>
          </w:tcPr>
          <w:p w14:paraId="2D14656D" w14:textId="3E320DC1" w:rsidR="002C3B6B" w:rsidRPr="002619F0" w:rsidRDefault="002C3B6B"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112.2</w:t>
            </w:r>
          </w:p>
        </w:tc>
        <w:tc>
          <w:tcPr>
            <w:tcW w:w="5760" w:type="dxa"/>
            <w:tcBorders>
              <w:bottom w:val="single" w:sz="4" w:space="0" w:color="000000" w:themeColor="text1"/>
            </w:tcBorders>
            <w:shd w:val="clear" w:color="auto" w:fill="auto"/>
            <w:vAlign w:val="center"/>
          </w:tcPr>
          <w:p w14:paraId="5D988A7A" w14:textId="77777777" w:rsidR="002C3B6B" w:rsidRPr="002619F0" w:rsidRDefault="002C3B6B" w:rsidP="002619F0">
            <w:pPr>
              <w:spacing w:after="0" w:line="240" w:lineRule="auto"/>
              <w:rPr>
                <w:rFonts w:ascii="Arial" w:hAnsi="Arial" w:cs="Arial"/>
                <w:color w:val="000000" w:themeColor="text1"/>
                <w:sz w:val="20"/>
                <w:szCs w:val="20"/>
                <w:lang w:val="es-BO"/>
              </w:rPr>
            </w:pPr>
            <w:r w:rsidRPr="002619F0">
              <w:rPr>
                <w:rFonts w:ascii="Arial" w:hAnsi="Arial" w:cs="Arial"/>
                <w:color w:val="000000" w:themeColor="text1"/>
                <w:sz w:val="20"/>
                <w:szCs w:val="20"/>
                <w:lang w:val="es-BO"/>
              </w:rPr>
              <w:t>Estadísticas de electricidad semestrales de la ASEP</w:t>
            </w:r>
          </w:p>
          <w:p w14:paraId="0283CC96" w14:textId="643018DE" w:rsidR="00F87014" w:rsidRPr="002619F0" w:rsidRDefault="006F7AEA" w:rsidP="002619F0">
            <w:pPr>
              <w:spacing w:after="0" w:line="240" w:lineRule="auto"/>
              <w:rPr>
                <w:rFonts w:ascii="Arial" w:hAnsi="Arial" w:cs="Arial"/>
                <w:sz w:val="20"/>
                <w:szCs w:val="20"/>
                <w:lang w:val="es-ES"/>
              </w:rPr>
            </w:pPr>
            <w:r>
              <w:rPr>
                <w:rFonts w:ascii="Arial" w:hAnsi="Arial" w:cs="Arial"/>
                <w:color w:val="000000" w:themeColor="text1"/>
                <w:sz w:val="20"/>
                <w:szCs w:val="20"/>
                <w:lang w:val="es-BO"/>
              </w:rPr>
              <w:t>(R</w:t>
            </w:r>
            <w:r w:rsidR="00F87014" w:rsidRPr="002619F0">
              <w:rPr>
                <w:rFonts w:ascii="Arial" w:hAnsi="Arial" w:cs="Arial"/>
                <w:color w:val="000000" w:themeColor="text1"/>
                <w:sz w:val="20"/>
                <w:szCs w:val="20"/>
                <w:lang w:val="es-BO"/>
              </w:rPr>
              <w:t>educción estimada como resultado de la introducción de GN y ER en la matriz eléctrica del país)</w:t>
            </w:r>
            <w:r w:rsidR="008D4F0A" w:rsidRPr="002619F0">
              <w:rPr>
                <w:rFonts w:ascii="Arial" w:hAnsi="Arial" w:cs="Arial"/>
                <w:color w:val="000000" w:themeColor="text1"/>
                <w:sz w:val="20"/>
                <w:szCs w:val="20"/>
                <w:lang w:val="es-BO"/>
              </w:rPr>
              <w:t>.</w:t>
            </w:r>
          </w:p>
        </w:tc>
      </w:tr>
      <w:tr w:rsidR="00071E1C" w:rsidRPr="00CF0BED" w14:paraId="08FD50A3" w14:textId="77777777" w:rsidTr="008D4F0A">
        <w:trPr>
          <w:trHeight w:val="359"/>
        </w:trPr>
        <w:tc>
          <w:tcPr>
            <w:tcW w:w="3330" w:type="dxa"/>
            <w:tcBorders>
              <w:bottom w:val="single" w:sz="4" w:space="0" w:color="000000" w:themeColor="text1"/>
            </w:tcBorders>
            <w:shd w:val="clear" w:color="auto" w:fill="auto"/>
            <w:vAlign w:val="center"/>
          </w:tcPr>
          <w:p w14:paraId="396D58ED" w14:textId="28502FE0" w:rsidR="00071E1C" w:rsidRPr="002619F0" w:rsidRDefault="00071E1C" w:rsidP="002619F0">
            <w:pPr>
              <w:pStyle w:val="ListParagraph"/>
              <w:spacing w:after="0" w:line="240" w:lineRule="auto"/>
              <w:ind w:left="0"/>
              <w:rPr>
                <w:rFonts w:ascii="Arial" w:hAnsi="Arial" w:cs="Arial"/>
                <w:sz w:val="20"/>
                <w:szCs w:val="20"/>
                <w:lang w:val="es-BO"/>
              </w:rPr>
            </w:pPr>
            <w:r w:rsidRPr="002619F0">
              <w:rPr>
                <w:rFonts w:ascii="Arial" w:hAnsi="Arial" w:cs="Arial"/>
                <w:sz w:val="20"/>
                <w:szCs w:val="20"/>
                <w:lang w:val="es-BO"/>
              </w:rPr>
              <w:t>Energía eléctrica comercializada entre Panamá y el SIEPAC</w:t>
            </w:r>
          </w:p>
        </w:tc>
        <w:tc>
          <w:tcPr>
            <w:tcW w:w="1440" w:type="dxa"/>
            <w:tcBorders>
              <w:bottom w:val="single" w:sz="4" w:space="0" w:color="000000" w:themeColor="text1"/>
            </w:tcBorders>
            <w:shd w:val="clear" w:color="auto" w:fill="auto"/>
            <w:vAlign w:val="center"/>
          </w:tcPr>
          <w:p w14:paraId="32F93F29" w14:textId="3AB3B0D7" w:rsidR="00071E1C" w:rsidRPr="002619F0" w:rsidRDefault="00071E1C" w:rsidP="0083531C">
            <w:pPr>
              <w:spacing w:after="0" w:line="240" w:lineRule="auto"/>
              <w:jc w:val="center"/>
              <w:rPr>
                <w:rFonts w:ascii="Arial" w:hAnsi="Arial" w:cs="Arial"/>
                <w:sz w:val="20"/>
                <w:szCs w:val="20"/>
                <w:lang w:val="es-BO" w:eastAsia="zh-CN"/>
              </w:rPr>
            </w:pPr>
            <w:r w:rsidRPr="002619F0">
              <w:rPr>
                <w:rFonts w:ascii="Arial" w:hAnsi="Arial" w:cs="Arial"/>
                <w:sz w:val="20"/>
                <w:szCs w:val="20"/>
                <w:lang w:val="es-BO" w:eastAsia="zh-CN"/>
              </w:rPr>
              <w:t>GWh</w:t>
            </w:r>
          </w:p>
        </w:tc>
        <w:tc>
          <w:tcPr>
            <w:tcW w:w="1553" w:type="dxa"/>
            <w:tcBorders>
              <w:bottom w:val="single" w:sz="4" w:space="0" w:color="000000" w:themeColor="text1"/>
            </w:tcBorders>
            <w:shd w:val="clear" w:color="auto" w:fill="auto"/>
            <w:vAlign w:val="center"/>
          </w:tcPr>
          <w:p w14:paraId="1EF8D12D" w14:textId="564FD0F5" w:rsidR="00071E1C" w:rsidRPr="002619F0" w:rsidRDefault="00071E1C"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300</w:t>
            </w:r>
          </w:p>
        </w:tc>
        <w:tc>
          <w:tcPr>
            <w:tcW w:w="1057" w:type="dxa"/>
            <w:tcBorders>
              <w:bottom w:val="single" w:sz="4" w:space="0" w:color="000000" w:themeColor="text1"/>
            </w:tcBorders>
            <w:shd w:val="clear" w:color="auto" w:fill="auto"/>
            <w:vAlign w:val="center"/>
          </w:tcPr>
          <w:p w14:paraId="4A7D778D" w14:textId="1D3BE758" w:rsidR="00071E1C" w:rsidRPr="002619F0" w:rsidRDefault="00155290"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1.</w:t>
            </w:r>
            <w:r w:rsidR="00071E1C" w:rsidRPr="002619F0">
              <w:rPr>
                <w:rFonts w:ascii="Arial" w:hAnsi="Arial" w:cs="Arial"/>
                <w:sz w:val="20"/>
                <w:szCs w:val="20"/>
                <w:lang w:val="es-ES"/>
              </w:rPr>
              <w:t>500</w:t>
            </w:r>
          </w:p>
        </w:tc>
        <w:tc>
          <w:tcPr>
            <w:tcW w:w="5760" w:type="dxa"/>
            <w:tcBorders>
              <w:bottom w:val="single" w:sz="4" w:space="0" w:color="000000" w:themeColor="text1"/>
            </w:tcBorders>
            <w:shd w:val="clear" w:color="auto" w:fill="auto"/>
          </w:tcPr>
          <w:p w14:paraId="2A273499" w14:textId="5DFBA2AF" w:rsidR="00560783" w:rsidRDefault="00560783" w:rsidP="002619F0">
            <w:pPr>
              <w:spacing w:after="0" w:line="240" w:lineRule="auto"/>
              <w:rPr>
                <w:rFonts w:ascii="Arial" w:hAnsi="Arial" w:cs="Arial"/>
                <w:sz w:val="20"/>
                <w:szCs w:val="20"/>
                <w:lang w:val="es-ES"/>
              </w:rPr>
            </w:pPr>
          </w:p>
          <w:p w14:paraId="351CFE02" w14:textId="77777777" w:rsidR="00977BD7" w:rsidRDefault="00071E1C" w:rsidP="006F7AEA">
            <w:pPr>
              <w:spacing w:after="0" w:line="240" w:lineRule="auto"/>
              <w:rPr>
                <w:rFonts w:ascii="Arial" w:hAnsi="Arial" w:cs="Arial"/>
                <w:sz w:val="20"/>
                <w:szCs w:val="20"/>
                <w:lang w:val="es-ES"/>
              </w:rPr>
            </w:pPr>
            <w:r w:rsidRPr="002619F0">
              <w:rPr>
                <w:rFonts w:ascii="Arial" w:hAnsi="Arial" w:cs="Arial"/>
                <w:sz w:val="20"/>
                <w:szCs w:val="20"/>
                <w:lang w:val="es-ES"/>
              </w:rPr>
              <w:t>Informes de estadísticas sobre el sector eléctrico en Centroamérica de la CEPAL.</w:t>
            </w:r>
            <w:r w:rsidR="006F7AEA">
              <w:rPr>
                <w:rFonts w:ascii="Arial" w:hAnsi="Arial" w:cs="Arial"/>
                <w:sz w:val="20"/>
                <w:szCs w:val="20"/>
                <w:lang w:val="es-ES"/>
              </w:rPr>
              <w:t xml:space="preserve"> </w:t>
            </w:r>
          </w:p>
          <w:p w14:paraId="6B649044" w14:textId="594EC778" w:rsidR="00071E1C" w:rsidRPr="002619F0" w:rsidRDefault="006F7AEA" w:rsidP="002619F0">
            <w:pPr>
              <w:spacing w:after="0" w:line="240" w:lineRule="auto"/>
              <w:rPr>
                <w:rFonts w:ascii="Arial" w:hAnsi="Arial" w:cs="Arial"/>
                <w:sz w:val="20"/>
                <w:szCs w:val="20"/>
                <w:lang w:val="es-ES"/>
              </w:rPr>
            </w:pPr>
            <w:r>
              <w:rPr>
                <w:rFonts w:ascii="Arial" w:hAnsi="Arial" w:cs="Arial"/>
                <w:sz w:val="20"/>
                <w:szCs w:val="20"/>
                <w:lang w:val="es-ES"/>
              </w:rPr>
              <w:t>(Los valores consisten en la sumatoria de las exportaciones e importaciones de energía eléctrica entre Panamá y el SIEPAC)</w:t>
            </w:r>
          </w:p>
          <w:p w14:paraId="66774775" w14:textId="00E8507E" w:rsidR="00071E1C" w:rsidRPr="002619F0" w:rsidRDefault="00071E1C" w:rsidP="002619F0">
            <w:pPr>
              <w:spacing w:after="0" w:line="240" w:lineRule="auto"/>
              <w:rPr>
                <w:rFonts w:ascii="Arial" w:hAnsi="Arial" w:cs="Arial"/>
                <w:sz w:val="20"/>
                <w:szCs w:val="20"/>
                <w:lang w:val="es-ES_tradnl"/>
              </w:rPr>
            </w:pPr>
          </w:p>
        </w:tc>
      </w:tr>
      <w:tr w:rsidR="00071E1C" w:rsidRPr="00CF0BED" w14:paraId="37804FE4" w14:textId="77777777" w:rsidTr="008D4F0A">
        <w:trPr>
          <w:trHeight w:val="359"/>
        </w:trPr>
        <w:tc>
          <w:tcPr>
            <w:tcW w:w="3330" w:type="dxa"/>
            <w:tcBorders>
              <w:bottom w:val="single" w:sz="4" w:space="0" w:color="000000" w:themeColor="text1"/>
            </w:tcBorders>
            <w:shd w:val="clear" w:color="auto" w:fill="auto"/>
            <w:vAlign w:val="center"/>
          </w:tcPr>
          <w:p w14:paraId="63FB5D7D" w14:textId="3442C252" w:rsidR="00071E1C" w:rsidRPr="002619F0" w:rsidRDefault="00071E1C" w:rsidP="002619F0">
            <w:pPr>
              <w:pStyle w:val="ListParagraph"/>
              <w:spacing w:after="0" w:line="240" w:lineRule="auto"/>
              <w:ind w:left="0"/>
              <w:rPr>
                <w:rFonts w:ascii="Arial" w:hAnsi="Arial" w:cs="Arial"/>
                <w:sz w:val="20"/>
                <w:szCs w:val="20"/>
                <w:lang w:val="es-BO"/>
              </w:rPr>
            </w:pPr>
            <w:r w:rsidRPr="002619F0">
              <w:rPr>
                <w:rFonts w:ascii="Arial" w:hAnsi="Arial" w:cs="Arial"/>
                <w:sz w:val="20"/>
                <w:szCs w:val="20"/>
                <w:lang w:val="es-BO"/>
              </w:rPr>
              <w:t>Ahorro energético por la implementación de medidas de eficiencia energética</w:t>
            </w:r>
            <w:r w:rsidR="00B77B35" w:rsidRPr="002619F0">
              <w:rPr>
                <w:rStyle w:val="FootnoteReference"/>
                <w:rFonts w:ascii="Arial" w:hAnsi="Arial" w:cs="Arial"/>
                <w:sz w:val="20"/>
                <w:szCs w:val="20"/>
                <w:lang w:val="es-BO"/>
              </w:rPr>
              <w:footnoteReference w:id="4"/>
            </w:r>
            <w:r w:rsidRPr="002619F0">
              <w:rPr>
                <w:rFonts w:ascii="Arial" w:hAnsi="Arial" w:cs="Arial"/>
                <w:sz w:val="20"/>
                <w:szCs w:val="20"/>
                <w:lang w:val="es-BO"/>
              </w:rPr>
              <w:t xml:space="preserve">. </w:t>
            </w:r>
          </w:p>
        </w:tc>
        <w:tc>
          <w:tcPr>
            <w:tcW w:w="1440" w:type="dxa"/>
            <w:tcBorders>
              <w:bottom w:val="single" w:sz="4" w:space="0" w:color="000000" w:themeColor="text1"/>
            </w:tcBorders>
            <w:shd w:val="clear" w:color="auto" w:fill="auto"/>
            <w:vAlign w:val="center"/>
          </w:tcPr>
          <w:p w14:paraId="3D3E6DC3" w14:textId="5C6F9FBD" w:rsidR="00071E1C" w:rsidRPr="002619F0" w:rsidRDefault="00071E1C" w:rsidP="0083531C">
            <w:pPr>
              <w:spacing w:after="0" w:line="240" w:lineRule="auto"/>
              <w:jc w:val="center"/>
              <w:rPr>
                <w:rFonts w:ascii="Arial" w:hAnsi="Arial" w:cs="Arial"/>
                <w:sz w:val="20"/>
                <w:szCs w:val="20"/>
                <w:lang w:val="es-BO" w:eastAsia="zh-CN"/>
              </w:rPr>
            </w:pPr>
            <w:r w:rsidRPr="002619F0">
              <w:rPr>
                <w:rFonts w:ascii="Arial" w:hAnsi="Arial" w:cs="Arial"/>
                <w:sz w:val="20"/>
                <w:szCs w:val="20"/>
                <w:lang w:val="es-BO" w:eastAsia="zh-CN"/>
              </w:rPr>
              <w:t>GWh/año</w:t>
            </w:r>
          </w:p>
        </w:tc>
        <w:tc>
          <w:tcPr>
            <w:tcW w:w="1553" w:type="dxa"/>
            <w:tcBorders>
              <w:bottom w:val="single" w:sz="4" w:space="0" w:color="000000" w:themeColor="text1"/>
            </w:tcBorders>
            <w:shd w:val="clear" w:color="auto" w:fill="auto"/>
            <w:vAlign w:val="center"/>
          </w:tcPr>
          <w:p w14:paraId="1F059427" w14:textId="265EE884" w:rsidR="00071E1C" w:rsidRPr="002619F0" w:rsidRDefault="00071E1C"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0</w:t>
            </w:r>
          </w:p>
        </w:tc>
        <w:tc>
          <w:tcPr>
            <w:tcW w:w="1057" w:type="dxa"/>
            <w:tcBorders>
              <w:bottom w:val="single" w:sz="4" w:space="0" w:color="000000" w:themeColor="text1"/>
            </w:tcBorders>
            <w:shd w:val="clear" w:color="auto" w:fill="auto"/>
            <w:vAlign w:val="center"/>
          </w:tcPr>
          <w:p w14:paraId="34116C7E" w14:textId="5716B31A" w:rsidR="00071E1C" w:rsidRPr="002619F0" w:rsidRDefault="00071E1C"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600</w:t>
            </w:r>
          </w:p>
        </w:tc>
        <w:tc>
          <w:tcPr>
            <w:tcW w:w="5760" w:type="dxa"/>
            <w:tcBorders>
              <w:bottom w:val="single" w:sz="4" w:space="0" w:color="000000" w:themeColor="text1"/>
            </w:tcBorders>
            <w:shd w:val="clear" w:color="auto" w:fill="auto"/>
          </w:tcPr>
          <w:p w14:paraId="14D5D816" w14:textId="031EC9CE" w:rsidR="00071E1C" w:rsidRPr="002619F0" w:rsidRDefault="00071E1C" w:rsidP="002619F0">
            <w:pPr>
              <w:spacing w:after="0" w:line="240" w:lineRule="auto"/>
              <w:rPr>
                <w:rFonts w:ascii="Arial" w:hAnsi="Arial" w:cs="Arial"/>
                <w:sz w:val="20"/>
                <w:szCs w:val="20"/>
                <w:lang w:val="es-ES"/>
              </w:rPr>
            </w:pPr>
            <w:r w:rsidRPr="002619F0">
              <w:rPr>
                <w:rFonts w:ascii="Arial" w:hAnsi="Arial" w:cs="Arial"/>
                <w:sz w:val="20"/>
                <w:szCs w:val="20"/>
                <w:lang w:val="es-ES"/>
              </w:rPr>
              <w:t>Informes de cumplimiento del PEN preparado por la</w:t>
            </w:r>
            <w:r w:rsidR="0083531C">
              <w:rPr>
                <w:rFonts w:ascii="Arial" w:hAnsi="Arial" w:cs="Arial"/>
                <w:sz w:val="20"/>
                <w:szCs w:val="20"/>
                <w:lang w:val="es-ES"/>
              </w:rPr>
              <w:t xml:space="preserve"> </w:t>
            </w:r>
            <w:r w:rsidR="0083531C" w:rsidRPr="0083531C">
              <w:rPr>
                <w:rFonts w:ascii="Arial" w:hAnsi="Arial" w:cs="Arial"/>
                <w:sz w:val="20"/>
                <w:szCs w:val="20"/>
                <w:lang w:val="es-ES"/>
              </w:rPr>
              <w:t>Secretaría de Energía</w:t>
            </w:r>
            <w:r w:rsidRPr="002619F0">
              <w:rPr>
                <w:rFonts w:ascii="Arial" w:hAnsi="Arial" w:cs="Arial"/>
                <w:sz w:val="20"/>
                <w:szCs w:val="20"/>
                <w:lang w:val="es-ES"/>
              </w:rPr>
              <w:t xml:space="preserve"> SNE</w:t>
            </w:r>
            <w:r w:rsidR="008D4F0A" w:rsidRPr="002619F0">
              <w:rPr>
                <w:rFonts w:ascii="Arial" w:hAnsi="Arial" w:cs="Arial"/>
                <w:sz w:val="20"/>
                <w:szCs w:val="20"/>
                <w:lang w:val="es-ES"/>
              </w:rPr>
              <w:t>.</w:t>
            </w:r>
          </w:p>
          <w:p w14:paraId="7C392654" w14:textId="09A19279" w:rsidR="00071E1C" w:rsidRPr="002619F0" w:rsidRDefault="00071E1C" w:rsidP="002619F0">
            <w:pPr>
              <w:spacing w:after="0" w:line="240" w:lineRule="auto"/>
              <w:rPr>
                <w:rFonts w:ascii="Arial" w:hAnsi="Arial" w:cs="Arial"/>
                <w:sz w:val="20"/>
                <w:szCs w:val="20"/>
                <w:lang w:val="es-ES_tradnl"/>
              </w:rPr>
            </w:pPr>
          </w:p>
        </w:tc>
      </w:tr>
      <w:tr w:rsidR="00071E1C" w:rsidRPr="00CF0BED" w14:paraId="369DB934" w14:textId="77777777" w:rsidTr="00CD7CCF">
        <w:trPr>
          <w:trHeight w:val="368"/>
        </w:trPr>
        <w:tc>
          <w:tcPr>
            <w:tcW w:w="13140" w:type="dxa"/>
            <w:gridSpan w:val="5"/>
            <w:shd w:val="clear" w:color="auto" w:fill="C6D9F1" w:themeFill="text2" w:themeFillTint="33"/>
            <w:vAlign w:val="center"/>
          </w:tcPr>
          <w:p w14:paraId="57C4DEA1" w14:textId="5366945E" w:rsidR="00071E1C" w:rsidRPr="002619F0" w:rsidRDefault="00071E1C" w:rsidP="002619F0">
            <w:pPr>
              <w:spacing w:after="0" w:line="240" w:lineRule="auto"/>
              <w:rPr>
                <w:rFonts w:ascii="Arial" w:hAnsi="Arial" w:cs="Arial"/>
                <w:b/>
                <w:i/>
                <w:sz w:val="20"/>
                <w:szCs w:val="20"/>
                <w:lang w:val="es-ES"/>
              </w:rPr>
            </w:pPr>
            <w:r w:rsidRPr="002619F0">
              <w:rPr>
                <w:rFonts w:ascii="Arial" w:hAnsi="Arial" w:cs="Arial"/>
                <w:b/>
                <w:i/>
                <w:sz w:val="20"/>
                <w:szCs w:val="20"/>
                <w:lang w:val="es-ES"/>
              </w:rPr>
              <w:t>Capacidad institucional y regulatoria</w:t>
            </w:r>
            <w:r w:rsidR="002619F0" w:rsidRPr="002619F0">
              <w:rPr>
                <w:rFonts w:ascii="Arial" w:hAnsi="Arial" w:cs="Arial"/>
                <w:b/>
                <w:i/>
                <w:sz w:val="20"/>
                <w:szCs w:val="20"/>
                <w:lang w:val="es-ES"/>
              </w:rPr>
              <w:t xml:space="preserve"> del sector energético mejorada</w:t>
            </w:r>
          </w:p>
        </w:tc>
      </w:tr>
      <w:tr w:rsidR="00071E1C" w:rsidRPr="00CF0BED" w14:paraId="6FAC82C4" w14:textId="77777777" w:rsidTr="008D4F0A">
        <w:trPr>
          <w:trHeight w:val="341"/>
        </w:trPr>
        <w:tc>
          <w:tcPr>
            <w:tcW w:w="3330" w:type="dxa"/>
            <w:vAlign w:val="center"/>
          </w:tcPr>
          <w:p w14:paraId="5BD6DD40" w14:textId="5B49B180" w:rsidR="00071E1C" w:rsidRPr="002619F0" w:rsidRDefault="00071E1C" w:rsidP="002619F0">
            <w:pPr>
              <w:pStyle w:val="ListParagraph"/>
              <w:spacing w:after="0" w:line="240" w:lineRule="auto"/>
              <w:ind w:left="0"/>
              <w:contextualSpacing w:val="0"/>
              <w:rPr>
                <w:rFonts w:ascii="Arial" w:hAnsi="Arial" w:cs="Arial"/>
                <w:sz w:val="20"/>
                <w:szCs w:val="20"/>
                <w:lang w:val="es-BO"/>
              </w:rPr>
            </w:pPr>
            <w:r w:rsidRPr="002619F0">
              <w:rPr>
                <w:rFonts w:ascii="Arial" w:hAnsi="Arial" w:cs="Arial"/>
                <w:sz w:val="20"/>
                <w:szCs w:val="20"/>
                <w:lang w:val="es-BO"/>
              </w:rPr>
              <w:t xml:space="preserve">Contratos de </w:t>
            </w:r>
            <w:r w:rsidR="00FA6829" w:rsidRPr="002619F0">
              <w:rPr>
                <w:rFonts w:ascii="Arial" w:hAnsi="Arial" w:cs="Arial"/>
                <w:sz w:val="20"/>
                <w:szCs w:val="20"/>
                <w:lang w:val="es-BO"/>
              </w:rPr>
              <w:t xml:space="preserve">compra </w:t>
            </w:r>
            <w:r w:rsidRPr="002619F0">
              <w:rPr>
                <w:rFonts w:ascii="Arial" w:hAnsi="Arial" w:cs="Arial"/>
                <w:sz w:val="20"/>
                <w:szCs w:val="20"/>
                <w:lang w:val="es-BO"/>
              </w:rPr>
              <w:t>energía de largo plazo</w:t>
            </w:r>
            <w:r w:rsidR="00FA6829" w:rsidRPr="002619F0">
              <w:rPr>
                <w:rFonts w:ascii="Arial" w:hAnsi="Arial" w:cs="Arial"/>
                <w:sz w:val="20"/>
                <w:szCs w:val="20"/>
                <w:lang w:val="es-BO"/>
              </w:rPr>
              <w:t xml:space="preserve"> con estándares internacionales y que consideren diferentes tipos de tecnologías</w:t>
            </w:r>
            <w:r w:rsidRPr="002619F0">
              <w:rPr>
                <w:rFonts w:ascii="Arial" w:hAnsi="Arial" w:cs="Arial"/>
                <w:sz w:val="20"/>
                <w:szCs w:val="20"/>
                <w:lang w:val="es-BO"/>
              </w:rPr>
              <w:t xml:space="preserve"> firmados</w:t>
            </w:r>
            <w:r w:rsidR="00FA6829" w:rsidRPr="002619F0">
              <w:rPr>
                <w:rFonts w:ascii="Arial" w:hAnsi="Arial" w:cs="Arial"/>
                <w:sz w:val="20"/>
                <w:szCs w:val="20"/>
                <w:lang w:val="es-BO"/>
              </w:rPr>
              <w:t>.</w:t>
            </w:r>
          </w:p>
        </w:tc>
        <w:tc>
          <w:tcPr>
            <w:tcW w:w="1440" w:type="dxa"/>
            <w:vAlign w:val="center"/>
          </w:tcPr>
          <w:p w14:paraId="5CF2C687" w14:textId="77777777" w:rsidR="00071E1C" w:rsidRPr="002619F0" w:rsidRDefault="00071E1C"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Contrato</w:t>
            </w:r>
          </w:p>
        </w:tc>
        <w:tc>
          <w:tcPr>
            <w:tcW w:w="1553" w:type="dxa"/>
            <w:vAlign w:val="center"/>
          </w:tcPr>
          <w:p w14:paraId="68B7008F" w14:textId="77777777" w:rsidR="00071E1C" w:rsidRPr="002619F0" w:rsidRDefault="00071E1C"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1</w:t>
            </w:r>
          </w:p>
        </w:tc>
        <w:tc>
          <w:tcPr>
            <w:tcW w:w="1057" w:type="dxa"/>
            <w:vAlign w:val="center"/>
          </w:tcPr>
          <w:p w14:paraId="4F9D4DC8" w14:textId="77777777" w:rsidR="00071E1C" w:rsidRPr="002619F0" w:rsidRDefault="00071E1C"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2</w:t>
            </w:r>
          </w:p>
        </w:tc>
        <w:tc>
          <w:tcPr>
            <w:tcW w:w="5760" w:type="dxa"/>
            <w:vAlign w:val="center"/>
          </w:tcPr>
          <w:p w14:paraId="0D19DBBB" w14:textId="6254F7CB" w:rsidR="00071E1C" w:rsidRPr="002619F0" w:rsidRDefault="00071E1C" w:rsidP="002619F0">
            <w:pPr>
              <w:spacing w:after="0" w:line="240" w:lineRule="auto"/>
              <w:rPr>
                <w:rFonts w:ascii="Arial" w:hAnsi="Arial" w:cs="Arial"/>
                <w:sz w:val="20"/>
                <w:szCs w:val="20"/>
                <w:lang w:val="es-BO"/>
              </w:rPr>
            </w:pPr>
            <w:r w:rsidRPr="002619F0">
              <w:rPr>
                <w:rFonts w:ascii="Arial" w:hAnsi="Arial" w:cs="Arial"/>
                <w:sz w:val="20"/>
                <w:szCs w:val="20"/>
                <w:lang w:val="es-BO"/>
              </w:rPr>
              <w:t>Informe de la SNE</w:t>
            </w:r>
            <w:r w:rsidR="00DC2D52" w:rsidRPr="002619F0">
              <w:rPr>
                <w:rFonts w:ascii="Arial" w:hAnsi="Arial" w:cs="Arial"/>
                <w:sz w:val="20"/>
                <w:szCs w:val="20"/>
                <w:lang w:val="es-BO"/>
              </w:rPr>
              <w:t xml:space="preserve">.  </w:t>
            </w:r>
          </w:p>
          <w:p w14:paraId="3BB8F07F" w14:textId="77777777" w:rsidR="00FA6829" w:rsidRPr="002619F0" w:rsidRDefault="00FA6829" w:rsidP="002619F0">
            <w:pPr>
              <w:spacing w:after="0" w:line="240" w:lineRule="auto"/>
              <w:rPr>
                <w:rFonts w:ascii="Arial" w:hAnsi="Arial" w:cs="Arial"/>
                <w:sz w:val="20"/>
                <w:szCs w:val="20"/>
                <w:lang w:val="es-ES"/>
              </w:rPr>
            </w:pPr>
            <w:r w:rsidRPr="002619F0">
              <w:rPr>
                <w:rFonts w:ascii="Arial" w:hAnsi="Arial" w:cs="Arial"/>
                <w:sz w:val="20"/>
                <w:szCs w:val="20"/>
                <w:lang w:val="es-ES"/>
              </w:rPr>
              <w:t>(Constituyen contratos entre el estado y empresas generadores de energía eléctrica).</w:t>
            </w:r>
          </w:p>
          <w:p w14:paraId="6E0923BA" w14:textId="5EE1878B" w:rsidR="00071E1C" w:rsidRPr="002619F0" w:rsidRDefault="00071E1C" w:rsidP="002619F0">
            <w:pPr>
              <w:spacing w:after="0" w:line="240" w:lineRule="auto"/>
              <w:jc w:val="center"/>
              <w:rPr>
                <w:rFonts w:ascii="Arial" w:hAnsi="Arial" w:cs="Arial"/>
                <w:sz w:val="20"/>
                <w:szCs w:val="20"/>
                <w:lang w:val="es-ES"/>
              </w:rPr>
            </w:pPr>
          </w:p>
        </w:tc>
      </w:tr>
      <w:tr w:rsidR="00071E1C" w:rsidRPr="002619F0" w14:paraId="0D20266D" w14:textId="77777777" w:rsidTr="00CD7CCF">
        <w:trPr>
          <w:trHeight w:val="359"/>
        </w:trPr>
        <w:tc>
          <w:tcPr>
            <w:tcW w:w="13140" w:type="dxa"/>
            <w:gridSpan w:val="5"/>
            <w:shd w:val="clear" w:color="auto" w:fill="C6D9F1" w:themeFill="text2" w:themeFillTint="33"/>
            <w:vAlign w:val="center"/>
          </w:tcPr>
          <w:p w14:paraId="0CF0CE1F" w14:textId="5E9EC75A" w:rsidR="00071E1C" w:rsidRPr="002619F0" w:rsidRDefault="008D4F0A" w:rsidP="002619F0">
            <w:pPr>
              <w:spacing w:after="0" w:line="240" w:lineRule="auto"/>
              <w:rPr>
                <w:rFonts w:ascii="Arial" w:hAnsi="Arial" w:cs="Arial"/>
                <w:i/>
                <w:sz w:val="20"/>
                <w:szCs w:val="20"/>
                <w:lang w:val="es-BO"/>
              </w:rPr>
            </w:pPr>
            <w:r w:rsidRPr="002619F0">
              <w:rPr>
                <w:rFonts w:ascii="Arial" w:hAnsi="Arial" w:cs="Arial"/>
                <w:b/>
                <w:i/>
                <w:sz w:val="20"/>
                <w:szCs w:val="20"/>
                <w:lang w:val="es-ES"/>
              </w:rPr>
              <w:t>S</w:t>
            </w:r>
            <w:r w:rsidR="00071E1C" w:rsidRPr="002619F0">
              <w:rPr>
                <w:rFonts w:ascii="Arial" w:hAnsi="Arial" w:cs="Arial"/>
                <w:b/>
                <w:i/>
                <w:sz w:val="20"/>
                <w:szCs w:val="20"/>
                <w:lang w:val="es-ES"/>
              </w:rPr>
              <w:t>ubsidios al sector energético racionalizados</w:t>
            </w:r>
          </w:p>
        </w:tc>
      </w:tr>
      <w:tr w:rsidR="00071E1C" w:rsidRPr="00CF0BED" w14:paraId="2773FDD3" w14:textId="77777777" w:rsidTr="008D4F0A">
        <w:trPr>
          <w:trHeight w:val="359"/>
        </w:trPr>
        <w:tc>
          <w:tcPr>
            <w:tcW w:w="3330" w:type="dxa"/>
            <w:shd w:val="clear" w:color="auto" w:fill="auto"/>
            <w:vAlign w:val="center"/>
          </w:tcPr>
          <w:p w14:paraId="17AD7B17" w14:textId="2C467F2E" w:rsidR="00071E1C" w:rsidRPr="002619F0" w:rsidRDefault="00071E1C" w:rsidP="002619F0">
            <w:pPr>
              <w:pStyle w:val="ListParagraph"/>
              <w:spacing w:after="0" w:line="240" w:lineRule="auto"/>
              <w:ind w:left="0"/>
              <w:rPr>
                <w:rFonts w:ascii="Arial" w:hAnsi="Arial" w:cs="Arial"/>
                <w:sz w:val="20"/>
                <w:szCs w:val="20"/>
                <w:lang w:val="es-ES"/>
              </w:rPr>
            </w:pPr>
            <w:r w:rsidRPr="002619F0">
              <w:rPr>
                <w:rFonts w:ascii="Arial" w:hAnsi="Arial" w:cs="Arial"/>
                <w:color w:val="000000" w:themeColor="text1"/>
                <w:sz w:val="20"/>
                <w:szCs w:val="20"/>
                <w:lang w:val="es-BO"/>
              </w:rPr>
              <w:lastRenderedPageBreak/>
              <w:t>Aporte del estado en subsidios para el rango de consumo definido entre 101 kWh/mes y 300 kWh/mes (FET)</w:t>
            </w:r>
            <w:r w:rsidR="008D4F0A" w:rsidRPr="002619F0">
              <w:rPr>
                <w:rFonts w:ascii="Arial" w:hAnsi="Arial" w:cs="Arial"/>
                <w:color w:val="000000" w:themeColor="text1"/>
                <w:sz w:val="20"/>
                <w:szCs w:val="20"/>
                <w:lang w:val="es-BO"/>
              </w:rPr>
              <w:t>.</w:t>
            </w:r>
          </w:p>
        </w:tc>
        <w:tc>
          <w:tcPr>
            <w:tcW w:w="1440" w:type="dxa"/>
            <w:shd w:val="clear" w:color="auto" w:fill="auto"/>
            <w:vAlign w:val="center"/>
          </w:tcPr>
          <w:p w14:paraId="7557D773" w14:textId="689A55F6" w:rsidR="00071E1C" w:rsidRPr="002619F0" w:rsidRDefault="00071E1C" w:rsidP="002619F0">
            <w:pPr>
              <w:spacing w:after="0" w:line="240" w:lineRule="auto"/>
              <w:jc w:val="center"/>
              <w:rPr>
                <w:rFonts w:ascii="Arial" w:hAnsi="Arial" w:cs="Arial"/>
                <w:sz w:val="20"/>
                <w:szCs w:val="20"/>
                <w:lang w:val="es-ES" w:eastAsia="zh-CN"/>
              </w:rPr>
            </w:pPr>
            <w:r w:rsidRPr="002619F0">
              <w:rPr>
                <w:rFonts w:ascii="Arial" w:hAnsi="Arial" w:cs="Arial"/>
                <w:color w:val="000000" w:themeColor="text1"/>
                <w:sz w:val="20"/>
                <w:szCs w:val="20"/>
                <w:lang w:val="es-BO"/>
              </w:rPr>
              <w:t>US$ millones</w:t>
            </w:r>
          </w:p>
        </w:tc>
        <w:tc>
          <w:tcPr>
            <w:tcW w:w="1553" w:type="dxa"/>
            <w:shd w:val="clear" w:color="auto" w:fill="auto"/>
            <w:vAlign w:val="center"/>
          </w:tcPr>
          <w:p w14:paraId="45F15C86" w14:textId="03E0B6EE" w:rsidR="00071E1C" w:rsidRPr="002619F0" w:rsidRDefault="00071E1C" w:rsidP="002619F0">
            <w:pPr>
              <w:spacing w:after="0" w:line="240" w:lineRule="auto"/>
              <w:jc w:val="center"/>
              <w:rPr>
                <w:rFonts w:ascii="Arial" w:hAnsi="Arial" w:cs="Arial"/>
                <w:sz w:val="20"/>
                <w:szCs w:val="20"/>
                <w:lang w:val="es-ES"/>
              </w:rPr>
            </w:pPr>
            <w:r w:rsidRPr="002619F0">
              <w:rPr>
                <w:rFonts w:ascii="Arial" w:hAnsi="Arial" w:cs="Arial"/>
                <w:color w:val="000000" w:themeColor="text1"/>
                <w:sz w:val="20"/>
                <w:szCs w:val="20"/>
                <w:lang w:val="es-ES"/>
              </w:rPr>
              <w:t>43.3</w:t>
            </w:r>
            <w:r w:rsidRPr="002619F0">
              <w:rPr>
                <w:rStyle w:val="FootnoteReference"/>
                <w:rFonts w:ascii="Arial" w:hAnsi="Arial" w:cs="Arial"/>
                <w:color w:val="000000" w:themeColor="text1"/>
                <w:sz w:val="20"/>
                <w:szCs w:val="20"/>
                <w:lang w:val="es-ES"/>
              </w:rPr>
              <w:footnoteReference w:id="5"/>
            </w:r>
          </w:p>
        </w:tc>
        <w:tc>
          <w:tcPr>
            <w:tcW w:w="1057" w:type="dxa"/>
            <w:shd w:val="clear" w:color="auto" w:fill="auto"/>
            <w:vAlign w:val="center"/>
          </w:tcPr>
          <w:p w14:paraId="1A2BA2BB" w14:textId="4E92DA93" w:rsidR="00071E1C" w:rsidRPr="002619F0" w:rsidRDefault="00071E1C" w:rsidP="002619F0">
            <w:pPr>
              <w:spacing w:after="0" w:line="240" w:lineRule="auto"/>
              <w:jc w:val="center"/>
              <w:rPr>
                <w:rFonts w:ascii="Arial" w:hAnsi="Arial" w:cs="Arial"/>
                <w:sz w:val="20"/>
                <w:szCs w:val="20"/>
                <w:lang w:val="es-ES"/>
              </w:rPr>
            </w:pPr>
            <w:r w:rsidRPr="002619F0">
              <w:rPr>
                <w:rFonts w:ascii="Arial" w:hAnsi="Arial" w:cs="Arial"/>
                <w:color w:val="000000" w:themeColor="text1"/>
                <w:sz w:val="20"/>
                <w:szCs w:val="20"/>
                <w:lang w:val="es-ES"/>
              </w:rPr>
              <w:t>0</w:t>
            </w:r>
          </w:p>
        </w:tc>
        <w:tc>
          <w:tcPr>
            <w:tcW w:w="5760" w:type="dxa"/>
            <w:shd w:val="clear" w:color="auto" w:fill="auto"/>
            <w:vAlign w:val="center"/>
          </w:tcPr>
          <w:p w14:paraId="2705E020" w14:textId="3C9B5E03" w:rsidR="00071E1C" w:rsidRPr="002619F0" w:rsidRDefault="00071E1C" w:rsidP="002619F0">
            <w:pPr>
              <w:spacing w:after="0" w:line="240" w:lineRule="auto"/>
              <w:rPr>
                <w:rFonts w:ascii="Arial" w:hAnsi="Arial" w:cs="Arial"/>
                <w:sz w:val="20"/>
                <w:szCs w:val="20"/>
                <w:lang w:val="es-BO"/>
              </w:rPr>
            </w:pPr>
            <w:r w:rsidRPr="002619F0">
              <w:rPr>
                <w:rFonts w:ascii="Arial" w:hAnsi="Arial" w:cs="Arial"/>
                <w:color w:val="000000" w:themeColor="text1"/>
                <w:sz w:val="20"/>
                <w:szCs w:val="20"/>
                <w:lang w:val="es-BO"/>
              </w:rPr>
              <w:t xml:space="preserve">Resoluciones del Gabinete </w:t>
            </w:r>
            <w:r w:rsidR="00DC2D52" w:rsidRPr="002619F0">
              <w:rPr>
                <w:rFonts w:ascii="Arial" w:hAnsi="Arial" w:cs="Arial"/>
                <w:color w:val="000000" w:themeColor="text1"/>
                <w:sz w:val="20"/>
                <w:szCs w:val="20"/>
                <w:lang w:val="es-BO"/>
              </w:rPr>
              <w:t>(</w:t>
            </w:r>
            <w:r w:rsidRPr="002619F0">
              <w:rPr>
                <w:rFonts w:ascii="Arial" w:hAnsi="Arial" w:cs="Arial"/>
                <w:color w:val="000000" w:themeColor="text1"/>
                <w:sz w:val="20"/>
                <w:szCs w:val="20"/>
                <w:lang w:val="es-ES"/>
              </w:rPr>
              <w:t>El desmonte de los subsidios del FET entre 101 y 300 kWh/mes</w:t>
            </w:r>
            <w:r w:rsidRPr="002619F0">
              <w:rPr>
                <w:rFonts w:ascii="Arial" w:hAnsi="Arial" w:cs="Arial"/>
                <w:color w:val="000000" w:themeColor="text1"/>
                <w:sz w:val="20"/>
                <w:szCs w:val="20"/>
                <w:lang w:val="es-BO"/>
              </w:rPr>
              <w:t xml:space="preserve"> permite la focalización de subsidios en consumo de subsistencia definido por Ley en hasta 100 kWh/mes)</w:t>
            </w:r>
            <w:r w:rsidR="008D4F0A" w:rsidRPr="002619F0">
              <w:rPr>
                <w:rFonts w:ascii="Arial" w:hAnsi="Arial" w:cs="Arial"/>
                <w:color w:val="000000" w:themeColor="text1"/>
                <w:sz w:val="20"/>
                <w:szCs w:val="20"/>
                <w:lang w:val="es-BO"/>
              </w:rPr>
              <w:t>.</w:t>
            </w:r>
          </w:p>
        </w:tc>
      </w:tr>
      <w:tr w:rsidR="00071E1C" w:rsidRPr="00CF0BED" w14:paraId="74B69279" w14:textId="77777777" w:rsidTr="00CD7CCF">
        <w:trPr>
          <w:trHeight w:val="368"/>
        </w:trPr>
        <w:tc>
          <w:tcPr>
            <w:tcW w:w="13140" w:type="dxa"/>
            <w:gridSpan w:val="5"/>
            <w:shd w:val="clear" w:color="auto" w:fill="C6D9F1" w:themeFill="text2" w:themeFillTint="33"/>
          </w:tcPr>
          <w:p w14:paraId="4032B780" w14:textId="523377E1" w:rsidR="00071E1C" w:rsidRPr="002619F0" w:rsidRDefault="002619F0" w:rsidP="002619F0">
            <w:pPr>
              <w:spacing w:after="0" w:line="240" w:lineRule="auto"/>
              <w:rPr>
                <w:rFonts w:ascii="Arial" w:eastAsia="Times New Roman" w:hAnsi="Arial" w:cs="Arial"/>
                <w:b/>
                <w:sz w:val="20"/>
                <w:szCs w:val="20"/>
                <w:lang w:val="es-ES"/>
              </w:rPr>
            </w:pPr>
            <w:r w:rsidRPr="002619F0">
              <w:rPr>
                <w:rFonts w:ascii="Arial" w:eastAsia="Times New Roman" w:hAnsi="Arial" w:cs="Arial"/>
                <w:b/>
                <w:sz w:val="20"/>
                <w:szCs w:val="20"/>
                <w:lang w:val="es-ES"/>
              </w:rPr>
              <w:t xml:space="preserve">Componente 3. </w:t>
            </w:r>
            <w:r w:rsidR="00071E1C" w:rsidRPr="002619F0">
              <w:rPr>
                <w:rFonts w:ascii="Arial" w:eastAsia="Times New Roman" w:hAnsi="Arial" w:cs="Arial"/>
                <w:b/>
                <w:sz w:val="20"/>
                <w:szCs w:val="20"/>
                <w:lang w:val="es-ES"/>
              </w:rPr>
              <w:t>Desarrollo sostenible del sector de agua y saneamiento</w:t>
            </w:r>
          </w:p>
        </w:tc>
      </w:tr>
      <w:tr w:rsidR="00071E1C" w:rsidRPr="00CF0BED" w14:paraId="23460D43" w14:textId="77777777" w:rsidTr="00CD7CCF">
        <w:trPr>
          <w:trHeight w:val="368"/>
        </w:trPr>
        <w:tc>
          <w:tcPr>
            <w:tcW w:w="13140" w:type="dxa"/>
            <w:gridSpan w:val="5"/>
            <w:shd w:val="clear" w:color="auto" w:fill="C6D9F1" w:themeFill="text2" w:themeFillTint="33"/>
          </w:tcPr>
          <w:p w14:paraId="6C917518" w14:textId="608954CF" w:rsidR="00071E1C" w:rsidRPr="002619F0" w:rsidRDefault="00071E1C" w:rsidP="002619F0">
            <w:pPr>
              <w:spacing w:after="0" w:line="240" w:lineRule="auto"/>
              <w:rPr>
                <w:rFonts w:ascii="Arial" w:hAnsi="Arial" w:cs="Arial"/>
                <w:b/>
                <w:i/>
                <w:sz w:val="20"/>
                <w:szCs w:val="20"/>
                <w:lang w:val="es-CO"/>
              </w:rPr>
            </w:pPr>
            <w:r w:rsidRPr="002619F0">
              <w:rPr>
                <w:rFonts w:ascii="Arial" w:hAnsi="Arial" w:cs="Arial"/>
                <w:b/>
                <w:i/>
                <w:sz w:val="20"/>
                <w:szCs w:val="20"/>
                <w:lang w:val="es-ES"/>
              </w:rPr>
              <w:t>Capacidad institucional y regulatoria del sector de Agua y Saneamiento mejorada</w:t>
            </w:r>
          </w:p>
        </w:tc>
      </w:tr>
      <w:tr w:rsidR="00AB066A" w:rsidRPr="00CF0BED" w14:paraId="6178AF3A" w14:textId="77777777" w:rsidTr="008D4F0A">
        <w:trPr>
          <w:trHeight w:val="64"/>
        </w:trPr>
        <w:tc>
          <w:tcPr>
            <w:tcW w:w="3330" w:type="dxa"/>
            <w:vAlign w:val="center"/>
          </w:tcPr>
          <w:p w14:paraId="51777A69" w14:textId="7D36BE38" w:rsidR="00AB066A" w:rsidRPr="002619F0" w:rsidRDefault="00AB066A" w:rsidP="002619F0">
            <w:pPr>
              <w:spacing w:after="0" w:line="240" w:lineRule="auto"/>
              <w:rPr>
                <w:rFonts w:ascii="Arial" w:hAnsi="Arial" w:cs="Arial"/>
                <w:sz w:val="20"/>
                <w:szCs w:val="20"/>
                <w:lang w:val="es-ES"/>
              </w:rPr>
            </w:pPr>
            <w:r w:rsidRPr="002619F0">
              <w:rPr>
                <w:rFonts w:ascii="Arial" w:hAnsi="Arial" w:cs="Arial"/>
                <w:sz w:val="20"/>
                <w:szCs w:val="20"/>
                <w:lang w:val="es-ES"/>
              </w:rPr>
              <w:t>Hogares con acceso al servicio de agua potable en zona urbana</w:t>
            </w:r>
            <w:r w:rsidR="008D4F0A" w:rsidRPr="002619F0">
              <w:rPr>
                <w:rFonts w:ascii="Arial" w:hAnsi="Arial" w:cs="Arial"/>
                <w:sz w:val="20"/>
                <w:szCs w:val="20"/>
                <w:lang w:val="es-ES"/>
              </w:rPr>
              <w:t xml:space="preserve"> </w:t>
            </w:r>
            <w:r w:rsidRPr="002619F0">
              <w:rPr>
                <w:rFonts w:ascii="Arial" w:hAnsi="Arial" w:cs="Arial"/>
                <w:sz w:val="20"/>
                <w:szCs w:val="20"/>
                <w:lang w:val="es-ES"/>
              </w:rPr>
              <w:t>(cobertura urbana)</w:t>
            </w:r>
            <w:r w:rsidR="008D4F0A" w:rsidRPr="002619F0">
              <w:rPr>
                <w:rFonts w:ascii="Arial" w:hAnsi="Arial" w:cs="Arial"/>
                <w:sz w:val="20"/>
                <w:szCs w:val="20"/>
                <w:lang w:val="es-ES"/>
              </w:rPr>
              <w:t>.</w:t>
            </w:r>
          </w:p>
        </w:tc>
        <w:tc>
          <w:tcPr>
            <w:tcW w:w="1440" w:type="dxa"/>
            <w:vAlign w:val="center"/>
          </w:tcPr>
          <w:p w14:paraId="43524682" w14:textId="77777777"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 xml:space="preserve">Hogares </w:t>
            </w:r>
          </w:p>
          <w:p w14:paraId="6F9FFB63" w14:textId="4667CA8F"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w:t>
            </w:r>
          </w:p>
        </w:tc>
        <w:tc>
          <w:tcPr>
            <w:tcW w:w="1553" w:type="dxa"/>
            <w:vAlign w:val="center"/>
          </w:tcPr>
          <w:p w14:paraId="17A493F9" w14:textId="77777777" w:rsidR="00AB066A" w:rsidRPr="002619F0" w:rsidRDefault="00AB066A" w:rsidP="002619F0">
            <w:pPr>
              <w:spacing w:after="0" w:line="240" w:lineRule="auto"/>
              <w:ind w:left="-117" w:right="-99"/>
              <w:jc w:val="center"/>
              <w:rPr>
                <w:rFonts w:ascii="Arial" w:hAnsi="Arial" w:cs="Arial"/>
                <w:sz w:val="20"/>
                <w:szCs w:val="20"/>
                <w:lang w:val="es-ES"/>
              </w:rPr>
            </w:pPr>
            <w:r w:rsidRPr="002619F0">
              <w:rPr>
                <w:rFonts w:ascii="Arial" w:hAnsi="Arial" w:cs="Arial"/>
                <w:sz w:val="20"/>
                <w:szCs w:val="20"/>
                <w:lang w:val="es-ES"/>
              </w:rPr>
              <w:t>717.211</w:t>
            </w:r>
          </w:p>
          <w:p w14:paraId="677BFEB9" w14:textId="764B1DC9"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(98%)</w:t>
            </w:r>
          </w:p>
        </w:tc>
        <w:tc>
          <w:tcPr>
            <w:tcW w:w="1057" w:type="dxa"/>
            <w:vAlign w:val="center"/>
          </w:tcPr>
          <w:p w14:paraId="6A3B7B49" w14:textId="77777777"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810.794</w:t>
            </w:r>
          </w:p>
          <w:p w14:paraId="4C75A7E9" w14:textId="10D46FD7"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(99%)</w:t>
            </w:r>
          </w:p>
        </w:tc>
        <w:tc>
          <w:tcPr>
            <w:tcW w:w="5760" w:type="dxa"/>
            <w:vAlign w:val="center"/>
          </w:tcPr>
          <w:p w14:paraId="165DDE8A" w14:textId="40D35090" w:rsidR="00AB066A" w:rsidRPr="002619F0" w:rsidRDefault="00AB066A" w:rsidP="002619F0">
            <w:pPr>
              <w:spacing w:after="0" w:line="240" w:lineRule="auto"/>
              <w:rPr>
                <w:rFonts w:ascii="Arial" w:hAnsi="Arial" w:cs="Arial"/>
                <w:sz w:val="20"/>
                <w:szCs w:val="20"/>
                <w:lang w:val="es-ES"/>
              </w:rPr>
            </w:pPr>
            <w:r w:rsidRPr="002619F0">
              <w:rPr>
                <w:rFonts w:ascii="Arial" w:hAnsi="Arial" w:cs="Arial"/>
                <w:sz w:val="20"/>
                <w:szCs w:val="20"/>
                <w:lang w:val="es-ES"/>
              </w:rPr>
              <w:t>El Ministerio de Ambiente (MIAMBIENTE) enviará un informe con los avances del indicador.</w:t>
            </w:r>
          </w:p>
          <w:p w14:paraId="0ECCCA47" w14:textId="07BA3975" w:rsidR="00AB066A" w:rsidRPr="002619F0" w:rsidRDefault="00AB066A" w:rsidP="002619F0">
            <w:pPr>
              <w:spacing w:after="0" w:line="240" w:lineRule="auto"/>
              <w:rPr>
                <w:rFonts w:ascii="Arial" w:hAnsi="Arial" w:cs="Arial"/>
                <w:sz w:val="20"/>
                <w:szCs w:val="20"/>
                <w:lang w:val="es-ES"/>
              </w:rPr>
            </w:pPr>
            <w:r w:rsidRPr="002619F0">
              <w:rPr>
                <w:rFonts w:ascii="Arial" w:hAnsi="Arial" w:cs="Arial"/>
                <w:sz w:val="20"/>
                <w:szCs w:val="20"/>
                <w:lang w:val="es-ES"/>
              </w:rPr>
              <w:t xml:space="preserve">(Calculado en función de las proyecciones </w:t>
            </w:r>
            <w:r w:rsidR="008D4F0A" w:rsidRPr="002619F0">
              <w:rPr>
                <w:rFonts w:ascii="Arial" w:hAnsi="Arial" w:cs="Arial"/>
                <w:sz w:val="20"/>
                <w:szCs w:val="20"/>
                <w:lang w:val="es-ES"/>
              </w:rPr>
              <w:t>de población del censo del 2010</w:t>
            </w:r>
            <w:r w:rsidRPr="002619F0">
              <w:rPr>
                <w:rFonts w:ascii="Arial" w:hAnsi="Arial" w:cs="Arial"/>
                <w:sz w:val="20"/>
                <w:szCs w:val="20"/>
                <w:lang w:val="es-ES"/>
              </w:rPr>
              <w:t>)</w:t>
            </w:r>
            <w:r w:rsidR="008D4F0A" w:rsidRPr="002619F0">
              <w:rPr>
                <w:rFonts w:ascii="Arial" w:hAnsi="Arial" w:cs="Arial"/>
                <w:sz w:val="20"/>
                <w:szCs w:val="20"/>
                <w:lang w:val="es-ES"/>
              </w:rPr>
              <w:t>.</w:t>
            </w:r>
          </w:p>
        </w:tc>
      </w:tr>
      <w:tr w:rsidR="00AB066A" w:rsidRPr="00CF0BED" w14:paraId="53C0A261" w14:textId="77777777" w:rsidTr="008D4F0A">
        <w:trPr>
          <w:trHeight w:val="64"/>
        </w:trPr>
        <w:tc>
          <w:tcPr>
            <w:tcW w:w="3330" w:type="dxa"/>
            <w:vAlign w:val="center"/>
          </w:tcPr>
          <w:p w14:paraId="493CBA38" w14:textId="62D88DDF" w:rsidR="00AB066A" w:rsidRPr="002619F0" w:rsidRDefault="00AB066A" w:rsidP="002619F0">
            <w:pPr>
              <w:spacing w:after="0" w:line="240" w:lineRule="auto"/>
              <w:rPr>
                <w:rFonts w:ascii="Arial" w:hAnsi="Arial" w:cs="Arial"/>
                <w:sz w:val="20"/>
                <w:szCs w:val="20"/>
                <w:lang w:val="es-BO"/>
              </w:rPr>
            </w:pPr>
            <w:r w:rsidRPr="002619F0">
              <w:rPr>
                <w:rFonts w:ascii="Arial" w:hAnsi="Arial" w:cs="Arial"/>
                <w:sz w:val="20"/>
                <w:szCs w:val="20"/>
                <w:lang w:val="es-ES"/>
              </w:rPr>
              <w:t>Hogares con acceso al servicio de agua potable en zona rural (cobertura rural)</w:t>
            </w:r>
            <w:r w:rsidR="008D4F0A" w:rsidRPr="002619F0">
              <w:rPr>
                <w:rFonts w:ascii="Arial" w:hAnsi="Arial" w:cs="Arial"/>
                <w:sz w:val="20"/>
                <w:szCs w:val="20"/>
                <w:lang w:val="es-ES"/>
              </w:rPr>
              <w:t>.</w:t>
            </w:r>
          </w:p>
        </w:tc>
        <w:tc>
          <w:tcPr>
            <w:tcW w:w="1440" w:type="dxa"/>
            <w:vAlign w:val="center"/>
          </w:tcPr>
          <w:p w14:paraId="2592BB54" w14:textId="77777777"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 xml:space="preserve">Hogares </w:t>
            </w:r>
          </w:p>
          <w:p w14:paraId="39C0E384" w14:textId="09295D56"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w:t>
            </w:r>
          </w:p>
        </w:tc>
        <w:tc>
          <w:tcPr>
            <w:tcW w:w="1553" w:type="dxa"/>
            <w:vAlign w:val="center"/>
          </w:tcPr>
          <w:p w14:paraId="12EE5B3A" w14:textId="77777777" w:rsidR="00AB066A" w:rsidRPr="002619F0" w:rsidRDefault="00AB066A" w:rsidP="002619F0">
            <w:pPr>
              <w:spacing w:after="0" w:line="240" w:lineRule="auto"/>
              <w:ind w:left="-117" w:right="-99"/>
              <w:jc w:val="center"/>
              <w:rPr>
                <w:rFonts w:ascii="Arial" w:hAnsi="Arial" w:cs="Arial"/>
                <w:sz w:val="20"/>
                <w:szCs w:val="20"/>
                <w:lang w:val="es-ES"/>
              </w:rPr>
            </w:pPr>
            <w:r w:rsidRPr="002619F0">
              <w:rPr>
                <w:rFonts w:ascii="Arial" w:hAnsi="Arial" w:cs="Arial"/>
                <w:sz w:val="20"/>
                <w:szCs w:val="20"/>
                <w:lang w:val="es-ES"/>
              </w:rPr>
              <w:t>270.643</w:t>
            </w:r>
          </w:p>
          <w:p w14:paraId="37E50B61" w14:textId="5D2E6F46" w:rsidR="00AB066A" w:rsidRPr="002619F0" w:rsidRDefault="00AB066A" w:rsidP="002619F0">
            <w:pPr>
              <w:spacing w:after="0" w:line="240" w:lineRule="auto"/>
              <w:ind w:left="-117" w:right="-99"/>
              <w:jc w:val="center"/>
              <w:rPr>
                <w:rFonts w:ascii="Arial" w:hAnsi="Arial" w:cs="Arial"/>
                <w:sz w:val="20"/>
                <w:szCs w:val="20"/>
                <w:lang w:val="es-ES"/>
              </w:rPr>
            </w:pPr>
            <w:r w:rsidRPr="002619F0">
              <w:rPr>
                <w:rFonts w:ascii="Arial" w:hAnsi="Arial" w:cs="Arial"/>
                <w:sz w:val="20"/>
                <w:szCs w:val="20"/>
                <w:lang w:val="es-ES"/>
              </w:rPr>
              <w:t>(79%)</w:t>
            </w:r>
          </w:p>
        </w:tc>
        <w:tc>
          <w:tcPr>
            <w:tcW w:w="1057" w:type="dxa"/>
            <w:vAlign w:val="center"/>
          </w:tcPr>
          <w:p w14:paraId="596FBAE7" w14:textId="77777777"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303.631</w:t>
            </w:r>
          </w:p>
          <w:p w14:paraId="68F26C91" w14:textId="2E620E08"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(90%)</w:t>
            </w:r>
          </w:p>
        </w:tc>
        <w:tc>
          <w:tcPr>
            <w:tcW w:w="5760" w:type="dxa"/>
            <w:vAlign w:val="center"/>
          </w:tcPr>
          <w:p w14:paraId="24B29319" w14:textId="77777777" w:rsidR="00AB066A" w:rsidRPr="002619F0" w:rsidRDefault="00AB066A" w:rsidP="002619F0">
            <w:pPr>
              <w:spacing w:after="0" w:line="240" w:lineRule="auto"/>
              <w:rPr>
                <w:rFonts w:ascii="Arial" w:hAnsi="Arial" w:cs="Arial"/>
                <w:sz w:val="20"/>
                <w:szCs w:val="20"/>
                <w:lang w:val="es-ES"/>
              </w:rPr>
            </w:pPr>
            <w:r w:rsidRPr="002619F0">
              <w:rPr>
                <w:rFonts w:ascii="Arial" w:hAnsi="Arial" w:cs="Arial"/>
                <w:sz w:val="20"/>
                <w:szCs w:val="20"/>
                <w:lang w:val="es-ES"/>
              </w:rPr>
              <w:t>MIAMBIENTE enviará un informe con los avances del indicador.</w:t>
            </w:r>
          </w:p>
          <w:p w14:paraId="71C1DAAE" w14:textId="77777777" w:rsidR="00AB066A" w:rsidRPr="002619F0" w:rsidRDefault="00AB066A" w:rsidP="002619F0">
            <w:pPr>
              <w:spacing w:after="0" w:line="240" w:lineRule="auto"/>
              <w:rPr>
                <w:rFonts w:ascii="Arial" w:hAnsi="Arial" w:cs="Arial"/>
                <w:sz w:val="20"/>
                <w:szCs w:val="20"/>
                <w:lang w:val="es-ES_tradnl"/>
              </w:rPr>
            </w:pPr>
          </w:p>
          <w:p w14:paraId="0DFA3B46" w14:textId="550865F2" w:rsidR="00AB066A" w:rsidRPr="002619F0" w:rsidRDefault="00AB066A" w:rsidP="002619F0">
            <w:pPr>
              <w:spacing w:after="0" w:line="240" w:lineRule="auto"/>
              <w:rPr>
                <w:rFonts w:ascii="Arial" w:hAnsi="Arial" w:cs="Arial"/>
                <w:sz w:val="20"/>
                <w:szCs w:val="20"/>
                <w:lang w:val="es-ES"/>
              </w:rPr>
            </w:pPr>
            <w:r w:rsidRPr="002619F0">
              <w:rPr>
                <w:rFonts w:ascii="Arial" w:hAnsi="Arial" w:cs="Arial"/>
                <w:sz w:val="20"/>
                <w:szCs w:val="20"/>
                <w:lang w:val="es-ES"/>
              </w:rPr>
              <w:t>(Calculado en función de las proyecciones de población del censo del 2010)</w:t>
            </w:r>
            <w:r w:rsidR="008D4F0A" w:rsidRPr="002619F0">
              <w:rPr>
                <w:rFonts w:ascii="Arial" w:hAnsi="Arial" w:cs="Arial"/>
                <w:sz w:val="20"/>
                <w:szCs w:val="20"/>
                <w:lang w:val="es-ES"/>
              </w:rPr>
              <w:t>.</w:t>
            </w:r>
          </w:p>
        </w:tc>
      </w:tr>
      <w:tr w:rsidR="00AB066A" w:rsidRPr="00924396" w14:paraId="630C7AD0" w14:textId="77777777" w:rsidTr="008D4F0A">
        <w:trPr>
          <w:trHeight w:val="64"/>
        </w:trPr>
        <w:tc>
          <w:tcPr>
            <w:tcW w:w="3330" w:type="dxa"/>
            <w:vAlign w:val="center"/>
          </w:tcPr>
          <w:p w14:paraId="6DE72F11" w14:textId="2A4E812D" w:rsidR="00AB066A" w:rsidRPr="002619F0" w:rsidRDefault="00AB066A" w:rsidP="002619F0">
            <w:pPr>
              <w:spacing w:after="0" w:line="240" w:lineRule="auto"/>
              <w:rPr>
                <w:rFonts w:ascii="Arial" w:hAnsi="Arial" w:cs="Arial"/>
                <w:sz w:val="20"/>
                <w:szCs w:val="20"/>
                <w:lang w:val="es-ES"/>
              </w:rPr>
            </w:pPr>
            <w:r w:rsidRPr="002619F0">
              <w:rPr>
                <w:rFonts w:ascii="Arial" w:hAnsi="Arial" w:cs="Arial"/>
                <w:sz w:val="20"/>
                <w:szCs w:val="20"/>
                <w:lang w:val="es-BO"/>
              </w:rPr>
              <w:t>Hogares urbanos con conexión al servicio de alcantarillado sanitario y tratamiento (cobertura)</w:t>
            </w:r>
            <w:r w:rsidR="008D4F0A" w:rsidRPr="002619F0">
              <w:rPr>
                <w:rFonts w:ascii="Arial" w:hAnsi="Arial" w:cs="Arial"/>
                <w:sz w:val="20"/>
                <w:szCs w:val="20"/>
                <w:lang w:val="es-BO"/>
              </w:rPr>
              <w:t>.</w:t>
            </w:r>
          </w:p>
        </w:tc>
        <w:tc>
          <w:tcPr>
            <w:tcW w:w="1440" w:type="dxa"/>
            <w:vAlign w:val="center"/>
          </w:tcPr>
          <w:p w14:paraId="6215B7A9" w14:textId="77777777"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Hogares</w:t>
            </w:r>
          </w:p>
          <w:p w14:paraId="590587B3" w14:textId="7633B891"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w:t>
            </w:r>
          </w:p>
        </w:tc>
        <w:tc>
          <w:tcPr>
            <w:tcW w:w="1553" w:type="dxa"/>
            <w:vAlign w:val="center"/>
          </w:tcPr>
          <w:p w14:paraId="393C7B47" w14:textId="77777777" w:rsidR="00AB066A" w:rsidRPr="002619F0" w:rsidRDefault="00AB066A" w:rsidP="002619F0">
            <w:pPr>
              <w:spacing w:after="0" w:line="240" w:lineRule="auto"/>
              <w:ind w:left="-117" w:right="-99"/>
              <w:jc w:val="center"/>
              <w:rPr>
                <w:rFonts w:ascii="Arial" w:hAnsi="Arial" w:cs="Arial"/>
                <w:sz w:val="20"/>
                <w:szCs w:val="20"/>
                <w:lang w:val="es-ES"/>
              </w:rPr>
            </w:pPr>
            <w:r w:rsidRPr="002619F0">
              <w:rPr>
                <w:rFonts w:ascii="Arial" w:hAnsi="Arial" w:cs="Arial"/>
                <w:sz w:val="20"/>
                <w:szCs w:val="20"/>
                <w:lang w:val="es-ES"/>
              </w:rPr>
              <w:t>431.790</w:t>
            </w:r>
          </w:p>
          <w:p w14:paraId="4433C6DA" w14:textId="60521C25"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(59%)</w:t>
            </w:r>
          </w:p>
        </w:tc>
        <w:tc>
          <w:tcPr>
            <w:tcW w:w="1057" w:type="dxa"/>
            <w:vAlign w:val="center"/>
          </w:tcPr>
          <w:p w14:paraId="5B7CF976" w14:textId="77777777"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569.992</w:t>
            </w:r>
          </w:p>
          <w:p w14:paraId="3CD38A50" w14:textId="647B0BCA"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(70%)</w:t>
            </w:r>
          </w:p>
        </w:tc>
        <w:tc>
          <w:tcPr>
            <w:tcW w:w="5760" w:type="dxa"/>
            <w:vAlign w:val="center"/>
          </w:tcPr>
          <w:p w14:paraId="7AED533F" w14:textId="61C6682C" w:rsidR="00AB066A" w:rsidRPr="002619F0" w:rsidRDefault="00AB066A" w:rsidP="002619F0">
            <w:pPr>
              <w:spacing w:after="0" w:line="240" w:lineRule="auto"/>
              <w:rPr>
                <w:rFonts w:ascii="Arial" w:hAnsi="Arial" w:cs="Arial"/>
                <w:sz w:val="20"/>
                <w:szCs w:val="20"/>
                <w:lang w:val="es-ES"/>
              </w:rPr>
            </w:pPr>
            <w:r w:rsidRPr="002619F0">
              <w:rPr>
                <w:rFonts w:ascii="Arial" w:hAnsi="Arial" w:cs="Arial"/>
                <w:sz w:val="20"/>
                <w:szCs w:val="20"/>
                <w:lang w:val="es-ES"/>
              </w:rPr>
              <w:t>MIAMBIENTE</w:t>
            </w:r>
            <w:r w:rsidRPr="002619F0" w:rsidDel="00626E21">
              <w:rPr>
                <w:rFonts w:ascii="Arial" w:hAnsi="Arial" w:cs="Arial"/>
                <w:sz w:val="20"/>
                <w:szCs w:val="20"/>
                <w:lang w:val="es-ES"/>
              </w:rPr>
              <w:t xml:space="preserve"> </w:t>
            </w:r>
            <w:r w:rsidRPr="002619F0">
              <w:rPr>
                <w:rFonts w:ascii="Arial" w:hAnsi="Arial" w:cs="Arial"/>
                <w:sz w:val="20"/>
                <w:szCs w:val="20"/>
                <w:lang w:val="es-ES"/>
              </w:rPr>
              <w:t>enviará un informe con los avances del indicador.</w:t>
            </w:r>
          </w:p>
          <w:p w14:paraId="7D9F97C9" w14:textId="77777777" w:rsidR="00AB066A" w:rsidRPr="002619F0" w:rsidRDefault="00AB066A" w:rsidP="002619F0">
            <w:pPr>
              <w:spacing w:after="0" w:line="240" w:lineRule="auto"/>
              <w:rPr>
                <w:rFonts w:ascii="Arial" w:hAnsi="Arial" w:cs="Arial"/>
                <w:sz w:val="20"/>
                <w:szCs w:val="20"/>
                <w:lang w:val="es-ES_tradnl"/>
              </w:rPr>
            </w:pPr>
          </w:p>
          <w:p w14:paraId="05EFFEBE" w14:textId="5C2A6FC7" w:rsidR="00AB066A" w:rsidRPr="002619F0" w:rsidRDefault="00AB066A" w:rsidP="002619F0">
            <w:pPr>
              <w:spacing w:after="0" w:line="240" w:lineRule="auto"/>
              <w:rPr>
                <w:rFonts w:ascii="Arial" w:hAnsi="Arial" w:cs="Arial"/>
                <w:sz w:val="20"/>
                <w:szCs w:val="20"/>
                <w:lang w:val="es-BO"/>
              </w:rPr>
            </w:pPr>
            <w:r w:rsidRPr="002619F0">
              <w:rPr>
                <w:rFonts w:ascii="Arial" w:hAnsi="Arial" w:cs="Arial"/>
                <w:sz w:val="20"/>
                <w:szCs w:val="20"/>
                <w:lang w:val="es-BO"/>
              </w:rPr>
              <w:t>(</w:t>
            </w:r>
            <w:r w:rsidRPr="002619F0">
              <w:rPr>
                <w:rFonts w:ascii="Arial" w:hAnsi="Arial" w:cs="Arial"/>
                <w:sz w:val="20"/>
                <w:szCs w:val="20"/>
                <w:lang w:val="es-ES"/>
              </w:rPr>
              <w:t>Calculado en función de las proyecciones de población del censo del 2010)</w:t>
            </w:r>
            <w:r w:rsidR="008D4F0A" w:rsidRPr="002619F0">
              <w:rPr>
                <w:rFonts w:ascii="Arial" w:hAnsi="Arial" w:cs="Arial"/>
                <w:sz w:val="20"/>
                <w:szCs w:val="20"/>
                <w:lang w:val="es-ES"/>
              </w:rPr>
              <w:t>.</w:t>
            </w:r>
          </w:p>
        </w:tc>
      </w:tr>
      <w:tr w:rsidR="00AB066A" w:rsidRPr="00924396" w14:paraId="068BB440" w14:textId="77777777" w:rsidTr="008D4F0A">
        <w:trPr>
          <w:trHeight w:val="64"/>
        </w:trPr>
        <w:tc>
          <w:tcPr>
            <w:tcW w:w="3330" w:type="dxa"/>
            <w:vAlign w:val="center"/>
          </w:tcPr>
          <w:p w14:paraId="70D07BD0" w14:textId="013277CD" w:rsidR="00AB066A" w:rsidRPr="002619F0" w:rsidRDefault="00AB066A" w:rsidP="002619F0">
            <w:pPr>
              <w:pStyle w:val="ListParagraph"/>
              <w:spacing w:after="0" w:line="240" w:lineRule="auto"/>
              <w:ind w:left="0"/>
              <w:rPr>
                <w:rFonts w:ascii="Arial" w:hAnsi="Arial" w:cs="Arial"/>
                <w:sz w:val="20"/>
                <w:szCs w:val="20"/>
                <w:lang w:val="es-ES"/>
              </w:rPr>
            </w:pPr>
            <w:r w:rsidRPr="002619F0">
              <w:rPr>
                <w:rFonts w:ascii="Arial" w:hAnsi="Arial" w:cs="Arial"/>
                <w:sz w:val="20"/>
                <w:szCs w:val="20"/>
                <w:lang w:val="es-ES"/>
              </w:rPr>
              <w:t>Hogares urbanos con acceso domiciliar a agua potable mejorado</w:t>
            </w:r>
            <w:r w:rsidRPr="002619F0">
              <w:rPr>
                <w:rStyle w:val="FootnoteReference"/>
                <w:rFonts w:ascii="Arial" w:hAnsi="Arial" w:cs="Arial"/>
                <w:sz w:val="20"/>
                <w:szCs w:val="20"/>
                <w:lang w:val="es-ES"/>
              </w:rPr>
              <w:footnoteReference w:id="6"/>
            </w:r>
            <w:r w:rsidR="008D4F0A" w:rsidRPr="002619F0">
              <w:rPr>
                <w:rFonts w:ascii="Arial" w:hAnsi="Arial" w:cs="Arial"/>
                <w:sz w:val="20"/>
                <w:szCs w:val="20"/>
                <w:lang w:val="es-ES"/>
              </w:rPr>
              <w:t>.</w:t>
            </w:r>
          </w:p>
        </w:tc>
        <w:tc>
          <w:tcPr>
            <w:tcW w:w="1440" w:type="dxa"/>
            <w:vAlign w:val="center"/>
          </w:tcPr>
          <w:p w14:paraId="092ADD3E" w14:textId="306CFB6C"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Hogares</w:t>
            </w:r>
          </w:p>
        </w:tc>
        <w:tc>
          <w:tcPr>
            <w:tcW w:w="1553" w:type="dxa"/>
            <w:vAlign w:val="center"/>
          </w:tcPr>
          <w:p w14:paraId="4C763E9B" w14:textId="5FF638D2"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559.425</w:t>
            </w:r>
          </w:p>
        </w:tc>
        <w:tc>
          <w:tcPr>
            <w:tcW w:w="1057" w:type="dxa"/>
            <w:vAlign w:val="center"/>
          </w:tcPr>
          <w:p w14:paraId="6B4EF81E" w14:textId="5F80421C"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sz w:val="20"/>
                <w:szCs w:val="20"/>
                <w:lang w:val="es-ES"/>
              </w:rPr>
              <w:t>794.578</w:t>
            </w:r>
          </w:p>
        </w:tc>
        <w:tc>
          <w:tcPr>
            <w:tcW w:w="5760" w:type="dxa"/>
            <w:vAlign w:val="center"/>
          </w:tcPr>
          <w:p w14:paraId="791E3AF5" w14:textId="4910DA08" w:rsidR="00AB066A" w:rsidRPr="002619F0" w:rsidRDefault="00AB066A" w:rsidP="002619F0">
            <w:pPr>
              <w:spacing w:after="0" w:line="240" w:lineRule="auto"/>
              <w:rPr>
                <w:rFonts w:ascii="Arial" w:hAnsi="Arial" w:cs="Arial"/>
                <w:sz w:val="20"/>
                <w:szCs w:val="20"/>
                <w:lang w:val="es-ES"/>
              </w:rPr>
            </w:pPr>
            <w:r w:rsidRPr="002619F0">
              <w:rPr>
                <w:rFonts w:ascii="Arial" w:hAnsi="Arial" w:cs="Arial"/>
                <w:sz w:val="20"/>
                <w:szCs w:val="20"/>
                <w:lang w:val="es-ES"/>
              </w:rPr>
              <w:t>MIAMBIENTE enviará un informe con los avances del indicador.</w:t>
            </w:r>
          </w:p>
          <w:p w14:paraId="1D19EC52" w14:textId="7E97C598" w:rsidR="00AB066A" w:rsidRPr="002619F0" w:rsidRDefault="00AB066A" w:rsidP="002619F0">
            <w:pPr>
              <w:spacing w:after="0" w:line="240" w:lineRule="auto"/>
              <w:rPr>
                <w:rFonts w:ascii="Arial" w:hAnsi="Arial" w:cs="Arial"/>
                <w:sz w:val="20"/>
                <w:szCs w:val="20"/>
                <w:lang w:val="es-ES"/>
              </w:rPr>
            </w:pPr>
            <w:r w:rsidRPr="002619F0">
              <w:rPr>
                <w:rFonts w:ascii="Arial" w:hAnsi="Arial" w:cs="Arial"/>
                <w:sz w:val="20"/>
                <w:szCs w:val="20"/>
                <w:lang w:val="es-ES"/>
              </w:rPr>
              <w:t>(Calculado en función de las proyecciones de población del censo del 2010)</w:t>
            </w:r>
            <w:r w:rsidR="008D4F0A" w:rsidRPr="002619F0">
              <w:rPr>
                <w:rFonts w:ascii="Arial" w:hAnsi="Arial" w:cs="Arial"/>
                <w:sz w:val="20"/>
                <w:szCs w:val="20"/>
                <w:lang w:val="es-ES"/>
              </w:rPr>
              <w:t>.</w:t>
            </w:r>
          </w:p>
        </w:tc>
      </w:tr>
      <w:tr w:rsidR="00AB066A" w:rsidRPr="00924396" w14:paraId="348F83BD" w14:textId="77777777" w:rsidTr="008D4F0A">
        <w:trPr>
          <w:trHeight w:val="64"/>
        </w:trPr>
        <w:tc>
          <w:tcPr>
            <w:tcW w:w="3330" w:type="dxa"/>
            <w:vAlign w:val="center"/>
          </w:tcPr>
          <w:p w14:paraId="388EA00A" w14:textId="49E94EB5" w:rsidR="00AB066A" w:rsidRPr="002619F0" w:rsidRDefault="00AB066A" w:rsidP="002619F0">
            <w:pPr>
              <w:pStyle w:val="ListParagraph"/>
              <w:spacing w:after="0" w:line="240" w:lineRule="auto"/>
              <w:ind w:left="0"/>
              <w:rPr>
                <w:rFonts w:ascii="Arial" w:hAnsi="Arial" w:cs="Arial"/>
                <w:sz w:val="20"/>
                <w:szCs w:val="20"/>
                <w:lang w:val="es-ES"/>
              </w:rPr>
            </w:pPr>
            <w:r w:rsidRPr="002619F0">
              <w:rPr>
                <w:rFonts w:ascii="Arial" w:hAnsi="Arial" w:cs="Arial"/>
                <w:color w:val="000000" w:themeColor="text1"/>
                <w:sz w:val="20"/>
                <w:szCs w:val="20"/>
                <w:lang w:val="es-ES"/>
              </w:rPr>
              <w:t>Entidades sectoriales (MIAMBIENTE, MINSA, MIDA, ACP, ASEP, MEF, Ministerio de la Presidencia e IDAAN) coordinadas</w:t>
            </w:r>
            <w:r w:rsidRPr="002619F0">
              <w:rPr>
                <w:rStyle w:val="FootnoteReference"/>
                <w:rFonts w:ascii="Arial" w:hAnsi="Arial" w:cs="Arial"/>
                <w:color w:val="000000" w:themeColor="text1"/>
                <w:sz w:val="20"/>
                <w:szCs w:val="20"/>
                <w:lang w:val="es-ES"/>
              </w:rPr>
              <w:footnoteReference w:id="7"/>
            </w:r>
            <w:r w:rsidR="008D4F0A" w:rsidRPr="002619F0">
              <w:rPr>
                <w:rFonts w:ascii="Arial" w:hAnsi="Arial" w:cs="Arial"/>
                <w:color w:val="000000" w:themeColor="text1"/>
                <w:sz w:val="20"/>
                <w:szCs w:val="20"/>
                <w:lang w:val="es-ES"/>
              </w:rPr>
              <w:t>.</w:t>
            </w:r>
          </w:p>
        </w:tc>
        <w:tc>
          <w:tcPr>
            <w:tcW w:w="1440" w:type="dxa"/>
            <w:vAlign w:val="center"/>
          </w:tcPr>
          <w:p w14:paraId="529E8097" w14:textId="181A94C8"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color w:val="000000" w:themeColor="text1"/>
                <w:sz w:val="20"/>
                <w:szCs w:val="20"/>
                <w:lang w:val="es-ES"/>
              </w:rPr>
              <w:t>Entidad</w:t>
            </w:r>
          </w:p>
        </w:tc>
        <w:tc>
          <w:tcPr>
            <w:tcW w:w="1553" w:type="dxa"/>
            <w:vAlign w:val="center"/>
          </w:tcPr>
          <w:p w14:paraId="25B7FC58" w14:textId="4ECA79A6"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color w:val="000000" w:themeColor="text1"/>
                <w:sz w:val="20"/>
                <w:szCs w:val="20"/>
                <w:lang w:val="es-ES"/>
              </w:rPr>
              <w:t>0</w:t>
            </w:r>
          </w:p>
        </w:tc>
        <w:tc>
          <w:tcPr>
            <w:tcW w:w="1057" w:type="dxa"/>
            <w:vAlign w:val="center"/>
          </w:tcPr>
          <w:p w14:paraId="4638E63A" w14:textId="1D2C85A0"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color w:val="000000" w:themeColor="text1"/>
                <w:sz w:val="20"/>
                <w:szCs w:val="20"/>
                <w:lang w:val="es-ES"/>
              </w:rPr>
              <w:t>8</w:t>
            </w:r>
          </w:p>
        </w:tc>
        <w:tc>
          <w:tcPr>
            <w:tcW w:w="5760" w:type="dxa"/>
          </w:tcPr>
          <w:p w14:paraId="7498A6FB" w14:textId="20DF532C" w:rsidR="00AB066A" w:rsidRPr="002619F0" w:rsidRDefault="00AB066A" w:rsidP="002619F0">
            <w:pPr>
              <w:spacing w:after="0" w:line="240" w:lineRule="auto"/>
              <w:rPr>
                <w:rFonts w:ascii="Arial" w:hAnsi="Arial" w:cs="Arial"/>
                <w:color w:val="000000"/>
                <w:sz w:val="20"/>
                <w:szCs w:val="20"/>
                <w:lang w:val="es-ES"/>
              </w:rPr>
            </w:pPr>
            <w:r w:rsidRPr="002619F0">
              <w:rPr>
                <w:rFonts w:ascii="Arial" w:hAnsi="Arial" w:cs="Arial"/>
                <w:color w:val="000000"/>
                <w:sz w:val="20"/>
                <w:szCs w:val="20"/>
                <w:lang w:val="es-ES"/>
              </w:rPr>
              <w:t>Publicación en la Gaceta Oficial de la Resolución Ministerial que crea la estructura técnico administrativa de la Secretaría Técnica dentro de MIAMBIENTE y partidas presupuestarias para su funcionamiento.</w:t>
            </w:r>
          </w:p>
          <w:p w14:paraId="328691B5" w14:textId="77777777" w:rsidR="00AB066A" w:rsidRPr="002619F0" w:rsidRDefault="00AB066A" w:rsidP="002619F0">
            <w:pPr>
              <w:spacing w:after="0" w:line="240" w:lineRule="auto"/>
              <w:rPr>
                <w:rFonts w:ascii="Arial" w:hAnsi="Arial" w:cs="Arial"/>
                <w:color w:val="000000"/>
                <w:sz w:val="20"/>
                <w:szCs w:val="20"/>
                <w:lang w:val="es-ES_tradnl"/>
              </w:rPr>
            </w:pPr>
          </w:p>
          <w:p w14:paraId="62781A22" w14:textId="269B0899" w:rsidR="00AB066A" w:rsidRPr="002619F0" w:rsidRDefault="00AB066A" w:rsidP="002619F0">
            <w:pPr>
              <w:spacing w:after="0" w:line="240" w:lineRule="auto"/>
              <w:rPr>
                <w:rFonts w:ascii="Arial" w:hAnsi="Arial" w:cs="Arial"/>
                <w:sz w:val="20"/>
                <w:szCs w:val="20"/>
                <w:lang w:val="es-ES"/>
              </w:rPr>
            </w:pPr>
            <w:r w:rsidRPr="002619F0">
              <w:rPr>
                <w:rFonts w:ascii="Arial" w:hAnsi="Arial" w:cs="Arial"/>
                <w:sz w:val="20"/>
                <w:szCs w:val="20"/>
                <w:lang w:val="es-ES"/>
              </w:rPr>
              <w:t>Se considera que las entidades mencionadas están coordinadas cuando CONAGUA esté funcionando bajo el Decreto que aprueba el Plan Nacional de Seguridad Hídrica y establece el Consejo Nacional de Agua y la Secretaría Técnica.</w:t>
            </w:r>
          </w:p>
        </w:tc>
      </w:tr>
      <w:tr w:rsidR="00AB066A" w:rsidRPr="00924396" w14:paraId="0B3E6D22" w14:textId="77777777" w:rsidTr="008D4F0A">
        <w:trPr>
          <w:trHeight w:val="64"/>
        </w:trPr>
        <w:tc>
          <w:tcPr>
            <w:tcW w:w="3330" w:type="dxa"/>
            <w:vAlign w:val="center"/>
          </w:tcPr>
          <w:p w14:paraId="49DD0A37" w14:textId="519AE7F0" w:rsidR="00AB066A" w:rsidRPr="002619F0" w:rsidRDefault="00AB066A" w:rsidP="002619F0">
            <w:pPr>
              <w:pStyle w:val="ListParagraph"/>
              <w:spacing w:after="0" w:line="240" w:lineRule="auto"/>
              <w:ind w:left="0"/>
              <w:rPr>
                <w:rFonts w:ascii="Arial" w:hAnsi="Arial" w:cs="Arial"/>
                <w:sz w:val="20"/>
                <w:szCs w:val="20"/>
                <w:lang w:val="es-ES"/>
              </w:rPr>
            </w:pPr>
            <w:r w:rsidRPr="002619F0">
              <w:rPr>
                <w:rFonts w:ascii="Arial" w:hAnsi="Arial" w:cs="Arial"/>
                <w:color w:val="000000" w:themeColor="text1"/>
                <w:sz w:val="20"/>
                <w:szCs w:val="20"/>
                <w:lang w:val="es-ES"/>
              </w:rPr>
              <w:lastRenderedPageBreak/>
              <w:t>Empresa Pública de Saneamiento creada</w:t>
            </w:r>
            <w:r w:rsidR="008D4F0A" w:rsidRPr="002619F0">
              <w:rPr>
                <w:rFonts w:ascii="Arial" w:hAnsi="Arial" w:cs="Arial"/>
                <w:color w:val="000000" w:themeColor="text1"/>
                <w:sz w:val="20"/>
                <w:szCs w:val="20"/>
                <w:lang w:val="es-ES"/>
              </w:rPr>
              <w:t>.</w:t>
            </w:r>
            <w:r w:rsidRPr="002619F0">
              <w:rPr>
                <w:rFonts w:ascii="Arial" w:hAnsi="Arial" w:cs="Arial"/>
                <w:color w:val="000000" w:themeColor="text1"/>
                <w:sz w:val="20"/>
                <w:szCs w:val="20"/>
                <w:lang w:val="es-ES"/>
              </w:rPr>
              <w:t xml:space="preserve"> </w:t>
            </w:r>
          </w:p>
        </w:tc>
        <w:tc>
          <w:tcPr>
            <w:tcW w:w="1440" w:type="dxa"/>
            <w:vAlign w:val="center"/>
          </w:tcPr>
          <w:p w14:paraId="3FDDA98F" w14:textId="0108ADC7"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color w:val="000000" w:themeColor="text1"/>
                <w:sz w:val="20"/>
                <w:szCs w:val="20"/>
                <w:lang w:val="es-ES"/>
              </w:rPr>
              <w:t>Empresa</w:t>
            </w:r>
          </w:p>
        </w:tc>
        <w:tc>
          <w:tcPr>
            <w:tcW w:w="1553" w:type="dxa"/>
            <w:vAlign w:val="center"/>
          </w:tcPr>
          <w:p w14:paraId="35BEBB07" w14:textId="1D113C66"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color w:val="000000" w:themeColor="text1"/>
                <w:sz w:val="20"/>
                <w:szCs w:val="20"/>
                <w:lang w:val="es-ES"/>
              </w:rPr>
              <w:t>0</w:t>
            </w:r>
          </w:p>
        </w:tc>
        <w:tc>
          <w:tcPr>
            <w:tcW w:w="1057" w:type="dxa"/>
            <w:vAlign w:val="center"/>
          </w:tcPr>
          <w:p w14:paraId="0313F0B5" w14:textId="4E04E35B" w:rsidR="00AB066A" w:rsidRPr="002619F0" w:rsidRDefault="00AB066A" w:rsidP="002619F0">
            <w:pPr>
              <w:spacing w:after="0" w:line="240" w:lineRule="auto"/>
              <w:jc w:val="center"/>
              <w:rPr>
                <w:rFonts w:ascii="Arial" w:hAnsi="Arial" w:cs="Arial"/>
                <w:sz w:val="20"/>
                <w:szCs w:val="20"/>
                <w:lang w:val="es-ES"/>
              </w:rPr>
            </w:pPr>
            <w:r w:rsidRPr="002619F0">
              <w:rPr>
                <w:rFonts w:ascii="Arial" w:hAnsi="Arial" w:cs="Arial"/>
                <w:color w:val="000000" w:themeColor="text1"/>
                <w:sz w:val="20"/>
                <w:szCs w:val="20"/>
                <w:lang w:val="es-ES"/>
              </w:rPr>
              <w:t>1</w:t>
            </w:r>
          </w:p>
        </w:tc>
        <w:tc>
          <w:tcPr>
            <w:tcW w:w="5760" w:type="dxa"/>
          </w:tcPr>
          <w:p w14:paraId="12275D99" w14:textId="5475B5B5" w:rsidR="00AB066A" w:rsidRPr="002619F0" w:rsidRDefault="00AB066A" w:rsidP="002619F0">
            <w:pPr>
              <w:spacing w:after="0" w:line="240" w:lineRule="auto"/>
              <w:rPr>
                <w:rFonts w:ascii="Arial" w:hAnsi="Arial" w:cs="Arial"/>
                <w:sz w:val="20"/>
                <w:szCs w:val="20"/>
                <w:lang w:val="es-BO"/>
              </w:rPr>
            </w:pPr>
            <w:r w:rsidRPr="002619F0">
              <w:rPr>
                <w:rFonts w:ascii="Arial" w:hAnsi="Arial" w:cs="Arial"/>
                <w:color w:val="000000"/>
                <w:sz w:val="20"/>
                <w:szCs w:val="20"/>
                <w:lang w:val="es-ES"/>
              </w:rPr>
              <w:t>Publicación en Gaceta Oficial de la Ley para la creación de la Empresa Pública de Saneamiento</w:t>
            </w:r>
            <w:r w:rsidR="008D4F0A" w:rsidRPr="002619F0">
              <w:rPr>
                <w:rFonts w:ascii="Arial" w:hAnsi="Arial" w:cs="Arial"/>
                <w:color w:val="000000"/>
                <w:sz w:val="20"/>
                <w:szCs w:val="20"/>
                <w:lang w:val="es-ES"/>
              </w:rPr>
              <w:t>.</w:t>
            </w:r>
          </w:p>
        </w:tc>
      </w:tr>
      <w:bookmarkEnd w:id="0"/>
    </w:tbl>
    <w:p w14:paraId="00BDA708" w14:textId="16F929CE" w:rsidR="008D4F0A" w:rsidRPr="002619F0" w:rsidRDefault="008D4F0A" w:rsidP="002619F0">
      <w:pPr>
        <w:autoSpaceDE w:val="0"/>
        <w:autoSpaceDN w:val="0"/>
        <w:adjustRightInd w:val="0"/>
        <w:spacing w:after="0" w:line="240" w:lineRule="auto"/>
        <w:jc w:val="center"/>
        <w:rPr>
          <w:rFonts w:ascii="Arial" w:hAnsi="Arial" w:cs="Arial"/>
          <w:b/>
          <w:smallCaps/>
          <w:color w:val="000000"/>
          <w:sz w:val="20"/>
          <w:szCs w:val="20"/>
          <w:lang w:val="es-CR"/>
        </w:rPr>
      </w:pPr>
    </w:p>
    <w:p w14:paraId="0F53A54D" w14:textId="60FD364A" w:rsidR="003A228F" w:rsidRPr="002619F0" w:rsidRDefault="008D4F0A" w:rsidP="000555DF">
      <w:pPr>
        <w:spacing w:after="0" w:line="240" w:lineRule="auto"/>
        <w:rPr>
          <w:rFonts w:ascii="Arial" w:hAnsi="Arial" w:cs="Arial"/>
          <w:b/>
          <w:smallCaps/>
          <w:color w:val="000000"/>
          <w:sz w:val="20"/>
          <w:szCs w:val="20"/>
          <w:lang w:val="es-CR"/>
        </w:rPr>
      </w:pPr>
      <w:r w:rsidRPr="002619F0">
        <w:rPr>
          <w:rFonts w:ascii="Arial" w:hAnsi="Arial" w:cs="Arial"/>
          <w:b/>
          <w:smallCaps/>
          <w:color w:val="000000"/>
          <w:sz w:val="20"/>
          <w:szCs w:val="20"/>
          <w:lang w:val="es-CR"/>
        </w:rPr>
        <w:br w:type="page"/>
      </w:r>
    </w:p>
    <w:tbl>
      <w:tblPr>
        <w:tblW w:w="5298" w:type="pct"/>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60"/>
        <w:gridCol w:w="2009"/>
        <w:gridCol w:w="1350"/>
        <w:gridCol w:w="1262"/>
        <w:gridCol w:w="897"/>
        <w:gridCol w:w="899"/>
        <w:gridCol w:w="936"/>
        <w:gridCol w:w="2846"/>
      </w:tblGrid>
      <w:tr w:rsidR="00270AD2" w:rsidRPr="0018212C" w14:paraId="326D3019" w14:textId="77777777" w:rsidTr="000555DF">
        <w:trPr>
          <w:trHeight w:val="1070"/>
        </w:trPr>
        <w:tc>
          <w:tcPr>
            <w:tcW w:w="1840" w:type="pct"/>
            <w:gridSpan w:val="2"/>
            <w:shd w:val="clear" w:color="auto" w:fill="D9D9D9" w:themeFill="background1" w:themeFillShade="D9"/>
            <w:vAlign w:val="center"/>
          </w:tcPr>
          <w:p w14:paraId="57D70B8D" w14:textId="77777777" w:rsidR="00A37E6F" w:rsidRPr="0018212C" w:rsidRDefault="00A37E6F" w:rsidP="002619F0">
            <w:pPr>
              <w:spacing w:after="0" w:line="240" w:lineRule="auto"/>
              <w:jc w:val="center"/>
              <w:rPr>
                <w:rFonts w:ascii="Arial" w:hAnsi="Arial" w:cs="Arial"/>
                <w:b/>
                <w:sz w:val="20"/>
                <w:szCs w:val="20"/>
                <w:lang w:val="es-CR"/>
              </w:rPr>
            </w:pPr>
            <w:bookmarkStart w:id="2" w:name="_Hlk484019653"/>
            <w:r w:rsidRPr="0018212C">
              <w:rPr>
                <w:rFonts w:ascii="Arial" w:hAnsi="Arial" w:cs="Arial"/>
                <w:b/>
                <w:sz w:val="20"/>
                <w:szCs w:val="20"/>
                <w:lang w:val="es-CR"/>
              </w:rPr>
              <w:lastRenderedPageBreak/>
              <w:t>Indicador de Producto</w:t>
            </w:r>
          </w:p>
        </w:tc>
        <w:tc>
          <w:tcPr>
            <w:tcW w:w="521" w:type="pct"/>
            <w:shd w:val="clear" w:color="auto" w:fill="D9D9D9" w:themeFill="background1" w:themeFillShade="D9"/>
            <w:vAlign w:val="center"/>
          </w:tcPr>
          <w:p w14:paraId="6FE2F620" w14:textId="46AE0535" w:rsidR="00A37E6F" w:rsidRPr="0018212C" w:rsidRDefault="00A37E6F" w:rsidP="002619F0">
            <w:pPr>
              <w:spacing w:after="0" w:line="240" w:lineRule="auto"/>
              <w:jc w:val="center"/>
              <w:rPr>
                <w:rFonts w:ascii="Arial" w:hAnsi="Arial" w:cs="Arial"/>
                <w:b/>
                <w:sz w:val="20"/>
                <w:szCs w:val="20"/>
                <w:lang w:val="es-CR"/>
              </w:rPr>
            </w:pPr>
            <w:r w:rsidRPr="0018212C">
              <w:rPr>
                <w:rFonts w:ascii="Arial" w:hAnsi="Arial" w:cs="Arial"/>
                <w:b/>
                <w:sz w:val="20"/>
                <w:szCs w:val="20"/>
                <w:lang w:val="es-CR"/>
              </w:rPr>
              <w:t>Unidad de medida</w:t>
            </w:r>
          </w:p>
        </w:tc>
        <w:tc>
          <w:tcPr>
            <w:tcW w:w="487" w:type="pct"/>
            <w:shd w:val="clear" w:color="auto" w:fill="D9D9D9" w:themeFill="background1" w:themeFillShade="D9"/>
            <w:vAlign w:val="center"/>
          </w:tcPr>
          <w:p w14:paraId="7109204F" w14:textId="77777777" w:rsidR="00A37E6F" w:rsidRPr="0018212C" w:rsidRDefault="00A37E6F" w:rsidP="002619F0">
            <w:pPr>
              <w:spacing w:after="0" w:line="240" w:lineRule="auto"/>
              <w:jc w:val="center"/>
              <w:rPr>
                <w:rFonts w:ascii="Arial" w:hAnsi="Arial" w:cs="Arial"/>
                <w:b/>
                <w:sz w:val="20"/>
                <w:szCs w:val="20"/>
                <w:lang w:val="es-CR"/>
              </w:rPr>
            </w:pPr>
            <w:r w:rsidRPr="0018212C">
              <w:rPr>
                <w:rFonts w:ascii="Arial" w:hAnsi="Arial" w:cs="Arial"/>
                <w:b/>
                <w:sz w:val="20"/>
                <w:szCs w:val="20"/>
                <w:lang w:val="es-CR"/>
              </w:rPr>
              <w:t>Línea de base</w:t>
            </w:r>
          </w:p>
          <w:p w14:paraId="06296C1E" w14:textId="77777777" w:rsidR="00A37E6F" w:rsidRPr="0018212C" w:rsidRDefault="00A37E6F" w:rsidP="002619F0">
            <w:pPr>
              <w:spacing w:after="0" w:line="240" w:lineRule="auto"/>
              <w:ind w:left="-79"/>
              <w:jc w:val="center"/>
              <w:rPr>
                <w:rFonts w:ascii="Arial" w:hAnsi="Arial" w:cs="Arial"/>
                <w:b/>
                <w:sz w:val="20"/>
                <w:szCs w:val="20"/>
                <w:lang w:val="es-CR"/>
              </w:rPr>
            </w:pPr>
            <w:r w:rsidRPr="0018212C">
              <w:rPr>
                <w:rFonts w:ascii="Arial" w:hAnsi="Arial" w:cs="Arial"/>
                <w:b/>
                <w:sz w:val="20"/>
                <w:szCs w:val="20"/>
                <w:lang w:val="es-CR"/>
              </w:rPr>
              <w:t>2016</w:t>
            </w:r>
          </w:p>
          <w:p w14:paraId="7E256049" w14:textId="77777777" w:rsidR="00A37E6F" w:rsidRPr="0018212C" w:rsidRDefault="00A37E6F" w:rsidP="002619F0">
            <w:pPr>
              <w:spacing w:after="0" w:line="240" w:lineRule="auto"/>
              <w:jc w:val="center"/>
              <w:rPr>
                <w:rFonts w:ascii="Arial" w:hAnsi="Arial" w:cs="Arial"/>
                <w:b/>
                <w:sz w:val="20"/>
                <w:szCs w:val="20"/>
                <w:lang w:val="es-CR"/>
              </w:rPr>
            </w:pPr>
          </w:p>
        </w:tc>
        <w:tc>
          <w:tcPr>
            <w:tcW w:w="346" w:type="pct"/>
            <w:shd w:val="clear" w:color="auto" w:fill="D9D9D9" w:themeFill="background1" w:themeFillShade="D9"/>
            <w:vAlign w:val="center"/>
          </w:tcPr>
          <w:p w14:paraId="7AEBC2DB" w14:textId="77777777" w:rsidR="00A37E6F" w:rsidRPr="0018212C" w:rsidRDefault="00A37E6F" w:rsidP="002619F0">
            <w:pPr>
              <w:spacing w:after="0" w:line="240" w:lineRule="auto"/>
              <w:jc w:val="center"/>
              <w:rPr>
                <w:rFonts w:ascii="Arial" w:hAnsi="Arial" w:cs="Arial"/>
                <w:b/>
                <w:sz w:val="20"/>
                <w:szCs w:val="20"/>
                <w:lang w:val="es-CR"/>
              </w:rPr>
            </w:pPr>
            <w:r w:rsidRPr="0018212C">
              <w:rPr>
                <w:rFonts w:ascii="Arial" w:hAnsi="Arial" w:cs="Arial"/>
                <w:b/>
                <w:sz w:val="20"/>
                <w:szCs w:val="20"/>
                <w:lang w:val="es-CR"/>
              </w:rPr>
              <w:t>Meta</w:t>
            </w:r>
          </w:p>
          <w:p w14:paraId="419F52F4" w14:textId="141B96D9" w:rsidR="00A37E6F" w:rsidRPr="0018212C" w:rsidRDefault="00A37E6F" w:rsidP="002619F0">
            <w:pPr>
              <w:spacing w:after="0" w:line="240" w:lineRule="auto"/>
              <w:jc w:val="center"/>
              <w:rPr>
                <w:rFonts w:ascii="Arial" w:hAnsi="Arial" w:cs="Arial"/>
                <w:b/>
                <w:sz w:val="20"/>
                <w:szCs w:val="20"/>
                <w:lang w:val="es-CR"/>
              </w:rPr>
            </w:pPr>
            <w:r w:rsidRPr="0018212C">
              <w:rPr>
                <w:rFonts w:ascii="Arial" w:hAnsi="Arial" w:cs="Arial"/>
                <w:b/>
                <w:sz w:val="20"/>
                <w:szCs w:val="20"/>
                <w:lang w:val="es-CR"/>
              </w:rPr>
              <w:t>1ra Operación</w:t>
            </w:r>
          </w:p>
        </w:tc>
        <w:tc>
          <w:tcPr>
            <w:tcW w:w="347" w:type="pct"/>
            <w:shd w:val="clear" w:color="auto" w:fill="D9D9D9" w:themeFill="background1" w:themeFillShade="D9"/>
            <w:vAlign w:val="center"/>
          </w:tcPr>
          <w:p w14:paraId="183E3D2D" w14:textId="3E26B87C" w:rsidR="00A37E6F" w:rsidRPr="0018212C" w:rsidRDefault="00A37E6F" w:rsidP="002619F0">
            <w:pPr>
              <w:spacing w:after="0" w:line="240" w:lineRule="auto"/>
              <w:jc w:val="center"/>
              <w:rPr>
                <w:rFonts w:ascii="Arial" w:hAnsi="Arial" w:cs="Arial"/>
                <w:b/>
                <w:sz w:val="20"/>
                <w:szCs w:val="20"/>
                <w:lang w:val="es-CR"/>
              </w:rPr>
            </w:pPr>
            <w:r w:rsidRPr="0018212C">
              <w:rPr>
                <w:rFonts w:ascii="Arial" w:hAnsi="Arial" w:cs="Arial"/>
                <w:b/>
                <w:sz w:val="20"/>
                <w:szCs w:val="20"/>
                <w:lang w:val="es-CR"/>
              </w:rPr>
              <w:t>Meta 2da Operación</w:t>
            </w:r>
          </w:p>
        </w:tc>
        <w:tc>
          <w:tcPr>
            <w:tcW w:w="361" w:type="pct"/>
            <w:shd w:val="clear" w:color="auto" w:fill="D9D9D9" w:themeFill="background1" w:themeFillShade="D9"/>
          </w:tcPr>
          <w:p w14:paraId="5A8B3D90" w14:textId="77777777" w:rsidR="00A37E6F" w:rsidRPr="0018212C" w:rsidRDefault="00A37E6F" w:rsidP="002619F0">
            <w:pPr>
              <w:spacing w:after="0" w:line="240" w:lineRule="auto"/>
              <w:jc w:val="center"/>
              <w:rPr>
                <w:rFonts w:ascii="Arial" w:hAnsi="Arial" w:cs="Arial"/>
                <w:b/>
                <w:sz w:val="20"/>
                <w:szCs w:val="20"/>
                <w:lang w:val="es-CR"/>
              </w:rPr>
            </w:pPr>
          </w:p>
        </w:tc>
        <w:tc>
          <w:tcPr>
            <w:tcW w:w="1098" w:type="pct"/>
            <w:shd w:val="clear" w:color="auto" w:fill="D9D9D9" w:themeFill="background1" w:themeFillShade="D9"/>
            <w:vAlign w:val="center"/>
          </w:tcPr>
          <w:p w14:paraId="2AC566C8" w14:textId="08AFC7A8" w:rsidR="00A37E6F" w:rsidRPr="0018212C" w:rsidRDefault="00A37E6F" w:rsidP="002619F0">
            <w:pPr>
              <w:spacing w:after="0" w:line="240" w:lineRule="auto"/>
              <w:jc w:val="center"/>
              <w:rPr>
                <w:rFonts w:ascii="Arial" w:hAnsi="Arial" w:cs="Arial"/>
                <w:b/>
                <w:sz w:val="20"/>
                <w:szCs w:val="20"/>
                <w:lang w:val="es-CR"/>
              </w:rPr>
            </w:pPr>
            <w:r w:rsidRPr="0018212C">
              <w:rPr>
                <w:rFonts w:ascii="Arial" w:hAnsi="Arial" w:cs="Arial"/>
                <w:b/>
                <w:sz w:val="20"/>
                <w:szCs w:val="20"/>
                <w:lang w:val="es-CR"/>
              </w:rPr>
              <w:t xml:space="preserve">Medios de verificación </w:t>
            </w:r>
          </w:p>
          <w:p w14:paraId="26BD955B" w14:textId="2CD71F36" w:rsidR="00A37E6F" w:rsidRPr="0018212C" w:rsidRDefault="00A37E6F" w:rsidP="002619F0">
            <w:pPr>
              <w:spacing w:after="0" w:line="240" w:lineRule="auto"/>
              <w:jc w:val="center"/>
              <w:rPr>
                <w:rFonts w:ascii="Arial" w:hAnsi="Arial" w:cs="Arial"/>
                <w:b/>
                <w:sz w:val="20"/>
                <w:szCs w:val="20"/>
                <w:lang w:val="es-CR"/>
              </w:rPr>
            </w:pPr>
          </w:p>
        </w:tc>
      </w:tr>
      <w:tr w:rsidR="00270AD2" w:rsidRPr="00924396" w14:paraId="5A98FE88" w14:textId="77777777" w:rsidTr="000555DF">
        <w:trPr>
          <w:trHeight w:val="332"/>
        </w:trPr>
        <w:tc>
          <w:tcPr>
            <w:tcW w:w="5000" w:type="pct"/>
            <w:gridSpan w:val="8"/>
            <w:shd w:val="clear" w:color="auto" w:fill="C6D9F1" w:themeFill="text2" w:themeFillTint="33"/>
          </w:tcPr>
          <w:p w14:paraId="21DB0A0C" w14:textId="6D18A31A" w:rsidR="00270AD2" w:rsidRPr="0018212C" w:rsidRDefault="00270AD2">
            <w:pPr>
              <w:spacing w:after="0" w:line="240" w:lineRule="auto"/>
              <w:jc w:val="both"/>
              <w:rPr>
                <w:rFonts w:ascii="Arial" w:hAnsi="Arial" w:cs="Arial"/>
                <w:b/>
                <w:i/>
                <w:sz w:val="20"/>
                <w:szCs w:val="20"/>
                <w:lang w:val="es-BO"/>
              </w:rPr>
            </w:pPr>
            <w:r w:rsidRPr="0018212C">
              <w:rPr>
                <w:rFonts w:ascii="Arial" w:eastAsia="Times New Roman" w:hAnsi="Arial" w:cs="Arial"/>
                <w:b/>
                <w:sz w:val="20"/>
                <w:szCs w:val="20"/>
                <w:lang w:val="es-ES"/>
              </w:rPr>
              <w:t>Componente 2.  Desarrollo Sostenible del Sector Energético</w:t>
            </w:r>
          </w:p>
        </w:tc>
      </w:tr>
      <w:tr w:rsidR="00270AD2" w:rsidRPr="00924396" w14:paraId="4A167316" w14:textId="77777777" w:rsidTr="000555DF">
        <w:trPr>
          <w:trHeight w:val="269"/>
        </w:trPr>
        <w:tc>
          <w:tcPr>
            <w:tcW w:w="5000" w:type="pct"/>
            <w:gridSpan w:val="8"/>
            <w:shd w:val="clear" w:color="auto" w:fill="C6D9F1" w:themeFill="text2" w:themeFillTint="33"/>
          </w:tcPr>
          <w:p w14:paraId="3A697B40" w14:textId="76BE841B" w:rsidR="00270AD2" w:rsidRPr="0018212C" w:rsidRDefault="00270AD2">
            <w:pPr>
              <w:spacing w:after="0" w:line="240" w:lineRule="auto"/>
              <w:rPr>
                <w:rFonts w:ascii="Arial" w:hAnsi="Arial" w:cs="Arial"/>
                <w:b/>
                <w:i/>
                <w:sz w:val="20"/>
                <w:szCs w:val="20"/>
                <w:lang w:val="es-ES"/>
              </w:rPr>
            </w:pPr>
            <w:r w:rsidRPr="0018212C">
              <w:rPr>
                <w:rFonts w:ascii="Arial" w:hAnsi="Arial" w:cs="Arial"/>
                <w:b/>
                <w:i/>
                <w:sz w:val="20"/>
                <w:szCs w:val="20"/>
                <w:lang w:val="es-ES"/>
              </w:rPr>
              <w:t>Subcomponente 2.1</w:t>
            </w:r>
            <w:r w:rsidRPr="0018212C">
              <w:rPr>
                <w:rFonts w:ascii="Arial" w:eastAsia="Times New Roman" w:hAnsi="Arial" w:cs="Arial"/>
                <w:b/>
                <w:sz w:val="20"/>
                <w:szCs w:val="20"/>
                <w:lang w:val="es-ES"/>
              </w:rPr>
              <w:t xml:space="preserve"> </w:t>
            </w:r>
            <w:r w:rsidRPr="0018212C">
              <w:rPr>
                <w:rFonts w:ascii="Arial" w:hAnsi="Arial" w:cs="Arial"/>
                <w:b/>
                <w:i/>
                <w:sz w:val="20"/>
                <w:szCs w:val="20"/>
                <w:lang w:val="es-ES"/>
              </w:rPr>
              <w:t>Desarrollo de una matriz energética sostenible</w:t>
            </w:r>
          </w:p>
        </w:tc>
      </w:tr>
      <w:tr w:rsidR="00270AD2" w:rsidRPr="00924396" w14:paraId="29BE74F8" w14:textId="77777777" w:rsidTr="000555DF">
        <w:trPr>
          <w:trHeight w:val="2006"/>
        </w:trPr>
        <w:tc>
          <w:tcPr>
            <w:tcW w:w="184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49E9AF" w14:textId="2463984C" w:rsidR="00A37E6F" w:rsidRPr="0018212C" w:rsidRDefault="00270AD2" w:rsidP="000555DF">
            <w:pPr>
              <w:tabs>
                <w:tab w:val="left" w:pos="1340"/>
              </w:tabs>
              <w:jc w:val="both"/>
              <w:rPr>
                <w:rFonts w:ascii="Arial" w:hAnsi="Arial" w:cs="Arial"/>
                <w:sz w:val="20"/>
                <w:szCs w:val="20"/>
                <w:lang w:val="es-ES"/>
              </w:rPr>
            </w:pPr>
            <w:r w:rsidRPr="00270AD2">
              <w:rPr>
                <w:rFonts w:ascii="Arial" w:hAnsi="Arial" w:cs="Arial"/>
                <w:sz w:val="20"/>
                <w:szCs w:val="20"/>
                <w:lang w:val="es-ES"/>
              </w:rPr>
              <w:t>Anteproyecto de Ley de Gas Natural (GN) que establece el marco regulatorio para la importación, regasificación, almacenamiento, exportación, transporte por gasoducto, distribución por redes, y el transporte y distribución virtual de GN, presentado por la Secretaria Nacional de Energía (SNE) al Consejo de Gabinete.</w:t>
            </w:r>
          </w:p>
        </w:tc>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96BE7B" w14:textId="66080302" w:rsidR="00A37E6F" w:rsidRPr="0018212C" w:rsidRDefault="00A37E6F" w:rsidP="009B61EF">
            <w:pPr>
              <w:spacing w:after="0" w:line="240" w:lineRule="auto"/>
              <w:jc w:val="center"/>
              <w:rPr>
                <w:rFonts w:ascii="Arial" w:hAnsi="Arial" w:cs="Arial"/>
                <w:sz w:val="20"/>
                <w:szCs w:val="20"/>
                <w:lang w:val="es-BO"/>
              </w:rPr>
            </w:pPr>
            <w:r w:rsidRPr="0018212C">
              <w:rPr>
                <w:rFonts w:ascii="Arial" w:hAnsi="Arial" w:cs="Arial"/>
                <w:sz w:val="20"/>
                <w:szCs w:val="20"/>
                <w:lang w:val="es-BO"/>
              </w:rPr>
              <w:t>Anteproyecto</w:t>
            </w:r>
          </w:p>
        </w:tc>
        <w:tc>
          <w:tcPr>
            <w:tcW w:w="48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1661B5" w14:textId="417B1BC0" w:rsidR="00A37E6F" w:rsidRPr="0018212C" w:rsidRDefault="00A37E6F" w:rsidP="009B61EF">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AF1B3E" w14:textId="49095EE7" w:rsidR="00A37E6F" w:rsidRPr="0018212C" w:rsidRDefault="00A37E6F" w:rsidP="009B61EF">
            <w:pPr>
              <w:spacing w:after="0" w:line="240" w:lineRule="auto"/>
              <w:jc w:val="center"/>
              <w:rPr>
                <w:rFonts w:ascii="Arial" w:hAnsi="Arial" w:cs="Arial"/>
                <w:sz w:val="20"/>
                <w:szCs w:val="20"/>
                <w:lang w:val="es-BO"/>
              </w:rPr>
            </w:pPr>
            <w:r w:rsidRPr="0018212C">
              <w:rPr>
                <w:rFonts w:ascii="Arial" w:hAnsi="Arial" w:cs="Arial"/>
                <w:sz w:val="20"/>
                <w:szCs w:val="20"/>
                <w:lang w:val="es-BO"/>
              </w:rPr>
              <w:t>1</w:t>
            </w: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B50617" w14:textId="49CE1D7E" w:rsidR="00A37E6F" w:rsidRPr="0018212C" w:rsidRDefault="00A37E6F" w:rsidP="009B61EF">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D9E95D" w14:textId="77777777" w:rsidR="00A37E6F" w:rsidRPr="0018212C" w:rsidRDefault="00A37E6F" w:rsidP="009B61EF">
            <w:pPr>
              <w:spacing w:after="0" w:line="240" w:lineRule="auto"/>
              <w:rPr>
                <w:rFonts w:ascii="Arial" w:hAnsi="Arial" w:cs="Arial"/>
                <w:sz w:val="20"/>
                <w:szCs w:val="20"/>
                <w:lang w:val="es-ES"/>
              </w:rPr>
            </w:pPr>
          </w:p>
        </w:tc>
        <w:tc>
          <w:tcPr>
            <w:tcW w:w="10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B7A833" w14:textId="1BD64F8A" w:rsidR="00A37E6F" w:rsidRPr="0018212C" w:rsidRDefault="00A37E6F" w:rsidP="009B61EF">
            <w:pPr>
              <w:spacing w:after="0" w:line="240" w:lineRule="auto"/>
              <w:rPr>
                <w:rFonts w:ascii="Arial" w:hAnsi="Arial" w:cs="Arial"/>
                <w:sz w:val="20"/>
                <w:szCs w:val="20"/>
                <w:lang w:val="es-BO"/>
              </w:rPr>
            </w:pPr>
            <w:r w:rsidRPr="000555DF">
              <w:rPr>
                <w:rFonts w:ascii="Arial" w:hAnsi="Arial" w:cs="Arial"/>
                <w:sz w:val="20"/>
                <w:szCs w:val="20"/>
                <w:lang w:val="es-ES"/>
              </w:rPr>
              <w:t xml:space="preserve">Comunicación oficial de la Secretaría de Energía (SNE) de presentación del anteproyecto de Ley de GN, al Consejo de Gabinete de Ministros. </w:t>
            </w:r>
          </w:p>
        </w:tc>
      </w:tr>
      <w:tr w:rsidR="00270AD2" w:rsidRPr="00924396" w14:paraId="668025B3" w14:textId="77777777" w:rsidTr="000555DF">
        <w:trPr>
          <w:trHeight w:val="872"/>
        </w:trPr>
        <w:tc>
          <w:tcPr>
            <w:tcW w:w="184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9A0C4A" w14:textId="1A11D840" w:rsidR="00A37E6F" w:rsidRPr="0018212C" w:rsidRDefault="00A37E6F" w:rsidP="009B61EF">
            <w:pPr>
              <w:spacing w:after="0" w:line="240" w:lineRule="auto"/>
              <w:jc w:val="both"/>
              <w:rPr>
                <w:rFonts w:ascii="Arial" w:hAnsi="Arial" w:cs="Arial"/>
                <w:sz w:val="20"/>
                <w:szCs w:val="20"/>
                <w:lang w:val="es-ES"/>
              </w:rPr>
            </w:pPr>
            <w:r w:rsidRPr="000555DF">
              <w:rPr>
                <w:rFonts w:ascii="Arial" w:hAnsi="Arial" w:cs="Arial"/>
                <w:sz w:val="20"/>
                <w:szCs w:val="20"/>
                <w:lang w:val="es-ES"/>
              </w:rPr>
              <w:t>Propuesta de Plan de Acción Nacional para el Fortalecimiento Institucional en Eficiencia Energética (EE), preparada por la SNE, y que establezca lineamientos institucionales, legales, regulatorios y de financiamiento, orientados a reducir el consumo de energía en los diferentes sectores del país.</w:t>
            </w:r>
            <w:r w:rsidRPr="000555DF" w:rsidDel="00067F27">
              <w:rPr>
                <w:rFonts w:ascii="Arial" w:hAnsi="Arial" w:cs="Arial"/>
                <w:sz w:val="20"/>
                <w:szCs w:val="20"/>
                <w:lang w:val="es-ES"/>
              </w:rPr>
              <w:t xml:space="preserve"> </w:t>
            </w:r>
          </w:p>
        </w:tc>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D61D37" w14:textId="39A1C606" w:rsidR="00A37E6F" w:rsidRPr="0018212C" w:rsidRDefault="00A37E6F" w:rsidP="009B61EF">
            <w:pPr>
              <w:spacing w:after="0" w:line="240" w:lineRule="auto"/>
              <w:jc w:val="center"/>
              <w:rPr>
                <w:rFonts w:ascii="Arial" w:hAnsi="Arial" w:cs="Arial"/>
                <w:sz w:val="20"/>
                <w:szCs w:val="20"/>
                <w:lang w:val="es-ES"/>
              </w:rPr>
            </w:pPr>
            <w:r w:rsidRPr="0018212C">
              <w:rPr>
                <w:rFonts w:ascii="Arial" w:hAnsi="Arial" w:cs="Arial"/>
                <w:sz w:val="20"/>
                <w:szCs w:val="20"/>
                <w:lang w:val="es-BO"/>
              </w:rPr>
              <w:t>Propuesta</w:t>
            </w:r>
          </w:p>
        </w:tc>
        <w:tc>
          <w:tcPr>
            <w:tcW w:w="48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2BB8DE" w14:textId="74F69FC0" w:rsidR="00A37E6F" w:rsidRPr="0018212C" w:rsidRDefault="00A37E6F" w:rsidP="009B61EF">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602072" w14:textId="2EB4A45C" w:rsidR="00A37E6F" w:rsidRPr="0018212C" w:rsidRDefault="00A37E6F" w:rsidP="009B61EF">
            <w:pPr>
              <w:spacing w:after="0" w:line="240" w:lineRule="auto"/>
              <w:jc w:val="center"/>
              <w:rPr>
                <w:rFonts w:ascii="Arial" w:hAnsi="Arial" w:cs="Arial"/>
                <w:sz w:val="20"/>
                <w:szCs w:val="20"/>
                <w:lang w:val="es-BO"/>
              </w:rPr>
            </w:pPr>
            <w:r w:rsidRPr="0018212C">
              <w:rPr>
                <w:rFonts w:ascii="Arial" w:hAnsi="Arial" w:cs="Arial"/>
                <w:sz w:val="20"/>
                <w:szCs w:val="20"/>
                <w:lang w:val="es-BO"/>
              </w:rPr>
              <w:t>1</w:t>
            </w: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C9A2BD" w14:textId="667CA185" w:rsidR="00A37E6F" w:rsidRPr="0018212C" w:rsidRDefault="00A37E6F" w:rsidP="009B61EF">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32CEE2" w14:textId="77777777" w:rsidR="00A37E6F" w:rsidRPr="0018212C" w:rsidRDefault="00A37E6F" w:rsidP="009B61EF">
            <w:pPr>
              <w:spacing w:after="0" w:line="240" w:lineRule="auto"/>
              <w:rPr>
                <w:rFonts w:ascii="Arial" w:hAnsi="Arial" w:cs="Arial"/>
                <w:sz w:val="20"/>
                <w:szCs w:val="20"/>
                <w:lang w:val="es-ES"/>
              </w:rPr>
            </w:pPr>
          </w:p>
        </w:tc>
        <w:tc>
          <w:tcPr>
            <w:tcW w:w="10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74E0A9" w14:textId="0E36A58E" w:rsidR="00A37E6F" w:rsidRPr="0018212C" w:rsidRDefault="00A37E6F" w:rsidP="009B61EF">
            <w:pPr>
              <w:spacing w:after="0" w:line="240" w:lineRule="auto"/>
              <w:rPr>
                <w:rFonts w:ascii="Arial" w:hAnsi="Arial" w:cs="Arial"/>
                <w:sz w:val="20"/>
                <w:szCs w:val="20"/>
                <w:lang w:val="es-BO"/>
              </w:rPr>
            </w:pPr>
            <w:r w:rsidRPr="000555DF">
              <w:rPr>
                <w:rFonts w:ascii="Arial" w:hAnsi="Arial" w:cs="Arial"/>
                <w:sz w:val="20"/>
                <w:szCs w:val="20"/>
                <w:lang w:val="es-ES"/>
              </w:rPr>
              <w:t>Comunicación de la SNE, donde aprueba la propuesta de Plan de Acción Nacional para el fortalecimiento institucional en EE.</w:t>
            </w:r>
          </w:p>
        </w:tc>
      </w:tr>
      <w:tr w:rsidR="00270AD2" w:rsidRPr="00924396" w14:paraId="308CF89E" w14:textId="77777777" w:rsidTr="000555DF">
        <w:trPr>
          <w:trHeight w:val="467"/>
        </w:trPr>
        <w:tc>
          <w:tcPr>
            <w:tcW w:w="184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3343DB" w14:textId="6179F61A" w:rsidR="00A37E6F" w:rsidRPr="0018212C" w:rsidRDefault="00270AD2" w:rsidP="009B61EF">
            <w:pPr>
              <w:tabs>
                <w:tab w:val="left" w:pos="354"/>
              </w:tabs>
              <w:spacing w:after="0" w:line="240" w:lineRule="auto"/>
              <w:jc w:val="both"/>
              <w:rPr>
                <w:rFonts w:ascii="Arial" w:hAnsi="Arial" w:cs="Arial"/>
                <w:sz w:val="20"/>
                <w:szCs w:val="20"/>
                <w:lang w:val="es-ES"/>
              </w:rPr>
            </w:pPr>
            <w:r w:rsidRPr="00270AD2">
              <w:rPr>
                <w:rFonts w:ascii="Arial" w:hAnsi="Arial" w:cs="Arial"/>
                <w:sz w:val="20"/>
                <w:szCs w:val="20"/>
                <w:lang w:val="es-ES"/>
              </w:rPr>
              <w:t>Reglamento Técnico en materia de EE en el uso de aires acondicionados, aprobado por el Ministerio de Comercio e Industrias, y guía de construcción sostenible para el ahorro de energía en edificaciones, aprobada por la SNE.</w:t>
            </w:r>
          </w:p>
        </w:tc>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BEFDC1" w14:textId="1EE32228" w:rsidR="00A37E6F" w:rsidRPr="0018212C" w:rsidRDefault="00A37E6F" w:rsidP="009B61EF">
            <w:pPr>
              <w:spacing w:after="0" w:line="240" w:lineRule="auto"/>
              <w:jc w:val="center"/>
              <w:rPr>
                <w:rFonts w:ascii="Arial" w:hAnsi="Arial" w:cs="Arial"/>
                <w:sz w:val="20"/>
                <w:szCs w:val="20"/>
                <w:lang w:val="es-BO"/>
              </w:rPr>
            </w:pPr>
            <w:r w:rsidRPr="0018212C">
              <w:rPr>
                <w:rFonts w:ascii="Arial" w:hAnsi="Arial" w:cs="Arial"/>
                <w:sz w:val="20"/>
                <w:szCs w:val="20"/>
                <w:lang w:val="es-BO"/>
              </w:rPr>
              <w:t>Reglamento</w:t>
            </w:r>
          </w:p>
        </w:tc>
        <w:tc>
          <w:tcPr>
            <w:tcW w:w="48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199CBF" w14:textId="05BCEACC" w:rsidR="00A37E6F" w:rsidRPr="0018212C" w:rsidRDefault="00A37E6F" w:rsidP="009B61EF">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9F17BE" w14:textId="526A1615" w:rsidR="00A37E6F" w:rsidRPr="0018212C" w:rsidRDefault="00A37E6F" w:rsidP="009B61EF">
            <w:pPr>
              <w:spacing w:after="0" w:line="240" w:lineRule="auto"/>
              <w:jc w:val="center"/>
              <w:rPr>
                <w:rFonts w:ascii="Arial" w:hAnsi="Arial" w:cs="Arial"/>
                <w:sz w:val="20"/>
                <w:szCs w:val="20"/>
                <w:lang w:val="es-BO"/>
              </w:rPr>
            </w:pPr>
            <w:r w:rsidRPr="0018212C">
              <w:rPr>
                <w:rFonts w:ascii="Arial" w:hAnsi="Arial" w:cs="Arial"/>
                <w:sz w:val="20"/>
                <w:szCs w:val="20"/>
                <w:lang w:val="es-BO"/>
              </w:rPr>
              <w:t>1</w:t>
            </w: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5E8B05" w14:textId="4A923AC4" w:rsidR="00A37E6F" w:rsidRPr="0018212C" w:rsidRDefault="00A37E6F" w:rsidP="009B61EF">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E4C39C" w14:textId="77777777" w:rsidR="00A37E6F" w:rsidRPr="0018212C" w:rsidRDefault="00A37E6F" w:rsidP="009B61EF">
            <w:pPr>
              <w:spacing w:beforeLines="60" w:before="144"/>
              <w:jc w:val="both"/>
              <w:rPr>
                <w:rFonts w:ascii="Arial" w:hAnsi="Arial" w:cs="Arial"/>
                <w:sz w:val="20"/>
                <w:szCs w:val="20"/>
                <w:lang w:val="es-ES"/>
              </w:rPr>
            </w:pPr>
          </w:p>
        </w:tc>
        <w:tc>
          <w:tcPr>
            <w:tcW w:w="10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3772A2" w14:textId="37078C66" w:rsidR="00A37E6F" w:rsidRPr="000555DF" w:rsidRDefault="00A37E6F" w:rsidP="009B61EF">
            <w:pPr>
              <w:spacing w:beforeLines="60" w:before="144"/>
              <w:jc w:val="both"/>
              <w:rPr>
                <w:rFonts w:ascii="Arial" w:hAnsi="Arial" w:cs="Arial"/>
                <w:sz w:val="20"/>
                <w:szCs w:val="20"/>
                <w:lang w:val="es-ES"/>
              </w:rPr>
            </w:pPr>
            <w:r w:rsidRPr="000555DF">
              <w:rPr>
                <w:rFonts w:ascii="Arial" w:hAnsi="Arial" w:cs="Arial"/>
                <w:sz w:val="20"/>
                <w:szCs w:val="20"/>
                <w:lang w:val="es-ES"/>
              </w:rPr>
              <w:t xml:space="preserve">Publicación en la Gaceta Oficial del Reglamento Técnico de la Dirección General de Normas y Tecnología Industrial estableciendo disposiciones de EE en aires acondicionados. </w:t>
            </w:r>
          </w:p>
          <w:p w14:paraId="3D082518" w14:textId="5AFDFE6A" w:rsidR="00A37E6F" w:rsidRPr="0018212C" w:rsidRDefault="00A37E6F" w:rsidP="009B61EF">
            <w:pPr>
              <w:spacing w:after="0" w:line="240" w:lineRule="auto"/>
              <w:rPr>
                <w:rFonts w:ascii="Arial" w:hAnsi="Arial" w:cs="Arial"/>
                <w:sz w:val="20"/>
                <w:szCs w:val="20"/>
                <w:lang w:val="es-BO"/>
              </w:rPr>
            </w:pPr>
            <w:r w:rsidRPr="000555DF">
              <w:rPr>
                <w:rFonts w:ascii="Arial" w:hAnsi="Arial" w:cs="Arial"/>
                <w:sz w:val="20"/>
                <w:szCs w:val="20"/>
                <w:lang w:val="es-ES"/>
              </w:rPr>
              <w:t>Publicación en la Gaceta Oficial de la Guía de Construcción Sostenible para el Ahorro de Energía en Edificaciones.</w:t>
            </w:r>
          </w:p>
        </w:tc>
      </w:tr>
      <w:tr w:rsidR="00270AD2" w:rsidRPr="0018212C" w14:paraId="4AC6FAAD" w14:textId="77777777" w:rsidTr="000555DF">
        <w:trPr>
          <w:trHeight w:val="467"/>
        </w:trPr>
        <w:tc>
          <w:tcPr>
            <w:tcW w:w="1840" w:type="pct"/>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1B86F6" w14:textId="0C7F081A" w:rsidR="00A37E6F" w:rsidRPr="000555DF" w:rsidRDefault="00A37E6F" w:rsidP="009B61EF">
            <w:pPr>
              <w:tabs>
                <w:tab w:val="left" w:pos="354"/>
              </w:tabs>
              <w:spacing w:after="0" w:line="240" w:lineRule="auto"/>
              <w:jc w:val="both"/>
              <w:rPr>
                <w:rFonts w:ascii="Arial" w:hAnsi="Arial" w:cs="Arial"/>
                <w:sz w:val="20"/>
                <w:szCs w:val="20"/>
                <w:lang w:val="es-ES"/>
              </w:rPr>
            </w:pPr>
            <w:r w:rsidRPr="0018212C">
              <w:rPr>
                <w:rFonts w:ascii="Arial" w:hAnsi="Arial" w:cs="Arial"/>
                <w:sz w:val="20"/>
                <w:szCs w:val="20"/>
                <w:lang w:val="es-ES"/>
              </w:rPr>
              <w:lastRenderedPageBreak/>
              <w:t xml:space="preserve">Refuerzos del Sistema Nacional de Transmisión (SNT) en </w:t>
            </w:r>
            <w:r w:rsidR="000555DF">
              <w:rPr>
                <w:rFonts w:ascii="Arial" w:hAnsi="Arial" w:cs="Arial"/>
                <w:sz w:val="20"/>
                <w:szCs w:val="20"/>
                <w:lang w:val="es-ES"/>
              </w:rPr>
              <w:t>el</w:t>
            </w:r>
            <w:r w:rsidRPr="0018212C">
              <w:rPr>
                <w:rFonts w:ascii="Arial" w:hAnsi="Arial" w:cs="Arial"/>
                <w:sz w:val="20"/>
                <w:szCs w:val="20"/>
                <w:lang w:val="es-ES"/>
              </w:rPr>
              <w:t xml:space="preserve"> Tramo Veladero-Llano</w:t>
            </w:r>
            <w:r w:rsidR="00AC46C6">
              <w:rPr>
                <w:rFonts w:ascii="Arial" w:hAnsi="Arial" w:cs="Arial"/>
                <w:sz w:val="20"/>
                <w:szCs w:val="20"/>
                <w:lang w:val="es-ES"/>
              </w:rPr>
              <w:t xml:space="preserve"> Sanchez</w:t>
            </w:r>
            <w:r w:rsidRPr="0018212C">
              <w:rPr>
                <w:rFonts w:ascii="Arial" w:hAnsi="Arial" w:cs="Arial"/>
                <w:sz w:val="20"/>
                <w:szCs w:val="20"/>
                <w:lang w:val="es-ES"/>
              </w:rPr>
              <w:t xml:space="preserve"> coincidente con el SIEPAC, que mejoran los intercambios regionales, completados por la Empresa Estatal de Transmisión Eléctrica (ETESA).</w:t>
            </w:r>
          </w:p>
        </w:tc>
        <w:tc>
          <w:tcPr>
            <w:tcW w:w="52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153687" w14:textId="3118E439" w:rsidR="00A37E6F" w:rsidRPr="000555DF" w:rsidRDefault="00A37E6F" w:rsidP="009B61EF">
            <w:pPr>
              <w:spacing w:after="0" w:line="240" w:lineRule="auto"/>
              <w:jc w:val="center"/>
              <w:rPr>
                <w:rFonts w:ascii="Arial" w:hAnsi="Arial" w:cs="Arial"/>
                <w:sz w:val="20"/>
                <w:szCs w:val="20"/>
                <w:lang w:val="es-CO"/>
              </w:rPr>
            </w:pPr>
            <w:r w:rsidRPr="000555DF">
              <w:rPr>
                <w:rFonts w:ascii="Arial" w:hAnsi="Arial" w:cs="Arial"/>
                <w:sz w:val="20"/>
                <w:szCs w:val="20"/>
                <w:lang w:val="es-CO"/>
              </w:rPr>
              <w:t>Refuerzos</w:t>
            </w:r>
          </w:p>
        </w:tc>
        <w:tc>
          <w:tcPr>
            <w:tcW w:w="48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D9A47E" w14:textId="4036FB1D" w:rsidR="00A37E6F" w:rsidRPr="0018212C" w:rsidRDefault="00A37E6F" w:rsidP="009B61EF">
            <w:pPr>
              <w:spacing w:after="0" w:line="240" w:lineRule="auto"/>
              <w:jc w:val="center"/>
              <w:rPr>
                <w:rFonts w:ascii="Arial" w:hAnsi="Arial" w:cs="Arial"/>
                <w:sz w:val="20"/>
                <w:szCs w:val="20"/>
                <w:lang w:val="es-BO"/>
              </w:rPr>
            </w:pPr>
            <w:bookmarkStart w:id="3" w:name="_GoBack"/>
            <w:bookmarkEnd w:id="3"/>
            <w:r w:rsidRPr="0018212C">
              <w:rPr>
                <w:rFonts w:ascii="Arial" w:hAnsi="Arial" w:cs="Arial"/>
                <w:sz w:val="20"/>
                <w:szCs w:val="20"/>
                <w:lang w:val="es-BO"/>
              </w:rPr>
              <w:t>0</w:t>
            </w:r>
          </w:p>
        </w:tc>
        <w:tc>
          <w:tcPr>
            <w:tcW w:w="34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88729A" w14:textId="22F8322E" w:rsidR="00A37E6F" w:rsidRPr="0018212C" w:rsidRDefault="00A37E6F" w:rsidP="009B61EF">
            <w:pPr>
              <w:spacing w:after="0" w:line="240" w:lineRule="auto"/>
              <w:jc w:val="center"/>
              <w:rPr>
                <w:rFonts w:ascii="Arial" w:hAnsi="Arial" w:cs="Arial"/>
                <w:sz w:val="20"/>
                <w:szCs w:val="20"/>
                <w:lang w:val="es-BO"/>
              </w:rPr>
            </w:pPr>
            <w:r w:rsidRPr="0018212C">
              <w:rPr>
                <w:rFonts w:ascii="Arial" w:hAnsi="Arial" w:cs="Arial"/>
                <w:sz w:val="20"/>
                <w:szCs w:val="20"/>
                <w:lang w:val="es-BO"/>
              </w:rPr>
              <w:t>2</w:t>
            </w:r>
          </w:p>
        </w:tc>
        <w:tc>
          <w:tcPr>
            <w:tcW w:w="34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A16F77" w14:textId="403BEAFA" w:rsidR="00A37E6F" w:rsidRPr="0018212C" w:rsidRDefault="00A37E6F" w:rsidP="009B61EF">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6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3EEA68" w14:textId="77777777" w:rsidR="00A37E6F" w:rsidRPr="0018212C" w:rsidRDefault="00A37E6F" w:rsidP="009B61EF">
            <w:pPr>
              <w:spacing w:after="0" w:line="240" w:lineRule="auto"/>
              <w:rPr>
                <w:rFonts w:ascii="Arial" w:hAnsi="Arial" w:cs="Arial"/>
                <w:sz w:val="20"/>
                <w:szCs w:val="20"/>
                <w:lang w:val="es-ES"/>
              </w:rPr>
            </w:pPr>
          </w:p>
        </w:tc>
        <w:tc>
          <w:tcPr>
            <w:tcW w:w="10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3DE2D2" w14:textId="26A9CF87" w:rsidR="00A37E6F" w:rsidRPr="0018212C" w:rsidRDefault="00A37E6F" w:rsidP="009B61EF">
            <w:pPr>
              <w:spacing w:after="0" w:line="240" w:lineRule="auto"/>
              <w:rPr>
                <w:rFonts w:ascii="Arial" w:hAnsi="Arial" w:cs="Arial"/>
                <w:sz w:val="20"/>
                <w:szCs w:val="20"/>
                <w:lang w:val="es-BO"/>
              </w:rPr>
            </w:pPr>
            <w:r w:rsidRPr="000555DF">
              <w:rPr>
                <w:rFonts w:ascii="Arial" w:hAnsi="Arial" w:cs="Arial"/>
                <w:sz w:val="20"/>
                <w:szCs w:val="20"/>
                <w:lang w:val="es-ES"/>
              </w:rPr>
              <w:t>Acta de recepción substancial de las obras, aprobada por ETESA.</w:t>
            </w:r>
          </w:p>
        </w:tc>
      </w:tr>
      <w:tr w:rsidR="00270AD2" w:rsidRPr="00CF0BED" w14:paraId="3BB823C0" w14:textId="77777777" w:rsidTr="000555DF">
        <w:trPr>
          <w:trHeight w:val="638"/>
        </w:trPr>
        <w:tc>
          <w:tcPr>
            <w:tcW w:w="1840" w:type="pct"/>
            <w:gridSpan w:val="2"/>
            <w:vAlign w:val="center"/>
          </w:tcPr>
          <w:p w14:paraId="08F45782" w14:textId="5B8B2617" w:rsidR="00A37E6F" w:rsidRPr="0018212C" w:rsidRDefault="00270AD2" w:rsidP="009B61EF">
            <w:pPr>
              <w:spacing w:after="0" w:line="240" w:lineRule="auto"/>
              <w:jc w:val="both"/>
              <w:rPr>
                <w:rFonts w:ascii="Arial" w:hAnsi="Arial" w:cs="Arial"/>
                <w:sz w:val="20"/>
                <w:szCs w:val="20"/>
                <w:lang w:val="es-ES"/>
              </w:rPr>
            </w:pPr>
            <w:r w:rsidRPr="00270AD2">
              <w:rPr>
                <w:rFonts w:ascii="Arial" w:hAnsi="Arial" w:cs="Arial"/>
                <w:sz w:val="20"/>
                <w:szCs w:val="20"/>
                <w:lang w:val="es-ES"/>
              </w:rPr>
              <w:t xml:space="preserve">Anteproyecto de Ley de GN presentado por el Consejo de Gabinete ante la Asamblea Nacional. </w:t>
            </w:r>
            <w:r w:rsidR="00A37E6F" w:rsidRPr="0018212C" w:rsidDel="009B61EF">
              <w:rPr>
                <w:rFonts w:ascii="Arial" w:hAnsi="Arial" w:cs="Arial"/>
                <w:sz w:val="20"/>
                <w:szCs w:val="20"/>
                <w:lang w:val="es-ES"/>
              </w:rPr>
              <w:t xml:space="preserve"> </w:t>
            </w:r>
          </w:p>
        </w:tc>
        <w:tc>
          <w:tcPr>
            <w:tcW w:w="521" w:type="pct"/>
            <w:vAlign w:val="center"/>
          </w:tcPr>
          <w:p w14:paraId="20CDDD7C" w14:textId="597C0256" w:rsidR="00A37E6F" w:rsidRPr="0018212C" w:rsidRDefault="00A37E6F" w:rsidP="0083531C">
            <w:pPr>
              <w:spacing w:after="0" w:line="240" w:lineRule="auto"/>
              <w:jc w:val="center"/>
              <w:rPr>
                <w:rFonts w:ascii="Arial" w:hAnsi="Arial" w:cs="Arial"/>
                <w:sz w:val="20"/>
                <w:szCs w:val="20"/>
                <w:lang w:val="es-CO"/>
              </w:rPr>
            </w:pPr>
            <w:r w:rsidRPr="0018212C">
              <w:rPr>
                <w:rFonts w:ascii="Arial" w:hAnsi="Arial" w:cs="Arial"/>
                <w:sz w:val="20"/>
                <w:szCs w:val="20"/>
                <w:lang w:val="es-CO"/>
              </w:rPr>
              <w:t>Anteproyecto</w:t>
            </w:r>
          </w:p>
        </w:tc>
        <w:tc>
          <w:tcPr>
            <w:tcW w:w="487" w:type="pct"/>
            <w:vAlign w:val="center"/>
          </w:tcPr>
          <w:p w14:paraId="14B6ADEC" w14:textId="0A2B49E8" w:rsidR="00A37E6F" w:rsidRPr="0018212C" w:rsidRDefault="00A37E6F" w:rsidP="002619F0">
            <w:pPr>
              <w:spacing w:after="0" w:line="240" w:lineRule="auto"/>
              <w:jc w:val="center"/>
              <w:rPr>
                <w:rFonts w:ascii="Arial" w:hAnsi="Arial" w:cs="Arial"/>
                <w:sz w:val="20"/>
                <w:szCs w:val="20"/>
                <w:lang w:val="es-CO"/>
              </w:rPr>
            </w:pPr>
            <w:r w:rsidRPr="0018212C">
              <w:rPr>
                <w:rFonts w:ascii="Arial" w:hAnsi="Arial" w:cs="Arial"/>
                <w:sz w:val="20"/>
                <w:szCs w:val="20"/>
                <w:lang w:val="es-CO"/>
              </w:rPr>
              <w:t>0</w:t>
            </w:r>
          </w:p>
        </w:tc>
        <w:tc>
          <w:tcPr>
            <w:tcW w:w="346" w:type="pct"/>
            <w:vAlign w:val="center"/>
          </w:tcPr>
          <w:p w14:paraId="3F3B0256" w14:textId="14163DB9" w:rsidR="00A37E6F" w:rsidRPr="0018212C" w:rsidRDefault="00A37E6F" w:rsidP="002619F0">
            <w:pPr>
              <w:spacing w:after="0" w:line="240" w:lineRule="auto"/>
              <w:jc w:val="center"/>
              <w:rPr>
                <w:rFonts w:ascii="Arial" w:hAnsi="Arial" w:cs="Arial"/>
                <w:sz w:val="20"/>
                <w:szCs w:val="20"/>
                <w:lang w:val="es-CO"/>
              </w:rPr>
            </w:pPr>
            <w:r w:rsidRPr="0018212C">
              <w:rPr>
                <w:rFonts w:ascii="Arial" w:hAnsi="Arial" w:cs="Arial"/>
                <w:sz w:val="20"/>
                <w:szCs w:val="20"/>
                <w:lang w:val="es-CO"/>
              </w:rPr>
              <w:t>0</w:t>
            </w:r>
          </w:p>
        </w:tc>
        <w:tc>
          <w:tcPr>
            <w:tcW w:w="347" w:type="pct"/>
            <w:vAlign w:val="center"/>
          </w:tcPr>
          <w:p w14:paraId="55D581A5" w14:textId="09ED07CA" w:rsidR="00A37E6F" w:rsidRPr="0018212C" w:rsidRDefault="00A37E6F" w:rsidP="002619F0">
            <w:pPr>
              <w:spacing w:after="0" w:line="240" w:lineRule="auto"/>
              <w:jc w:val="center"/>
              <w:rPr>
                <w:rFonts w:ascii="Arial" w:hAnsi="Arial" w:cs="Arial"/>
                <w:sz w:val="20"/>
                <w:szCs w:val="20"/>
                <w:lang w:val="es-CO"/>
              </w:rPr>
            </w:pPr>
            <w:r w:rsidRPr="0018212C">
              <w:rPr>
                <w:rFonts w:ascii="Arial" w:hAnsi="Arial" w:cs="Arial"/>
                <w:sz w:val="20"/>
                <w:szCs w:val="20"/>
                <w:lang w:val="es-CO"/>
              </w:rPr>
              <w:t>1</w:t>
            </w:r>
          </w:p>
        </w:tc>
        <w:tc>
          <w:tcPr>
            <w:tcW w:w="361" w:type="pct"/>
          </w:tcPr>
          <w:p w14:paraId="65226D3C" w14:textId="77777777" w:rsidR="00A37E6F" w:rsidRPr="0018212C" w:rsidRDefault="00A37E6F" w:rsidP="009B61EF">
            <w:pPr>
              <w:jc w:val="both"/>
              <w:rPr>
                <w:rFonts w:ascii="Arial" w:hAnsi="Arial" w:cs="Arial"/>
                <w:i/>
                <w:iCs/>
                <w:sz w:val="20"/>
                <w:szCs w:val="20"/>
                <w:lang w:val="es-ES"/>
              </w:rPr>
            </w:pPr>
          </w:p>
        </w:tc>
        <w:tc>
          <w:tcPr>
            <w:tcW w:w="1098" w:type="pct"/>
            <w:vAlign w:val="center"/>
          </w:tcPr>
          <w:p w14:paraId="7ADB8010" w14:textId="56DA80CA" w:rsidR="00A37E6F" w:rsidRPr="0018212C" w:rsidRDefault="00A37E6F" w:rsidP="000555DF">
            <w:pPr>
              <w:jc w:val="both"/>
              <w:rPr>
                <w:rFonts w:ascii="Arial" w:hAnsi="Arial" w:cs="Arial"/>
                <w:sz w:val="20"/>
                <w:szCs w:val="20"/>
                <w:lang w:val="es-ES"/>
              </w:rPr>
            </w:pPr>
            <w:r w:rsidRPr="000555DF">
              <w:rPr>
                <w:rFonts w:ascii="Arial" w:hAnsi="Arial" w:cs="Arial"/>
                <w:i/>
                <w:iCs/>
                <w:sz w:val="20"/>
                <w:szCs w:val="20"/>
                <w:lang w:val="es-ES"/>
              </w:rPr>
              <w:t xml:space="preserve">Resolución del Gabinete de Ministros presentando ante </w:t>
            </w:r>
            <w:r w:rsidRPr="000555DF">
              <w:rPr>
                <w:rFonts w:ascii="Arial" w:hAnsi="Arial" w:cs="Arial"/>
                <w:sz w:val="20"/>
                <w:szCs w:val="20"/>
                <w:lang w:val="es-ES"/>
              </w:rPr>
              <w:t>la Asamblea Nacional, el Anteproyecto de Ley</w:t>
            </w:r>
            <w:r w:rsidRPr="000555DF">
              <w:rPr>
                <w:rFonts w:ascii="Arial" w:hAnsi="Arial" w:cs="Arial"/>
                <w:i/>
                <w:iCs/>
                <w:sz w:val="20"/>
                <w:szCs w:val="20"/>
                <w:lang w:val="es-ES"/>
              </w:rPr>
              <w:t>.</w:t>
            </w:r>
          </w:p>
        </w:tc>
      </w:tr>
      <w:tr w:rsidR="00270AD2" w:rsidRPr="00CF0BED" w14:paraId="3F3D8D47" w14:textId="77777777" w:rsidTr="000555DF">
        <w:trPr>
          <w:trHeight w:val="1853"/>
        </w:trPr>
        <w:tc>
          <w:tcPr>
            <w:tcW w:w="1840" w:type="pct"/>
            <w:gridSpan w:val="2"/>
            <w:vAlign w:val="center"/>
          </w:tcPr>
          <w:p w14:paraId="67E61CDE" w14:textId="178B9A6E" w:rsidR="00A37E6F" w:rsidRPr="0018212C" w:rsidRDefault="00A37E6F" w:rsidP="000555DF">
            <w:pPr>
              <w:jc w:val="both"/>
              <w:rPr>
                <w:rFonts w:ascii="Arial" w:hAnsi="Arial" w:cs="Arial"/>
                <w:sz w:val="20"/>
                <w:szCs w:val="20"/>
                <w:lang w:val="es-ES"/>
              </w:rPr>
            </w:pPr>
            <w:r w:rsidRPr="000555DF">
              <w:rPr>
                <w:rFonts w:ascii="Arial" w:hAnsi="Arial" w:cs="Arial"/>
                <w:sz w:val="20"/>
                <w:szCs w:val="20"/>
                <w:lang w:val="es-ES"/>
              </w:rPr>
              <w:t>Borrador de los Reglamentos para el desarrollo de las actividades de transporte, distribución por redes y distribución virtual de GN, de acuerdo al anteproyecto de Ley de GN, preparados por la Autoridad Nacional de los Servicios Públicos (ASEP)</w:t>
            </w:r>
            <w:r w:rsidR="00270AD2">
              <w:rPr>
                <w:rFonts w:ascii="Arial" w:hAnsi="Arial" w:cs="Arial"/>
                <w:sz w:val="20"/>
                <w:szCs w:val="20"/>
                <w:lang w:val="es-ES"/>
              </w:rPr>
              <w:t>.</w:t>
            </w:r>
          </w:p>
        </w:tc>
        <w:tc>
          <w:tcPr>
            <w:tcW w:w="521" w:type="pct"/>
            <w:vAlign w:val="center"/>
          </w:tcPr>
          <w:p w14:paraId="01EE4E76" w14:textId="5E036637" w:rsidR="00A37E6F" w:rsidRPr="0018212C" w:rsidRDefault="00A37E6F" w:rsidP="0083531C">
            <w:pPr>
              <w:spacing w:after="0" w:line="240" w:lineRule="auto"/>
              <w:jc w:val="center"/>
              <w:rPr>
                <w:rFonts w:ascii="Arial" w:hAnsi="Arial" w:cs="Arial"/>
                <w:sz w:val="20"/>
                <w:szCs w:val="20"/>
                <w:lang w:val="es-CO"/>
              </w:rPr>
            </w:pPr>
            <w:r w:rsidRPr="0018212C">
              <w:rPr>
                <w:rFonts w:ascii="Arial" w:hAnsi="Arial" w:cs="Arial"/>
                <w:sz w:val="20"/>
                <w:szCs w:val="20"/>
                <w:lang w:val="es-CO"/>
              </w:rPr>
              <w:t>Borrador</w:t>
            </w:r>
          </w:p>
        </w:tc>
        <w:tc>
          <w:tcPr>
            <w:tcW w:w="487" w:type="pct"/>
            <w:vAlign w:val="center"/>
          </w:tcPr>
          <w:p w14:paraId="2E44C83B" w14:textId="51A53276" w:rsidR="00A37E6F" w:rsidRPr="0018212C" w:rsidRDefault="00A37E6F" w:rsidP="002619F0">
            <w:pPr>
              <w:spacing w:after="0" w:line="240" w:lineRule="auto"/>
              <w:jc w:val="center"/>
              <w:rPr>
                <w:rFonts w:ascii="Arial" w:hAnsi="Arial" w:cs="Arial"/>
                <w:sz w:val="20"/>
                <w:szCs w:val="20"/>
                <w:lang w:val="es-CO"/>
              </w:rPr>
            </w:pPr>
            <w:r w:rsidRPr="0018212C">
              <w:rPr>
                <w:rFonts w:ascii="Arial" w:hAnsi="Arial" w:cs="Arial"/>
                <w:sz w:val="20"/>
                <w:szCs w:val="20"/>
                <w:lang w:val="es-CO"/>
              </w:rPr>
              <w:t>0</w:t>
            </w:r>
          </w:p>
        </w:tc>
        <w:tc>
          <w:tcPr>
            <w:tcW w:w="346" w:type="pct"/>
            <w:vAlign w:val="center"/>
          </w:tcPr>
          <w:p w14:paraId="1FC23E3A" w14:textId="3FC1A9FF" w:rsidR="00A37E6F" w:rsidRPr="0018212C" w:rsidRDefault="00A37E6F" w:rsidP="002619F0">
            <w:pPr>
              <w:spacing w:after="0" w:line="240" w:lineRule="auto"/>
              <w:jc w:val="center"/>
              <w:rPr>
                <w:rFonts w:ascii="Arial" w:hAnsi="Arial" w:cs="Arial"/>
                <w:sz w:val="20"/>
                <w:szCs w:val="20"/>
                <w:lang w:val="es-CO"/>
              </w:rPr>
            </w:pPr>
            <w:r w:rsidRPr="0018212C">
              <w:rPr>
                <w:rFonts w:ascii="Arial" w:hAnsi="Arial" w:cs="Arial"/>
                <w:sz w:val="20"/>
                <w:szCs w:val="20"/>
                <w:lang w:val="es-CO"/>
              </w:rPr>
              <w:t>0</w:t>
            </w:r>
          </w:p>
        </w:tc>
        <w:tc>
          <w:tcPr>
            <w:tcW w:w="347" w:type="pct"/>
            <w:vAlign w:val="center"/>
          </w:tcPr>
          <w:p w14:paraId="79DA09CA" w14:textId="21E57E87" w:rsidR="00A37E6F" w:rsidRPr="0018212C" w:rsidRDefault="00A37E6F" w:rsidP="002619F0">
            <w:pPr>
              <w:spacing w:after="0" w:line="240" w:lineRule="auto"/>
              <w:jc w:val="center"/>
              <w:rPr>
                <w:rFonts w:ascii="Arial" w:hAnsi="Arial" w:cs="Arial"/>
                <w:sz w:val="20"/>
                <w:szCs w:val="20"/>
                <w:lang w:val="es-CO"/>
              </w:rPr>
            </w:pPr>
            <w:r w:rsidRPr="0018212C">
              <w:rPr>
                <w:rFonts w:ascii="Arial" w:hAnsi="Arial" w:cs="Arial"/>
                <w:sz w:val="20"/>
                <w:szCs w:val="20"/>
                <w:lang w:val="es-CO"/>
              </w:rPr>
              <w:t>1</w:t>
            </w:r>
          </w:p>
        </w:tc>
        <w:tc>
          <w:tcPr>
            <w:tcW w:w="361" w:type="pct"/>
          </w:tcPr>
          <w:p w14:paraId="66D27769" w14:textId="77777777" w:rsidR="00A37E6F" w:rsidRPr="0018212C" w:rsidRDefault="00A37E6F" w:rsidP="009B61EF">
            <w:pPr>
              <w:jc w:val="both"/>
              <w:rPr>
                <w:rFonts w:ascii="Arial" w:hAnsi="Arial" w:cs="Arial"/>
                <w:sz w:val="20"/>
                <w:szCs w:val="20"/>
                <w:lang w:val="es-ES"/>
              </w:rPr>
            </w:pPr>
          </w:p>
        </w:tc>
        <w:tc>
          <w:tcPr>
            <w:tcW w:w="1098" w:type="pct"/>
            <w:vAlign w:val="center"/>
          </w:tcPr>
          <w:p w14:paraId="3CB6789A" w14:textId="61B027A7" w:rsidR="00A37E6F" w:rsidRPr="0018212C" w:rsidRDefault="00A37E6F" w:rsidP="000555DF">
            <w:pPr>
              <w:jc w:val="both"/>
              <w:rPr>
                <w:rFonts w:ascii="Arial" w:hAnsi="Arial" w:cs="Arial"/>
                <w:sz w:val="20"/>
                <w:szCs w:val="20"/>
                <w:lang w:val="es-ES"/>
              </w:rPr>
            </w:pPr>
            <w:r w:rsidRPr="000555DF">
              <w:rPr>
                <w:rFonts w:ascii="Arial" w:hAnsi="Arial" w:cs="Arial"/>
                <w:sz w:val="20"/>
                <w:szCs w:val="20"/>
                <w:lang w:val="es-ES"/>
              </w:rPr>
              <w:t>Comunicación de la Autoridad Nacional de Servicios Públicos (ASEP) conteniendo los borradores de los reglamentos.</w:t>
            </w:r>
          </w:p>
        </w:tc>
      </w:tr>
      <w:tr w:rsidR="00270AD2" w:rsidRPr="00CF0BED" w14:paraId="3A7B6873" w14:textId="77777777" w:rsidTr="000555DF">
        <w:trPr>
          <w:trHeight w:val="467"/>
        </w:trPr>
        <w:tc>
          <w:tcPr>
            <w:tcW w:w="1840" w:type="pct"/>
            <w:gridSpan w:val="2"/>
            <w:vAlign w:val="center"/>
          </w:tcPr>
          <w:p w14:paraId="1F7B7183" w14:textId="7532D2BC" w:rsidR="00A37E6F" w:rsidRPr="0018212C" w:rsidRDefault="00270AD2" w:rsidP="002619F0">
            <w:pPr>
              <w:tabs>
                <w:tab w:val="left" w:pos="354"/>
              </w:tabs>
              <w:spacing w:after="0" w:line="240" w:lineRule="auto"/>
              <w:jc w:val="both"/>
              <w:rPr>
                <w:rFonts w:ascii="Arial" w:hAnsi="Arial" w:cs="Arial"/>
                <w:sz w:val="20"/>
                <w:szCs w:val="20"/>
                <w:lang w:val="es-ES"/>
              </w:rPr>
            </w:pPr>
            <w:r w:rsidRPr="00270AD2">
              <w:rPr>
                <w:rFonts w:ascii="Arial" w:hAnsi="Arial" w:cs="Arial"/>
                <w:sz w:val="20"/>
                <w:szCs w:val="20"/>
                <w:lang w:val="es-ES"/>
              </w:rPr>
              <w:t>Plan Maestro de desarrollo de largo plazo del GN, aprobado por el Consejo de Gabinete.</w:t>
            </w:r>
          </w:p>
        </w:tc>
        <w:tc>
          <w:tcPr>
            <w:tcW w:w="521" w:type="pct"/>
            <w:vAlign w:val="center"/>
          </w:tcPr>
          <w:p w14:paraId="5DBE6955" w14:textId="1C6436B9" w:rsidR="00A37E6F" w:rsidRPr="0018212C" w:rsidRDefault="00A37E6F" w:rsidP="002619F0">
            <w:pPr>
              <w:spacing w:after="0" w:line="240" w:lineRule="auto"/>
              <w:jc w:val="center"/>
              <w:rPr>
                <w:rFonts w:ascii="Arial" w:hAnsi="Arial" w:cs="Arial"/>
                <w:sz w:val="20"/>
                <w:szCs w:val="20"/>
                <w:lang w:val="es-CO"/>
              </w:rPr>
            </w:pPr>
            <w:r w:rsidRPr="0018212C">
              <w:rPr>
                <w:rFonts w:ascii="Arial" w:hAnsi="Arial" w:cs="Arial"/>
                <w:sz w:val="20"/>
                <w:szCs w:val="20"/>
                <w:lang w:val="es-CO"/>
              </w:rPr>
              <w:t>Plan</w:t>
            </w:r>
          </w:p>
        </w:tc>
        <w:tc>
          <w:tcPr>
            <w:tcW w:w="487" w:type="pct"/>
            <w:vAlign w:val="center"/>
          </w:tcPr>
          <w:p w14:paraId="6CDBCB4D" w14:textId="208B95B2" w:rsidR="00A37E6F" w:rsidRPr="0018212C" w:rsidRDefault="00A37E6F" w:rsidP="002619F0">
            <w:pPr>
              <w:spacing w:after="0" w:line="240" w:lineRule="auto"/>
              <w:jc w:val="center"/>
              <w:rPr>
                <w:rFonts w:ascii="Arial" w:hAnsi="Arial" w:cs="Arial"/>
                <w:sz w:val="20"/>
                <w:szCs w:val="20"/>
                <w:lang w:val="es-CO"/>
              </w:rPr>
            </w:pPr>
            <w:r w:rsidRPr="0018212C">
              <w:rPr>
                <w:rFonts w:ascii="Arial" w:hAnsi="Arial" w:cs="Arial"/>
                <w:sz w:val="20"/>
                <w:szCs w:val="20"/>
                <w:lang w:val="es-CO"/>
              </w:rPr>
              <w:t>0</w:t>
            </w:r>
          </w:p>
        </w:tc>
        <w:tc>
          <w:tcPr>
            <w:tcW w:w="346" w:type="pct"/>
            <w:vAlign w:val="center"/>
          </w:tcPr>
          <w:p w14:paraId="4713389E" w14:textId="5F064CCD" w:rsidR="00A37E6F" w:rsidRPr="0018212C" w:rsidRDefault="00A37E6F" w:rsidP="002619F0">
            <w:pPr>
              <w:spacing w:after="0" w:line="240" w:lineRule="auto"/>
              <w:jc w:val="center"/>
              <w:rPr>
                <w:rFonts w:ascii="Arial" w:hAnsi="Arial" w:cs="Arial"/>
                <w:sz w:val="20"/>
                <w:szCs w:val="20"/>
                <w:lang w:val="es-CO"/>
              </w:rPr>
            </w:pPr>
            <w:r w:rsidRPr="0018212C">
              <w:rPr>
                <w:rFonts w:ascii="Arial" w:hAnsi="Arial" w:cs="Arial"/>
                <w:sz w:val="20"/>
                <w:szCs w:val="20"/>
                <w:lang w:val="es-CO"/>
              </w:rPr>
              <w:t>0</w:t>
            </w:r>
          </w:p>
        </w:tc>
        <w:tc>
          <w:tcPr>
            <w:tcW w:w="347" w:type="pct"/>
            <w:vAlign w:val="center"/>
          </w:tcPr>
          <w:p w14:paraId="476FD1C0" w14:textId="159326CB" w:rsidR="00A37E6F" w:rsidRPr="0018212C" w:rsidRDefault="00A37E6F" w:rsidP="002619F0">
            <w:pPr>
              <w:spacing w:after="0" w:line="240" w:lineRule="auto"/>
              <w:jc w:val="center"/>
              <w:rPr>
                <w:rFonts w:ascii="Arial" w:hAnsi="Arial" w:cs="Arial"/>
                <w:sz w:val="20"/>
                <w:szCs w:val="20"/>
                <w:lang w:val="es-CO"/>
              </w:rPr>
            </w:pPr>
            <w:r w:rsidRPr="0018212C">
              <w:rPr>
                <w:rFonts w:ascii="Arial" w:hAnsi="Arial" w:cs="Arial"/>
                <w:sz w:val="20"/>
                <w:szCs w:val="20"/>
                <w:lang w:val="es-CO"/>
              </w:rPr>
              <w:t>1</w:t>
            </w:r>
          </w:p>
        </w:tc>
        <w:tc>
          <w:tcPr>
            <w:tcW w:w="361" w:type="pct"/>
          </w:tcPr>
          <w:p w14:paraId="536A1B78" w14:textId="77777777" w:rsidR="00A37E6F" w:rsidRPr="0018212C" w:rsidRDefault="00A37E6F" w:rsidP="002619F0">
            <w:pPr>
              <w:spacing w:after="0" w:line="240" w:lineRule="auto"/>
              <w:rPr>
                <w:rFonts w:ascii="Arial" w:hAnsi="Arial" w:cs="Arial"/>
                <w:sz w:val="20"/>
                <w:szCs w:val="20"/>
                <w:lang w:val="es-ES"/>
              </w:rPr>
            </w:pPr>
          </w:p>
        </w:tc>
        <w:tc>
          <w:tcPr>
            <w:tcW w:w="1098" w:type="pct"/>
            <w:vAlign w:val="center"/>
          </w:tcPr>
          <w:p w14:paraId="27CE901D" w14:textId="39CB639E" w:rsidR="00A37E6F" w:rsidRPr="0018212C" w:rsidRDefault="00A37E6F" w:rsidP="002619F0">
            <w:pPr>
              <w:spacing w:after="0" w:line="240" w:lineRule="auto"/>
              <w:rPr>
                <w:rFonts w:ascii="Arial" w:hAnsi="Arial" w:cs="Arial"/>
                <w:sz w:val="20"/>
                <w:szCs w:val="20"/>
                <w:lang w:val="es-ES"/>
              </w:rPr>
            </w:pPr>
            <w:r w:rsidRPr="000555DF">
              <w:rPr>
                <w:rFonts w:ascii="Arial" w:hAnsi="Arial" w:cs="Arial"/>
                <w:sz w:val="20"/>
                <w:szCs w:val="20"/>
                <w:lang w:val="es-ES"/>
              </w:rPr>
              <w:t>Resolución del Consejo de Gabinete de Ministros que aprueba el Plan Maestro de GN.</w:t>
            </w:r>
          </w:p>
        </w:tc>
      </w:tr>
      <w:tr w:rsidR="00270AD2" w:rsidRPr="00CF0BED" w14:paraId="66CD7267" w14:textId="77777777" w:rsidTr="000555DF">
        <w:trPr>
          <w:trHeight w:val="467"/>
        </w:trPr>
        <w:tc>
          <w:tcPr>
            <w:tcW w:w="1840" w:type="pct"/>
            <w:gridSpan w:val="2"/>
            <w:vAlign w:val="center"/>
          </w:tcPr>
          <w:p w14:paraId="32B66084" w14:textId="5172B6BA" w:rsidR="00A37E6F" w:rsidRPr="0018212C" w:rsidRDefault="00A37E6F" w:rsidP="000555DF">
            <w:pPr>
              <w:jc w:val="both"/>
              <w:rPr>
                <w:rFonts w:ascii="Arial" w:hAnsi="Arial" w:cs="Arial"/>
                <w:sz w:val="20"/>
                <w:szCs w:val="20"/>
                <w:lang w:val="es-ES"/>
              </w:rPr>
            </w:pPr>
            <w:r w:rsidRPr="000555DF">
              <w:rPr>
                <w:rFonts w:ascii="Arial" w:hAnsi="Arial" w:cs="Arial"/>
                <w:sz w:val="20"/>
                <w:szCs w:val="20"/>
                <w:lang w:val="es-ES"/>
              </w:rPr>
              <w:t>Estudio de alternativas para la capitalización y financiamiento del Fondo para el Uso Racional y Eficiente de Energía (UREE), diseñado y aprobado por la SNE.</w:t>
            </w:r>
          </w:p>
        </w:tc>
        <w:tc>
          <w:tcPr>
            <w:tcW w:w="521" w:type="pct"/>
            <w:vAlign w:val="center"/>
          </w:tcPr>
          <w:p w14:paraId="19A178CE" w14:textId="28F8920E" w:rsidR="00A37E6F" w:rsidRPr="0018212C" w:rsidRDefault="00A37E6F" w:rsidP="002619F0">
            <w:pPr>
              <w:spacing w:after="0" w:line="240" w:lineRule="auto"/>
              <w:jc w:val="center"/>
              <w:rPr>
                <w:rFonts w:ascii="Arial" w:hAnsi="Arial" w:cs="Arial"/>
                <w:sz w:val="20"/>
                <w:szCs w:val="20"/>
                <w:lang w:val="es-CO"/>
              </w:rPr>
            </w:pPr>
            <w:r w:rsidRPr="0018212C">
              <w:rPr>
                <w:rFonts w:ascii="Arial" w:hAnsi="Arial" w:cs="Arial"/>
                <w:sz w:val="20"/>
                <w:szCs w:val="20"/>
                <w:lang w:val="es-CO"/>
              </w:rPr>
              <w:t>Estudio</w:t>
            </w:r>
          </w:p>
        </w:tc>
        <w:tc>
          <w:tcPr>
            <w:tcW w:w="487" w:type="pct"/>
            <w:vAlign w:val="center"/>
          </w:tcPr>
          <w:p w14:paraId="62A429EF" w14:textId="72C5DC2B"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6" w:type="pct"/>
            <w:vAlign w:val="center"/>
          </w:tcPr>
          <w:p w14:paraId="4EE9B161" w14:textId="4ADF4E07"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7" w:type="pct"/>
            <w:vAlign w:val="center"/>
          </w:tcPr>
          <w:p w14:paraId="7646C43B" w14:textId="514EFE01"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1</w:t>
            </w:r>
          </w:p>
        </w:tc>
        <w:tc>
          <w:tcPr>
            <w:tcW w:w="361" w:type="pct"/>
          </w:tcPr>
          <w:p w14:paraId="32A48FED" w14:textId="77777777" w:rsidR="00A37E6F" w:rsidRPr="0018212C" w:rsidRDefault="00A37E6F" w:rsidP="009B61EF">
            <w:pPr>
              <w:jc w:val="both"/>
              <w:rPr>
                <w:rFonts w:ascii="Arial" w:hAnsi="Arial" w:cs="Arial"/>
                <w:sz w:val="20"/>
                <w:szCs w:val="20"/>
                <w:lang w:val="es-ES"/>
              </w:rPr>
            </w:pPr>
          </w:p>
        </w:tc>
        <w:tc>
          <w:tcPr>
            <w:tcW w:w="1098" w:type="pct"/>
            <w:vAlign w:val="center"/>
          </w:tcPr>
          <w:p w14:paraId="13E2FE27" w14:textId="7519C2CB" w:rsidR="00A37E6F" w:rsidRPr="0018212C" w:rsidRDefault="00A37E6F" w:rsidP="000555DF">
            <w:pPr>
              <w:jc w:val="both"/>
              <w:rPr>
                <w:rFonts w:ascii="Arial" w:hAnsi="Arial" w:cs="Arial"/>
                <w:sz w:val="20"/>
                <w:szCs w:val="20"/>
                <w:lang w:val="es-BO"/>
              </w:rPr>
            </w:pPr>
            <w:r w:rsidRPr="000555DF">
              <w:rPr>
                <w:rFonts w:ascii="Arial" w:hAnsi="Arial" w:cs="Arial"/>
                <w:sz w:val="20"/>
                <w:szCs w:val="20"/>
                <w:lang w:val="es-ES"/>
              </w:rPr>
              <w:t>Comunicación de la SNE conteniendo el Estudio de alternativas para la capitalización y financiamiento del Fondo UREE, aprobado.</w:t>
            </w:r>
          </w:p>
        </w:tc>
      </w:tr>
      <w:tr w:rsidR="00270AD2" w:rsidRPr="00CF0BED" w14:paraId="195E0834" w14:textId="77777777" w:rsidTr="000555DF">
        <w:trPr>
          <w:trHeight w:val="467"/>
        </w:trPr>
        <w:tc>
          <w:tcPr>
            <w:tcW w:w="1840" w:type="pct"/>
            <w:gridSpan w:val="2"/>
            <w:vAlign w:val="center"/>
          </w:tcPr>
          <w:p w14:paraId="7089E435" w14:textId="1BE29457" w:rsidR="00A37E6F" w:rsidRPr="000555DF" w:rsidRDefault="00A37E6F" w:rsidP="002619F0">
            <w:pPr>
              <w:tabs>
                <w:tab w:val="left" w:pos="354"/>
              </w:tabs>
              <w:spacing w:after="0" w:line="240" w:lineRule="auto"/>
              <w:jc w:val="both"/>
              <w:rPr>
                <w:rFonts w:ascii="Arial" w:hAnsi="Arial" w:cs="Arial"/>
                <w:sz w:val="20"/>
                <w:szCs w:val="20"/>
                <w:lang w:val="es-ES"/>
              </w:rPr>
            </w:pPr>
            <w:r w:rsidRPr="000555DF">
              <w:rPr>
                <w:rFonts w:ascii="Arial" w:hAnsi="Arial" w:cs="Arial"/>
                <w:sz w:val="20"/>
                <w:szCs w:val="20"/>
                <w:lang w:val="es-ES"/>
              </w:rPr>
              <w:t>Presupuesto para adoptar medidas de EE y ejecutar auditorías energéticas, asignado en al menos una institución pública.</w:t>
            </w:r>
          </w:p>
        </w:tc>
        <w:tc>
          <w:tcPr>
            <w:tcW w:w="521" w:type="pct"/>
            <w:vAlign w:val="center"/>
          </w:tcPr>
          <w:p w14:paraId="7504CA79" w14:textId="780592A0" w:rsidR="00A37E6F" w:rsidRPr="000555DF" w:rsidRDefault="00A37E6F" w:rsidP="002619F0">
            <w:pPr>
              <w:spacing w:after="0" w:line="240" w:lineRule="auto"/>
              <w:jc w:val="center"/>
              <w:rPr>
                <w:rFonts w:ascii="Arial" w:hAnsi="Arial" w:cs="Arial"/>
                <w:sz w:val="20"/>
                <w:szCs w:val="20"/>
                <w:lang w:val="es-CO"/>
              </w:rPr>
            </w:pPr>
            <w:r w:rsidRPr="000555DF">
              <w:rPr>
                <w:rFonts w:ascii="Arial" w:hAnsi="Arial" w:cs="Arial"/>
                <w:sz w:val="20"/>
                <w:szCs w:val="20"/>
                <w:lang w:val="es-CO"/>
              </w:rPr>
              <w:t>Presupuesto</w:t>
            </w:r>
          </w:p>
        </w:tc>
        <w:tc>
          <w:tcPr>
            <w:tcW w:w="487" w:type="pct"/>
            <w:vAlign w:val="center"/>
          </w:tcPr>
          <w:p w14:paraId="53D882A9" w14:textId="28868488"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6" w:type="pct"/>
            <w:vAlign w:val="center"/>
          </w:tcPr>
          <w:p w14:paraId="34196D3B" w14:textId="68E7C8FC"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7" w:type="pct"/>
            <w:vAlign w:val="center"/>
          </w:tcPr>
          <w:p w14:paraId="4E80301F" w14:textId="09E8E387"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1</w:t>
            </w:r>
          </w:p>
        </w:tc>
        <w:tc>
          <w:tcPr>
            <w:tcW w:w="361" w:type="pct"/>
          </w:tcPr>
          <w:p w14:paraId="6887A2E7" w14:textId="77777777" w:rsidR="00A37E6F" w:rsidRPr="0018212C" w:rsidRDefault="00A37E6F" w:rsidP="002619F0">
            <w:pPr>
              <w:spacing w:after="0" w:line="240" w:lineRule="auto"/>
              <w:jc w:val="both"/>
              <w:rPr>
                <w:rFonts w:ascii="Arial" w:hAnsi="Arial" w:cs="Arial"/>
                <w:sz w:val="20"/>
                <w:szCs w:val="20"/>
                <w:lang w:val="es-ES"/>
              </w:rPr>
            </w:pPr>
          </w:p>
        </w:tc>
        <w:tc>
          <w:tcPr>
            <w:tcW w:w="1098" w:type="pct"/>
            <w:vAlign w:val="center"/>
          </w:tcPr>
          <w:p w14:paraId="26C2FE3D" w14:textId="5E61A0D9" w:rsidR="00A37E6F" w:rsidRPr="0018212C" w:rsidRDefault="00A37E6F" w:rsidP="002619F0">
            <w:pPr>
              <w:spacing w:after="0" w:line="240" w:lineRule="auto"/>
              <w:jc w:val="both"/>
              <w:rPr>
                <w:rFonts w:ascii="Arial" w:hAnsi="Arial" w:cs="Arial"/>
                <w:sz w:val="20"/>
                <w:szCs w:val="20"/>
                <w:lang w:val="es-BO"/>
              </w:rPr>
            </w:pPr>
            <w:r w:rsidRPr="0018212C">
              <w:rPr>
                <w:rFonts w:ascii="Arial" w:hAnsi="Arial" w:cs="Arial"/>
                <w:sz w:val="20"/>
                <w:szCs w:val="20"/>
                <w:lang w:val="es-ES"/>
              </w:rPr>
              <w:t>Comunicación de la SNE adjuntando las partidas presupuestarias y conteniendo instrucciones para adoptar medidas de EE y para la ejecución de auditorías en una institución pública del sector.</w:t>
            </w:r>
          </w:p>
        </w:tc>
      </w:tr>
      <w:tr w:rsidR="00270AD2" w:rsidRPr="00CF0BED" w14:paraId="7D4CFD31" w14:textId="77777777" w:rsidTr="000555DF">
        <w:trPr>
          <w:trHeight w:val="467"/>
        </w:trPr>
        <w:tc>
          <w:tcPr>
            <w:tcW w:w="1840" w:type="pct"/>
            <w:gridSpan w:val="2"/>
            <w:vAlign w:val="center"/>
          </w:tcPr>
          <w:p w14:paraId="292C821B" w14:textId="48F9C901" w:rsidR="00A37E6F" w:rsidRPr="0018212C" w:rsidRDefault="00A37E6F" w:rsidP="000555DF">
            <w:pPr>
              <w:spacing w:before="60"/>
              <w:jc w:val="both"/>
              <w:rPr>
                <w:rFonts w:ascii="Arial" w:hAnsi="Arial" w:cs="Arial"/>
                <w:sz w:val="20"/>
                <w:szCs w:val="20"/>
                <w:lang w:val="es-ES"/>
              </w:rPr>
            </w:pPr>
            <w:r w:rsidRPr="000555DF">
              <w:rPr>
                <w:rFonts w:ascii="Arial" w:hAnsi="Arial" w:cs="Arial"/>
                <w:sz w:val="20"/>
                <w:szCs w:val="20"/>
                <w:lang w:val="es-ES"/>
              </w:rPr>
              <w:lastRenderedPageBreak/>
              <w:t>Propuesta de financiamiento para la construcción del Refuerzo del SNT a través de la IV Línea de Transmisión coincidente con el SIEPAC para mejorar los intercambios eléctricos regionales, desarrollada por ETESA.</w:t>
            </w:r>
          </w:p>
        </w:tc>
        <w:tc>
          <w:tcPr>
            <w:tcW w:w="521" w:type="pct"/>
            <w:vAlign w:val="center"/>
          </w:tcPr>
          <w:p w14:paraId="2B87FF81" w14:textId="31A0FEFC" w:rsidR="00A37E6F" w:rsidRPr="0018212C" w:rsidRDefault="00A37E6F" w:rsidP="002619F0">
            <w:pPr>
              <w:spacing w:after="0" w:line="240" w:lineRule="auto"/>
              <w:jc w:val="center"/>
              <w:rPr>
                <w:rFonts w:ascii="Arial" w:hAnsi="Arial" w:cs="Arial"/>
                <w:sz w:val="20"/>
                <w:szCs w:val="20"/>
                <w:lang w:val="es-CO"/>
              </w:rPr>
            </w:pPr>
            <w:r w:rsidRPr="0018212C">
              <w:rPr>
                <w:rFonts w:ascii="Arial" w:hAnsi="Arial" w:cs="Arial"/>
                <w:sz w:val="20"/>
                <w:szCs w:val="20"/>
                <w:lang w:val="es-CO"/>
              </w:rPr>
              <w:t>Propuesta</w:t>
            </w:r>
          </w:p>
        </w:tc>
        <w:tc>
          <w:tcPr>
            <w:tcW w:w="487" w:type="pct"/>
            <w:vAlign w:val="center"/>
          </w:tcPr>
          <w:p w14:paraId="1B61CC76" w14:textId="6555E237"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6" w:type="pct"/>
            <w:vAlign w:val="center"/>
          </w:tcPr>
          <w:p w14:paraId="11ED811E" w14:textId="59709006"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7" w:type="pct"/>
            <w:vAlign w:val="center"/>
          </w:tcPr>
          <w:p w14:paraId="5F7F22DB" w14:textId="228B7D27"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1</w:t>
            </w:r>
          </w:p>
        </w:tc>
        <w:tc>
          <w:tcPr>
            <w:tcW w:w="361" w:type="pct"/>
          </w:tcPr>
          <w:p w14:paraId="79004C2A" w14:textId="77777777" w:rsidR="00A37E6F" w:rsidRPr="0018212C" w:rsidRDefault="00A37E6F" w:rsidP="009B61EF">
            <w:pPr>
              <w:spacing w:before="60"/>
              <w:jc w:val="both"/>
              <w:rPr>
                <w:rFonts w:ascii="Arial" w:hAnsi="Arial" w:cs="Arial"/>
                <w:sz w:val="20"/>
                <w:szCs w:val="20"/>
                <w:lang w:val="es-ES"/>
              </w:rPr>
            </w:pPr>
          </w:p>
        </w:tc>
        <w:tc>
          <w:tcPr>
            <w:tcW w:w="1098" w:type="pct"/>
            <w:vAlign w:val="center"/>
          </w:tcPr>
          <w:p w14:paraId="2B6905EC" w14:textId="0862D84D" w:rsidR="00A37E6F" w:rsidRPr="0018212C" w:rsidRDefault="00A37E6F" w:rsidP="000555DF">
            <w:pPr>
              <w:spacing w:before="60"/>
              <w:jc w:val="both"/>
              <w:rPr>
                <w:rFonts w:ascii="Arial" w:hAnsi="Arial" w:cs="Arial"/>
                <w:sz w:val="20"/>
                <w:szCs w:val="20"/>
                <w:lang w:val="es-ES"/>
              </w:rPr>
            </w:pPr>
            <w:r w:rsidRPr="000555DF">
              <w:rPr>
                <w:rFonts w:ascii="Arial" w:hAnsi="Arial" w:cs="Arial"/>
                <w:sz w:val="20"/>
                <w:szCs w:val="20"/>
                <w:lang w:val="es-ES"/>
              </w:rPr>
              <w:t>Comunicación de ETESA remitiendo la propuesta del esquema financiero e institucional que le permita al país acceder al financiamiento y ejecución de la IV Línea de Transmisión en Panamá.</w:t>
            </w:r>
          </w:p>
        </w:tc>
      </w:tr>
      <w:tr w:rsidR="00270AD2" w:rsidRPr="00CF0BED" w14:paraId="22AA97A9" w14:textId="77777777" w:rsidTr="000555DF">
        <w:trPr>
          <w:trHeight w:val="64"/>
        </w:trPr>
        <w:tc>
          <w:tcPr>
            <w:tcW w:w="1840" w:type="pct"/>
            <w:gridSpan w:val="2"/>
          </w:tcPr>
          <w:p w14:paraId="2B2A8EFB" w14:textId="4280F4C9" w:rsidR="00A37E6F" w:rsidRPr="0018212C" w:rsidRDefault="00A37E6F" w:rsidP="002619F0">
            <w:pPr>
              <w:spacing w:after="0" w:line="240" w:lineRule="auto"/>
              <w:jc w:val="both"/>
              <w:rPr>
                <w:rFonts w:ascii="Arial" w:hAnsi="Arial" w:cs="Arial"/>
                <w:sz w:val="20"/>
                <w:szCs w:val="20"/>
                <w:lang w:val="es-ES"/>
              </w:rPr>
            </w:pPr>
            <w:r w:rsidRPr="000555DF">
              <w:rPr>
                <w:rFonts w:ascii="Arial" w:hAnsi="Arial" w:cs="Arial"/>
                <w:sz w:val="20"/>
                <w:szCs w:val="20"/>
                <w:lang w:val="es-ES"/>
              </w:rPr>
              <w:t xml:space="preserve">Nuevo Plan de Expansión de la Transmisión Eléctrica alineado con el Plan de Expansión Indicativo Regional del Mercado Eléctrico Regional (MER), aprobado por la   ASEP </w:t>
            </w:r>
          </w:p>
        </w:tc>
        <w:tc>
          <w:tcPr>
            <w:tcW w:w="521" w:type="pct"/>
            <w:vAlign w:val="center"/>
          </w:tcPr>
          <w:p w14:paraId="1ABBF4E6" w14:textId="0E0DA93D"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Plan</w:t>
            </w:r>
          </w:p>
        </w:tc>
        <w:tc>
          <w:tcPr>
            <w:tcW w:w="487" w:type="pct"/>
            <w:vAlign w:val="center"/>
          </w:tcPr>
          <w:p w14:paraId="37AEDA7F" w14:textId="5016E4EA"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6" w:type="pct"/>
            <w:vAlign w:val="center"/>
          </w:tcPr>
          <w:p w14:paraId="4A0103CA" w14:textId="4808D39F"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7" w:type="pct"/>
            <w:vAlign w:val="center"/>
          </w:tcPr>
          <w:p w14:paraId="23FB4B6E" w14:textId="103CBA4D"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1</w:t>
            </w:r>
          </w:p>
        </w:tc>
        <w:tc>
          <w:tcPr>
            <w:tcW w:w="361" w:type="pct"/>
          </w:tcPr>
          <w:p w14:paraId="67BA48FD" w14:textId="77777777" w:rsidR="00A37E6F" w:rsidRPr="0018212C" w:rsidRDefault="00A37E6F" w:rsidP="002619F0">
            <w:pPr>
              <w:spacing w:after="0" w:line="240" w:lineRule="auto"/>
              <w:rPr>
                <w:rFonts w:ascii="Arial" w:hAnsi="Arial" w:cs="Arial"/>
                <w:sz w:val="20"/>
                <w:szCs w:val="20"/>
                <w:lang w:val="es-ES"/>
              </w:rPr>
            </w:pPr>
          </w:p>
        </w:tc>
        <w:tc>
          <w:tcPr>
            <w:tcW w:w="1098" w:type="pct"/>
            <w:vAlign w:val="center"/>
          </w:tcPr>
          <w:p w14:paraId="7A8975C7" w14:textId="537044E9" w:rsidR="00A37E6F" w:rsidRPr="0018212C" w:rsidRDefault="00A37E6F" w:rsidP="002619F0">
            <w:pPr>
              <w:spacing w:after="0" w:line="240" w:lineRule="auto"/>
              <w:rPr>
                <w:rFonts w:ascii="Arial" w:hAnsi="Arial" w:cs="Arial"/>
                <w:sz w:val="20"/>
                <w:szCs w:val="20"/>
                <w:lang w:val="es-ES"/>
              </w:rPr>
            </w:pPr>
            <w:r w:rsidRPr="000555DF">
              <w:rPr>
                <w:rFonts w:ascii="Arial" w:hAnsi="Arial" w:cs="Arial"/>
                <w:sz w:val="20"/>
                <w:szCs w:val="20"/>
                <w:lang w:val="es-ES"/>
              </w:rPr>
              <w:t>Comunicación de ETESA remitiendo el Plan de Expansión de la Transmisión Eléctrica alineado con el Plan de Expansión Indicativo Regional del MER, aprobado.</w:t>
            </w:r>
          </w:p>
        </w:tc>
      </w:tr>
      <w:tr w:rsidR="00A37E6F" w:rsidRPr="00CF0BED" w14:paraId="0B1B6053" w14:textId="77777777" w:rsidTr="000555DF">
        <w:trPr>
          <w:trHeight w:val="368"/>
        </w:trPr>
        <w:tc>
          <w:tcPr>
            <w:tcW w:w="1065" w:type="pct"/>
            <w:shd w:val="clear" w:color="auto" w:fill="C6D9F1" w:themeFill="text2" w:themeFillTint="33"/>
          </w:tcPr>
          <w:p w14:paraId="6E7F7CBA" w14:textId="77777777" w:rsidR="00A37E6F" w:rsidRPr="0018212C" w:rsidRDefault="00A37E6F" w:rsidP="002619F0">
            <w:pPr>
              <w:spacing w:after="0" w:line="240" w:lineRule="auto"/>
              <w:rPr>
                <w:rFonts w:ascii="Arial" w:hAnsi="Arial" w:cs="Arial"/>
                <w:b/>
                <w:i/>
                <w:sz w:val="20"/>
                <w:szCs w:val="20"/>
                <w:lang w:val="es-ES"/>
              </w:rPr>
            </w:pPr>
          </w:p>
        </w:tc>
        <w:tc>
          <w:tcPr>
            <w:tcW w:w="3935" w:type="pct"/>
            <w:gridSpan w:val="7"/>
            <w:shd w:val="clear" w:color="auto" w:fill="C6D9F1" w:themeFill="text2" w:themeFillTint="33"/>
          </w:tcPr>
          <w:p w14:paraId="0588FA4D" w14:textId="2EE05090" w:rsidR="00A37E6F" w:rsidRPr="0018212C" w:rsidRDefault="00A37E6F" w:rsidP="002619F0">
            <w:pPr>
              <w:spacing w:after="0" w:line="240" w:lineRule="auto"/>
              <w:rPr>
                <w:rFonts w:ascii="Arial" w:hAnsi="Arial" w:cs="Arial"/>
                <w:i/>
                <w:sz w:val="20"/>
                <w:szCs w:val="20"/>
                <w:lang w:val="es-BO"/>
              </w:rPr>
            </w:pPr>
            <w:r w:rsidRPr="0018212C">
              <w:rPr>
                <w:rFonts w:ascii="Arial" w:hAnsi="Arial" w:cs="Arial"/>
                <w:b/>
                <w:i/>
                <w:sz w:val="20"/>
                <w:szCs w:val="20"/>
                <w:lang w:val="es-ES"/>
              </w:rPr>
              <w:t>Subcomponente</w:t>
            </w:r>
            <w:r w:rsidRPr="0018212C">
              <w:rPr>
                <w:rFonts w:ascii="Arial" w:hAnsi="Arial" w:cs="Arial"/>
                <w:b/>
                <w:i/>
                <w:sz w:val="20"/>
                <w:szCs w:val="20"/>
                <w:lang w:val="es-CO"/>
              </w:rPr>
              <w:t xml:space="preserve"> 2.2 </w:t>
            </w:r>
            <w:r w:rsidRPr="0018212C">
              <w:rPr>
                <w:rFonts w:ascii="Arial" w:hAnsi="Arial" w:cs="Arial"/>
                <w:b/>
                <w:i/>
                <w:sz w:val="20"/>
                <w:szCs w:val="20"/>
                <w:lang w:val="es-ES"/>
              </w:rPr>
              <w:t>Mejora y consolidación de la capacidad institucional y regulatoria del sector</w:t>
            </w:r>
          </w:p>
        </w:tc>
      </w:tr>
      <w:tr w:rsidR="00270AD2" w:rsidRPr="000555DF" w14:paraId="287B08CF" w14:textId="77777777" w:rsidTr="000555DF">
        <w:trPr>
          <w:trHeight w:val="395"/>
        </w:trPr>
        <w:tc>
          <w:tcPr>
            <w:tcW w:w="1840" w:type="pct"/>
            <w:gridSpan w:val="2"/>
            <w:vAlign w:val="center"/>
          </w:tcPr>
          <w:p w14:paraId="344AFF22" w14:textId="1CD8EDA8" w:rsidR="00A37E6F" w:rsidRPr="0018212C" w:rsidRDefault="003843C3" w:rsidP="002619F0">
            <w:pPr>
              <w:spacing w:after="0" w:line="240" w:lineRule="auto"/>
              <w:jc w:val="both"/>
              <w:rPr>
                <w:rFonts w:ascii="Arial" w:hAnsi="Arial" w:cs="Arial"/>
                <w:sz w:val="20"/>
                <w:szCs w:val="20"/>
                <w:lang w:val="es-ES"/>
              </w:rPr>
            </w:pPr>
            <w:r w:rsidRPr="003843C3">
              <w:rPr>
                <w:rFonts w:ascii="Arial" w:hAnsi="Arial" w:cs="Arial"/>
                <w:sz w:val="20"/>
                <w:szCs w:val="20"/>
                <w:lang w:val="es-ES"/>
              </w:rPr>
              <w:t xml:space="preserve">Plan Energético Nacional (PEN) 2015-2050 que establece la hoja de ruta de la política energética del país y que se rige por cuatro ejes conductores: (i) acceso universal y reducción de la pobreza; (ii) descarbonización de la matriz; (iii) uso eficiente de la energía y moderación del consumo; y (iv) seguridad del suministro, aprobado por el Consejo de Gabinete. </w:t>
            </w:r>
          </w:p>
        </w:tc>
        <w:tc>
          <w:tcPr>
            <w:tcW w:w="521" w:type="pct"/>
            <w:vAlign w:val="center"/>
          </w:tcPr>
          <w:p w14:paraId="3C2A90EC" w14:textId="1494526D" w:rsidR="00A37E6F" w:rsidRPr="0018212C" w:rsidRDefault="00A37E6F" w:rsidP="002619F0">
            <w:pPr>
              <w:spacing w:after="0" w:line="240" w:lineRule="auto"/>
              <w:jc w:val="center"/>
              <w:rPr>
                <w:rFonts w:ascii="Arial" w:hAnsi="Arial" w:cs="Arial"/>
                <w:sz w:val="20"/>
                <w:szCs w:val="20"/>
                <w:lang w:val="es-CO"/>
              </w:rPr>
            </w:pPr>
            <w:r w:rsidRPr="0018212C">
              <w:rPr>
                <w:rFonts w:ascii="Arial" w:hAnsi="Arial" w:cs="Arial"/>
                <w:sz w:val="20"/>
                <w:szCs w:val="20"/>
                <w:lang w:val="es-CO"/>
              </w:rPr>
              <w:t>Plan</w:t>
            </w:r>
          </w:p>
        </w:tc>
        <w:tc>
          <w:tcPr>
            <w:tcW w:w="487" w:type="pct"/>
            <w:vAlign w:val="center"/>
          </w:tcPr>
          <w:p w14:paraId="480671D8" w14:textId="55AB5A21"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6" w:type="pct"/>
            <w:vAlign w:val="center"/>
          </w:tcPr>
          <w:p w14:paraId="3A4A4994" w14:textId="01B569A1"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1</w:t>
            </w:r>
          </w:p>
        </w:tc>
        <w:tc>
          <w:tcPr>
            <w:tcW w:w="347" w:type="pct"/>
            <w:vAlign w:val="center"/>
          </w:tcPr>
          <w:p w14:paraId="4EF59200" w14:textId="0DC6B196"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61" w:type="pct"/>
          </w:tcPr>
          <w:p w14:paraId="12E26B92" w14:textId="77777777" w:rsidR="00A37E6F" w:rsidRPr="0018212C" w:rsidRDefault="00A37E6F" w:rsidP="002619F0">
            <w:pPr>
              <w:spacing w:after="0" w:line="240" w:lineRule="auto"/>
              <w:rPr>
                <w:rFonts w:ascii="Arial" w:hAnsi="Arial" w:cs="Arial"/>
                <w:sz w:val="20"/>
                <w:szCs w:val="20"/>
                <w:lang w:val="es-ES"/>
              </w:rPr>
            </w:pPr>
          </w:p>
        </w:tc>
        <w:tc>
          <w:tcPr>
            <w:tcW w:w="1098" w:type="pct"/>
            <w:vAlign w:val="center"/>
          </w:tcPr>
          <w:p w14:paraId="3DEEDEAB" w14:textId="49221288" w:rsidR="00A37E6F" w:rsidRPr="0018212C" w:rsidRDefault="00A37E6F" w:rsidP="002619F0">
            <w:pPr>
              <w:spacing w:after="0" w:line="240" w:lineRule="auto"/>
              <w:rPr>
                <w:rFonts w:ascii="Arial" w:hAnsi="Arial" w:cs="Arial"/>
                <w:sz w:val="20"/>
                <w:szCs w:val="20"/>
                <w:lang w:val="es-ES"/>
              </w:rPr>
            </w:pPr>
            <w:r w:rsidRPr="000555DF">
              <w:rPr>
                <w:rFonts w:ascii="Arial" w:hAnsi="Arial" w:cs="Arial"/>
                <w:sz w:val="20"/>
                <w:szCs w:val="20"/>
                <w:lang w:val="es-ES"/>
              </w:rPr>
              <w:t>Publicación en la Gaceta Oficial de la Resolución del Consejo de Gabinete aprobando el Plan Energético Nacional (PEN) 2015-2050.</w:t>
            </w:r>
          </w:p>
        </w:tc>
      </w:tr>
      <w:tr w:rsidR="00270AD2" w:rsidRPr="000555DF" w14:paraId="53F41F39" w14:textId="77777777" w:rsidTr="000555DF">
        <w:trPr>
          <w:trHeight w:val="440"/>
        </w:trPr>
        <w:tc>
          <w:tcPr>
            <w:tcW w:w="1840" w:type="pct"/>
            <w:gridSpan w:val="2"/>
            <w:vAlign w:val="center"/>
          </w:tcPr>
          <w:p w14:paraId="130DC5C4" w14:textId="6892956C" w:rsidR="00A37E6F" w:rsidRPr="000555DF" w:rsidRDefault="00A37E6F" w:rsidP="002619F0">
            <w:pPr>
              <w:spacing w:after="0" w:line="240" w:lineRule="auto"/>
              <w:jc w:val="both"/>
              <w:rPr>
                <w:rFonts w:ascii="Arial" w:hAnsi="Arial" w:cs="Arial"/>
                <w:sz w:val="20"/>
                <w:szCs w:val="20"/>
                <w:lang w:val="es-ES"/>
              </w:rPr>
            </w:pPr>
            <w:r w:rsidRPr="000555DF">
              <w:rPr>
                <w:rFonts w:ascii="Arial" w:hAnsi="Arial" w:cs="Arial"/>
                <w:sz w:val="20"/>
                <w:szCs w:val="20"/>
                <w:lang w:val="es-ES"/>
              </w:rPr>
              <w:t>Definición del alcance de una propuesta de modificación de los modelos de pliegos de contratación de energía eléctrica de largo plazo para que consideren múltiples fuentes y tecnologías de generación, aprobado por la SNE.</w:t>
            </w:r>
          </w:p>
        </w:tc>
        <w:tc>
          <w:tcPr>
            <w:tcW w:w="521" w:type="pct"/>
            <w:vAlign w:val="center"/>
          </w:tcPr>
          <w:p w14:paraId="1268BE82" w14:textId="6046BC17" w:rsidR="00A37E6F" w:rsidRPr="000555DF" w:rsidRDefault="00A37E6F" w:rsidP="002619F0">
            <w:pPr>
              <w:spacing w:after="0" w:line="240" w:lineRule="auto"/>
              <w:jc w:val="center"/>
              <w:rPr>
                <w:rFonts w:ascii="Arial" w:hAnsi="Arial" w:cs="Arial"/>
                <w:sz w:val="20"/>
                <w:szCs w:val="20"/>
                <w:lang w:val="es-CO"/>
              </w:rPr>
            </w:pPr>
            <w:r w:rsidRPr="000555DF">
              <w:rPr>
                <w:rFonts w:ascii="Arial" w:hAnsi="Arial" w:cs="Arial"/>
                <w:sz w:val="20"/>
                <w:szCs w:val="20"/>
                <w:lang w:val="es-CO"/>
              </w:rPr>
              <w:t>Términos de Referencia</w:t>
            </w:r>
          </w:p>
        </w:tc>
        <w:tc>
          <w:tcPr>
            <w:tcW w:w="487" w:type="pct"/>
            <w:vAlign w:val="center"/>
          </w:tcPr>
          <w:p w14:paraId="57612D95" w14:textId="50B60644"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6" w:type="pct"/>
            <w:vAlign w:val="center"/>
          </w:tcPr>
          <w:p w14:paraId="461E9B59" w14:textId="55EB5AC6"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1</w:t>
            </w:r>
          </w:p>
        </w:tc>
        <w:tc>
          <w:tcPr>
            <w:tcW w:w="347" w:type="pct"/>
            <w:vAlign w:val="center"/>
          </w:tcPr>
          <w:p w14:paraId="1F3A8697" w14:textId="54F9A8A0"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61" w:type="pct"/>
          </w:tcPr>
          <w:p w14:paraId="4CAA63AF" w14:textId="77777777" w:rsidR="00A37E6F" w:rsidRPr="0018212C" w:rsidRDefault="00A37E6F" w:rsidP="002619F0">
            <w:pPr>
              <w:spacing w:after="0" w:line="240" w:lineRule="auto"/>
              <w:rPr>
                <w:rFonts w:ascii="Arial" w:hAnsi="Arial" w:cs="Arial"/>
                <w:sz w:val="20"/>
                <w:szCs w:val="20"/>
                <w:lang w:val="es-ES"/>
              </w:rPr>
            </w:pPr>
          </w:p>
        </w:tc>
        <w:tc>
          <w:tcPr>
            <w:tcW w:w="1098" w:type="pct"/>
            <w:vAlign w:val="center"/>
          </w:tcPr>
          <w:p w14:paraId="234A1FDB" w14:textId="478D4D13" w:rsidR="00A37E6F" w:rsidRPr="0018212C" w:rsidRDefault="00A37E6F" w:rsidP="002619F0">
            <w:pPr>
              <w:spacing w:after="0" w:line="240" w:lineRule="auto"/>
              <w:rPr>
                <w:rFonts w:ascii="Arial" w:hAnsi="Arial" w:cs="Arial"/>
                <w:sz w:val="20"/>
                <w:szCs w:val="20"/>
                <w:lang w:val="es-ES"/>
              </w:rPr>
            </w:pPr>
            <w:r w:rsidRPr="000555DF">
              <w:rPr>
                <w:rFonts w:ascii="Arial" w:hAnsi="Arial" w:cs="Arial"/>
                <w:sz w:val="20"/>
                <w:szCs w:val="20"/>
                <w:lang w:val="es-ES"/>
              </w:rPr>
              <w:t>Comunicación de la SNE, aprobando los Términos de Referencia para la preparación de la propuesta de modificación de los pliegos de contratación de energía eléctrica de largo plazo, que considera múltiples fuentes y tecnologías.</w:t>
            </w:r>
          </w:p>
        </w:tc>
      </w:tr>
      <w:tr w:rsidR="00270AD2" w:rsidRPr="000555DF" w14:paraId="5FFFCC71" w14:textId="77777777" w:rsidTr="000555DF">
        <w:trPr>
          <w:trHeight w:val="359"/>
        </w:trPr>
        <w:tc>
          <w:tcPr>
            <w:tcW w:w="1840" w:type="pct"/>
            <w:gridSpan w:val="2"/>
            <w:vAlign w:val="center"/>
          </w:tcPr>
          <w:p w14:paraId="7D48378E" w14:textId="5A13ACBF" w:rsidR="00A37E6F" w:rsidRPr="000555DF" w:rsidRDefault="003843C3" w:rsidP="0018212C">
            <w:pPr>
              <w:jc w:val="both"/>
              <w:rPr>
                <w:rFonts w:ascii="Arial" w:hAnsi="Arial" w:cs="Arial"/>
                <w:sz w:val="20"/>
                <w:szCs w:val="20"/>
                <w:lang w:val="es-ES"/>
              </w:rPr>
            </w:pPr>
            <w:r w:rsidRPr="003843C3">
              <w:rPr>
                <w:rFonts w:ascii="Arial" w:hAnsi="Arial" w:cs="Arial"/>
                <w:sz w:val="20"/>
                <w:szCs w:val="20"/>
                <w:lang w:val="es-ES"/>
              </w:rPr>
              <w:lastRenderedPageBreak/>
              <w:t>Plan Energético Nacional 2015-2050 actualizado, aprobado por el Consejo de Gabinete</w:t>
            </w:r>
            <w:r w:rsidR="00A37E6F" w:rsidRPr="000555DF">
              <w:rPr>
                <w:rStyle w:val="FootnoteReference"/>
                <w:rFonts w:ascii="Arial" w:hAnsi="Arial" w:cs="Arial"/>
                <w:sz w:val="20"/>
                <w:szCs w:val="20"/>
                <w:lang w:val="es-ES"/>
              </w:rPr>
              <w:footnoteReference w:id="8"/>
            </w:r>
            <w:r w:rsidR="00A37E6F" w:rsidRPr="000555DF">
              <w:rPr>
                <w:rFonts w:ascii="Arial" w:hAnsi="Arial" w:cs="Arial"/>
                <w:sz w:val="20"/>
                <w:szCs w:val="20"/>
                <w:lang w:val="es-ES"/>
              </w:rPr>
              <w:t>.</w:t>
            </w:r>
          </w:p>
          <w:p w14:paraId="575EC059" w14:textId="24B51FF1" w:rsidR="00A37E6F" w:rsidRPr="0018212C" w:rsidRDefault="00A37E6F" w:rsidP="002619F0">
            <w:pPr>
              <w:spacing w:after="0" w:line="240" w:lineRule="auto"/>
              <w:jc w:val="both"/>
              <w:rPr>
                <w:rFonts w:ascii="Arial" w:hAnsi="Arial" w:cs="Arial"/>
                <w:sz w:val="20"/>
                <w:szCs w:val="20"/>
                <w:lang w:val="es-ES"/>
              </w:rPr>
            </w:pPr>
          </w:p>
        </w:tc>
        <w:tc>
          <w:tcPr>
            <w:tcW w:w="521" w:type="pct"/>
            <w:vAlign w:val="center"/>
          </w:tcPr>
          <w:p w14:paraId="6905ECB9" w14:textId="368D1D0E" w:rsidR="00A37E6F" w:rsidRPr="0018212C" w:rsidRDefault="00A37E6F" w:rsidP="002619F0">
            <w:pPr>
              <w:spacing w:after="0" w:line="240" w:lineRule="auto"/>
              <w:jc w:val="center"/>
              <w:rPr>
                <w:rFonts w:ascii="Arial" w:hAnsi="Arial" w:cs="Arial"/>
                <w:sz w:val="20"/>
                <w:szCs w:val="20"/>
                <w:lang w:val="es-CO"/>
              </w:rPr>
            </w:pPr>
            <w:r w:rsidRPr="0018212C">
              <w:rPr>
                <w:rFonts w:ascii="Arial" w:hAnsi="Arial" w:cs="Arial"/>
                <w:sz w:val="20"/>
                <w:szCs w:val="20"/>
                <w:lang w:val="es-CO"/>
              </w:rPr>
              <w:t>Plan</w:t>
            </w:r>
          </w:p>
        </w:tc>
        <w:tc>
          <w:tcPr>
            <w:tcW w:w="487" w:type="pct"/>
            <w:vAlign w:val="center"/>
          </w:tcPr>
          <w:p w14:paraId="23575F9B" w14:textId="418A18D1"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6" w:type="pct"/>
            <w:vAlign w:val="center"/>
          </w:tcPr>
          <w:p w14:paraId="69FB9473" w14:textId="445E1FA2"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7" w:type="pct"/>
            <w:vAlign w:val="center"/>
          </w:tcPr>
          <w:p w14:paraId="737AE321" w14:textId="6820378D"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1</w:t>
            </w:r>
          </w:p>
        </w:tc>
        <w:tc>
          <w:tcPr>
            <w:tcW w:w="361" w:type="pct"/>
          </w:tcPr>
          <w:p w14:paraId="4F145DB3" w14:textId="77777777" w:rsidR="00A37E6F" w:rsidRPr="0018212C" w:rsidRDefault="00A37E6F" w:rsidP="0018212C">
            <w:pPr>
              <w:jc w:val="both"/>
              <w:rPr>
                <w:rFonts w:ascii="Arial" w:hAnsi="Arial" w:cs="Arial"/>
                <w:sz w:val="20"/>
                <w:szCs w:val="20"/>
                <w:lang w:val="es-ES"/>
              </w:rPr>
            </w:pPr>
          </w:p>
        </w:tc>
        <w:tc>
          <w:tcPr>
            <w:tcW w:w="1098" w:type="pct"/>
            <w:vAlign w:val="center"/>
          </w:tcPr>
          <w:p w14:paraId="2E58266F" w14:textId="0D09E149" w:rsidR="00A37E6F" w:rsidRPr="000555DF" w:rsidRDefault="00A37E6F" w:rsidP="0018212C">
            <w:pPr>
              <w:jc w:val="both"/>
              <w:rPr>
                <w:rFonts w:ascii="Arial" w:hAnsi="Arial" w:cs="Arial"/>
                <w:sz w:val="20"/>
                <w:szCs w:val="20"/>
                <w:lang w:val="es-ES"/>
              </w:rPr>
            </w:pPr>
            <w:r w:rsidRPr="000555DF">
              <w:rPr>
                <w:rFonts w:ascii="Arial" w:hAnsi="Arial" w:cs="Arial"/>
                <w:sz w:val="20"/>
                <w:szCs w:val="20"/>
                <w:lang w:val="es-ES"/>
              </w:rPr>
              <w:t xml:space="preserve">Resolución del Consejo de Gabinete que aprueba el Plan Energético Nacional 2015-2050. </w:t>
            </w:r>
          </w:p>
          <w:p w14:paraId="4C6863A5" w14:textId="53972735" w:rsidR="00A37E6F" w:rsidRPr="0018212C" w:rsidRDefault="00A37E6F" w:rsidP="002619F0">
            <w:pPr>
              <w:spacing w:after="0" w:line="240" w:lineRule="auto"/>
              <w:jc w:val="both"/>
              <w:rPr>
                <w:rFonts w:ascii="Arial" w:hAnsi="Arial" w:cs="Arial"/>
                <w:sz w:val="20"/>
                <w:szCs w:val="20"/>
                <w:lang w:val="es-ES"/>
              </w:rPr>
            </w:pPr>
          </w:p>
        </w:tc>
      </w:tr>
      <w:tr w:rsidR="00270AD2" w:rsidRPr="000555DF" w14:paraId="5D03AAD6" w14:textId="77777777" w:rsidTr="000555DF">
        <w:trPr>
          <w:trHeight w:val="287"/>
        </w:trPr>
        <w:tc>
          <w:tcPr>
            <w:tcW w:w="1840" w:type="pct"/>
            <w:gridSpan w:val="2"/>
            <w:vAlign w:val="center"/>
          </w:tcPr>
          <w:p w14:paraId="7352F5AC" w14:textId="5BDF5561" w:rsidR="00A37E6F" w:rsidRPr="0018212C" w:rsidRDefault="003843C3" w:rsidP="002619F0">
            <w:pPr>
              <w:spacing w:after="0" w:line="240" w:lineRule="auto"/>
              <w:jc w:val="both"/>
              <w:rPr>
                <w:rFonts w:ascii="Arial" w:hAnsi="Arial" w:cs="Arial"/>
                <w:sz w:val="20"/>
                <w:szCs w:val="20"/>
                <w:lang w:val="es-ES"/>
              </w:rPr>
            </w:pPr>
            <w:r w:rsidRPr="003843C3">
              <w:rPr>
                <w:rFonts w:ascii="Arial" w:hAnsi="Arial" w:cs="Arial"/>
                <w:sz w:val="20"/>
                <w:szCs w:val="20"/>
                <w:lang w:val="es-ES"/>
              </w:rPr>
              <w:t>Reglas de compra conteniendo los modelos de pliegos de contratación de energía eléctrica de largo plazo para que consideren múltiples fuentes y tecnologías de generación, aprobadas por la ASEP</w:t>
            </w:r>
            <w:r w:rsidR="00A37E6F" w:rsidRPr="000555DF">
              <w:rPr>
                <w:rFonts w:ascii="Arial" w:hAnsi="Arial" w:cs="Arial"/>
                <w:sz w:val="20"/>
                <w:szCs w:val="20"/>
                <w:lang w:val="es-ES"/>
              </w:rPr>
              <w:t>.</w:t>
            </w:r>
          </w:p>
        </w:tc>
        <w:tc>
          <w:tcPr>
            <w:tcW w:w="521" w:type="pct"/>
            <w:vAlign w:val="center"/>
          </w:tcPr>
          <w:p w14:paraId="50A7B388" w14:textId="0B02BA55" w:rsidR="00A37E6F" w:rsidRPr="0018212C" w:rsidRDefault="00A37E6F" w:rsidP="002619F0">
            <w:pPr>
              <w:spacing w:after="0" w:line="240" w:lineRule="auto"/>
              <w:jc w:val="center"/>
              <w:rPr>
                <w:rFonts w:ascii="Arial" w:hAnsi="Arial" w:cs="Arial"/>
                <w:sz w:val="20"/>
                <w:szCs w:val="20"/>
                <w:lang w:val="es-CO"/>
              </w:rPr>
            </w:pPr>
            <w:r w:rsidRPr="0018212C">
              <w:rPr>
                <w:rFonts w:ascii="Arial" w:hAnsi="Arial" w:cs="Arial"/>
                <w:sz w:val="20"/>
                <w:szCs w:val="20"/>
                <w:lang w:val="es-CO"/>
              </w:rPr>
              <w:t>Reglas</w:t>
            </w:r>
          </w:p>
        </w:tc>
        <w:tc>
          <w:tcPr>
            <w:tcW w:w="487" w:type="pct"/>
            <w:vAlign w:val="center"/>
          </w:tcPr>
          <w:p w14:paraId="4C9F3F8C" w14:textId="2769C3CE"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6" w:type="pct"/>
            <w:vAlign w:val="center"/>
          </w:tcPr>
          <w:p w14:paraId="1455C138" w14:textId="266F7499"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7" w:type="pct"/>
            <w:vAlign w:val="center"/>
          </w:tcPr>
          <w:p w14:paraId="38E22F47" w14:textId="5F9C3C89"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1</w:t>
            </w:r>
          </w:p>
        </w:tc>
        <w:tc>
          <w:tcPr>
            <w:tcW w:w="361" w:type="pct"/>
          </w:tcPr>
          <w:p w14:paraId="46B913A5" w14:textId="77777777" w:rsidR="00A37E6F" w:rsidRPr="0018212C" w:rsidRDefault="00A37E6F" w:rsidP="002619F0">
            <w:pPr>
              <w:spacing w:after="0" w:line="240" w:lineRule="auto"/>
              <w:rPr>
                <w:rFonts w:ascii="Arial" w:hAnsi="Arial" w:cs="Arial"/>
                <w:sz w:val="20"/>
                <w:szCs w:val="20"/>
                <w:lang w:val="es-ES"/>
              </w:rPr>
            </w:pPr>
          </w:p>
        </w:tc>
        <w:tc>
          <w:tcPr>
            <w:tcW w:w="1098" w:type="pct"/>
            <w:vAlign w:val="center"/>
          </w:tcPr>
          <w:p w14:paraId="583C7788" w14:textId="21DB4BA6" w:rsidR="00A37E6F" w:rsidRPr="0018212C" w:rsidRDefault="00A37E6F" w:rsidP="002619F0">
            <w:pPr>
              <w:spacing w:after="0" w:line="240" w:lineRule="auto"/>
              <w:rPr>
                <w:rFonts w:ascii="Arial" w:hAnsi="Arial" w:cs="Arial"/>
                <w:sz w:val="20"/>
                <w:szCs w:val="20"/>
                <w:lang w:val="es-ES"/>
              </w:rPr>
            </w:pPr>
            <w:r w:rsidRPr="000555DF">
              <w:rPr>
                <w:rFonts w:ascii="Arial" w:hAnsi="Arial" w:cs="Arial"/>
                <w:sz w:val="20"/>
                <w:szCs w:val="20"/>
                <w:lang w:val="es-ES"/>
              </w:rPr>
              <w:t>Resolución de la ASEP conteniendo las reglas de compra y los modelos de pliegos.</w:t>
            </w:r>
          </w:p>
        </w:tc>
      </w:tr>
      <w:tr w:rsidR="00A37E6F" w:rsidRPr="000555DF" w14:paraId="5DBEED10" w14:textId="77777777" w:rsidTr="000555DF">
        <w:trPr>
          <w:trHeight w:val="341"/>
        </w:trPr>
        <w:tc>
          <w:tcPr>
            <w:tcW w:w="1065" w:type="pct"/>
            <w:shd w:val="clear" w:color="auto" w:fill="C6D9F1" w:themeFill="text2" w:themeFillTint="33"/>
          </w:tcPr>
          <w:p w14:paraId="45626DB1" w14:textId="77777777" w:rsidR="00A37E6F" w:rsidRPr="0018212C" w:rsidRDefault="00A37E6F" w:rsidP="002619F0">
            <w:pPr>
              <w:spacing w:after="0" w:line="240" w:lineRule="auto"/>
              <w:jc w:val="both"/>
              <w:rPr>
                <w:rFonts w:ascii="Arial" w:hAnsi="Arial" w:cs="Arial"/>
                <w:b/>
                <w:i/>
                <w:sz w:val="20"/>
                <w:szCs w:val="20"/>
                <w:lang w:val="es-ES"/>
              </w:rPr>
            </w:pPr>
          </w:p>
        </w:tc>
        <w:tc>
          <w:tcPr>
            <w:tcW w:w="3935" w:type="pct"/>
            <w:gridSpan w:val="7"/>
            <w:shd w:val="clear" w:color="auto" w:fill="C6D9F1" w:themeFill="text2" w:themeFillTint="33"/>
          </w:tcPr>
          <w:p w14:paraId="01315CBA" w14:textId="10591AB6" w:rsidR="00A37E6F" w:rsidRPr="0018212C" w:rsidRDefault="00A37E6F" w:rsidP="002619F0">
            <w:pPr>
              <w:spacing w:after="0" w:line="240" w:lineRule="auto"/>
              <w:jc w:val="both"/>
              <w:rPr>
                <w:rFonts w:ascii="Arial" w:hAnsi="Arial" w:cs="Arial"/>
                <w:sz w:val="20"/>
                <w:szCs w:val="20"/>
                <w:lang w:val="es-ES"/>
              </w:rPr>
            </w:pPr>
            <w:r w:rsidRPr="0018212C">
              <w:rPr>
                <w:rFonts w:ascii="Arial" w:hAnsi="Arial" w:cs="Arial"/>
                <w:b/>
                <w:i/>
                <w:sz w:val="20"/>
                <w:szCs w:val="20"/>
                <w:lang w:val="es-ES"/>
              </w:rPr>
              <w:t>Subcomponente</w:t>
            </w:r>
            <w:r w:rsidRPr="0018212C">
              <w:rPr>
                <w:rFonts w:ascii="Arial" w:hAnsi="Arial" w:cs="Arial"/>
                <w:b/>
                <w:i/>
                <w:sz w:val="20"/>
                <w:szCs w:val="20"/>
                <w:lang w:val="es-CO"/>
              </w:rPr>
              <w:t xml:space="preserve"> 2.3. Racionalización de subsidios y tarifas en el sector energético</w:t>
            </w:r>
          </w:p>
        </w:tc>
      </w:tr>
      <w:tr w:rsidR="00270AD2" w:rsidRPr="000555DF" w14:paraId="126B0B37" w14:textId="77777777" w:rsidTr="000555DF">
        <w:trPr>
          <w:trHeight w:val="395"/>
        </w:trPr>
        <w:tc>
          <w:tcPr>
            <w:tcW w:w="1840" w:type="pct"/>
            <w:gridSpan w:val="2"/>
            <w:vAlign w:val="center"/>
          </w:tcPr>
          <w:p w14:paraId="00996013" w14:textId="3E3339D7" w:rsidR="00A37E6F" w:rsidRPr="000555DF" w:rsidRDefault="00A37E6F" w:rsidP="000555DF">
            <w:pPr>
              <w:rPr>
                <w:rFonts w:ascii="Arial" w:hAnsi="Arial" w:cs="Arial"/>
                <w:sz w:val="20"/>
                <w:szCs w:val="20"/>
                <w:lang w:val="es-ES"/>
              </w:rPr>
            </w:pPr>
            <w:r w:rsidRPr="000555DF">
              <w:rPr>
                <w:rFonts w:ascii="Arial" w:hAnsi="Arial" w:cs="Arial"/>
                <w:sz w:val="20"/>
                <w:szCs w:val="20"/>
                <w:lang w:val="es-ES"/>
              </w:rPr>
              <w:t>Focalización de subsidios en el sector energético mediante la reducción del subsidio del Fondo Tarifario de Occidente (FTO), y la eliminación del Fondo de Compensación Energética (FACE), aprobada por el Gabinete de Ministros.</w:t>
            </w:r>
          </w:p>
        </w:tc>
        <w:tc>
          <w:tcPr>
            <w:tcW w:w="521" w:type="pct"/>
            <w:vAlign w:val="center"/>
          </w:tcPr>
          <w:p w14:paraId="17076F01" w14:textId="685ABCBB" w:rsidR="00A37E6F" w:rsidRPr="000555DF" w:rsidRDefault="00A37E6F" w:rsidP="002619F0">
            <w:pPr>
              <w:spacing w:after="0" w:line="240" w:lineRule="auto"/>
              <w:jc w:val="center"/>
              <w:rPr>
                <w:rFonts w:ascii="Arial" w:hAnsi="Arial" w:cs="Arial"/>
                <w:sz w:val="20"/>
                <w:szCs w:val="20"/>
                <w:lang w:val="es-BO"/>
              </w:rPr>
            </w:pPr>
            <w:r w:rsidRPr="000555DF">
              <w:rPr>
                <w:rFonts w:ascii="Arial" w:hAnsi="Arial" w:cs="Arial"/>
                <w:sz w:val="20"/>
                <w:szCs w:val="20"/>
                <w:lang w:val="es-ES"/>
              </w:rPr>
              <w:t>Informe</w:t>
            </w:r>
          </w:p>
        </w:tc>
        <w:tc>
          <w:tcPr>
            <w:tcW w:w="487" w:type="pct"/>
            <w:vAlign w:val="center"/>
          </w:tcPr>
          <w:p w14:paraId="133A3263" w14:textId="7C073177"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6" w:type="pct"/>
            <w:vAlign w:val="center"/>
          </w:tcPr>
          <w:p w14:paraId="3AABC7B6" w14:textId="3B0192C6"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1</w:t>
            </w:r>
          </w:p>
        </w:tc>
        <w:tc>
          <w:tcPr>
            <w:tcW w:w="347" w:type="pct"/>
            <w:vAlign w:val="center"/>
          </w:tcPr>
          <w:p w14:paraId="6B1954BD" w14:textId="4668892D"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61" w:type="pct"/>
          </w:tcPr>
          <w:p w14:paraId="1792BBFF" w14:textId="77777777" w:rsidR="00A37E6F" w:rsidRPr="0018212C" w:rsidRDefault="00A37E6F" w:rsidP="0018212C">
            <w:pPr>
              <w:rPr>
                <w:rFonts w:ascii="Arial" w:hAnsi="Arial" w:cs="Arial"/>
                <w:sz w:val="20"/>
                <w:szCs w:val="20"/>
                <w:lang w:val="es-ES"/>
              </w:rPr>
            </w:pPr>
          </w:p>
        </w:tc>
        <w:tc>
          <w:tcPr>
            <w:tcW w:w="1098" w:type="pct"/>
            <w:vAlign w:val="center"/>
          </w:tcPr>
          <w:p w14:paraId="367F85BF" w14:textId="3FC8DB52" w:rsidR="00A37E6F" w:rsidRPr="000555DF" w:rsidRDefault="00A37E6F" w:rsidP="0018212C">
            <w:pPr>
              <w:rPr>
                <w:rFonts w:ascii="Arial" w:hAnsi="Arial" w:cs="Arial"/>
                <w:sz w:val="20"/>
                <w:szCs w:val="20"/>
                <w:lang w:val="es-ES"/>
              </w:rPr>
            </w:pPr>
            <w:r w:rsidRPr="000555DF">
              <w:rPr>
                <w:rFonts w:ascii="Arial" w:hAnsi="Arial" w:cs="Arial"/>
                <w:sz w:val="20"/>
                <w:szCs w:val="20"/>
                <w:lang w:val="es-ES"/>
              </w:rPr>
              <w:t xml:space="preserve">Publicación en la Gaceta Oficial de la </w:t>
            </w:r>
            <w:hyperlink r:id="rId11">
              <w:r w:rsidRPr="000555DF">
                <w:rPr>
                  <w:rFonts w:ascii="Arial" w:hAnsi="Arial" w:cs="Arial"/>
                  <w:sz w:val="20"/>
                  <w:szCs w:val="20"/>
                  <w:lang w:val="es-ES"/>
                </w:rPr>
                <w:t xml:space="preserve">Resolución </w:t>
              </w:r>
            </w:hyperlink>
            <w:r w:rsidRPr="000555DF">
              <w:rPr>
                <w:rFonts w:ascii="Arial" w:hAnsi="Arial" w:cs="Arial"/>
                <w:sz w:val="20"/>
                <w:szCs w:val="20"/>
                <w:lang w:val="es-ES"/>
              </w:rPr>
              <w:t xml:space="preserve">que establece la reducción del subsidio del Fondo Tarifario de Occidente (FTO). </w:t>
            </w:r>
          </w:p>
          <w:p w14:paraId="45D4C10F" w14:textId="192D5AAD" w:rsidR="00A37E6F" w:rsidRPr="0018212C" w:rsidRDefault="00A37E6F" w:rsidP="002619F0">
            <w:pPr>
              <w:spacing w:after="0" w:line="240" w:lineRule="auto"/>
              <w:rPr>
                <w:rFonts w:ascii="Arial" w:hAnsi="Arial" w:cs="Arial"/>
                <w:sz w:val="20"/>
                <w:szCs w:val="20"/>
                <w:lang w:val="es-ES"/>
              </w:rPr>
            </w:pPr>
            <w:r w:rsidRPr="000555DF">
              <w:rPr>
                <w:rFonts w:ascii="Arial" w:hAnsi="Arial" w:cs="Arial"/>
                <w:sz w:val="20"/>
                <w:szCs w:val="20"/>
                <w:lang w:val="es-ES"/>
              </w:rPr>
              <w:t xml:space="preserve">Publicación en la Gaceta Oficial de la </w:t>
            </w:r>
            <w:hyperlink r:id="rId12">
              <w:r w:rsidRPr="000555DF">
                <w:rPr>
                  <w:rFonts w:ascii="Arial" w:hAnsi="Arial" w:cs="Arial"/>
                  <w:sz w:val="20"/>
                  <w:szCs w:val="20"/>
                  <w:lang w:val="es-ES"/>
                </w:rPr>
                <w:t xml:space="preserve">Resolución  </w:t>
              </w:r>
            </w:hyperlink>
            <w:r w:rsidRPr="000555DF">
              <w:rPr>
                <w:rFonts w:ascii="Arial" w:hAnsi="Arial" w:cs="Arial"/>
                <w:sz w:val="20"/>
                <w:szCs w:val="20"/>
                <w:lang w:val="es-ES"/>
              </w:rPr>
              <w:t>que establece la disolución del Fideicomiso y extinción del FACE.</w:t>
            </w:r>
          </w:p>
        </w:tc>
      </w:tr>
      <w:tr w:rsidR="00270AD2" w:rsidRPr="000555DF" w14:paraId="4A0582A9" w14:textId="77777777" w:rsidTr="000555DF">
        <w:trPr>
          <w:trHeight w:val="395"/>
        </w:trPr>
        <w:tc>
          <w:tcPr>
            <w:tcW w:w="1840" w:type="pct"/>
            <w:gridSpan w:val="2"/>
            <w:vAlign w:val="center"/>
          </w:tcPr>
          <w:p w14:paraId="0F9C2649" w14:textId="1DC8FF78" w:rsidR="00A37E6F" w:rsidRPr="0018212C" w:rsidRDefault="00A37E6F" w:rsidP="002619F0">
            <w:pPr>
              <w:spacing w:after="0" w:line="240" w:lineRule="auto"/>
              <w:jc w:val="both"/>
              <w:rPr>
                <w:rFonts w:ascii="Arial" w:hAnsi="Arial" w:cs="Arial"/>
                <w:sz w:val="20"/>
                <w:szCs w:val="20"/>
                <w:lang w:val="es-ES"/>
              </w:rPr>
            </w:pPr>
            <w:r w:rsidRPr="000555DF">
              <w:rPr>
                <w:rFonts w:ascii="Arial" w:hAnsi="Arial" w:cs="Arial"/>
                <w:sz w:val="20"/>
                <w:szCs w:val="20"/>
                <w:lang w:val="es-ES"/>
              </w:rPr>
              <w:t>Estudio para la revisión y definición de un nuevo esquema tarifario que promueva que las tarifas eléctricas se estructuren sobre la base de costos eficientes, contratado por la ASEP.</w:t>
            </w:r>
          </w:p>
        </w:tc>
        <w:tc>
          <w:tcPr>
            <w:tcW w:w="521" w:type="pct"/>
            <w:vAlign w:val="center"/>
          </w:tcPr>
          <w:p w14:paraId="74757A4F" w14:textId="395FE90F"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ES"/>
              </w:rPr>
              <w:t>Estudio</w:t>
            </w:r>
          </w:p>
        </w:tc>
        <w:tc>
          <w:tcPr>
            <w:tcW w:w="487" w:type="pct"/>
            <w:vAlign w:val="center"/>
          </w:tcPr>
          <w:p w14:paraId="59E226F4" w14:textId="2F7CBAB1"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6" w:type="pct"/>
            <w:vAlign w:val="center"/>
          </w:tcPr>
          <w:p w14:paraId="53FD3B07" w14:textId="5F12F4C3"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1</w:t>
            </w:r>
          </w:p>
        </w:tc>
        <w:tc>
          <w:tcPr>
            <w:tcW w:w="347" w:type="pct"/>
            <w:vAlign w:val="center"/>
          </w:tcPr>
          <w:p w14:paraId="34CE53F6" w14:textId="7544BC38"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61" w:type="pct"/>
          </w:tcPr>
          <w:p w14:paraId="5E25D401" w14:textId="77777777" w:rsidR="00A37E6F" w:rsidRPr="0018212C" w:rsidRDefault="00A37E6F" w:rsidP="002619F0">
            <w:pPr>
              <w:spacing w:after="0" w:line="240" w:lineRule="auto"/>
              <w:rPr>
                <w:rFonts w:ascii="Arial" w:hAnsi="Arial" w:cs="Arial"/>
                <w:sz w:val="20"/>
                <w:szCs w:val="20"/>
                <w:lang w:val="es-ES"/>
              </w:rPr>
            </w:pPr>
          </w:p>
        </w:tc>
        <w:tc>
          <w:tcPr>
            <w:tcW w:w="1098" w:type="pct"/>
            <w:vAlign w:val="center"/>
          </w:tcPr>
          <w:p w14:paraId="0A97F412" w14:textId="4A8EAA3D" w:rsidR="00A37E6F" w:rsidRPr="0018212C" w:rsidRDefault="00A37E6F" w:rsidP="002619F0">
            <w:pPr>
              <w:spacing w:after="0" w:line="240" w:lineRule="auto"/>
              <w:rPr>
                <w:rFonts w:ascii="Arial" w:hAnsi="Arial" w:cs="Arial"/>
                <w:sz w:val="20"/>
                <w:szCs w:val="20"/>
                <w:lang w:val="es-ES"/>
              </w:rPr>
            </w:pPr>
            <w:r w:rsidRPr="0018212C">
              <w:rPr>
                <w:rFonts w:ascii="Arial" w:hAnsi="Arial" w:cs="Arial"/>
                <w:sz w:val="20"/>
                <w:szCs w:val="20"/>
                <w:lang w:val="es-ES"/>
              </w:rPr>
              <w:t xml:space="preserve">Comunicación de la ASEP remitiendo copia del contrato firmado para llevar a cabo los estudios de revisión y definición de un nuevo esquema tarifario que promueva que las tarifas eléctricas se estructuren sobre la base de costos eficientes. </w:t>
            </w:r>
          </w:p>
          <w:p w14:paraId="6A77C4BA" w14:textId="5C585FE3" w:rsidR="00A37E6F" w:rsidRPr="0018212C" w:rsidRDefault="00A37E6F" w:rsidP="002619F0">
            <w:pPr>
              <w:spacing w:after="0" w:line="240" w:lineRule="auto"/>
              <w:rPr>
                <w:rFonts w:ascii="Arial" w:hAnsi="Arial" w:cs="Arial"/>
                <w:sz w:val="20"/>
                <w:szCs w:val="20"/>
                <w:lang w:val="es-ES"/>
              </w:rPr>
            </w:pPr>
          </w:p>
        </w:tc>
      </w:tr>
      <w:tr w:rsidR="00270AD2" w:rsidRPr="000555DF" w14:paraId="35A3E70C" w14:textId="77777777" w:rsidTr="000555DF">
        <w:trPr>
          <w:trHeight w:val="395"/>
        </w:trPr>
        <w:tc>
          <w:tcPr>
            <w:tcW w:w="1840" w:type="pct"/>
            <w:gridSpan w:val="2"/>
            <w:vAlign w:val="center"/>
          </w:tcPr>
          <w:p w14:paraId="00B63EB7" w14:textId="42FD579D" w:rsidR="00A37E6F" w:rsidRPr="0018212C" w:rsidRDefault="003843C3" w:rsidP="002619F0">
            <w:pPr>
              <w:spacing w:after="0" w:line="240" w:lineRule="auto"/>
              <w:jc w:val="both"/>
              <w:rPr>
                <w:rFonts w:ascii="Arial" w:hAnsi="Arial" w:cs="Arial"/>
                <w:sz w:val="20"/>
                <w:szCs w:val="20"/>
                <w:lang w:val="es-ES"/>
              </w:rPr>
            </w:pPr>
            <w:r w:rsidRPr="003843C3">
              <w:rPr>
                <w:rFonts w:ascii="Arial" w:hAnsi="Arial" w:cs="Arial"/>
                <w:sz w:val="20"/>
                <w:szCs w:val="20"/>
                <w:lang w:val="es-ES"/>
              </w:rPr>
              <w:t xml:space="preserve">Estudio para la focalización de subsidios en tarifas eléctricas y de Gas Licuado de Petróleo que </w:t>
            </w:r>
            <w:r w:rsidRPr="003843C3">
              <w:rPr>
                <w:rFonts w:ascii="Arial" w:hAnsi="Arial" w:cs="Arial"/>
                <w:sz w:val="20"/>
                <w:szCs w:val="20"/>
                <w:lang w:val="es-ES"/>
              </w:rPr>
              <w:lastRenderedPageBreak/>
              <w:t>beneficien exclusivamente a población de menores ingresos; aprobado la SNE</w:t>
            </w:r>
            <w:r w:rsidR="00A37E6F" w:rsidRPr="000555DF">
              <w:rPr>
                <w:rFonts w:ascii="Arial" w:hAnsi="Arial" w:cs="Arial"/>
                <w:sz w:val="20"/>
                <w:szCs w:val="20"/>
                <w:lang w:val="es-ES"/>
              </w:rPr>
              <w:t>.</w:t>
            </w:r>
          </w:p>
        </w:tc>
        <w:tc>
          <w:tcPr>
            <w:tcW w:w="521" w:type="pct"/>
            <w:vAlign w:val="center"/>
          </w:tcPr>
          <w:p w14:paraId="6A909791" w14:textId="7CB5EC00"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ES"/>
              </w:rPr>
              <w:lastRenderedPageBreak/>
              <w:t>Estudio</w:t>
            </w:r>
          </w:p>
        </w:tc>
        <w:tc>
          <w:tcPr>
            <w:tcW w:w="487" w:type="pct"/>
            <w:vAlign w:val="center"/>
          </w:tcPr>
          <w:p w14:paraId="48139282" w14:textId="6A2BB60E"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6" w:type="pct"/>
            <w:vAlign w:val="center"/>
          </w:tcPr>
          <w:p w14:paraId="31E85BB2" w14:textId="29F4333E"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7" w:type="pct"/>
            <w:vAlign w:val="center"/>
          </w:tcPr>
          <w:p w14:paraId="3A1286AB" w14:textId="185EAA8A"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1</w:t>
            </w:r>
          </w:p>
        </w:tc>
        <w:tc>
          <w:tcPr>
            <w:tcW w:w="361" w:type="pct"/>
          </w:tcPr>
          <w:p w14:paraId="1726AE39" w14:textId="77777777" w:rsidR="00A37E6F" w:rsidRPr="0018212C" w:rsidRDefault="00A37E6F" w:rsidP="002619F0">
            <w:pPr>
              <w:spacing w:after="0" w:line="240" w:lineRule="auto"/>
              <w:rPr>
                <w:rFonts w:ascii="Arial" w:hAnsi="Arial" w:cs="Arial"/>
                <w:sz w:val="20"/>
                <w:szCs w:val="20"/>
                <w:lang w:val="es-ES"/>
              </w:rPr>
            </w:pPr>
          </w:p>
        </w:tc>
        <w:tc>
          <w:tcPr>
            <w:tcW w:w="1098" w:type="pct"/>
            <w:vAlign w:val="center"/>
          </w:tcPr>
          <w:p w14:paraId="73C52124" w14:textId="6A19E2EA" w:rsidR="00A37E6F" w:rsidRPr="0018212C" w:rsidRDefault="00A37E6F" w:rsidP="002619F0">
            <w:pPr>
              <w:spacing w:after="0" w:line="240" w:lineRule="auto"/>
              <w:rPr>
                <w:rFonts w:ascii="Arial" w:hAnsi="Arial" w:cs="Arial"/>
                <w:sz w:val="20"/>
                <w:szCs w:val="20"/>
                <w:lang w:val="es-ES"/>
              </w:rPr>
            </w:pPr>
            <w:r w:rsidRPr="000555DF">
              <w:rPr>
                <w:rFonts w:ascii="Arial" w:hAnsi="Arial" w:cs="Arial"/>
                <w:sz w:val="20"/>
                <w:szCs w:val="20"/>
                <w:lang w:val="es-ES"/>
              </w:rPr>
              <w:t xml:space="preserve">Comunicación de la SNE del estudio para la focalización </w:t>
            </w:r>
            <w:r w:rsidRPr="000555DF">
              <w:rPr>
                <w:rFonts w:ascii="Arial" w:hAnsi="Arial" w:cs="Arial"/>
                <w:sz w:val="20"/>
                <w:szCs w:val="20"/>
                <w:lang w:val="es-ES"/>
              </w:rPr>
              <w:lastRenderedPageBreak/>
              <w:t>de subsidios en tarifas eléctricas y de Gas Licuado de Petróleo que beneficien exclusivamente a población de menores ingresos, aprobado.</w:t>
            </w:r>
          </w:p>
        </w:tc>
      </w:tr>
      <w:tr w:rsidR="00270AD2" w:rsidRPr="000555DF" w14:paraId="7F7C21D2" w14:textId="77777777" w:rsidTr="000555DF">
        <w:trPr>
          <w:trHeight w:val="395"/>
        </w:trPr>
        <w:tc>
          <w:tcPr>
            <w:tcW w:w="1840" w:type="pct"/>
            <w:gridSpan w:val="2"/>
            <w:vAlign w:val="center"/>
          </w:tcPr>
          <w:p w14:paraId="5838D525" w14:textId="7E2314F4" w:rsidR="00A37E6F" w:rsidRPr="0018212C" w:rsidRDefault="00A37E6F" w:rsidP="002619F0">
            <w:pPr>
              <w:spacing w:after="0" w:line="240" w:lineRule="auto"/>
              <w:jc w:val="both"/>
              <w:rPr>
                <w:rFonts w:ascii="Arial" w:hAnsi="Arial" w:cs="Arial"/>
                <w:sz w:val="20"/>
                <w:szCs w:val="20"/>
                <w:lang w:val="es-ES"/>
              </w:rPr>
            </w:pPr>
            <w:r w:rsidRPr="000555DF">
              <w:rPr>
                <w:rFonts w:ascii="Arial" w:hAnsi="Arial" w:cs="Arial"/>
                <w:sz w:val="20"/>
                <w:szCs w:val="20"/>
                <w:lang w:val="es-ES"/>
              </w:rPr>
              <w:lastRenderedPageBreak/>
              <w:t>Nuevo esquema tarifario que refleje criterios de costos eficientes de suministro, aprobado por la ASEP.</w:t>
            </w:r>
          </w:p>
        </w:tc>
        <w:tc>
          <w:tcPr>
            <w:tcW w:w="521" w:type="pct"/>
            <w:vAlign w:val="center"/>
          </w:tcPr>
          <w:p w14:paraId="1755E3A8" w14:textId="3A68787E"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ES"/>
              </w:rPr>
              <w:t>Esquema tarifario</w:t>
            </w:r>
          </w:p>
        </w:tc>
        <w:tc>
          <w:tcPr>
            <w:tcW w:w="487" w:type="pct"/>
            <w:vAlign w:val="center"/>
          </w:tcPr>
          <w:p w14:paraId="550B5722" w14:textId="25C77692"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6" w:type="pct"/>
            <w:vAlign w:val="center"/>
          </w:tcPr>
          <w:p w14:paraId="2F1A888C" w14:textId="701C7E6D"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0</w:t>
            </w:r>
          </w:p>
        </w:tc>
        <w:tc>
          <w:tcPr>
            <w:tcW w:w="347" w:type="pct"/>
            <w:vAlign w:val="center"/>
          </w:tcPr>
          <w:p w14:paraId="27F52A7E" w14:textId="102B0F11" w:rsidR="00A37E6F" w:rsidRPr="0018212C" w:rsidRDefault="00A37E6F" w:rsidP="002619F0">
            <w:pPr>
              <w:spacing w:after="0" w:line="240" w:lineRule="auto"/>
              <w:jc w:val="center"/>
              <w:rPr>
                <w:rFonts w:ascii="Arial" w:hAnsi="Arial" w:cs="Arial"/>
                <w:sz w:val="20"/>
                <w:szCs w:val="20"/>
                <w:lang w:val="es-BO"/>
              </w:rPr>
            </w:pPr>
            <w:r w:rsidRPr="0018212C">
              <w:rPr>
                <w:rFonts w:ascii="Arial" w:hAnsi="Arial" w:cs="Arial"/>
                <w:sz w:val="20"/>
                <w:szCs w:val="20"/>
                <w:lang w:val="es-BO"/>
              </w:rPr>
              <w:t>1</w:t>
            </w:r>
          </w:p>
        </w:tc>
        <w:tc>
          <w:tcPr>
            <w:tcW w:w="361" w:type="pct"/>
          </w:tcPr>
          <w:p w14:paraId="26AC3072" w14:textId="77777777" w:rsidR="00A37E6F" w:rsidRPr="0018212C" w:rsidRDefault="00A37E6F" w:rsidP="002619F0">
            <w:pPr>
              <w:spacing w:after="0" w:line="240" w:lineRule="auto"/>
              <w:rPr>
                <w:rFonts w:ascii="Arial" w:hAnsi="Arial" w:cs="Arial"/>
                <w:sz w:val="20"/>
                <w:szCs w:val="20"/>
                <w:lang w:val="es-ES"/>
              </w:rPr>
            </w:pPr>
          </w:p>
        </w:tc>
        <w:tc>
          <w:tcPr>
            <w:tcW w:w="1098" w:type="pct"/>
            <w:vAlign w:val="center"/>
          </w:tcPr>
          <w:p w14:paraId="036BF021" w14:textId="22E7CEB3" w:rsidR="00A37E6F" w:rsidRPr="0018212C" w:rsidRDefault="00A37E6F" w:rsidP="002619F0">
            <w:pPr>
              <w:spacing w:after="0" w:line="240" w:lineRule="auto"/>
              <w:rPr>
                <w:rFonts w:ascii="Arial" w:hAnsi="Arial" w:cs="Arial"/>
                <w:sz w:val="20"/>
                <w:szCs w:val="20"/>
                <w:lang w:val="es-ES"/>
              </w:rPr>
            </w:pPr>
            <w:r w:rsidRPr="000555DF">
              <w:rPr>
                <w:rFonts w:ascii="Arial" w:hAnsi="Arial" w:cs="Arial"/>
                <w:sz w:val="20"/>
                <w:szCs w:val="20"/>
                <w:lang w:val="es-ES"/>
              </w:rPr>
              <w:t>Resolución de la ASEP que aprueba el nuevo esquema tarifario.</w:t>
            </w:r>
          </w:p>
        </w:tc>
      </w:tr>
    </w:tbl>
    <w:p w14:paraId="21C530D8" w14:textId="71C1A9BE" w:rsidR="00637F8D" w:rsidRPr="0018212C" w:rsidRDefault="00637F8D" w:rsidP="002619F0">
      <w:pPr>
        <w:spacing w:after="0" w:line="240" w:lineRule="auto"/>
        <w:rPr>
          <w:rFonts w:ascii="Arial" w:hAnsi="Arial" w:cs="Arial"/>
          <w:sz w:val="20"/>
          <w:szCs w:val="20"/>
          <w:lang w:val="es-ES_tradnl"/>
        </w:rPr>
      </w:pPr>
    </w:p>
    <w:tbl>
      <w:tblPr>
        <w:tblW w:w="13027" w:type="dxa"/>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747"/>
        <w:gridCol w:w="1440"/>
        <w:gridCol w:w="1193"/>
        <w:gridCol w:w="906"/>
        <w:gridCol w:w="900"/>
        <w:gridCol w:w="3841"/>
      </w:tblGrid>
      <w:tr w:rsidR="00CA6090" w:rsidRPr="0018212C" w14:paraId="7C25868F" w14:textId="77777777" w:rsidTr="0083531C">
        <w:trPr>
          <w:trHeight w:val="845"/>
        </w:trPr>
        <w:tc>
          <w:tcPr>
            <w:tcW w:w="4747" w:type="dxa"/>
            <w:shd w:val="clear" w:color="auto" w:fill="D9D9D9" w:themeFill="background1" w:themeFillShade="D9"/>
            <w:vAlign w:val="center"/>
          </w:tcPr>
          <w:p w14:paraId="356FA9DD" w14:textId="72B187C2" w:rsidR="00CA6090" w:rsidRPr="0018212C" w:rsidRDefault="00CA6090" w:rsidP="002619F0">
            <w:pPr>
              <w:spacing w:after="0" w:line="240" w:lineRule="auto"/>
              <w:jc w:val="center"/>
              <w:rPr>
                <w:rFonts w:ascii="Arial" w:hAnsi="Arial" w:cs="Arial"/>
                <w:b/>
                <w:sz w:val="20"/>
                <w:szCs w:val="20"/>
                <w:lang w:val="es-CR"/>
              </w:rPr>
            </w:pPr>
            <w:r w:rsidRPr="0018212C">
              <w:rPr>
                <w:rFonts w:ascii="Arial" w:hAnsi="Arial" w:cs="Arial"/>
                <w:b/>
                <w:sz w:val="20"/>
                <w:szCs w:val="20"/>
                <w:lang w:val="es-CR"/>
              </w:rPr>
              <w:t>Indicador de Producto</w:t>
            </w:r>
          </w:p>
        </w:tc>
        <w:tc>
          <w:tcPr>
            <w:tcW w:w="1440" w:type="dxa"/>
            <w:shd w:val="clear" w:color="auto" w:fill="D9D9D9" w:themeFill="background1" w:themeFillShade="D9"/>
            <w:vAlign w:val="center"/>
          </w:tcPr>
          <w:p w14:paraId="17D45483" w14:textId="77777777" w:rsidR="00CA6090" w:rsidRPr="0018212C" w:rsidRDefault="00CA6090" w:rsidP="002619F0">
            <w:pPr>
              <w:spacing w:after="0" w:line="240" w:lineRule="auto"/>
              <w:jc w:val="center"/>
              <w:rPr>
                <w:rFonts w:ascii="Arial" w:hAnsi="Arial" w:cs="Arial"/>
                <w:b/>
                <w:sz w:val="20"/>
                <w:szCs w:val="20"/>
                <w:lang w:val="es-CR"/>
              </w:rPr>
            </w:pPr>
            <w:r w:rsidRPr="0018212C">
              <w:rPr>
                <w:rFonts w:ascii="Arial" w:hAnsi="Arial" w:cs="Arial"/>
                <w:b/>
                <w:sz w:val="20"/>
                <w:szCs w:val="20"/>
                <w:lang w:val="es-CR"/>
              </w:rPr>
              <w:t>Unidad de medida</w:t>
            </w:r>
          </w:p>
        </w:tc>
        <w:tc>
          <w:tcPr>
            <w:tcW w:w="1193" w:type="dxa"/>
            <w:shd w:val="clear" w:color="auto" w:fill="D9D9D9" w:themeFill="background1" w:themeFillShade="D9"/>
            <w:vAlign w:val="center"/>
          </w:tcPr>
          <w:p w14:paraId="47BAEC2C" w14:textId="77777777" w:rsidR="00CA6090" w:rsidRPr="0018212C" w:rsidRDefault="00CA6090" w:rsidP="002619F0">
            <w:pPr>
              <w:spacing w:after="0" w:line="240" w:lineRule="auto"/>
              <w:jc w:val="center"/>
              <w:rPr>
                <w:rFonts w:ascii="Arial" w:hAnsi="Arial" w:cs="Arial"/>
                <w:b/>
                <w:sz w:val="20"/>
                <w:szCs w:val="20"/>
                <w:lang w:val="es-CR"/>
              </w:rPr>
            </w:pPr>
            <w:r w:rsidRPr="0018212C">
              <w:rPr>
                <w:rFonts w:ascii="Arial" w:hAnsi="Arial" w:cs="Arial"/>
                <w:b/>
                <w:sz w:val="20"/>
                <w:szCs w:val="20"/>
                <w:lang w:val="es-CR"/>
              </w:rPr>
              <w:t>Línea de base</w:t>
            </w:r>
          </w:p>
          <w:p w14:paraId="3A9D0257" w14:textId="7C092957" w:rsidR="00CA6090" w:rsidRPr="0018212C" w:rsidRDefault="00CA6090" w:rsidP="002619F0">
            <w:pPr>
              <w:spacing w:after="0" w:line="240" w:lineRule="auto"/>
              <w:ind w:left="-79"/>
              <w:jc w:val="center"/>
              <w:rPr>
                <w:rFonts w:ascii="Arial" w:hAnsi="Arial" w:cs="Arial"/>
                <w:b/>
                <w:sz w:val="20"/>
                <w:szCs w:val="20"/>
                <w:lang w:val="es-CR"/>
              </w:rPr>
            </w:pPr>
            <w:r w:rsidRPr="0018212C">
              <w:rPr>
                <w:rFonts w:ascii="Arial" w:hAnsi="Arial" w:cs="Arial"/>
                <w:b/>
                <w:sz w:val="20"/>
                <w:szCs w:val="20"/>
                <w:lang w:val="es-CR"/>
              </w:rPr>
              <w:t>2016</w:t>
            </w:r>
          </w:p>
        </w:tc>
        <w:tc>
          <w:tcPr>
            <w:tcW w:w="906" w:type="dxa"/>
            <w:shd w:val="clear" w:color="auto" w:fill="D9D9D9" w:themeFill="background1" w:themeFillShade="D9"/>
            <w:vAlign w:val="center"/>
          </w:tcPr>
          <w:p w14:paraId="346FA4A3" w14:textId="77777777" w:rsidR="00CA6090" w:rsidRPr="0018212C" w:rsidRDefault="00CA6090" w:rsidP="002619F0">
            <w:pPr>
              <w:spacing w:after="0" w:line="240" w:lineRule="auto"/>
              <w:jc w:val="center"/>
              <w:rPr>
                <w:rFonts w:ascii="Arial" w:hAnsi="Arial" w:cs="Arial"/>
                <w:b/>
                <w:sz w:val="20"/>
                <w:szCs w:val="20"/>
                <w:lang w:val="es-CR"/>
              </w:rPr>
            </w:pPr>
            <w:r w:rsidRPr="0018212C">
              <w:rPr>
                <w:rFonts w:ascii="Arial" w:hAnsi="Arial" w:cs="Arial"/>
                <w:b/>
                <w:sz w:val="20"/>
                <w:szCs w:val="20"/>
                <w:lang w:val="es-CR"/>
              </w:rPr>
              <w:t>Meta</w:t>
            </w:r>
          </w:p>
          <w:p w14:paraId="3A0BE3AC" w14:textId="77777777" w:rsidR="00CA6090" w:rsidRPr="0018212C" w:rsidRDefault="00CA6090" w:rsidP="002619F0">
            <w:pPr>
              <w:spacing w:after="0" w:line="240" w:lineRule="auto"/>
              <w:jc w:val="center"/>
              <w:rPr>
                <w:rFonts w:ascii="Arial" w:hAnsi="Arial" w:cs="Arial"/>
                <w:b/>
                <w:sz w:val="20"/>
                <w:szCs w:val="20"/>
                <w:lang w:val="es-CR"/>
              </w:rPr>
            </w:pPr>
            <w:r w:rsidRPr="0018212C">
              <w:rPr>
                <w:rFonts w:ascii="Arial" w:hAnsi="Arial" w:cs="Arial"/>
                <w:b/>
                <w:sz w:val="20"/>
                <w:szCs w:val="20"/>
                <w:lang w:val="es-CR"/>
              </w:rPr>
              <w:t>Año 1</w:t>
            </w:r>
          </w:p>
        </w:tc>
        <w:tc>
          <w:tcPr>
            <w:tcW w:w="900" w:type="dxa"/>
            <w:shd w:val="clear" w:color="auto" w:fill="D9D9D9" w:themeFill="background1" w:themeFillShade="D9"/>
            <w:vAlign w:val="center"/>
          </w:tcPr>
          <w:p w14:paraId="752A0AE2" w14:textId="2FBCE058" w:rsidR="00CA6090" w:rsidRPr="0018212C" w:rsidRDefault="00CA6090" w:rsidP="002619F0">
            <w:pPr>
              <w:spacing w:after="0" w:line="240" w:lineRule="auto"/>
              <w:jc w:val="center"/>
              <w:rPr>
                <w:rFonts w:ascii="Arial" w:hAnsi="Arial" w:cs="Arial"/>
                <w:b/>
                <w:sz w:val="20"/>
                <w:szCs w:val="20"/>
                <w:lang w:val="es-CR"/>
              </w:rPr>
            </w:pPr>
            <w:r w:rsidRPr="0018212C">
              <w:rPr>
                <w:rFonts w:ascii="Arial" w:hAnsi="Arial" w:cs="Arial"/>
                <w:b/>
                <w:sz w:val="20"/>
                <w:szCs w:val="20"/>
                <w:lang w:val="es-CR"/>
              </w:rPr>
              <w:t>Meta Año 2</w:t>
            </w:r>
          </w:p>
        </w:tc>
        <w:tc>
          <w:tcPr>
            <w:tcW w:w="3841" w:type="dxa"/>
            <w:shd w:val="clear" w:color="auto" w:fill="D9D9D9" w:themeFill="background1" w:themeFillShade="D9"/>
            <w:vAlign w:val="center"/>
          </w:tcPr>
          <w:p w14:paraId="6B5D7A30" w14:textId="019FE176" w:rsidR="00CA6090" w:rsidRPr="0018212C" w:rsidRDefault="00CA6090" w:rsidP="002619F0">
            <w:pPr>
              <w:spacing w:after="0" w:line="240" w:lineRule="auto"/>
              <w:jc w:val="center"/>
              <w:rPr>
                <w:rFonts w:ascii="Arial" w:hAnsi="Arial" w:cs="Arial"/>
                <w:b/>
                <w:sz w:val="20"/>
                <w:szCs w:val="20"/>
                <w:lang w:val="es-CR"/>
              </w:rPr>
            </w:pPr>
            <w:r w:rsidRPr="0018212C">
              <w:rPr>
                <w:rFonts w:ascii="Arial" w:hAnsi="Arial" w:cs="Arial"/>
                <w:b/>
                <w:sz w:val="20"/>
                <w:szCs w:val="20"/>
                <w:lang w:val="es-CR"/>
              </w:rPr>
              <w:t xml:space="preserve">Medios de verificación </w:t>
            </w:r>
          </w:p>
        </w:tc>
      </w:tr>
      <w:tr w:rsidR="00CA6090" w:rsidRPr="000555DF" w14:paraId="3994DE31" w14:textId="77777777" w:rsidTr="00CD7CCF">
        <w:trPr>
          <w:trHeight w:val="64"/>
        </w:trPr>
        <w:tc>
          <w:tcPr>
            <w:tcW w:w="13027" w:type="dxa"/>
            <w:gridSpan w:val="6"/>
            <w:shd w:val="clear" w:color="auto" w:fill="C6D9F1" w:themeFill="text2" w:themeFillTint="33"/>
          </w:tcPr>
          <w:p w14:paraId="46A8175B" w14:textId="183F7428" w:rsidR="00CA6090" w:rsidRPr="0018212C" w:rsidRDefault="000B04D1" w:rsidP="002619F0">
            <w:pPr>
              <w:spacing w:after="0" w:line="240" w:lineRule="auto"/>
              <w:rPr>
                <w:rFonts w:ascii="Arial" w:hAnsi="Arial" w:cs="Arial"/>
                <w:b/>
                <w:i/>
                <w:sz w:val="20"/>
                <w:szCs w:val="20"/>
                <w:lang w:val="es-BO"/>
              </w:rPr>
            </w:pPr>
            <w:r w:rsidRPr="0018212C">
              <w:rPr>
                <w:rFonts w:ascii="Arial" w:eastAsia="Times New Roman" w:hAnsi="Arial" w:cs="Arial"/>
                <w:b/>
                <w:sz w:val="20"/>
                <w:szCs w:val="20"/>
                <w:lang w:val="es-ES"/>
              </w:rPr>
              <w:t>Componente 3</w:t>
            </w:r>
            <w:r w:rsidR="00CA6090" w:rsidRPr="0018212C">
              <w:rPr>
                <w:rFonts w:ascii="Arial" w:eastAsia="Times New Roman" w:hAnsi="Arial" w:cs="Arial"/>
                <w:b/>
                <w:sz w:val="20"/>
                <w:szCs w:val="20"/>
                <w:lang w:val="es-ES"/>
              </w:rPr>
              <w:t>.  Fortalecimiento de la Rectoría del Sector de Agua y del Subsector de Agua Potable y Saneamiento a Nivel Nacional</w:t>
            </w:r>
          </w:p>
        </w:tc>
      </w:tr>
      <w:tr w:rsidR="00CA6090" w:rsidRPr="000555DF" w14:paraId="30CB9D47" w14:textId="77777777" w:rsidTr="00CD7CCF">
        <w:trPr>
          <w:trHeight w:val="64"/>
        </w:trPr>
        <w:tc>
          <w:tcPr>
            <w:tcW w:w="13027" w:type="dxa"/>
            <w:gridSpan w:val="6"/>
            <w:shd w:val="clear" w:color="auto" w:fill="C6D9F1" w:themeFill="text2" w:themeFillTint="33"/>
            <w:vAlign w:val="center"/>
          </w:tcPr>
          <w:p w14:paraId="1F1CD95E" w14:textId="41C60458" w:rsidR="00CA6090" w:rsidRPr="002619F0" w:rsidRDefault="002619F0" w:rsidP="002619F0">
            <w:pPr>
              <w:spacing w:after="0" w:line="240" w:lineRule="auto"/>
              <w:rPr>
                <w:rFonts w:ascii="Arial" w:hAnsi="Arial" w:cs="Arial"/>
                <w:b/>
                <w:i/>
                <w:sz w:val="20"/>
                <w:szCs w:val="20"/>
                <w:lang w:val="es-ES"/>
              </w:rPr>
            </w:pPr>
            <w:r w:rsidRPr="002619F0">
              <w:rPr>
                <w:rFonts w:ascii="Arial" w:hAnsi="Arial" w:cs="Arial"/>
                <w:b/>
                <w:i/>
                <w:sz w:val="20"/>
                <w:szCs w:val="20"/>
                <w:lang w:val="es-ES"/>
              </w:rPr>
              <w:t>Subcomponente 3</w:t>
            </w:r>
            <w:r w:rsidR="00CA6090" w:rsidRPr="002619F0">
              <w:rPr>
                <w:rFonts w:ascii="Arial" w:hAnsi="Arial" w:cs="Arial"/>
                <w:b/>
                <w:i/>
                <w:sz w:val="20"/>
                <w:szCs w:val="20"/>
                <w:lang w:val="es-ES"/>
              </w:rPr>
              <w:t>.1</w:t>
            </w:r>
            <w:r w:rsidR="00CA6090" w:rsidRPr="002619F0">
              <w:rPr>
                <w:rFonts w:ascii="Arial" w:eastAsia="Times New Roman" w:hAnsi="Arial" w:cs="Arial"/>
                <w:b/>
                <w:sz w:val="20"/>
                <w:szCs w:val="20"/>
                <w:lang w:val="es-ES"/>
              </w:rPr>
              <w:t xml:space="preserve"> </w:t>
            </w:r>
            <w:r w:rsidR="00CA6090" w:rsidRPr="002619F0">
              <w:rPr>
                <w:rFonts w:ascii="Arial" w:hAnsi="Arial" w:cs="Arial"/>
                <w:b/>
                <w:i/>
                <w:sz w:val="20"/>
                <w:szCs w:val="20"/>
                <w:lang w:val="es-ES"/>
              </w:rPr>
              <w:t>Mejora y consolidación de la capacidad institucional y regulatoria del sector</w:t>
            </w:r>
          </w:p>
        </w:tc>
      </w:tr>
      <w:tr w:rsidR="00977F16" w:rsidRPr="000555DF" w14:paraId="597D67FD" w14:textId="77777777" w:rsidTr="0083531C">
        <w:trPr>
          <w:trHeight w:val="485"/>
        </w:trPr>
        <w:tc>
          <w:tcPr>
            <w:tcW w:w="4747" w:type="dxa"/>
            <w:vAlign w:val="center"/>
          </w:tcPr>
          <w:p w14:paraId="0E5D7421" w14:textId="189B174E" w:rsidR="00977F16" w:rsidRPr="009F1517" w:rsidRDefault="00977F16" w:rsidP="002619F0">
            <w:pPr>
              <w:spacing w:after="0" w:line="240" w:lineRule="auto"/>
              <w:jc w:val="both"/>
              <w:rPr>
                <w:rFonts w:ascii="Arial" w:hAnsi="Arial" w:cs="Arial"/>
                <w:sz w:val="20"/>
                <w:szCs w:val="20"/>
                <w:lang w:val="es-ES"/>
              </w:rPr>
            </w:pPr>
            <w:r w:rsidRPr="009F1517">
              <w:rPr>
                <w:rFonts w:ascii="Arial" w:hAnsi="Arial" w:cs="Arial"/>
                <w:sz w:val="20"/>
                <w:szCs w:val="20"/>
                <w:lang w:val="es-ES"/>
              </w:rPr>
              <w:t>Plan Nacional de Seguridad Hídrica (PNSH) 2015-2050 Agua para Todos</w:t>
            </w:r>
            <w:r w:rsidR="009F1517" w:rsidRPr="000555DF">
              <w:rPr>
                <w:rFonts w:ascii="Arial" w:hAnsi="Arial" w:cs="Arial"/>
                <w:color w:val="000000" w:themeColor="text1"/>
                <w:sz w:val="20"/>
                <w:szCs w:val="20"/>
                <w:lang w:val="es-ES"/>
              </w:rPr>
              <w:t>, que es la hoja de ruta que establece las políticas, ejes temáticos y un plan de acción para garantizar la provisión de agua en cantidad y calidad aceptable para todos los usuarios en especial el consumo humano, aprobado por el Consejo de Gabinete</w:t>
            </w:r>
            <w:r w:rsidRPr="009F1517">
              <w:rPr>
                <w:rFonts w:ascii="Arial" w:hAnsi="Arial" w:cs="Arial"/>
                <w:sz w:val="20"/>
                <w:szCs w:val="20"/>
                <w:lang w:val="es-ES"/>
              </w:rPr>
              <w:t xml:space="preserve">. </w:t>
            </w:r>
          </w:p>
        </w:tc>
        <w:tc>
          <w:tcPr>
            <w:tcW w:w="1440" w:type="dxa"/>
            <w:vAlign w:val="center"/>
          </w:tcPr>
          <w:p w14:paraId="323CC678" w14:textId="7AECEAAD"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Plan</w:t>
            </w:r>
          </w:p>
        </w:tc>
        <w:tc>
          <w:tcPr>
            <w:tcW w:w="1193" w:type="dxa"/>
            <w:vAlign w:val="center"/>
          </w:tcPr>
          <w:p w14:paraId="6096B113" w14:textId="77777777"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0</w:t>
            </w:r>
          </w:p>
        </w:tc>
        <w:tc>
          <w:tcPr>
            <w:tcW w:w="906" w:type="dxa"/>
            <w:vAlign w:val="center"/>
          </w:tcPr>
          <w:p w14:paraId="10140AAF" w14:textId="77777777"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1</w:t>
            </w:r>
          </w:p>
        </w:tc>
        <w:tc>
          <w:tcPr>
            <w:tcW w:w="900" w:type="dxa"/>
            <w:vAlign w:val="center"/>
          </w:tcPr>
          <w:p w14:paraId="6BEA9AD0" w14:textId="35805355"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0</w:t>
            </w:r>
          </w:p>
        </w:tc>
        <w:tc>
          <w:tcPr>
            <w:tcW w:w="3841" w:type="dxa"/>
            <w:vAlign w:val="center"/>
          </w:tcPr>
          <w:p w14:paraId="22420318" w14:textId="13F5D8A2" w:rsidR="00977F16" w:rsidRPr="002619F0" w:rsidRDefault="00977F16" w:rsidP="002619F0">
            <w:pPr>
              <w:spacing w:after="0" w:line="240" w:lineRule="auto"/>
              <w:rPr>
                <w:rFonts w:ascii="Arial" w:hAnsi="Arial" w:cs="Arial"/>
                <w:sz w:val="20"/>
                <w:szCs w:val="20"/>
                <w:lang w:val="es-BO"/>
              </w:rPr>
            </w:pPr>
            <w:r w:rsidRPr="002619F0">
              <w:rPr>
                <w:rFonts w:ascii="Arial" w:hAnsi="Arial" w:cs="Arial"/>
                <w:color w:val="000000"/>
                <w:sz w:val="20"/>
                <w:szCs w:val="20"/>
                <w:lang w:val="es-ES"/>
              </w:rPr>
              <w:t>Publicación en la Gaceta Oficial de la Resolución del Consejo de Gabinete que aprueba el PNSH, adjuntando el documento del PNSH.</w:t>
            </w:r>
          </w:p>
        </w:tc>
      </w:tr>
      <w:tr w:rsidR="00977F16" w:rsidRPr="00924396" w14:paraId="4DC76C52" w14:textId="77777777" w:rsidTr="0083531C">
        <w:trPr>
          <w:trHeight w:val="485"/>
        </w:trPr>
        <w:tc>
          <w:tcPr>
            <w:tcW w:w="4747" w:type="dxa"/>
            <w:vAlign w:val="center"/>
          </w:tcPr>
          <w:p w14:paraId="4B757549" w14:textId="662F9865" w:rsidR="00977F16" w:rsidRPr="002619F0" w:rsidRDefault="00977F16" w:rsidP="002619F0">
            <w:pPr>
              <w:spacing w:after="0" w:line="240" w:lineRule="auto"/>
              <w:jc w:val="both"/>
              <w:rPr>
                <w:rFonts w:ascii="Arial" w:hAnsi="Arial" w:cs="Arial"/>
                <w:sz w:val="20"/>
                <w:szCs w:val="20"/>
                <w:lang w:val="es-ES"/>
              </w:rPr>
            </w:pPr>
            <w:r w:rsidRPr="002619F0">
              <w:rPr>
                <w:rFonts w:ascii="Arial" w:hAnsi="Arial" w:cs="Arial"/>
                <w:sz w:val="20"/>
                <w:szCs w:val="20"/>
                <w:lang w:val="es-ES"/>
              </w:rPr>
              <w:t>Consejo Nacional del Agua (CONAGUA) creado</w:t>
            </w:r>
            <w:r w:rsidR="006B30D9">
              <w:rPr>
                <w:rFonts w:ascii="Arial" w:hAnsi="Arial" w:cs="Arial"/>
                <w:sz w:val="20"/>
                <w:szCs w:val="20"/>
                <w:lang w:val="es-ES"/>
              </w:rPr>
              <w:t xml:space="preserve"> por el Consejo de Gabinete</w:t>
            </w:r>
            <w:r w:rsidRPr="002619F0">
              <w:rPr>
                <w:rFonts w:ascii="Arial" w:hAnsi="Arial" w:cs="Arial"/>
                <w:sz w:val="20"/>
                <w:szCs w:val="20"/>
                <w:lang w:val="es-ES"/>
              </w:rPr>
              <w:t>, presidido por MIAMBIENTE e integrado por MEF, MINSA, MIDA, ACP, ASEP, IDAAN y Ministerio de la Presidencia para impulsar, orientar, coordinar y garantizar la implementación del Plan Nacional de Seguridad Hídrica 2015-2050</w:t>
            </w:r>
            <w:r w:rsidR="009F1517">
              <w:rPr>
                <w:rFonts w:ascii="Arial" w:hAnsi="Arial" w:cs="Arial"/>
                <w:sz w:val="20"/>
                <w:szCs w:val="20"/>
                <w:lang w:val="es-ES"/>
              </w:rPr>
              <w:t xml:space="preserve"> Agua para Todos</w:t>
            </w:r>
            <w:r w:rsidRPr="002619F0">
              <w:rPr>
                <w:rFonts w:ascii="Arial" w:hAnsi="Arial" w:cs="Arial"/>
                <w:sz w:val="20"/>
                <w:szCs w:val="20"/>
                <w:lang w:val="es-ES"/>
              </w:rPr>
              <w:t>; y la Secretaría Técnica de CONAGUA creada</w:t>
            </w:r>
            <w:r w:rsidR="006B30D9">
              <w:rPr>
                <w:rFonts w:ascii="Arial" w:hAnsi="Arial" w:cs="Arial"/>
                <w:sz w:val="20"/>
                <w:szCs w:val="20"/>
                <w:lang w:val="es-ES"/>
              </w:rPr>
              <w:t xml:space="preserve"> por el Consejo de Gabinete</w:t>
            </w:r>
            <w:r w:rsidRPr="002619F0">
              <w:rPr>
                <w:rFonts w:ascii="Arial" w:hAnsi="Arial" w:cs="Arial"/>
                <w:sz w:val="20"/>
                <w:szCs w:val="20"/>
                <w:lang w:val="es-ES"/>
              </w:rPr>
              <w:t>.</w:t>
            </w:r>
          </w:p>
        </w:tc>
        <w:tc>
          <w:tcPr>
            <w:tcW w:w="1440" w:type="dxa"/>
            <w:vAlign w:val="center"/>
          </w:tcPr>
          <w:p w14:paraId="74213D6B" w14:textId="08920EDA"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Consejo</w:t>
            </w:r>
          </w:p>
        </w:tc>
        <w:tc>
          <w:tcPr>
            <w:tcW w:w="1193" w:type="dxa"/>
            <w:vAlign w:val="center"/>
          </w:tcPr>
          <w:p w14:paraId="3A3E3226" w14:textId="1F76E5F5"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0</w:t>
            </w:r>
          </w:p>
        </w:tc>
        <w:tc>
          <w:tcPr>
            <w:tcW w:w="906" w:type="dxa"/>
            <w:vAlign w:val="center"/>
          </w:tcPr>
          <w:p w14:paraId="7F16B471" w14:textId="2F60A84B"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1</w:t>
            </w:r>
          </w:p>
        </w:tc>
        <w:tc>
          <w:tcPr>
            <w:tcW w:w="900" w:type="dxa"/>
            <w:vAlign w:val="center"/>
          </w:tcPr>
          <w:p w14:paraId="25154EAF" w14:textId="7D7FAB39"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0</w:t>
            </w:r>
          </w:p>
        </w:tc>
        <w:tc>
          <w:tcPr>
            <w:tcW w:w="3841" w:type="dxa"/>
            <w:vAlign w:val="center"/>
          </w:tcPr>
          <w:p w14:paraId="3D785E53" w14:textId="73A2DA80" w:rsidR="00977F16" w:rsidRPr="002619F0" w:rsidRDefault="00977F16" w:rsidP="002619F0">
            <w:pPr>
              <w:spacing w:after="0" w:line="240" w:lineRule="auto"/>
              <w:rPr>
                <w:rFonts w:ascii="Arial" w:hAnsi="Arial" w:cs="Arial"/>
                <w:sz w:val="20"/>
                <w:szCs w:val="20"/>
                <w:lang w:val="es-BO"/>
              </w:rPr>
            </w:pPr>
            <w:r w:rsidRPr="002619F0">
              <w:rPr>
                <w:rFonts w:ascii="Arial" w:hAnsi="Arial" w:cs="Arial"/>
                <w:color w:val="000000"/>
                <w:sz w:val="20"/>
                <w:szCs w:val="20"/>
                <w:lang w:val="es-ES"/>
              </w:rPr>
              <w:t>Publicación en la Gaceta Oficial de la Resolución del Consejo de Gabinete creando el CONAGUA y la Secretaría Técnica.</w:t>
            </w:r>
          </w:p>
        </w:tc>
      </w:tr>
      <w:tr w:rsidR="00977F16" w:rsidRPr="00924396" w14:paraId="2EAE4A17" w14:textId="77777777" w:rsidTr="0083531C">
        <w:trPr>
          <w:trHeight w:val="485"/>
        </w:trPr>
        <w:tc>
          <w:tcPr>
            <w:tcW w:w="4747" w:type="dxa"/>
            <w:vAlign w:val="center"/>
          </w:tcPr>
          <w:p w14:paraId="1F4432E5" w14:textId="11034EFD" w:rsidR="00977F16" w:rsidRPr="009F1517" w:rsidRDefault="00977F16" w:rsidP="002619F0">
            <w:pPr>
              <w:spacing w:after="0" w:line="240" w:lineRule="auto"/>
              <w:jc w:val="both"/>
              <w:rPr>
                <w:rFonts w:ascii="Arial" w:hAnsi="Arial" w:cs="Arial"/>
                <w:sz w:val="20"/>
                <w:szCs w:val="20"/>
                <w:lang w:val="es-ES"/>
              </w:rPr>
            </w:pPr>
            <w:r w:rsidRPr="009F1517">
              <w:rPr>
                <w:rFonts w:ascii="Arial" w:hAnsi="Arial" w:cs="Arial"/>
                <w:sz w:val="20"/>
                <w:szCs w:val="20"/>
                <w:lang w:val="es-ES"/>
              </w:rPr>
              <w:t xml:space="preserve">Anteproyecto de ley para la creación de la Empresa Pública de Saneamiento de Panamá </w:t>
            </w:r>
            <w:r w:rsidR="009F1517" w:rsidRPr="000555DF">
              <w:rPr>
                <w:rFonts w:ascii="Arial" w:hAnsi="Arial" w:cs="Arial"/>
                <w:color w:val="000000"/>
                <w:sz w:val="20"/>
                <w:szCs w:val="20"/>
                <w:lang w:val="es-ES"/>
              </w:rPr>
              <w:t>que define sus objetivos, atribuciones y prerrogativas, gobierno corporativo, régimen laboral y estructura salarial, patrimonio, y tarifas, tasas y régimen de subsidio, elaborado y presentado por el MINSA ante el Consejo de Gabinete.</w:t>
            </w:r>
          </w:p>
        </w:tc>
        <w:tc>
          <w:tcPr>
            <w:tcW w:w="1440" w:type="dxa"/>
            <w:vAlign w:val="center"/>
          </w:tcPr>
          <w:p w14:paraId="16612B86" w14:textId="3DFA9D27"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Anteproyecto</w:t>
            </w:r>
          </w:p>
        </w:tc>
        <w:tc>
          <w:tcPr>
            <w:tcW w:w="1193" w:type="dxa"/>
            <w:vAlign w:val="center"/>
          </w:tcPr>
          <w:p w14:paraId="28CF7B9D" w14:textId="526BB370"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0</w:t>
            </w:r>
          </w:p>
        </w:tc>
        <w:tc>
          <w:tcPr>
            <w:tcW w:w="906" w:type="dxa"/>
            <w:vAlign w:val="center"/>
          </w:tcPr>
          <w:p w14:paraId="3AC5F7E6" w14:textId="08CFBA77"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1</w:t>
            </w:r>
          </w:p>
        </w:tc>
        <w:tc>
          <w:tcPr>
            <w:tcW w:w="900" w:type="dxa"/>
            <w:vAlign w:val="center"/>
          </w:tcPr>
          <w:p w14:paraId="57C3FF6E" w14:textId="2CA798AA"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0</w:t>
            </w:r>
          </w:p>
        </w:tc>
        <w:tc>
          <w:tcPr>
            <w:tcW w:w="3841" w:type="dxa"/>
            <w:vAlign w:val="center"/>
          </w:tcPr>
          <w:p w14:paraId="152B06BD" w14:textId="090380DE" w:rsidR="00977F16" w:rsidRPr="002619F0" w:rsidRDefault="00977F16" w:rsidP="002619F0">
            <w:pPr>
              <w:spacing w:after="0" w:line="240" w:lineRule="auto"/>
              <w:rPr>
                <w:rFonts w:ascii="Arial" w:hAnsi="Arial" w:cs="Arial"/>
                <w:color w:val="000000" w:themeColor="text1"/>
                <w:sz w:val="20"/>
                <w:szCs w:val="20"/>
                <w:lang w:val="es-ES"/>
              </w:rPr>
            </w:pPr>
            <w:r w:rsidRPr="002619F0">
              <w:rPr>
                <w:rFonts w:ascii="Arial" w:hAnsi="Arial" w:cs="Arial"/>
                <w:color w:val="000000"/>
                <w:sz w:val="20"/>
                <w:szCs w:val="20"/>
                <w:lang w:val="es-ES"/>
              </w:rPr>
              <w:t>Nota del Ministro de Salud al Consejo de Gabinete adjuntando el anteproyecto de ley.</w:t>
            </w:r>
          </w:p>
        </w:tc>
      </w:tr>
      <w:tr w:rsidR="00977F16" w:rsidRPr="00924396" w14:paraId="15CBE859" w14:textId="77777777" w:rsidTr="0083531C">
        <w:trPr>
          <w:trHeight w:val="485"/>
        </w:trPr>
        <w:tc>
          <w:tcPr>
            <w:tcW w:w="4747" w:type="dxa"/>
            <w:vAlign w:val="center"/>
          </w:tcPr>
          <w:p w14:paraId="515B89B6" w14:textId="46FA0A04" w:rsidR="00977F16" w:rsidRPr="006B30D9" w:rsidRDefault="006B30D9" w:rsidP="002619F0">
            <w:pPr>
              <w:spacing w:after="0" w:line="240" w:lineRule="auto"/>
              <w:jc w:val="both"/>
              <w:rPr>
                <w:rFonts w:ascii="Arial" w:hAnsi="Arial" w:cs="Arial"/>
                <w:sz w:val="20"/>
                <w:szCs w:val="20"/>
                <w:lang w:val="es-ES"/>
              </w:rPr>
            </w:pPr>
            <w:r w:rsidRPr="000555DF">
              <w:rPr>
                <w:rFonts w:ascii="Arial" w:hAnsi="Arial" w:cs="Arial"/>
                <w:color w:val="000000" w:themeColor="text1"/>
                <w:sz w:val="20"/>
                <w:szCs w:val="20"/>
                <w:lang w:val="es-ES"/>
              </w:rPr>
              <w:lastRenderedPageBreak/>
              <w:t>Planes Operativos (quinquenal y anual) del PNSH, aprobados por CONAGUA y recursos presupuestarios asignados por el MEF.</w:t>
            </w:r>
          </w:p>
        </w:tc>
        <w:tc>
          <w:tcPr>
            <w:tcW w:w="1440" w:type="dxa"/>
            <w:vAlign w:val="center"/>
          </w:tcPr>
          <w:p w14:paraId="3FBEFBA9" w14:textId="780CEE09"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Plan</w:t>
            </w:r>
          </w:p>
        </w:tc>
        <w:tc>
          <w:tcPr>
            <w:tcW w:w="1193" w:type="dxa"/>
            <w:vAlign w:val="center"/>
          </w:tcPr>
          <w:p w14:paraId="1CC9557E" w14:textId="2314D458"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0</w:t>
            </w:r>
          </w:p>
        </w:tc>
        <w:tc>
          <w:tcPr>
            <w:tcW w:w="906" w:type="dxa"/>
            <w:vAlign w:val="center"/>
          </w:tcPr>
          <w:p w14:paraId="72E1871B" w14:textId="01180D57"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0</w:t>
            </w:r>
          </w:p>
        </w:tc>
        <w:tc>
          <w:tcPr>
            <w:tcW w:w="900" w:type="dxa"/>
            <w:vAlign w:val="center"/>
          </w:tcPr>
          <w:p w14:paraId="510909D3" w14:textId="48A67651"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1</w:t>
            </w:r>
          </w:p>
        </w:tc>
        <w:tc>
          <w:tcPr>
            <w:tcW w:w="3841" w:type="dxa"/>
            <w:vAlign w:val="center"/>
          </w:tcPr>
          <w:p w14:paraId="5A33F368" w14:textId="3EE089D0" w:rsidR="00977F16" w:rsidRPr="002619F0" w:rsidRDefault="00977F16" w:rsidP="002619F0">
            <w:pPr>
              <w:spacing w:after="0" w:line="240" w:lineRule="auto"/>
              <w:rPr>
                <w:rFonts w:ascii="Arial" w:hAnsi="Arial" w:cs="Arial"/>
                <w:color w:val="000000" w:themeColor="text1"/>
                <w:sz w:val="20"/>
                <w:szCs w:val="20"/>
                <w:lang w:val="es-ES"/>
              </w:rPr>
            </w:pPr>
            <w:r w:rsidRPr="002619F0">
              <w:rPr>
                <w:rFonts w:ascii="Arial" w:hAnsi="Arial" w:cs="Arial"/>
                <w:color w:val="000000"/>
                <w:sz w:val="20"/>
                <w:szCs w:val="20"/>
                <w:lang w:val="es-ES"/>
              </w:rPr>
              <w:t>Acta del CONAGUA aprobando los Planes Operativos del PNSH y nota del MEF adjuntando las partidas</w:t>
            </w:r>
            <w:r w:rsidR="00820903">
              <w:rPr>
                <w:rFonts w:ascii="Arial" w:hAnsi="Arial" w:cs="Arial"/>
                <w:color w:val="000000"/>
                <w:sz w:val="20"/>
                <w:szCs w:val="20"/>
                <w:lang w:val="es-ES"/>
              </w:rPr>
              <w:t xml:space="preserve"> </w:t>
            </w:r>
            <w:r w:rsidRPr="002619F0">
              <w:rPr>
                <w:rFonts w:ascii="Arial" w:hAnsi="Arial" w:cs="Arial"/>
                <w:color w:val="000000"/>
                <w:sz w:val="20"/>
                <w:szCs w:val="20"/>
                <w:lang w:val="es-ES"/>
              </w:rPr>
              <w:t>presupuestarias para la ejecución del Plan Operativo anual.</w:t>
            </w:r>
          </w:p>
          <w:p w14:paraId="62CAB699" w14:textId="14FA1CEA" w:rsidR="00977F16" w:rsidRPr="002619F0" w:rsidRDefault="00977F16" w:rsidP="002619F0">
            <w:pPr>
              <w:spacing w:after="0" w:line="240" w:lineRule="auto"/>
              <w:rPr>
                <w:rFonts w:ascii="Arial" w:hAnsi="Arial" w:cs="Arial"/>
                <w:color w:val="000000" w:themeColor="text1"/>
                <w:sz w:val="20"/>
                <w:szCs w:val="20"/>
                <w:lang w:val="es-ES_tradnl"/>
              </w:rPr>
            </w:pPr>
          </w:p>
        </w:tc>
      </w:tr>
      <w:tr w:rsidR="00977F16" w:rsidRPr="00924396" w14:paraId="37B0DA86" w14:textId="77777777" w:rsidTr="0083531C">
        <w:trPr>
          <w:trHeight w:val="485"/>
        </w:trPr>
        <w:tc>
          <w:tcPr>
            <w:tcW w:w="4747" w:type="dxa"/>
            <w:vAlign w:val="center"/>
          </w:tcPr>
          <w:p w14:paraId="6D8E98EB" w14:textId="015F0796" w:rsidR="00977F16" w:rsidRPr="006B30D9" w:rsidRDefault="006B30D9" w:rsidP="002619F0">
            <w:pPr>
              <w:spacing w:after="0" w:line="240" w:lineRule="auto"/>
              <w:jc w:val="both"/>
              <w:rPr>
                <w:rFonts w:ascii="Arial" w:hAnsi="Arial" w:cs="Arial"/>
                <w:sz w:val="20"/>
                <w:szCs w:val="20"/>
                <w:lang w:val="es-ES"/>
              </w:rPr>
            </w:pPr>
            <w:r w:rsidRPr="000555DF">
              <w:rPr>
                <w:rFonts w:ascii="Arial" w:hAnsi="Arial" w:cs="Arial"/>
                <w:color w:val="000000" w:themeColor="text1"/>
                <w:sz w:val="20"/>
                <w:szCs w:val="20"/>
                <w:lang w:val="es-ES"/>
              </w:rPr>
              <w:t>Estructura técnico administrativa de la Secretaría Técnica del CONAGUA creada por MIAMBIENTE y asignación presupuestaria para su funcionamiento por el MEF.</w:t>
            </w:r>
          </w:p>
        </w:tc>
        <w:tc>
          <w:tcPr>
            <w:tcW w:w="1440" w:type="dxa"/>
            <w:vAlign w:val="center"/>
          </w:tcPr>
          <w:p w14:paraId="128D63D0" w14:textId="7FB93105"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Estructura</w:t>
            </w:r>
          </w:p>
        </w:tc>
        <w:tc>
          <w:tcPr>
            <w:tcW w:w="1193" w:type="dxa"/>
            <w:vAlign w:val="center"/>
          </w:tcPr>
          <w:p w14:paraId="553AE087" w14:textId="48543E6D"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0</w:t>
            </w:r>
          </w:p>
        </w:tc>
        <w:tc>
          <w:tcPr>
            <w:tcW w:w="906" w:type="dxa"/>
            <w:vAlign w:val="center"/>
          </w:tcPr>
          <w:p w14:paraId="4EC47D33" w14:textId="20B9FC45"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0</w:t>
            </w:r>
          </w:p>
        </w:tc>
        <w:tc>
          <w:tcPr>
            <w:tcW w:w="900" w:type="dxa"/>
            <w:vAlign w:val="center"/>
          </w:tcPr>
          <w:p w14:paraId="6303E56B" w14:textId="2FB65493"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1</w:t>
            </w:r>
          </w:p>
        </w:tc>
        <w:tc>
          <w:tcPr>
            <w:tcW w:w="3841" w:type="dxa"/>
            <w:vAlign w:val="center"/>
          </w:tcPr>
          <w:p w14:paraId="62CB612F" w14:textId="77777777" w:rsidR="00977F16" w:rsidRPr="002619F0" w:rsidRDefault="00977F16" w:rsidP="002619F0">
            <w:pPr>
              <w:spacing w:after="0" w:line="240" w:lineRule="auto"/>
              <w:rPr>
                <w:rFonts w:ascii="Arial" w:hAnsi="Arial" w:cs="Arial"/>
                <w:color w:val="000000"/>
                <w:sz w:val="20"/>
                <w:szCs w:val="20"/>
                <w:lang w:val="es-ES"/>
              </w:rPr>
            </w:pPr>
            <w:r w:rsidRPr="002619F0">
              <w:rPr>
                <w:rFonts w:ascii="Arial" w:hAnsi="Arial" w:cs="Arial"/>
                <w:color w:val="000000"/>
                <w:sz w:val="20"/>
                <w:szCs w:val="20"/>
                <w:lang w:val="es-ES"/>
              </w:rPr>
              <w:t>Publicación en la Gaceta Oficial de la Resolución Ministerial que crea la estructura técnico administrativa de la Secretaría Técnica dentro de MIAMBIENTE y partidas presupuestarias para su funcionamiento.</w:t>
            </w:r>
          </w:p>
          <w:p w14:paraId="2785162F" w14:textId="7E6896F8" w:rsidR="00977F16" w:rsidRPr="002619F0" w:rsidRDefault="00977F16" w:rsidP="002619F0">
            <w:pPr>
              <w:spacing w:after="0" w:line="240" w:lineRule="auto"/>
              <w:rPr>
                <w:rFonts w:ascii="Arial" w:hAnsi="Arial" w:cs="Arial"/>
                <w:color w:val="000000" w:themeColor="text1"/>
                <w:sz w:val="20"/>
                <w:szCs w:val="20"/>
                <w:lang w:val="es-ES_tradnl"/>
              </w:rPr>
            </w:pPr>
          </w:p>
        </w:tc>
      </w:tr>
      <w:tr w:rsidR="00977F16" w:rsidRPr="00924396" w14:paraId="4132A201" w14:textId="77777777" w:rsidTr="0083531C">
        <w:trPr>
          <w:trHeight w:val="485"/>
        </w:trPr>
        <w:tc>
          <w:tcPr>
            <w:tcW w:w="4747" w:type="dxa"/>
            <w:vAlign w:val="center"/>
          </w:tcPr>
          <w:p w14:paraId="0C5E4C46" w14:textId="50F0EEEE" w:rsidR="00977F16" w:rsidRPr="009F1517" w:rsidRDefault="003843C3" w:rsidP="002619F0">
            <w:pPr>
              <w:spacing w:after="0" w:line="240" w:lineRule="auto"/>
              <w:jc w:val="both"/>
              <w:rPr>
                <w:rFonts w:ascii="Arial" w:hAnsi="Arial" w:cs="Arial"/>
                <w:sz w:val="20"/>
                <w:szCs w:val="20"/>
                <w:lang w:val="es-ES"/>
              </w:rPr>
            </w:pPr>
            <w:r w:rsidRPr="003843C3">
              <w:rPr>
                <w:rFonts w:ascii="Arial" w:hAnsi="Arial" w:cs="Arial"/>
                <w:sz w:val="20"/>
                <w:szCs w:val="20"/>
                <w:lang w:val="es-ES"/>
              </w:rPr>
              <w:t>Anteproyecto de ley para la creación de la Empresa Pública de Saneamiento de Panamá, que define sus objetivos, atribuciones y prerrogativas, gobierno corporativo, régimen laboral y estructura salarial, patrimonio, y tarifas, tasas y régimen de subsidio, presentado por el Consejo de Gabinete a la Asamblea Nacional.</w:t>
            </w:r>
            <w:r w:rsidR="009F1517" w:rsidRPr="000555DF">
              <w:rPr>
                <w:rFonts w:ascii="Arial" w:hAnsi="Arial" w:cs="Arial"/>
                <w:color w:val="000000"/>
                <w:sz w:val="20"/>
                <w:szCs w:val="20"/>
                <w:lang w:val="es-ES"/>
              </w:rPr>
              <w:t>.</w:t>
            </w:r>
          </w:p>
        </w:tc>
        <w:tc>
          <w:tcPr>
            <w:tcW w:w="1440" w:type="dxa"/>
            <w:vAlign w:val="center"/>
          </w:tcPr>
          <w:p w14:paraId="18A0CBEF" w14:textId="058742F6" w:rsidR="00977F16" w:rsidRPr="002619F0" w:rsidRDefault="00970E27"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Anteproyecto</w:t>
            </w:r>
          </w:p>
        </w:tc>
        <w:tc>
          <w:tcPr>
            <w:tcW w:w="1193" w:type="dxa"/>
            <w:vAlign w:val="center"/>
          </w:tcPr>
          <w:p w14:paraId="6BBC53A2" w14:textId="434D3C97"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0</w:t>
            </w:r>
          </w:p>
        </w:tc>
        <w:tc>
          <w:tcPr>
            <w:tcW w:w="906" w:type="dxa"/>
            <w:vAlign w:val="center"/>
          </w:tcPr>
          <w:p w14:paraId="32E15674" w14:textId="6FC040F6"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0</w:t>
            </w:r>
          </w:p>
        </w:tc>
        <w:tc>
          <w:tcPr>
            <w:tcW w:w="900" w:type="dxa"/>
            <w:vAlign w:val="center"/>
          </w:tcPr>
          <w:p w14:paraId="09BE6980" w14:textId="1EE0A796" w:rsidR="00977F16" w:rsidRPr="002619F0" w:rsidRDefault="00977F16" w:rsidP="002619F0">
            <w:pPr>
              <w:spacing w:after="0" w:line="240" w:lineRule="auto"/>
              <w:jc w:val="center"/>
              <w:rPr>
                <w:rFonts w:ascii="Arial" w:hAnsi="Arial" w:cs="Arial"/>
                <w:sz w:val="20"/>
                <w:szCs w:val="20"/>
                <w:lang w:val="es-BO"/>
              </w:rPr>
            </w:pPr>
            <w:r w:rsidRPr="002619F0">
              <w:rPr>
                <w:rFonts w:ascii="Arial" w:hAnsi="Arial" w:cs="Arial"/>
                <w:sz w:val="20"/>
                <w:szCs w:val="20"/>
                <w:lang w:val="es-BO"/>
              </w:rPr>
              <w:t>1</w:t>
            </w:r>
          </w:p>
        </w:tc>
        <w:tc>
          <w:tcPr>
            <w:tcW w:w="3841" w:type="dxa"/>
            <w:vAlign w:val="center"/>
          </w:tcPr>
          <w:p w14:paraId="68E2004E" w14:textId="2CC13E33" w:rsidR="00977F16" w:rsidRPr="002619F0" w:rsidRDefault="003843C3" w:rsidP="002619F0">
            <w:pPr>
              <w:spacing w:after="0" w:line="240" w:lineRule="auto"/>
              <w:rPr>
                <w:rFonts w:ascii="Arial" w:hAnsi="Arial" w:cs="Arial"/>
                <w:color w:val="000000" w:themeColor="text1"/>
                <w:sz w:val="20"/>
                <w:szCs w:val="20"/>
                <w:lang w:val="es-ES"/>
              </w:rPr>
            </w:pPr>
            <w:r w:rsidRPr="003843C3">
              <w:rPr>
                <w:rFonts w:ascii="Arial" w:hAnsi="Arial" w:cs="Arial"/>
                <w:color w:val="000000"/>
                <w:sz w:val="20"/>
                <w:szCs w:val="20"/>
                <w:lang w:val="es-ES"/>
              </w:rPr>
              <w:t>Resolución del Consejo de Gabinete presentando ante la Asamblea Nacional, el Anteproyecto de Ley.</w:t>
            </w:r>
          </w:p>
        </w:tc>
      </w:tr>
      <w:bookmarkEnd w:id="2"/>
    </w:tbl>
    <w:p w14:paraId="127E5195" w14:textId="391DF275" w:rsidR="00763F34" w:rsidRPr="002619F0" w:rsidRDefault="00763F34" w:rsidP="002619F0">
      <w:pPr>
        <w:spacing w:after="0" w:line="240" w:lineRule="auto"/>
        <w:rPr>
          <w:rFonts w:ascii="Arial" w:hAnsi="Arial" w:cs="Arial"/>
          <w:sz w:val="20"/>
          <w:szCs w:val="20"/>
          <w:lang w:val="es-ES_tradnl"/>
        </w:rPr>
      </w:pPr>
    </w:p>
    <w:sectPr w:rsidR="00763F34" w:rsidRPr="002619F0" w:rsidSect="00CD7CCF">
      <w:headerReference w:type="even" r:id="rId13"/>
      <w:headerReference w:type="default" r:id="rId14"/>
      <w:pgSz w:w="15840" w:h="12240" w:orient="landscape"/>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11BB6" w14:textId="77777777" w:rsidR="008D4F0A" w:rsidRDefault="008D4F0A" w:rsidP="007B6ECD">
      <w:pPr>
        <w:spacing w:after="0" w:line="240" w:lineRule="auto"/>
      </w:pPr>
      <w:r>
        <w:separator/>
      </w:r>
    </w:p>
  </w:endnote>
  <w:endnote w:type="continuationSeparator" w:id="0">
    <w:p w14:paraId="07E7C8F4" w14:textId="77777777" w:rsidR="008D4F0A" w:rsidRDefault="008D4F0A" w:rsidP="007B6ECD">
      <w:pPr>
        <w:spacing w:after="0" w:line="240" w:lineRule="auto"/>
      </w:pPr>
      <w:r>
        <w:continuationSeparator/>
      </w:r>
    </w:p>
  </w:endnote>
  <w:endnote w:type="continuationNotice" w:id="1">
    <w:p w14:paraId="5A790CA0" w14:textId="77777777" w:rsidR="008D4F0A" w:rsidRDefault="008D4F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AEE9B" w14:textId="77777777" w:rsidR="008D4F0A" w:rsidRDefault="008D4F0A" w:rsidP="007B6ECD">
      <w:pPr>
        <w:spacing w:after="0" w:line="240" w:lineRule="auto"/>
      </w:pPr>
      <w:r>
        <w:separator/>
      </w:r>
    </w:p>
  </w:footnote>
  <w:footnote w:type="continuationSeparator" w:id="0">
    <w:p w14:paraId="16E8EE12" w14:textId="77777777" w:rsidR="008D4F0A" w:rsidRDefault="008D4F0A" w:rsidP="007B6ECD">
      <w:pPr>
        <w:spacing w:after="0" w:line="240" w:lineRule="auto"/>
      </w:pPr>
      <w:r>
        <w:continuationSeparator/>
      </w:r>
    </w:p>
  </w:footnote>
  <w:footnote w:type="continuationNotice" w:id="1">
    <w:p w14:paraId="4284530B" w14:textId="77777777" w:rsidR="008D4F0A" w:rsidRDefault="008D4F0A">
      <w:pPr>
        <w:spacing w:after="0" w:line="240" w:lineRule="auto"/>
      </w:pPr>
    </w:p>
  </w:footnote>
  <w:footnote w:id="2">
    <w:p w14:paraId="6256A244" w14:textId="77777777" w:rsidR="008D4F0A" w:rsidRPr="00F21824" w:rsidRDefault="008D4F0A" w:rsidP="00F21824">
      <w:pPr>
        <w:pStyle w:val="FootnoteText"/>
        <w:ind w:left="270" w:hanging="270"/>
        <w:rPr>
          <w:rFonts w:ascii="Arial" w:hAnsi="Arial" w:cs="Arial"/>
          <w:sz w:val="18"/>
          <w:szCs w:val="18"/>
        </w:rPr>
      </w:pPr>
      <w:r w:rsidRPr="00F21824">
        <w:rPr>
          <w:rStyle w:val="FootnoteReference"/>
          <w:rFonts w:ascii="Arial" w:hAnsi="Arial" w:cs="Arial"/>
          <w:sz w:val="18"/>
          <w:szCs w:val="18"/>
        </w:rPr>
        <w:footnoteRef/>
      </w:r>
      <w:r w:rsidRPr="00F21824">
        <w:rPr>
          <w:rFonts w:ascii="Arial" w:hAnsi="Arial" w:cs="Arial"/>
          <w:sz w:val="18"/>
          <w:szCs w:val="18"/>
        </w:rPr>
        <w:t xml:space="preserve"> </w:t>
      </w:r>
      <w:r w:rsidRPr="00F21824">
        <w:rPr>
          <w:rFonts w:ascii="Arial" w:hAnsi="Arial" w:cs="Arial"/>
          <w:sz w:val="18"/>
          <w:szCs w:val="18"/>
          <w:lang w:val="es-ES_tradnl"/>
        </w:rPr>
        <w:tab/>
      </w:r>
      <w:r w:rsidRPr="00F21824">
        <w:rPr>
          <w:rFonts w:ascii="Arial" w:hAnsi="Arial" w:cs="Arial"/>
          <w:sz w:val="18"/>
          <w:szCs w:val="18"/>
          <w:lang w:val="es-CO"/>
        </w:rPr>
        <w:t>Emisiones de GEI calculadas en emisiones de CO</w:t>
      </w:r>
      <w:r w:rsidRPr="00F21824">
        <w:rPr>
          <w:rFonts w:ascii="Arial" w:hAnsi="Arial" w:cs="Arial"/>
          <w:sz w:val="18"/>
          <w:szCs w:val="18"/>
          <w:vertAlign w:val="subscript"/>
          <w:lang w:val="es-CO"/>
        </w:rPr>
        <w:t>2</w:t>
      </w:r>
      <w:r w:rsidRPr="00F21824">
        <w:rPr>
          <w:rFonts w:ascii="Arial" w:hAnsi="Arial" w:cs="Arial"/>
          <w:sz w:val="18"/>
          <w:szCs w:val="18"/>
          <w:lang w:val="es-CO"/>
        </w:rPr>
        <w:t xml:space="preserve"> equivalentes.</w:t>
      </w:r>
    </w:p>
  </w:footnote>
  <w:footnote w:id="3">
    <w:p w14:paraId="27CD4A35" w14:textId="1968BDA6" w:rsidR="008D4F0A" w:rsidRPr="00F21824" w:rsidRDefault="008D4F0A" w:rsidP="00F21824">
      <w:pPr>
        <w:pStyle w:val="FootnoteText"/>
        <w:ind w:left="270" w:hanging="270"/>
        <w:rPr>
          <w:rFonts w:ascii="Arial" w:hAnsi="Arial" w:cs="Arial"/>
          <w:sz w:val="18"/>
          <w:szCs w:val="18"/>
        </w:rPr>
      </w:pPr>
      <w:r w:rsidRPr="00F21824">
        <w:rPr>
          <w:rStyle w:val="FootnoteReference"/>
          <w:rFonts w:ascii="Arial" w:hAnsi="Arial" w:cs="Arial"/>
          <w:sz w:val="18"/>
          <w:szCs w:val="18"/>
        </w:rPr>
        <w:footnoteRef/>
      </w:r>
      <w:r w:rsidRPr="00F21824">
        <w:rPr>
          <w:rFonts w:ascii="Arial" w:hAnsi="Arial" w:cs="Arial"/>
          <w:sz w:val="18"/>
          <w:szCs w:val="18"/>
        </w:rPr>
        <w:t xml:space="preserve"> </w:t>
      </w:r>
      <w:r>
        <w:rPr>
          <w:rFonts w:ascii="Arial" w:hAnsi="Arial" w:cs="Arial"/>
          <w:sz w:val="18"/>
          <w:szCs w:val="18"/>
        </w:rPr>
        <w:tab/>
      </w:r>
      <w:r w:rsidRPr="00F21824">
        <w:rPr>
          <w:rFonts w:ascii="Arial" w:hAnsi="Arial" w:cs="Arial"/>
          <w:sz w:val="18"/>
          <w:szCs w:val="18"/>
        </w:rPr>
        <w:t xml:space="preserve">No considera energía hidroeléctrica. </w:t>
      </w:r>
    </w:p>
  </w:footnote>
  <w:footnote w:id="4">
    <w:p w14:paraId="002597CA" w14:textId="55626AC7" w:rsidR="008D4F0A" w:rsidRPr="00F21824" w:rsidRDefault="008D4F0A" w:rsidP="00F21824">
      <w:pPr>
        <w:pStyle w:val="FootnoteText"/>
        <w:ind w:left="270" w:hanging="270"/>
        <w:rPr>
          <w:rFonts w:ascii="Arial" w:hAnsi="Arial" w:cs="Arial"/>
          <w:sz w:val="18"/>
          <w:szCs w:val="18"/>
          <w:lang w:val="es-ES_tradnl"/>
        </w:rPr>
      </w:pPr>
      <w:r w:rsidRPr="00F21824">
        <w:rPr>
          <w:rStyle w:val="FootnoteReference"/>
          <w:rFonts w:ascii="Arial" w:hAnsi="Arial" w:cs="Arial"/>
          <w:sz w:val="18"/>
          <w:szCs w:val="18"/>
        </w:rPr>
        <w:footnoteRef/>
      </w:r>
      <w:r w:rsidRPr="00F21824">
        <w:rPr>
          <w:rFonts w:ascii="Arial" w:hAnsi="Arial" w:cs="Arial"/>
          <w:sz w:val="18"/>
          <w:szCs w:val="18"/>
        </w:rPr>
        <w:t xml:space="preserve"> </w:t>
      </w:r>
      <w:r>
        <w:rPr>
          <w:rFonts w:ascii="Arial" w:hAnsi="Arial" w:cs="Arial"/>
          <w:sz w:val="18"/>
          <w:szCs w:val="18"/>
        </w:rPr>
        <w:tab/>
      </w:r>
      <w:r w:rsidRPr="00F21824">
        <w:rPr>
          <w:rFonts w:ascii="Arial" w:hAnsi="Arial" w:cs="Arial"/>
          <w:sz w:val="18"/>
          <w:szCs w:val="18"/>
        </w:rPr>
        <w:t xml:space="preserve">De acuerdo al PEN 2015-2050 se consideran la implementación de políticas y la promoción del uso racional y eficiente de la energía enfocado tanto en equipos eléctricos, como en la mejora en los métodos de construcción y materiales utilizados en edificaciones principalmente para economizar los gastos de iluminación y equipos acondicionadores de aire a largo plazo. </w:t>
      </w:r>
    </w:p>
  </w:footnote>
  <w:footnote w:id="5">
    <w:p w14:paraId="2E98CD23" w14:textId="2337DB03" w:rsidR="008D4F0A" w:rsidRPr="00F21824" w:rsidRDefault="008D4F0A" w:rsidP="00F21824">
      <w:pPr>
        <w:pStyle w:val="FootnoteText"/>
        <w:ind w:left="270" w:hanging="270"/>
        <w:rPr>
          <w:rFonts w:ascii="Arial" w:hAnsi="Arial" w:cs="Arial"/>
          <w:sz w:val="18"/>
          <w:szCs w:val="18"/>
        </w:rPr>
      </w:pPr>
      <w:r w:rsidRPr="00F21824">
        <w:rPr>
          <w:rStyle w:val="FootnoteReference"/>
          <w:rFonts w:ascii="Arial" w:hAnsi="Arial" w:cs="Arial"/>
          <w:sz w:val="18"/>
          <w:szCs w:val="18"/>
        </w:rPr>
        <w:footnoteRef/>
      </w:r>
      <w:r w:rsidRPr="00F21824">
        <w:rPr>
          <w:rFonts w:ascii="Arial" w:hAnsi="Arial" w:cs="Arial"/>
          <w:sz w:val="18"/>
          <w:szCs w:val="18"/>
        </w:rPr>
        <w:t xml:space="preserve"> </w:t>
      </w:r>
      <w:r>
        <w:rPr>
          <w:rFonts w:ascii="Arial" w:hAnsi="Arial" w:cs="Arial"/>
          <w:sz w:val="18"/>
          <w:szCs w:val="18"/>
        </w:rPr>
        <w:tab/>
      </w:r>
      <w:hyperlink r:id="rId1" w:history="1">
        <w:r w:rsidR="00A43E22">
          <w:rPr>
            <w:rStyle w:val="Hyperlink"/>
            <w:rFonts w:ascii="Arial" w:hAnsi="Arial" w:cs="Arial"/>
            <w:sz w:val="18"/>
            <w:szCs w:val="18"/>
          </w:rPr>
          <w:t>http://www.asep.gob.pa</w:t>
        </w:r>
      </w:hyperlink>
      <w:r>
        <w:rPr>
          <w:rFonts w:ascii="Arial" w:hAnsi="Arial" w:cs="Arial"/>
          <w:sz w:val="18"/>
          <w:szCs w:val="18"/>
        </w:rPr>
        <w:t xml:space="preserve">. </w:t>
      </w:r>
      <w:r w:rsidRPr="00F21824">
        <w:rPr>
          <w:rFonts w:ascii="Arial" w:hAnsi="Arial" w:cs="Arial"/>
          <w:sz w:val="18"/>
          <w:szCs w:val="18"/>
        </w:rPr>
        <w:t xml:space="preserve"> </w:t>
      </w:r>
    </w:p>
  </w:footnote>
  <w:footnote w:id="6">
    <w:p w14:paraId="76175747" w14:textId="1A31A546" w:rsidR="008D4F0A" w:rsidRPr="00F21824" w:rsidRDefault="008D4F0A" w:rsidP="00F21824">
      <w:pPr>
        <w:pStyle w:val="FootnoteText"/>
        <w:ind w:left="270" w:hanging="270"/>
        <w:rPr>
          <w:rFonts w:ascii="Arial" w:hAnsi="Arial" w:cs="Arial"/>
          <w:sz w:val="18"/>
          <w:szCs w:val="18"/>
        </w:rPr>
      </w:pPr>
      <w:r w:rsidRPr="00F21824">
        <w:rPr>
          <w:rStyle w:val="FootnoteReference"/>
          <w:rFonts w:ascii="Arial" w:hAnsi="Arial" w:cs="Arial"/>
          <w:sz w:val="18"/>
          <w:szCs w:val="18"/>
        </w:rPr>
        <w:footnoteRef/>
      </w:r>
      <w:r w:rsidRPr="00F21824">
        <w:rPr>
          <w:rFonts w:ascii="Arial" w:hAnsi="Arial" w:cs="Arial"/>
          <w:sz w:val="18"/>
          <w:szCs w:val="18"/>
        </w:rPr>
        <w:t xml:space="preserve"> </w:t>
      </w:r>
      <w:r>
        <w:rPr>
          <w:rFonts w:ascii="Arial" w:hAnsi="Arial" w:cs="Arial"/>
          <w:sz w:val="18"/>
          <w:szCs w:val="18"/>
        </w:rPr>
        <w:tab/>
      </w:r>
      <w:r w:rsidRPr="00F21824">
        <w:rPr>
          <w:rFonts w:ascii="Arial" w:hAnsi="Arial" w:cs="Arial"/>
          <w:sz w:val="18"/>
          <w:szCs w:val="18"/>
        </w:rPr>
        <w:t>Mejorado significa que los hogares pasan de recibir el servicio 10 horas en promedio al día a 24 horas al día, 7 días a la semana.</w:t>
      </w:r>
    </w:p>
  </w:footnote>
  <w:footnote w:id="7">
    <w:p w14:paraId="176A822E" w14:textId="0BF3C809" w:rsidR="008D4F0A" w:rsidRPr="00F21824" w:rsidRDefault="008D4F0A" w:rsidP="00F21824">
      <w:pPr>
        <w:pStyle w:val="FootnoteText"/>
        <w:ind w:left="270" w:hanging="270"/>
        <w:rPr>
          <w:rFonts w:ascii="Arial" w:hAnsi="Arial" w:cs="Arial"/>
          <w:sz w:val="18"/>
          <w:szCs w:val="18"/>
          <w:lang w:val="es-ES_tradnl"/>
        </w:rPr>
      </w:pPr>
      <w:r w:rsidRPr="00F21824">
        <w:rPr>
          <w:rStyle w:val="FootnoteReference"/>
          <w:rFonts w:ascii="Arial" w:hAnsi="Arial" w:cs="Arial"/>
          <w:sz w:val="18"/>
          <w:szCs w:val="18"/>
        </w:rPr>
        <w:footnoteRef/>
      </w:r>
      <w:r w:rsidRPr="00F21824">
        <w:rPr>
          <w:rFonts w:ascii="Arial" w:hAnsi="Arial" w:cs="Arial"/>
          <w:sz w:val="18"/>
          <w:szCs w:val="18"/>
        </w:rPr>
        <w:t xml:space="preserve"> </w:t>
      </w:r>
      <w:r>
        <w:rPr>
          <w:rFonts w:ascii="Arial" w:hAnsi="Arial" w:cs="Arial"/>
          <w:sz w:val="18"/>
          <w:szCs w:val="18"/>
        </w:rPr>
        <w:tab/>
      </w:r>
      <w:r w:rsidRPr="00F21824">
        <w:rPr>
          <w:rFonts w:ascii="Arial" w:hAnsi="Arial" w:cs="Arial"/>
          <w:color w:val="000000" w:themeColor="text1"/>
          <w:sz w:val="18"/>
          <w:szCs w:val="18"/>
        </w:rPr>
        <w:t>Las entidades sectoriales a ser coordinadas son: MIAMBIENTE, MINSA, MIDA, ACP, ASEP, MEF, Ministerio de la Presidencia e IDAAN</w:t>
      </w:r>
    </w:p>
  </w:footnote>
  <w:footnote w:id="8">
    <w:p w14:paraId="5688499B" w14:textId="77777777" w:rsidR="00A37E6F" w:rsidRPr="007C4669" w:rsidRDefault="00A37E6F" w:rsidP="0018212C">
      <w:pPr>
        <w:pStyle w:val="FootnoteText"/>
      </w:pPr>
      <w:r>
        <w:rPr>
          <w:rStyle w:val="FootnoteReference"/>
        </w:rPr>
        <w:footnoteRef/>
      </w:r>
      <w:r w:rsidRPr="5269B710">
        <w:t xml:space="preserve"> El PEN fue aprobado en junio de 2016 y para el establecimiento de sus metas se usó información de 2013. La actualización del PEN incluirá actualización de la línea base y metas del mismo, así como un análisis de su la implementación.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5E5B4F" w14:textId="77777777" w:rsidR="008D4F0A" w:rsidRPr="008F1A0F" w:rsidRDefault="008D4F0A" w:rsidP="00604287">
    <w:pPr>
      <w:pStyle w:val="Header"/>
      <w:rPr>
        <w:rFonts w:ascii="Arial" w:hAnsi="Arial" w:cs="Arial"/>
        <w:sz w:val="18"/>
        <w:szCs w:val="18"/>
      </w:rPr>
    </w:pPr>
    <w:r>
      <w:rPr>
        <w:rFonts w:ascii="Arial" w:hAnsi="Arial" w:cs="Arial"/>
        <w:sz w:val="18"/>
        <w:szCs w:val="18"/>
      </w:rPr>
      <w:t>An</w:t>
    </w:r>
    <w:r w:rsidRPr="008F1A0F">
      <w:rPr>
        <w:rFonts w:ascii="Arial" w:hAnsi="Arial" w:cs="Arial"/>
        <w:sz w:val="18"/>
        <w:szCs w:val="18"/>
      </w:rPr>
      <w:t>ex</w:t>
    </w:r>
    <w:r>
      <w:rPr>
        <w:rFonts w:ascii="Arial" w:hAnsi="Arial" w:cs="Arial"/>
        <w:sz w:val="18"/>
        <w:szCs w:val="18"/>
      </w:rPr>
      <w:t>o</w:t>
    </w:r>
    <w:r w:rsidRPr="008F1A0F">
      <w:rPr>
        <w:rFonts w:ascii="Arial" w:hAnsi="Arial" w:cs="Arial"/>
        <w:sz w:val="18"/>
        <w:szCs w:val="18"/>
      </w:rPr>
      <w:t xml:space="preserve"> II – </w:t>
    </w:r>
    <w:r>
      <w:rPr>
        <w:rFonts w:ascii="Arial" w:hAnsi="Arial" w:cs="Arial"/>
        <w:sz w:val="18"/>
        <w:szCs w:val="18"/>
      </w:rPr>
      <w:t>PN-L1145</w:t>
    </w:r>
  </w:p>
  <w:p w14:paraId="5FE1B233" w14:textId="18ABA01F" w:rsidR="008D4F0A" w:rsidRPr="00587D31" w:rsidRDefault="008D4F0A" w:rsidP="00587D31">
    <w:pPr>
      <w:pStyle w:val="Header"/>
      <w:spacing w:after="120"/>
      <w:rPr>
        <w:rFonts w:ascii="Arial" w:hAnsi="Arial" w:cs="Arial"/>
        <w:sz w:val="18"/>
        <w:szCs w:val="18"/>
      </w:rPr>
    </w:pPr>
    <w:r w:rsidRPr="00587D31">
      <w:rPr>
        <w:rFonts w:ascii="Arial" w:hAnsi="Arial" w:cs="Arial"/>
        <w:sz w:val="18"/>
        <w:szCs w:val="18"/>
      </w:rPr>
      <w:fldChar w:fldCharType="begin"/>
    </w:r>
    <w:r w:rsidRPr="008F1A0F">
      <w:rPr>
        <w:rFonts w:ascii="Arial" w:hAnsi="Arial" w:cs="Arial"/>
        <w:sz w:val="18"/>
        <w:szCs w:val="20"/>
      </w:rPr>
      <w:instrText xml:space="preserve"> PAGE </w:instrText>
    </w:r>
    <w:r w:rsidRPr="00587D31">
      <w:rPr>
        <w:rFonts w:ascii="Arial" w:hAnsi="Arial" w:cs="Arial"/>
        <w:sz w:val="18"/>
        <w:szCs w:val="20"/>
      </w:rPr>
      <w:fldChar w:fldCharType="separate"/>
    </w:r>
    <w:r w:rsidR="00CF0BED">
      <w:rPr>
        <w:rFonts w:ascii="Arial" w:hAnsi="Arial" w:cs="Arial"/>
        <w:noProof/>
        <w:sz w:val="18"/>
        <w:szCs w:val="20"/>
      </w:rPr>
      <w:t>6</w:t>
    </w:r>
    <w:r w:rsidRPr="00587D31">
      <w:rPr>
        <w:rFonts w:ascii="Arial" w:hAnsi="Arial" w:cs="Arial"/>
        <w:sz w:val="18"/>
        <w:szCs w:val="18"/>
      </w:rPr>
      <w:fldChar w:fldCharType="end"/>
    </w:r>
    <w:r w:rsidRPr="008F1A0F">
      <w:rPr>
        <w:rFonts w:ascii="Arial" w:hAnsi="Arial" w:cs="Arial"/>
        <w:sz w:val="18"/>
        <w:szCs w:val="18"/>
      </w:rPr>
      <w:t xml:space="preserve"> </w:t>
    </w:r>
    <w:r>
      <w:rPr>
        <w:rFonts w:ascii="Arial" w:hAnsi="Arial" w:cs="Arial"/>
        <w:sz w:val="18"/>
        <w:szCs w:val="18"/>
      </w:rPr>
      <w:t>de</w:t>
    </w:r>
    <w:r w:rsidRPr="008F1A0F">
      <w:rPr>
        <w:rFonts w:ascii="Arial" w:hAnsi="Arial" w:cs="Arial"/>
        <w:sz w:val="18"/>
        <w:szCs w:val="18"/>
      </w:rPr>
      <w:t xml:space="preserve"> </w:t>
    </w:r>
    <w:r w:rsidRPr="00587D31">
      <w:rPr>
        <w:rFonts w:ascii="Arial" w:hAnsi="Arial" w:cs="Arial"/>
        <w:sz w:val="18"/>
        <w:szCs w:val="18"/>
      </w:rPr>
      <w:fldChar w:fldCharType="begin"/>
    </w:r>
    <w:r w:rsidRPr="008F1A0F">
      <w:rPr>
        <w:rFonts w:ascii="Arial" w:hAnsi="Arial" w:cs="Arial"/>
        <w:sz w:val="18"/>
        <w:szCs w:val="20"/>
      </w:rPr>
      <w:instrText xml:space="preserve"> NUMPAGES  </w:instrText>
    </w:r>
    <w:r w:rsidRPr="00587D31">
      <w:rPr>
        <w:rFonts w:ascii="Arial" w:hAnsi="Arial" w:cs="Arial"/>
        <w:sz w:val="18"/>
        <w:szCs w:val="20"/>
      </w:rPr>
      <w:fldChar w:fldCharType="separate"/>
    </w:r>
    <w:r w:rsidR="00CF0BED">
      <w:rPr>
        <w:rFonts w:ascii="Arial" w:hAnsi="Arial" w:cs="Arial"/>
        <w:noProof/>
        <w:sz w:val="18"/>
        <w:szCs w:val="20"/>
      </w:rPr>
      <w:t>10</w:t>
    </w:r>
    <w:r w:rsidRPr="00587D31">
      <w:rPr>
        <w:rFonts w:ascii="Arial" w:hAnsi="Arial" w:cs="Arial"/>
        <w:sz w:val="18"/>
        <w:szCs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7D31B0" w14:textId="77777777" w:rsidR="008D4F0A" w:rsidRPr="00205AC6" w:rsidRDefault="008D4F0A" w:rsidP="00A430BF">
    <w:pPr>
      <w:pStyle w:val="Header"/>
      <w:jc w:val="right"/>
      <w:rPr>
        <w:rFonts w:ascii="Arial" w:hAnsi="Arial" w:cs="Arial"/>
        <w:sz w:val="18"/>
        <w:szCs w:val="18"/>
        <w:lang w:val="pt-BR"/>
      </w:rPr>
    </w:pPr>
    <w:r>
      <w:rPr>
        <w:rFonts w:ascii="Arial" w:hAnsi="Arial" w:cs="Arial"/>
        <w:sz w:val="18"/>
        <w:szCs w:val="18"/>
        <w:lang w:val="pt-BR"/>
      </w:rPr>
      <w:t>PN-L1145</w:t>
    </w:r>
  </w:p>
  <w:p w14:paraId="1EE80548" w14:textId="55368A65" w:rsidR="008D4F0A" w:rsidRPr="00587D31" w:rsidRDefault="008D4F0A" w:rsidP="00587D31">
    <w:pPr>
      <w:pStyle w:val="Header"/>
      <w:spacing w:after="120"/>
      <w:jc w:val="right"/>
      <w:rPr>
        <w:rFonts w:ascii="Arial" w:hAnsi="Arial" w:cs="Arial"/>
        <w:sz w:val="18"/>
        <w:szCs w:val="18"/>
        <w:lang w:val="pt-BR"/>
      </w:rPr>
    </w:pPr>
    <w:r w:rsidRPr="00205AC6">
      <w:rPr>
        <w:rFonts w:ascii="Arial" w:hAnsi="Arial" w:cs="Arial"/>
        <w:sz w:val="18"/>
        <w:szCs w:val="18"/>
        <w:lang w:val="pt-BR"/>
      </w:rPr>
      <w:t xml:space="preserve">Página </w:t>
    </w:r>
    <w:r w:rsidRPr="00155290">
      <w:rPr>
        <w:rFonts w:ascii="Arial" w:hAnsi="Arial" w:cs="Arial"/>
        <w:sz w:val="18"/>
        <w:szCs w:val="18"/>
        <w:lang w:val="pt-BR"/>
      </w:rPr>
      <w:fldChar w:fldCharType="begin"/>
    </w:r>
    <w:r w:rsidRPr="00205AC6">
      <w:rPr>
        <w:rFonts w:ascii="Arial" w:hAnsi="Arial" w:cs="Arial"/>
        <w:sz w:val="18"/>
        <w:szCs w:val="20"/>
        <w:lang w:val="pt-BR"/>
      </w:rPr>
      <w:instrText xml:space="preserve"> PAGE </w:instrText>
    </w:r>
    <w:r w:rsidRPr="00155290">
      <w:rPr>
        <w:rFonts w:ascii="Arial" w:hAnsi="Arial" w:cs="Arial"/>
        <w:sz w:val="18"/>
        <w:szCs w:val="20"/>
      </w:rPr>
      <w:fldChar w:fldCharType="separate"/>
    </w:r>
    <w:r w:rsidR="00CF0BED">
      <w:rPr>
        <w:rFonts w:ascii="Arial" w:hAnsi="Arial" w:cs="Arial"/>
        <w:noProof/>
        <w:sz w:val="18"/>
        <w:szCs w:val="20"/>
        <w:lang w:val="pt-BR"/>
      </w:rPr>
      <w:t>5</w:t>
    </w:r>
    <w:r w:rsidRPr="00155290">
      <w:rPr>
        <w:rFonts w:ascii="Arial" w:hAnsi="Arial" w:cs="Arial"/>
        <w:sz w:val="18"/>
        <w:szCs w:val="18"/>
        <w:lang w:val="pt-BR"/>
      </w:rPr>
      <w:fldChar w:fldCharType="end"/>
    </w:r>
    <w:r w:rsidRPr="00205AC6">
      <w:rPr>
        <w:rFonts w:ascii="Arial" w:hAnsi="Arial" w:cs="Arial"/>
        <w:sz w:val="18"/>
        <w:szCs w:val="18"/>
        <w:lang w:val="pt-BR"/>
      </w:rPr>
      <w:t xml:space="preserve"> </w:t>
    </w:r>
    <w:r>
      <w:rPr>
        <w:rFonts w:ascii="Arial" w:hAnsi="Arial" w:cs="Arial"/>
        <w:sz w:val="18"/>
        <w:szCs w:val="18"/>
        <w:lang w:val="pt-BR"/>
      </w:rPr>
      <w:t>de</w:t>
    </w:r>
    <w:r w:rsidRPr="00205AC6">
      <w:rPr>
        <w:rFonts w:ascii="Arial" w:hAnsi="Arial" w:cs="Arial"/>
        <w:sz w:val="18"/>
        <w:szCs w:val="18"/>
        <w:lang w:val="pt-BR"/>
      </w:rPr>
      <w:t xml:space="preserve"> </w:t>
    </w:r>
    <w:r w:rsidR="0083531C">
      <w:rPr>
        <w:rFonts w:ascii="Arial" w:hAnsi="Arial" w:cs="Arial"/>
        <w:sz w:val="18"/>
        <w:szCs w:val="18"/>
        <w:lang w:val="pt-BR"/>
      </w:rPr>
      <w:t>7</w:t>
    </w:r>
  </w:p>
  <w:p w14:paraId="461F548D" w14:textId="77777777" w:rsidR="008D4F0A" w:rsidRPr="008F1A0F" w:rsidRDefault="008D4F0A" w:rsidP="00795640">
    <w:pPr>
      <w:pStyle w:val="Header"/>
      <w:spacing w:after="120"/>
      <w:jc w:val="right"/>
      <w:rPr>
        <w:rFonts w:ascii="Arial" w:hAnsi="Arial" w:cs="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04F5"/>
    <w:multiLevelType w:val="multilevel"/>
    <w:tmpl w:val="18C21D76"/>
    <w:lvl w:ilvl="0">
      <w:start w:val="1"/>
      <w:numFmt w:val="decimal"/>
      <w:lvlText w:val="%1."/>
      <w:lvlJc w:val="left"/>
      <w:pPr>
        <w:ind w:left="720" w:hanging="360"/>
      </w:pPr>
      <w:rPr>
        <w:rFonts w:hint="default"/>
        <w:b/>
        <w:u w:val="single"/>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F2C3391"/>
    <w:multiLevelType w:val="hybridMultilevel"/>
    <w:tmpl w:val="D9449F7C"/>
    <w:lvl w:ilvl="0" w:tplc="E516FBD8">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2" w15:restartNumberingAfterBreak="0">
    <w:nsid w:val="0F3818FC"/>
    <w:multiLevelType w:val="hybridMultilevel"/>
    <w:tmpl w:val="4E884436"/>
    <w:lvl w:ilvl="0" w:tplc="04090001">
      <w:start w:val="1"/>
      <w:numFmt w:val="bullet"/>
      <w:lvlText w:val=""/>
      <w:lvlJc w:val="left"/>
      <w:pPr>
        <w:ind w:left="1043" w:hanging="360"/>
      </w:pPr>
      <w:rPr>
        <w:rFonts w:ascii="Symbol" w:hAnsi="Symbol" w:hint="default"/>
      </w:rPr>
    </w:lvl>
    <w:lvl w:ilvl="1" w:tplc="04090003" w:tentative="1">
      <w:start w:val="1"/>
      <w:numFmt w:val="bullet"/>
      <w:lvlText w:val="o"/>
      <w:lvlJc w:val="left"/>
      <w:pPr>
        <w:ind w:left="1763" w:hanging="360"/>
      </w:pPr>
      <w:rPr>
        <w:rFonts w:ascii="Courier New" w:hAnsi="Courier New" w:cs="Courier New" w:hint="default"/>
      </w:rPr>
    </w:lvl>
    <w:lvl w:ilvl="2" w:tplc="04090005" w:tentative="1">
      <w:start w:val="1"/>
      <w:numFmt w:val="bullet"/>
      <w:lvlText w:val=""/>
      <w:lvlJc w:val="left"/>
      <w:pPr>
        <w:ind w:left="2483" w:hanging="360"/>
      </w:pPr>
      <w:rPr>
        <w:rFonts w:ascii="Wingdings" w:hAnsi="Wingdings" w:hint="default"/>
      </w:rPr>
    </w:lvl>
    <w:lvl w:ilvl="3" w:tplc="04090001" w:tentative="1">
      <w:start w:val="1"/>
      <w:numFmt w:val="bullet"/>
      <w:lvlText w:val=""/>
      <w:lvlJc w:val="left"/>
      <w:pPr>
        <w:ind w:left="3203" w:hanging="360"/>
      </w:pPr>
      <w:rPr>
        <w:rFonts w:ascii="Symbol" w:hAnsi="Symbol" w:hint="default"/>
      </w:rPr>
    </w:lvl>
    <w:lvl w:ilvl="4" w:tplc="04090003" w:tentative="1">
      <w:start w:val="1"/>
      <w:numFmt w:val="bullet"/>
      <w:lvlText w:val="o"/>
      <w:lvlJc w:val="left"/>
      <w:pPr>
        <w:ind w:left="3923" w:hanging="360"/>
      </w:pPr>
      <w:rPr>
        <w:rFonts w:ascii="Courier New" w:hAnsi="Courier New" w:cs="Courier New" w:hint="default"/>
      </w:rPr>
    </w:lvl>
    <w:lvl w:ilvl="5" w:tplc="04090005" w:tentative="1">
      <w:start w:val="1"/>
      <w:numFmt w:val="bullet"/>
      <w:lvlText w:val=""/>
      <w:lvlJc w:val="left"/>
      <w:pPr>
        <w:ind w:left="4643" w:hanging="360"/>
      </w:pPr>
      <w:rPr>
        <w:rFonts w:ascii="Wingdings" w:hAnsi="Wingdings" w:hint="default"/>
      </w:rPr>
    </w:lvl>
    <w:lvl w:ilvl="6" w:tplc="04090001" w:tentative="1">
      <w:start w:val="1"/>
      <w:numFmt w:val="bullet"/>
      <w:lvlText w:val=""/>
      <w:lvlJc w:val="left"/>
      <w:pPr>
        <w:ind w:left="5363" w:hanging="360"/>
      </w:pPr>
      <w:rPr>
        <w:rFonts w:ascii="Symbol" w:hAnsi="Symbol" w:hint="default"/>
      </w:rPr>
    </w:lvl>
    <w:lvl w:ilvl="7" w:tplc="04090003" w:tentative="1">
      <w:start w:val="1"/>
      <w:numFmt w:val="bullet"/>
      <w:lvlText w:val="o"/>
      <w:lvlJc w:val="left"/>
      <w:pPr>
        <w:ind w:left="6083" w:hanging="360"/>
      </w:pPr>
      <w:rPr>
        <w:rFonts w:ascii="Courier New" w:hAnsi="Courier New" w:cs="Courier New" w:hint="default"/>
      </w:rPr>
    </w:lvl>
    <w:lvl w:ilvl="8" w:tplc="04090005" w:tentative="1">
      <w:start w:val="1"/>
      <w:numFmt w:val="bullet"/>
      <w:lvlText w:val=""/>
      <w:lvlJc w:val="left"/>
      <w:pPr>
        <w:ind w:left="6803" w:hanging="360"/>
      </w:pPr>
      <w:rPr>
        <w:rFonts w:ascii="Wingdings" w:hAnsi="Wingdings" w:hint="default"/>
      </w:rPr>
    </w:lvl>
  </w:abstractNum>
  <w:abstractNum w:abstractNumId="3" w15:restartNumberingAfterBreak="0">
    <w:nsid w:val="0FE20CC9"/>
    <w:multiLevelType w:val="hybridMultilevel"/>
    <w:tmpl w:val="58B229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1827BD"/>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05B24DC"/>
    <w:multiLevelType w:val="hybridMultilevel"/>
    <w:tmpl w:val="FD16D2E6"/>
    <w:lvl w:ilvl="0" w:tplc="818659E4">
      <w:start w:val="1"/>
      <w:numFmt w:val="decimal"/>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9" w15:restartNumberingAfterBreak="0">
    <w:nsid w:val="234832F7"/>
    <w:multiLevelType w:val="hybridMultilevel"/>
    <w:tmpl w:val="DE001ED0"/>
    <w:lvl w:ilvl="0" w:tplc="8DD2164C">
      <w:start w:val="1"/>
      <w:numFmt w:val="decimal"/>
      <w:lvlText w:val="4.%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2761711D"/>
    <w:multiLevelType w:val="multilevel"/>
    <w:tmpl w:val="0EF4E906"/>
    <w:lvl w:ilvl="0">
      <w:start w:val="1"/>
      <w:numFmt w:val="decimal"/>
      <w:lvlText w:val="%1."/>
      <w:lvlJc w:val="left"/>
      <w:pPr>
        <w:ind w:left="720" w:hanging="360"/>
      </w:pPr>
      <w:rPr>
        <w:rFonts w:hint="default"/>
        <w:b/>
        <w:u w:val="none"/>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B341CD3"/>
    <w:multiLevelType w:val="hybridMultilevel"/>
    <w:tmpl w:val="26B69C92"/>
    <w:lvl w:ilvl="0" w:tplc="540A0001">
      <w:start w:val="1"/>
      <w:numFmt w:val="bullet"/>
      <w:lvlText w:val=""/>
      <w:lvlJc w:val="left"/>
      <w:pPr>
        <w:ind w:left="360" w:hanging="360"/>
      </w:pPr>
      <w:rPr>
        <w:rFonts w:ascii="Symbol" w:hAnsi="Symbol" w:hint="default"/>
      </w:rPr>
    </w:lvl>
    <w:lvl w:ilvl="1" w:tplc="540A0003" w:tentative="1">
      <w:start w:val="1"/>
      <w:numFmt w:val="bullet"/>
      <w:lvlText w:val="o"/>
      <w:lvlJc w:val="left"/>
      <w:pPr>
        <w:ind w:left="1080" w:hanging="360"/>
      </w:pPr>
      <w:rPr>
        <w:rFonts w:ascii="Courier New" w:hAnsi="Courier New" w:cs="Courier New" w:hint="default"/>
      </w:rPr>
    </w:lvl>
    <w:lvl w:ilvl="2" w:tplc="540A0005" w:tentative="1">
      <w:start w:val="1"/>
      <w:numFmt w:val="bullet"/>
      <w:lvlText w:val=""/>
      <w:lvlJc w:val="left"/>
      <w:pPr>
        <w:ind w:left="1800" w:hanging="360"/>
      </w:pPr>
      <w:rPr>
        <w:rFonts w:ascii="Wingdings" w:hAnsi="Wingdings" w:hint="default"/>
      </w:rPr>
    </w:lvl>
    <w:lvl w:ilvl="3" w:tplc="540A0001" w:tentative="1">
      <w:start w:val="1"/>
      <w:numFmt w:val="bullet"/>
      <w:lvlText w:val=""/>
      <w:lvlJc w:val="left"/>
      <w:pPr>
        <w:ind w:left="2520" w:hanging="360"/>
      </w:pPr>
      <w:rPr>
        <w:rFonts w:ascii="Symbol" w:hAnsi="Symbol" w:hint="default"/>
      </w:rPr>
    </w:lvl>
    <w:lvl w:ilvl="4" w:tplc="540A0003" w:tentative="1">
      <w:start w:val="1"/>
      <w:numFmt w:val="bullet"/>
      <w:lvlText w:val="o"/>
      <w:lvlJc w:val="left"/>
      <w:pPr>
        <w:ind w:left="3240" w:hanging="360"/>
      </w:pPr>
      <w:rPr>
        <w:rFonts w:ascii="Courier New" w:hAnsi="Courier New" w:cs="Courier New" w:hint="default"/>
      </w:rPr>
    </w:lvl>
    <w:lvl w:ilvl="5" w:tplc="540A0005" w:tentative="1">
      <w:start w:val="1"/>
      <w:numFmt w:val="bullet"/>
      <w:lvlText w:val=""/>
      <w:lvlJc w:val="left"/>
      <w:pPr>
        <w:ind w:left="3960" w:hanging="360"/>
      </w:pPr>
      <w:rPr>
        <w:rFonts w:ascii="Wingdings" w:hAnsi="Wingdings" w:hint="default"/>
      </w:rPr>
    </w:lvl>
    <w:lvl w:ilvl="6" w:tplc="540A0001" w:tentative="1">
      <w:start w:val="1"/>
      <w:numFmt w:val="bullet"/>
      <w:lvlText w:val=""/>
      <w:lvlJc w:val="left"/>
      <w:pPr>
        <w:ind w:left="4680" w:hanging="360"/>
      </w:pPr>
      <w:rPr>
        <w:rFonts w:ascii="Symbol" w:hAnsi="Symbol" w:hint="default"/>
      </w:rPr>
    </w:lvl>
    <w:lvl w:ilvl="7" w:tplc="540A0003" w:tentative="1">
      <w:start w:val="1"/>
      <w:numFmt w:val="bullet"/>
      <w:lvlText w:val="o"/>
      <w:lvlJc w:val="left"/>
      <w:pPr>
        <w:ind w:left="5400" w:hanging="360"/>
      </w:pPr>
      <w:rPr>
        <w:rFonts w:ascii="Courier New" w:hAnsi="Courier New" w:cs="Courier New" w:hint="default"/>
      </w:rPr>
    </w:lvl>
    <w:lvl w:ilvl="8" w:tplc="540A0005" w:tentative="1">
      <w:start w:val="1"/>
      <w:numFmt w:val="bullet"/>
      <w:lvlText w:val=""/>
      <w:lvlJc w:val="left"/>
      <w:pPr>
        <w:ind w:left="6120" w:hanging="360"/>
      </w:pPr>
      <w:rPr>
        <w:rFonts w:ascii="Wingdings" w:hAnsi="Wingdings" w:hint="default"/>
      </w:rPr>
    </w:lvl>
  </w:abstractNum>
  <w:abstractNum w:abstractNumId="12" w15:restartNumberingAfterBreak="0">
    <w:nsid w:val="2F4769D2"/>
    <w:multiLevelType w:val="hybridMultilevel"/>
    <w:tmpl w:val="F716D126"/>
    <w:lvl w:ilvl="0" w:tplc="14820AB0">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3" w15:restartNumberingAfterBreak="0">
    <w:nsid w:val="30BE168C"/>
    <w:multiLevelType w:val="hybridMultilevel"/>
    <w:tmpl w:val="64C8B162"/>
    <w:lvl w:ilvl="0" w:tplc="F87EACA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9E7FC8"/>
    <w:multiLevelType w:val="hybridMultilevel"/>
    <w:tmpl w:val="C85E5A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257BA7"/>
    <w:multiLevelType w:val="multilevel"/>
    <w:tmpl w:val="A67A3928"/>
    <w:lvl w:ilvl="0">
      <w:start w:val="1"/>
      <w:numFmt w:val="decimal"/>
      <w:lvlText w:val="%1."/>
      <w:lvlJc w:val="left"/>
      <w:pPr>
        <w:ind w:left="711" w:hanging="360"/>
      </w:pPr>
      <w:rPr>
        <w:rFonts w:hint="default"/>
        <w:b/>
        <w:u w:val="none"/>
      </w:rPr>
    </w:lvl>
    <w:lvl w:ilvl="1">
      <w:start w:val="2"/>
      <w:numFmt w:val="decimal"/>
      <w:isLgl/>
      <w:lvlText w:val="%1.%2."/>
      <w:lvlJc w:val="left"/>
      <w:pPr>
        <w:ind w:left="720" w:hanging="360"/>
      </w:pPr>
      <w:rPr>
        <w:rFonts w:hint="default"/>
        <w:lang w:val="es-U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42FF64F7"/>
    <w:multiLevelType w:val="hybridMultilevel"/>
    <w:tmpl w:val="809ECF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18" w15:restartNumberingAfterBreak="0">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0" w15:restartNumberingAfterBreak="0">
    <w:nsid w:val="557D6ED5"/>
    <w:multiLevelType w:val="hybridMultilevel"/>
    <w:tmpl w:val="9C865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22" w15:restartNumberingAfterBreak="0">
    <w:nsid w:val="650A7A19"/>
    <w:multiLevelType w:val="hybridMultilevel"/>
    <w:tmpl w:val="9C865B4C"/>
    <w:lvl w:ilvl="0" w:tplc="0409000F">
      <w:start w:val="1"/>
      <w:numFmt w:val="decimal"/>
      <w:lvlText w:val="%1."/>
      <w:lvlJc w:val="left"/>
      <w:pPr>
        <w:ind w:left="47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4A94650"/>
    <w:multiLevelType w:val="hybridMultilevel"/>
    <w:tmpl w:val="8236F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7"/>
  </w:num>
  <w:num w:numId="2">
    <w:abstractNumId w:val="7"/>
  </w:num>
  <w:num w:numId="3">
    <w:abstractNumId w:val="13"/>
  </w:num>
  <w:num w:numId="4">
    <w:abstractNumId w:val="9"/>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6"/>
  </w:num>
  <w:num w:numId="12">
    <w:abstractNumId w:val="4"/>
  </w:num>
  <w:num w:numId="13">
    <w:abstractNumId w:val="23"/>
  </w:num>
  <w:num w:numId="14">
    <w:abstractNumId w:val="18"/>
  </w:num>
  <w:num w:numId="15">
    <w:abstractNumId w:val="21"/>
    <w:lvlOverride w:ilvl="0">
      <w:startOverride w:val="1"/>
    </w:lvlOverride>
    <w:lvlOverride w:ilvl="1"/>
    <w:lvlOverride w:ilvl="2"/>
    <w:lvlOverride w:ilvl="3"/>
    <w:lvlOverride w:ilvl="4"/>
    <w:lvlOverride w:ilvl="5"/>
    <w:lvlOverride w:ilvl="6"/>
    <w:lvlOverride w:ilvl="7"/>
    <w:lvlOverride w:ilvl="8"/>
  </w:num>
  <w:num w:numId="16">
    <w:abstractNumId w:val="19"/>
  </w:num>
  <w:num w:numId="17">
    <w:abstractNumId w:val="10"/>
  </w:num>
  <w:num w:numId="18">
    <w:abstractNumId w:val="15"/>
  </w:num>
  <w:num w:numId="19">
    <w:abstractNumId w:val="16"/>
  </w:num>
  <w:num w:numId="20">
    <w:abstractNumId w:val="5"/>
  </w:num>
  <w:num w:numId="21">
    <w:abstractNumId w:val="0"/>
  </w:num>
  <w:num w:numId="22">
    <w:abstractNumId w:val="22"/>
  </w:num>
  <w:num w:numId="23">
    <w:abstractNumId w:val="20"/>
  </w:num>
  <w:num w:numId="24">
    <w:abstractNumId w:val="3"/>
  </w:num>
  <w:num w:numId="25">
    <w:abstractNumId w:val="11"/>
  </w:num>
  <w:num w:numId="26">
    <w:abstractNumId w:val="24"/>
  </w:num>
  <w:num w:numId="27">
    <w:abstractNumId w:val="14"/>
  </w:num>
  <w:num w:numId="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20"/>
  <w:hyphenationZone w:val="425"/>
  <w:evenAndOddHeaders/>
  <w:drawingGridHorizontalSpacing w:val="110"/>
  <w:displayHorizontalDrawingGridEvery w:val="2"/>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0C59"/>
    <w:rsid w:val="00000A82"/>
    <w:rsid w:val="00002FBE"/>
    <w:rsid w:val="0000551C"/>
    <w:rsid w:val="00005605"/>
    <w:rsid w:val="00007303"/>
    <w:rsid w:val="000077B4"/>
    <w:rsid w:val="00007FC5"/>
    <w:rsid w:val="00010667"/>
    <w:rsid w:val="0001115A"/>
    <w:rsid w:val="00013EFE"/>
    <w:rsid w:val="00016F82"/>
    <w:rsid w:val="0002055E"/>
    <w:rsid w:val="000219DC"/>
    <w:rsid w:val="00022A27"/>
    <w:rsid w:val="0002310F"/>
    <w:rsid w:val="00023C48"/>
    <w:rsid w:val="0002526D"/>
    <w:rsid w:val="000254F8"/>
    <w:rsid w:val="00026183"/>
    <w:rsid w:val="00030136"/>
    <w:rsid w:val="000330F7"/>
    <w:rsid w:val="00033C6A"/>
    <w:rsid w:val="000341CF"/>
    <w:rsid w:val="00035ED9"/>
    <w:rsid w:val="00036AE6"/>
    <w:rsid w:val="00041018"/>
    <w:rsid w:val="0004302D"/>
    <w:rsid w:val="00051DF2"/>
    <w:rsid w:val="000555DF"/>
    <w:rsid w:val="00056F4C"/>
    <w:rsid w:val="00060AE9"/>
    <w:rsid w:val="000660DE"/>
    <w:rsid w:val="000701B1"/>
    <w:rsid w:val="000710CC"/>
    <w:rsid w:val="00071E1C"/>
    <w:rsid w:val="000751B3"/>
    <w:rsid w:val="00080701"/>
    <w:rsid w:val="00080D35"/>
    <w:rsid w:val="00084059"/>
    <w:rsid w:val="0008737B"/>
    <w:rsid w:val="00096006"/>
    <w:rsid w:val="000A2132"/>
    <w:rsid w:val="000A55DE"/>
    <w:rsid w:val="000B04D1"/>
    <w:rsid w:val="000B219E"/>
    <w:rsid w:val="000B254C"/>
    <w:rsid w:val="000B33EA"/>
    <w:rsid w:val="000B4A28"/>
    <w:rsid w:val="000B4FB5"/>
    <w:rsid w:val="000B6BE7"/>
    <w:rsid w:val="000B7EC5"/>
    <w:rsid w:val="000C0515"/>
    <w:rsid w:val="000C128D"/>
    <w:rsid w:val="000C1D38"/>
    <w:rsid w:val="000C5AF2"/>
    <w:rsid w:val="000E5438"/>
    <w:rsid w:val="000E5D75"/>
    <w:rsid w:val="000F2FD4"/>
    <w:rsid w:val="000F44DF"/>
    <w:rsid w:val="000F5D84"/>
    <w:rsid w:val="0010277A"/>
    <w:rsid w:val="00110E29"/>
    <w:rsid w:val="00111FF8"/>
    <w:rsid w:val="001139F5"/>
    <w:rsid w:val="00113B4A"/>
    <w:rsid w:val="0011498A"/>
    <w:rsid w:val="0011501A"/>
    <w:rsid w:val="00115379"/>
    <w:rsid w:val="001153A2"/>
    <w:rsid w:val="00115675"/>
    <w:rsid w:val="00117A1F"/>
    <w:rsid w:val="00117A23"/>
    <w:rsid w:val="00121C5B"/>
    <w:rsid w:val="001226AB"/>
    <w:rsid w:val="00122885"/>
    <w:rsid w:val="0012356C"/>
    <w:rsid w:val="0012516F"/>
    <w:rsid w:val="00127CA3"/>
    <w:rsid w:val="001318BD"/>
    <w:rsid w:val="00134095"/>
    <w:rsid w:val="00135F64"/>
    <w:rsid w:val="0014088A"/>
    <w:rsid w:val="00140FAD"/>
    <w:rsid w:val="00143BD3"/>
    <w:rsid w:val="00143CAC"/>
    <w:rsid w:val="00150D0B"/>
    <w:rsid w:val="001516C4"/>
    <w:rsid w:val="001538A5"/>
    <w:rsid w:val="001539B9"/>
    <w:rsid w:val="0015401A"/>
    <w:rsid w:val="00154E58"/>
    <w:rsid w:val="00155290"/>
    <w:rsid w:val="001556EC"/>
    <w:rsid w:val="00163C04"/>
    <w:rsid w:val="00167DD5"/>
    <w:rsid w:val="00175010"/>
    <w:rsid w:val="00177249"/>
    <w:rsid w:val="00180BFF"/>
    <w:rsid w:val="0018147E"/>
    <w:rsid w:val="0018212C"/>
    <w:rsid w:val="00185228"/>
    <w:rsid w:val="00185F7B"/>
    <w:rsid w:val="00186711"/>
    <w:rsid w:val="0018775F"/>
    <w:rsid w:val="0019082E"/>
    <w:rsid w:val="00191A42"/>
    <w:rsid w:val="00192135"/>
    <w:rsid w:val="00193DB9"/>
    <w:rsid w:val="00195943"/>
    <w:rsid w:val="00195981"/>
    <w:rsid w:val="001A4F42"/>
    <w:rsid w:val="001A625A"/>
    <w:rsid w:val="001B0BB1"/>
    <w:rsid w:val="001B4470"/>
    <w:rsid w:val="001B46BF"/>
    <w:rsid w:val="001B53CA"/>
    <w:rsid w:val="001B59EF"/>
    <w:rsid w:val="001C064D"/>
    <w:rsid w:val="001C148F"/>
    <w:rsid w:val="001C231B"/>
    <w:rsid w:val="001C7B29"/>
    <w:rsid w:val="001D1B01"/>
    <w:rsid w:val="001D393D"/>
    <w:rsid w:val="001D542B"/>
    <w:rsid w:val="001D5AD8"/>
    <w:rsid w:val="001D74BC"/>
    <w:rsid w:val="001E0C89"/>
    <w:rsid w:val="001E37F7"/>
    <w:rsid w:val="001E4ADF"/>
    <w:rsid w:val="001E55F3"/>
    <w:rsid w:val="001E562E"/>
    <w:rsid w:val="001E7552"/>
    <w:rsid w:val="001F470F"/>
    <w:rsid w:val="001F5546"/>
    <w:rsid w:val="002010E1"/>
    <w:rsid w:val="00204410"/>
    <w:rsid w:val="002047F5"/>
    <w:rsid w:val="00205C50"/>
    <w:rsid w:val="0021583D"/>
    <w:rsid w:val="0022128F"/>
    <w:rsid w:val="00221E06"/>
    <w:rsid w:val="0022498F"/>
    <w:rsid w:val="0022614F"/>
    <w:rsid w:val="002310B0"/>
    <w:rsid w:val="00233600"/>
    <w:rsid w:val="00233A74"/>
    <w:rsid w:val="00237E31"/>
    <w:rsid w:val="00242405"/>
    <w:rsid w:val="00245717"/>
    <w:rsid w:val="00247065"/>
    <w:rsid w:val="00254C2C"/>
    <w:rsid w:val="002571E9"/>
    <w:rsid w:val="002603B8"/>
    <w:rsid w:val="0026153A"/>
    <w:rsid w:val="002619F0"/>
    <w:rsid w:val="00263AC6"/>
    <w:rsid w:val="00263EAF"/>
    <w:rsid w:val="00266F4D"/>
    <w:rsid w:val="002703D1"/>
    <w:rsid w:val="00270AD2"/>
    <w:rsid w:val="00270FED"/>
    <w:rsid w:val="00272E5A"/>
    <w:rsid w:val="0027411D"/>
    <w:rsid w:val="002805D5"/>
    <w:rsid w:val="00284E26"/>
    <w:rsid w:val="00285D55"/>
    <w:rsid w:val="0028732C"/>
    <w:rsid w:val="00287836"/>
    <w:rsid w:val="00291086"/>
    <w:rsid w:val="002916B6"/>
    <w:rsid w:val="00292862"/>
    <w:rsid w:val="00293FCC"/>
    <w:rsid w:val="002952DD"/>
    <w:rsid w:val="00295DD6"/>
    <w:rsid w:val="002A224E"/>
    <w:rsid w:val="002A2521"/>
    <w:rsid w:val="002A2752"/>
    <w:rsid w:val="002A460D"/>
    <w:rsid w:val="002A4699"/>
    <w:rsid w:val="002A4D3B"/>
    <w:rsid w:val="002A7688"/>
    <w:rsid w:val="002B5CA4"/>
    <w:rsid w:val="002B6A6F"/>
    <w:rsid w:val="002C32AB"/>
    <w:rsid w:val="002C3B6B"/>
    <w:rsid w:val="002C6ADB"/>
    <w:rsid w:val="002C7D1C"/>
    <w:rsid w:val="002D154A"/>
    <w:rsid w:val="002D5474"/>
    <w:rsid w:val="002E60DE"/>
    <w:rsid w:val="002F07D3"/>
    <w:rsid w:val="002F08D6"/>
    <w:rsid w:val="002F1991"/>
    <w:rsid w:val="002F1F5B"/>
    <w:rsid w:val="002F2F27"/>
    <w:rsid w:val="002F481B"/>
    <w:rsid w:val="002F4DF5"/>
    <w:rsid w:val="002F5FD4"/>
    <w:rsid w:val="002F6774"/>
    <w:rsid w:val="002F6A68"/>
    <w:rsid w:val="00300C59"/>
    <w:rsid w:val="00302181"/>
    <w:rsid w:val="00306655"/>
    <w:rsid w:val="00306AC0"/>
    <w:rsid w:val="00306D38"/>
    <w:rsid w:val="00312CAC"/>
    <w:rsid w:val="003158DF"/>
    <w:rsid w:val="00316376"/>
    <w:rsid w:val="00316598"/>
    <w:rsid w:val="003225C8"/>
    <w:rsid w:val="00326973"/>
    <w:rsid w:val="00327308"/>
    <w:rsid w:val="0033145A"/>
    <w:rsid w:val="0033347A"/>
    <w:rsid w:val="00334108"/>
    <w:rsid w:val="0033429E"/>
    <w:rsid w:val="00341A7E"/>
    <w:rsid w:val="00344269"/>
    <w:rsid w:val="00346DF8"/>
    <w:rsid w:val="00347930"/>
    <w:rsid w:val="00347BBC"/>
    <w:rsid w:val="003525A6"/>
    <w:rsid w:val="00353348"/>
    <w:rsid w:val="00354689"/>
    <w:rsid w:val="00354D7A"/>
    <w:rsid w:val="00355CB5"/>
    <w:rsid w:val="00355CDE"/>
    <w:rsid w:val="00356A42"/>
    <w:rsid w:val="00361DF3"/>
    <w:rsid w:val="0036393D"/>
    <w:rsid w:val="0037043C"/>
    <w:rsid w:val="00372642"/>
    <w:rsid w:val="00372E94"/>
    <w:rsid w:val="00373A4F"/>
    <w:rsid w:val="00374E07"/>
    <w:rsid w:val="003779DE"/>
    <w:rsid w:val="003819C0"/>
    <w:rsid w:val="003843C3"/>
    <w:rsid w:val="00386E83"/>
    <w:rsid w:val="00387B7B"/>
    <w:rsid w:val="00387E97"/>
    <w:rsid w:val="003901F3"/>
    <w:rsid w:val="003920ED"/>
    <w:rsid w:val="00393567"/>
    <w:rsid w:val="00395036"/>
    <w:rsid w:val="003A04E0"/>
    <w:rsid w:val="003A1F08"/>
    <w:rsid w:val="003A228F"/>
    <w:rsid w:val="003A2482"/>
    <w:rsid w:val="003A273B"/>
    <w:rsid w:val="003A2ABD"/>
    <w:rsid w:val="003A3C5D"/>
    <w:rsid w:val="003A4769"/>
    <w:rsid w:val="003B0148"/>
    <w:rsid w:val="003B4026"/>
    <w:rsid w:val="003B6A72"/>
    <w:rsid w:val="003C12EB"/>
    <w:rsid w:val="003C1A3C"/>
    <w:rsid w:val="003C70EB"/>
    <w:rsid w:val="003D3ACC"/>
    <w:rsid w:val="003D4B6F"/>
    <w:rsid w:val="003D5B36"/>
    <w:rsid w:val="003D692D"/>
    <w:rsid w:val="003E10CD"/>
    <w:rsid w:val="003E258D"/>
    <w:rsid w:val="003E2F4D"/>
    <w:rsid w:val="003E33B3"/>
    <w:rsid w:val="003E3F60"/>
    <w:rsid w:val="003E4431"/>
    <w:rsid w:val="003E4BDC"/>
    <w:rsid w:val="003F58AE"/>
    <w:rsid w:val="004002FD"/>
    <w:rsid w:val="00404238"/>
    <w:rsid w:val="00404E89"/>
    <w:rsid w:val="004051F3"/>
    <w:rsid w:val="004058FE"/>
    <w:rsid w:val="00405BF1"/>
    <w:rsid w:val="0040752D"/>
    <w:rsid w:val="00407E88"/>
    <w:rsid w:val="0041093D"/>
    <w:rsid w:val="00410FF5"/>
    <w:rsid w:val="00411196"/>
    <w:rsid w:val="004139B5"/>
    <w:rsid w:val="00421EF2"/>
    <w:rsid w:val="0042362C"/>
    <w:rsid w:val="00423D45"/>
    <w:rsid w:val="004252EA"/>
    <w:rsid w:val="0042776A"/>
    <w:rsid w:val="00432037"/>
    <w:rsid w:val="004321D9"/>
    <w:rsid w:val="004333D3"/>
    <w:rsid w:val="00434F7D"/>
    <w:rsid w:val="00436377"/>
    <w:rsid w:val="00436E41"/>
    <w:rsid w:val="004424A5"/>
    <w:rsid w:val="0044701A"/>
    <w:rsid w:val="00456C3D"/>
    <w:rsid w:val="0046310E"/>
    <w:rsid w:val="004632FE"/>
    <w:rsid w:val="00463EB0"/>
    <w:rsid w:val="00464C85"/>
    <w:rsid w:val="004668B9"/>
    <w:rsid w:val="0046791C"/>
    <w:rsid w:val="004700D0"/>
    <w:rsid w:val="00470416"/>
    <w:rsid w:val="00470D84"/>
    <w:rsid w:val="004719B2"/>
    <w:rsid w:val="00472FC8"/>
    <w:rsid w:val="0047735D"/>
    <w:rsid w:val="004811BC"/>
    <w:rsid w:val="00485323"/>
    <w:rsid w:val="0048587F"/>
    <w:rsid w:val="00491F1E"/>
    <w:rsid w:val="00493D21"/>
    <w:rsid w:val="004A10DB"/>
    <w:rsid w:val="004A2488"/>
    <w:rsid w:val="004B032D"/>
    <w:rsid w:val="004B11E9"/>
    <w:rsid w:val="004B2763"/>
    <w:rsid w:val="004B2C0D"/>
    <w:rsid w:val="004B2CC6"/>
    <w:rsid w:val="004B5260"/>
    <w:rsid w:val="004B6D3C"/>
    <w:rsid w:val="004B7EA8"/>
    <w:rsid w:val="004C2EFE"/>
    <w:rsid w:val="004C6A12"/>
    <w:rsid w:val="004C7128"/>
    <w:rsid w:val="004D45A6"/>
    <w:rsid w:val="004D5D3E"/>
    <w:rsid w:val="004D7BD1"/>
    <w:rsid w:val="004E1583"/>
    <w:rsid w:val="004E1DE3"/>
    <w:rsid w:val="004E3A3F"/>
    <w:rsid w:val="004E4DC5"/>
    <w:rsid w:val="004E604B"/>
    <w:rsid w:val="004F0875"/>
    <w:rsid w:val="004F0C2A"/>
    <w:rsid w:val="004F55A0"/>
    <w:rsid w:val="004F5774"/>
    <w:rsid w:val="004F5EA1"/>
    <w:rsid w:val="004F6477"/>
    <w:rsid w:val="004F7EEE"/>
    <w:rsid w:val="00500E24"/>
    <w:rsid w:val="00501B80"/>
    <w:rsid w:val="00505E46"/>
    <w:rsid w:val="0050683E"/>
    <w:rsid w:val="00506BA1"/>
    <w:rsid w:val="00507157"/>
    <w:rsid w:val="00510EC1"/>
    <w:rsid w:val="005145CC"/>
    <w:rsid w:val="00514902"/>
    <w:rsid w:val="005153FE"/>
    <w:rsid w:val="00516CE4"/>
    <w:rsid w:val="00516F11"/>
    <w:rsid w:val="00516F98"/>
    <w:rsid w:val="00523B0F"/>
    <w:rsid w:val="00524650"/>
    <w:rsid w:val="00524F25"/>
    <w:rsid w:val="00526775"/>
    <w:rsid w:val="00530E5D"/>
    <w:rsid w:val="00532D99"/>
    <w:rsid w:val="0053473D"/>
    <w:rsid w:val="00535810"/>
    <w:rsid w:val="00536BC4"/>
    <w:rsid w:val="00541D84"/>
    <w:rsid w:val="00545B84"/>
    <w:rsid w:val="005509E6"/>
    <w:rsid w:val="0055329E"/>
    <w:rsid w:val="00557306"/>
    <w:rsid w:val="00560783"/>
    <w:rsid w:val="00560B63"/>
    <w:rsid w:val="00562981"/>
    <w:rsid w:val="00562D13"/>
    <w:rsid w:val="005645B1"/>
    <w:rsid w:val="00566117"/>
    <w:rsid w:val="00576594"/>
    <w:rsid w:val="00577C26"/>
    <w:rsid w:val="005808DF"/>
    <w:rsid w:val="0058655B"/>
    <w:rsid w:val="00586AB5"/>
    <w:rsid w:val="00587D31"/>
    <w:rsid w:val="00591F0C"/>
    <w:rsid w:val="00596969"/>
    <w:rsid w:val="00597251"/>
    <w:rsid w:val="00597B2C"/>
    <w:rsid w:val="005A07F9"/>
    <w:rsid w:val="005A0CDB"/>
    <w:rsid w:val="005A11A0"/>
    <w:rsid w:val="005A169E"/>
    <w:rsid w:val="005A4237"/>
    <w:rsid w:val="005A5CAF"/>
    <w:rsid w:val="005A6480"/>
    <w:rsid w:val="005A6C85"/>
    <w:rsid w:val="005A70FC"/>
    <w:rsid w:val="005A7AFD"/>
    <w:rsid w:val="005A7EE1"/>
    <w:rsid w:val="005B1138"/>
    <w:rsid w:val="005B238B"/>
    <w:rsid w:val="005B2468"/>
    <w:rsid w:val="005B4612"/>
    <w:rsid w:val="005B474D"/>
    <w:rsid w:val="005B47E8"/>
    <w:rsid w:val="005B4808"/>
    <w:rsid w:val="005B7039"/>
    <w:rsid w:val="005B780E"/>
    <w:rsid w:val="005C0113"/>
    <w:rsid w:val="005C1F47"/>
    <w:rsid w:val="005C29E5"/>
    <w:rsid w:val="005C34EC"/>
    <w:rsid w:val="005D087F"/>
    <w:rsid w:val="005D2112"/>
    <w:rsid w:val="005D3C08"/>
    <w:rsid w:val="005D443D"/>
    <w:rsid w:val="005D4CAA"/>
    <w:rsid w:val="005E23F8"/>
    <w:rsid w:val="005E464B"/>
    <w:rsid w:val="005E5075"/>
    <w:rsid w:val="005E7E65"/>
    <w:rsid w:val="005F095E"/>
    <w:rsid w:val="005F0F86"/>
    <w:rsid w:val="005F2D4C"/>
    <w:rsid w:val="005F7EAB"/>
    <w:rsid w:val="0060107B"/>
    <w:rsid w:val="00604287"/>
    <w:rsid w:val="0061249A"/>
    <w:rsid w:val="00614F31"/>
    <w:rsid w:val="006166FE"/>
    <w:rsid w:val="006224BC"/>
    <w:rsid w:val="00623016"/>
    <w:rsid w:val="00624474"/>
    <w:rsid w:val="00626B6F"/>
    <w:rsid w:val="00626E21"/>
    <w:rsid w:val="00633118"/>
    <w:rsid w:val="00634F78"/>
    <w:rsid w:val="0063793A"/>
    <w:rsid w:val="00637F8D"/>
    <w:rsid w:val="006416F5"/>
    <w:rsid w:val="00651678"/>
    <w:rsid w:val="006617D1"/>
    <w:rsid w:val="0066454C"/>
    <w:rsid w:val="006651DC"/>
    <w:rsid w:val="00666567"/>
    <w:rsid w:val="00666C17"/>
    <w:rsid w:val="006716B2"/>
    <w:rsid w:val="0067482D"/>
    <w:rsid w:val="00674EE0"/>
    <w:rsid w:val="00674F2E"/>
    <w:rsid w:val="00681A01"/>
    <w:rsid w:val="0068730F"/>
    <w:rsid w:val="00687723"/>
    <w:rsid w:val="00694F46"/>
    <w:rsid w:val="00697BC0"/>
    <w:rsid w:val="006A40A3"/>
    <w:rsid w:val="006A43E0"/>
    <w:rsid w:val="006A480C"/>
    <w:rsid w:val="006A70A8"/>
    <w:rsid w:val="006A737D"/>
    <w:rsid w:val="006B30D9"/>
    <w:rsid w:val="006B5844"/>
    <w:rsid w:val="006B6810"/>
    <w:rsid w:val="006B7266"/>
    <w:rsid w:val="006B7B55"/>
    <w:rsid w:val="006C0AF9"/>
    <w:rsid w:val="006C6CE5"/>
    <w:rsid w:val="006D02BD"/>
    <w:rsid w:val="006D0A00"/>
    <w:rsid w:val="006D1FD2"/>
    <w:rsid w:val="006D2D68"/>
    <w:rsid w:val="006D3787"/>
    <w:rsid w:val="006D48CA"/>
    <w:rsid w:val="006D5012"/>
    <w:rsid w:val="006E45D5"/>
    <w:rsid w:val="006E4629"/>
    <w:rsid w:val="006E6637"/>
    <w:rsid w:val="006F1AF9"/>
    <w:rsid w:val="006F407F"/>
    <w:rsid w:val="006F4B96"/>
    <w:rsid w:val="006F5BF6"/>
    <w:rsid w:val="006F5C64"/>
    <w:rsid w:val="006F7AEA"/>
    <w:rsid w:val="007002E7"/>
    <w:rsid w:val="00701B72"/>
    <w:rsid w:val="0070351A"/>
    <w:rsid w:val="00704028"/>
    <w:rsid w:val="0070715C"/>
    <w:rsid w:val="00713D10"/>
    <w:rsid w:val="00715517"/>
    <w:rsid w:val="0071643F"/>
    <w:rsid w:val="00720EF4"/>
    <w:rsid w:val="00721F27"/>
    <w:rsid w:val="00722B27"/>
    <w:rsid w:val="00723569"/>
    <w:rsid w:val="00730197"/>
    <w:rsid w:val="007305F6"/>
    <w:rsid w:val="00730BD3"/>
    <w:rsid w:val="00732FFD"/>
    <w:rsid w:val="00733023"/>
    <w:rsid w:val="00736466"/>
    <w:rsid w:val="007364A3"/>
    <w:rsid w:val="00743411"/>
    <w:rsid w:val="00745D26"/>
    <w:rsid w:val="00747F22"/>
    <w:rsid w:val="00750D2C"/>
    <w:rsid w:val="00754CC9"/>
    <w:rsid w:val="00756C05"/>
    <w:rsid w:val="0076121D"/>
    <w:rsid w:val="00763F34"/>
    <w:rsid w:val="00764B2C"/>
    <w:rsid w:val="00765098"/>
    <w:rsid w:val="007651A2"/>
    <w:rsid w:val="00766693"/>
    <w:rsid w:val="00767CDB"/>
    <w:rsid w:val="00770D03"/>
    <w:rsid w:val="00772EF7"/>
    <w:rsid w:val="00774118"/>
    <w:rsid w:val="0077533F"/>
    <w:rsid w:val="00775BD5"/>
    <w:rsid w:val="007762E4"/>
    <w:rsid w:val="00781455"/>
    <w:rsid w:val="00781A89"/>
    <w:rsid w:val="00783608"/>
    <w:rsid w:val="007847C3"/>
    <w:rsid w:val="00784B5E"/>
    <w:rsid w:val="00785013"/>
    <w:rsid w:val="007942F3"/>
    <w:rsid w:val="00795640"/>
    <w:rsid w:val="007A1E69"/>
    <w:rsid w:val="007A2E03"/>
    <w:rsid w:val="007A4E9B"/>
    <w:rsid w:val="007A657D"/>
    <w:rsid w:val="007A6F03"/>
    <w:rsid w:val="007A7B29"/>
    <w:rsid w:val="007B3FF9"/>
    <w:rsid w:val="007B6ECD"/>
    <w:rsid w:val="007B79B0"/>
    <w:rsid w:val="007B7C28"/>
    <w:rsid w:val="007C461C"/>
    <w:rsid w:val="007C784D"/>
    <w:rsid w:val="007D1607"/>
    <w:rsid w:val="007D1A17"/>
    <w:rsid w:val="007D3773"/>
    <w:rsid w:val="007D5DEB"/>
    <w:rsid w:val="007E22A3"/>
    <w:rsid w:val="007E4F27"/>
    <w:rsid w:val="007E630F"/>
    <w:rsid w:val="007E73DB"/>
    <w:rsid w:val="007F0B43"/>
    <w:rsid w:val="007F7953"/>
    <w:rsid w:val="00803D0B"/>
    <w:rsid w:val="008072AB"/>
    <w:rsid w:val="00813903"/>
    <w:rsid w:val="00817B08"/>
    <w:rsid w:val="00820824"/>
    <w:rsid w:val="00820903"/>
    <w:rsid w:val="00821D17"/>
    <w:rsid w:val="00821FAD"/>
    <w:rsid w:val="00822B38"/>
    <w:rsid w:val="00822B52"/>
    <w:rsid w:val="008234FA"/>
    <w:rsid w:val="00831349"/>
    <w:rsid w:val="008330B3"/>
    <w:rsid w:val="00834D4C"/>
    <w:rsid w:val="0083531C"/>
    <w:rsid w:val="00836D22"/>
    <w:rsid w:val="00837182"/>
    <w:rsid w:val="00842EB8"/>
    <w:rsid w:val="00850431"/>
    <w:rsid w:val="00851ABF"/>
    <w:rsid w:val="00857D67"/>
    <w:rsid w:val="008662D9"/>
    <w:rsid w:val="00870C92"/>
    <w:rsid w:val="00873F19"/>
    <w:rsid w:val="00873FD0"/>
    <w:rsid w:val="00874FB2"/>
    <w:rsid w:val="008755DD"/>
    <w:rsid w:val="00877287"/>
    <w:rsid w:val="00877CFA"/>
    <w:rsid w:val="0088146E"/>
    <w:rsid w:val="00883361"/>
    <w:rsid w:val="00885AB3"/>
    <w:rsid w:val="00885B75"/>
    <w:rsid w:val="00886201"/>
    <w:rsid w:val="00891167"/>
    <w:rsid w:val="00891C03"/>
    <w:rsid w:val="008925A6"/>
    <w:rsid w:val="00895C43"/>
    <w:rsid w:val="008A080B"/>
    <w:rsid w:val="008A367E"/>
    <w:rsid w:val="008A41E7"/>
    <w:rsid w:val="008A44CF"/>
    <w:rsid w:val="008B31A4"/>
    <w:rsid w:val="008B438B"/>
    <w:rsid w:val="008B5B2C"/>
    <w:rsid w:val="008C30B6"/>
    <w:rsid w:val="008C38BE"/>
    <w:rsid w:val="008C765B"/>
    <w:rsid w:val="008D3CEB"/>
    <w:rsid w:val="008D4F0A"/>
    <w:rsid w:val="008E6F03"/>
    <w:rsid w:val="008E7A42"/>
    <w:rsid w:val="008F0FE4"/>
    <w:rsid w:val="008F1A0F"/>
    <w:rsid w:val="008F25C3"/>
    <w:rsid w:val="008F2E3F"/>
    <w:rsid w:val="008F782C"/>
    <w:rsid w:val="00900785"/>
    <w:rsid w:val="00901604"/>
    <w:rsid w:val="00901707"/>
    <w:rsid w:val="0090269B"/>
    <w:rsid w:val="00903211"/>
    <w:rsid w:val="00907E54"/>
    <w:rsid w:val="009101D7"/>
    <w:rsid w:val="009102B2"/>
    <w:rsid w:val="00912ED1"/>
    <w:rsid w:val="00914313"/>
    <w:rsid w:val="00922991"/>
    <w:rsid w:val="00924396"/>
    <w:rsid w:val="009249FE"/>
    <w:rsid w:val="00924ADD"/>
    <w:rsid w:val="00925519"/>
    <w:rsid w:val="0093137F"/>
    <w:rsid w:val="00932D09"/>
    <w:rsid w:val="00935D46"/>
    <w:rsid w:val="00937F26"/>
    <w:rsid w:val="00940EEA"/>
    <w:rsid w:val="00943CCF"/>
    <w:rsid w:val="00947693"/>
    <w:rsid w:val="00951AB0"/>
    <w:rsid w:val="00952E20"/>
    <w:rsid w:val="009532F3"/>
    <w:rsid w:val="00953774"/>
    <w:rsid w:val="009559D9"/>
    <w:rsid w:val="00955D6B"/>
    <w:rsid w:val="00962137"/>
    <w:rsid w:val="0096655F"/>
    <w:rsid w:val="009676D9"/>
    <w:rsid w:val="00967DA8"/>
    <w:rsid w:val="00970E27"/>
    <w:rsid w:val="00973240"/>
    <w:rsid w:val="00973F36"/>
    <w:rsid w:val="00975ABC"/>
    <w:rsid w:val="00977BD7"/>
    <w:rsid w:val="00977F16"/>
    <w:rsid w:val="00982FC6"/>
    <w:rsid w:val="00983093"/>
    <w:rsid w:val="00985A94"/>
    <w:rsid w:val="00987DD8"/>
    <w:rsid w:val="009901BC"/>
    <w:rsid w:val="00990249"/>
    <w:rsid w:val="00990BBB"/>
    <w:rsid w:val="00993D17"/>
    <w:rsid w:val="009962DF"/>
    <w:rsid w:val="00996C8B"/>
    <w:rsid w:val="009A139B"/>
    <w:rsid w:val="009A6506"/>
    <w:rsid w:val="009A6879"/>
    <w:rsid w:val="009A7DA5"/>
    <w:rsid w:val="009B0293"/>
    <w:rsid w:val="009B05D6"/>
    <w:rsid w:val="009B062C"/>
    <w:rsid w:val="009B3BAC"/>
    <w:rsid w:val="009B3E70"/>
    <w:rsid w:val="009B45D1"/>
    <w:rsid w:val="009B61EF"/>
    <w:rsid w:val="009B6433"/>
    <w:rsid w:val="009C0378"/>
    <w:rsid w:val="009C18E9"/>
    <w:rsid w:val="009C2619"/>
    <w:rsid w:val="009C2676"/>
    <w:rsid w:val="009C3484"/>
    <w:rsid w:val="009C47EE"/>
    <w:rsid w:val="009C52A2"/>
    <w:rsid w:val="009C79A5"/>
    <w:rsid w:val="009D0086"/>
    <w:rsid w:val="009D376C"/>
    <w:rsid w:val="009D5047"/>
    <w:rsid w:val="009D696D"/>
    <w:rsid w:val="009D6D13"/>
    <w:rsid w:val="009E2787"/>
    <w:rsid w:val="009E3A64"/>
    <w:rsid w:val="009E3BD1"/>
    <w:rsid w:val="009E4142"/>
    <w:rsid w:val="009F1517"/>
    <w:rsid w:val="009F2BB5"/>
    <w:rsid w:val="009F4E8A"/>
    <w:rsid w:val="009F778C"/>
    <w:rsid w:val="00A04244"/>
    <w:rsid w:val="00A046D9"/>
    <w:rsid w:val="00A051A8"/>
    <w:rsid w:val="00A11028"/>
    <w:rsid w:val="00A13929"/>
    <w:rsid w:val="00A14A1C"/>
    <w:rsid w:val="00A15177"/>
    <w:rsid w:val="00A16624"/>
    <w:rsid w:val="00A17EC7"/>
    <w:rsid w:val="00A2161F"/>
    <w:rsid w:val="00A2577D"/>
    <w:rsid w:val="00A32A31"/>
    <w:rsid w:val="00A33AB7"/>
    <w:rsid w:val="00A349DE"/>
    <w:rsid w:val="00A356F9"/>
    <w:rsid w:val="00A37E6F"/>
    <w:rsid w:val="00A41560"/>
    <w:rsid w:val="00A430BF"/>
    <w:rsid w:val="00A431B5"/>
    <w:rsid w:val="00A43E22"/>
    <w:rsid w:val="00A46CB3"/>
    <w:rsid w:val="00A47C25"/>
    <w:rsid w:val="00A53E24"/>
    <w:rsid w:val="00A61E8A"/>
    <w:rsid w:val="00A62DB6"/>
    <w:rsid w:val="00A665DC"/>
    <w:rsid w:val="00A708A9"/>
    <w:rsid w:val="00A71582"/>
    <w:rsid w:val="00A72D98"/>
    <w:rsid w:val="00A763AE"/>
    <w:rsid w:val="00A773BA"/>
    <w:rsid w:val="00A80B02"/>
    <w:rsid w:val="00A82307"/>
    <w:rsid w:val="00A850A4"/>
    <w:rsid w:val="00A87960"/>
    <w:rsid w:val="00A92B62"/>
    <w:rsid w:val="00A95DF4"/>
    <w:rsid w:val="00AA0C38"/>
    <w:rsid w:val="00AA36F0"/>
    <w:rsid w:val="00AA4685"/>
    <w:rsid w:val="00AA4B04"/>
    <w:rsid w:val="00AA4C42"/>
    <w:rsid w:val="00AA5B7B"/>
    <w:rsid w:val="00AA5FB7"/>
    <w:rsid w:val="00AB066A"/>
    <w:rsid w:val="00AB1710"/>
    <w:rsid w:val="00AB5544"/>
    <w:rsid w:val="00AC0E00"/>
    <w:rsid w:val="00AC1B6D"/>
    <w:rsid w:val="00AC46C6"/>
    <w:rsid w:val="00AD0687"/>
    <w:rsid w:val="00AD0943"/>
    <w:rsid w:val="00AE0E83"/>
    <w:rsid w:val="00AE371C"/>
    <w:rsid w:val="00AE617E"/>
    <w:rsid w:val="00AF4DDC"/>
    <w:rsid w:val="00B033BD"/>
    <w:rsid w:val="00B03495"/>
    <w:rsid w:val="00B04319"/>
    <w:rsid w:val="00B062FA"/>
    <w:rsid w:val="00B06375"/>
    <w:rsid w:val="00B100F6"/>
    <w:rsid w:val="00B12869"/>
    <w:rsid w:val="00B137CB"/>
    <w:rsid w:val="00B161CA"/>
    <w:rsid w:val="00B16590"/>
    <w:rsid w:val="00B22035"/>
    <w:rsid w:val="00B2657F"/>
    <w:rsid w:val="00B32010"/>
    <w:rsid w:val="00B363AA"/>
    <w:rsid w:val="00B36B75"/>
    <w:rsid w:val="00B407EC"/>
    <w:rsid w:val="00B40B5D"/>
    <w:rsid w:val="00B42606"/>
    <w:rsid w:val="00B43FAE"/>
    <w:rsid w:val="00B44068"/>
    <w:rsid w:val="00B47C8A"/>
    <w:rsid w:val="00B52CA9"/>
    <w:rsid w:val="00B54055"/>
    <w:rsid w:val="00B5791D"/>
    <w:rsid w:val="00B60ECD"/>
    <w:rsid w:val="00B65902"/>
    <w:rsid w:val="00B65CBD"/>
    <w:rsid w:val="00B670E6"/>
    <w:rsid w:val="00B6757D"/>
    <w:rsid w:val="00B70ABD"/>
    <w:rsid w:val="00B715AA"/>
    <w:rsid w:val="00B71CE2"/>
    <w:rsid w:val="00B73EE1"/>
    <w:rsid w:val="00B752D5"/>
    <w:rsid w:val="00B75835"/>
    <w:rsid w:val="00B75F7A"/>
    <w:rsid w:val="00B77B35"/>
    <w:rsid w:val="00B812E8"/>
    <w:rsid w:val="00B815D5"/>
    <w:rsid w:val="00B843E3"/>
    <w:rsid w:val="00B872B3"/>
    <w:rsid w:val="00B94074"/>
    <w:rsid w:val="00B95455"/>
    <w:rsid w:val="00B9588D"/>
    <w:rsid w:val="00B965B8"/>
    <w:rsid w:val="00BA0C88"/>
    <w:rsid w:val="00BA1485"/>
    <w:rsid w:val="00BB123C"/>
    <w:rsid w:val="00BC3D7B"/>
    <w:rsid w:val="00BC47C1"/>
    <w:rsid w:val="00BC4908"/>
    <w:rsid w:val="00BC5588"/>
    <w:rsid w:val="00BC7AC9"/>
    <w:rsid w:val="00BC7E0B"/>
    <w:rsid w:val="00BD313A"/>
    <w:rsid w:val="00BD39F0"/>
    <w:rsid w:val="00BD6FEB"/>
    <w:rsid w:val="00BE00D4"/>
    <w:rsid w:val="00BE520A"/>
    <w:rsid w:val="00BE530A"/>
    <w:rsid w:val="00BF00CF"/>
    <w:rsid w:val="00BF0EDD"/>
    <w:rsid w:val="00BF1D07"/>
    <w:rsid w:val="00BF788C"/>
    <w:rsid w:val="00C01001"/>
    <w:rsid w:val="00C022E2"/>
    <w:rsid w:val="00C10A28"/>
    <w:rsid w:val="00C10FD9"/>
    <w:rsid w:val="00C15792"/>
    <w:rsid w:val="00C22C8F"/>
    <w:rsid w:val="00C243AA"/>
    <w:rsid w:val="00C3010A"/>
    <w:rsid w:val="00C30C70"/>
    <w:rsid w:val="00C3455E"/>
    <w:rsid w:val="00C37547"/>
    <w:rsid w:val="00C407D5"/>
    <w:rsid w:val="00C4082B"/>
    <w:rsid w:val="00C43E84"/>
    <w:rsid w:val="00C43FF9"/>
    <w:rsid w:val="00C51662"/>
    <w:rsid w:val="00C52A59"/>
    <w:rsid w:val="00C54CC9"/>
    <w:rsid w:val="00C609A1"/>
    <w:rsid w:val="00C60EE2"/>
    <w:rsid w:val="00C62BDF"/>
    <w:rsid w:val="00C64754"/>
    <w:rsid w:val="00C666AE"/>
    <w:rsid w:val="00C81324"/>
    <w:rsid w:val="00C849AC"/>
    <w:rsid w:val="00C85925"/>
    <w:rsid w:val="00C86000"/>
    <w:rsid w:val="00C86439"/>
    <w:rsid w:val="00C91B93"/>
    <w:rsid w:val="00C92B26"/>
    <w:rsid w:val="00C947FE"/>
    <w:rsid w:val="00C956C6"/>
    <w:rsid w:val="00C95DC5"/>
    <w:rsid w:val="00C96046"/>
    <w:rsid w:val="00C963BC"/>
    <w:rsid w:val="00CA25B4"/>
    <w:rsid w:val="00CA6090"/>
    <w:rsid w:val="00CA610F"/>
    <w:rsid w:val="00CB0208"/>
    <w:rsid w:val="00CB1465"/>
    <w:rsid w:val="00CB1E5A"/>
    <w:rsid w:val="00CB26A2"/>
    <w:rsid w:val="00CB3963"/>
    <w:rsid w:val="00CB3F45"/>
    <w:rsid w:val="00CB6769"/>
    <w:rsid w:val="00CB67B0"/>
    <w:rsid w:val="00CB6BDB"/>
    <w:rsid w:val="00CB77DE"/>
    <w:rsid w:val="00CC1E3B"/>
    <w:rsid w:val="00CC213E"/>
    <w:rsid w:val="00CC3B1F"/>
    <w:rsid w:val="00CC587B"/>
    <w:rsid w:val="00CD1169"/>
    <w:rsid w:val="00CD4894"/>
    <w:rsid w:val="00CD6B46"/>
    <w:rsid w:val="00CD743B"/>
    <w:rsid w:val="00CD7CCF"/>
    <w:rsid w:val="00CE351D"/>
    <w:rsid w:val="00CE3F34"/>
    <w:rsid w:val="00CE643A"/>
    <w:rsid w:val="00CE6C45"/>
    <w:rsid w:val="00CF0BED"/>
    <w:rsid w:val="00CF1633"/>
    <w:rsid w:val="00CF1F74"/>
    <w:rsid w:val="00CF2028"/>
    <w:rsid w:val="00CF4100"/>
    <w:rsid w:val="00CF4CD3"/>
    <w:rsid w:val="00CF6712"/>
    <w:rsid w:val="00CF7E19"/>
    <w:rsid w:val="00D00CD7"/>
    <w:rsid w:val="00D01744"/>
    <w:rsid w:val="00D02610"/>
    <w:rsid w:val="00D04F88"/>
    <w:rsid w:val="00D1081B"/>
    <w:rsid w:val="00D1137F"/>
    <w:rsid w:val="00D11B7F"/>
    <w:rsid w:val="00D12C64"/>
    <w:rsid w:val="00D169CB"/>
    <w:rsid w:val="00D17366"/>
    <w:rsid w:val="00D17F85"/>
    <w:rsid w:val="00D23FA1"/>
    <w:rsid w:val="00D2462F"/>
    <w:rsid w:val="00D26C6F"/>
    <w:rsid w:val="00D3082E"/>
    <w:rsid w:val="00D30EFF"/>
    <w:rsid w:val="00D3148B"/>
    <w:rsid w:val="00D32324"/>
    <w:rsid w:val="00D35C2E"/>
    <w:rsid w:val="00D37726"/>
    <w:rsid w:val="00D37ACE"/>
    <w:rsid w:val="00D43EDD"/>
    <w:rsid w:val="00D43EFD"/>
    <w:rsid w:val="00D44FAB"/>
    <w:rsid w:val="00D45496"/>
    <w:rsid w:val="00D45B7D"/>
    <w:rsid w:val="00D5110A"/>
    <w:rsid w:val="00D53902"/>
    <w:rsid w:val="00D53FD6"/>
    <w:rsid w:val="00D54A67"/>
    <w:rsid w:val="00D57B86"/>
    <w:rsid w:val="00D62E88"/>
    <w:rsid w:val="00D71E13"/>
    <w:rsid w:val="00D74CB7"/>
    <w:rsid w:val="00D75B6D"/>
    <w:rsid w:val="00D75C14"/>
    <w:rsid w:val="00D76CD0"/>
    <w:rsid w:val="00D813F4"/>
    <w:rsid w:val="00D83A39"/>
    <w:rsid w:val="00D841C0"/>
    <w:rsid w:val="00D850F0"/>
    <w:rsid w:val="00D9004F"/>
    <w:rsid w:val="00D909AB"/>
    <w:rsid w:val="00D93B00"/>
    <w:rsid w:val="00D9454C"/>
    <w:rsid w:val="00D959B3"/>
    <w:rsid w:val="00D95B7E"/>
    <w:rsid w:val="00D967A6"/>
    <w:rsid w:val="00D9684B"/>
    <w:rsid w:val="00D97B13"/>
    <w:rsid w:val="00DA1912"/>
    <w:rsid w:val="00DA2B97"/>
    <w:rsid w:val="00DA2DF9"/>
    <w:rsid w:val="00DA6665"/>
    <w:rsid w:val="00DA75E2"/>
    <w:rsid w:val="00DA75FB"/>
    <w:rsid w:val="00DB0B8A"/>
    <w:rsid w:val="00DB1987"/>
    <w:rsid w:val="00DB2EA2"/>
    <w:rsid w:val="00DB360E"/>
    <w:rsid w:val="00DB4667"/>
    <w:rsid w:val="00DB4CCB"/>
    <w:rsid w:val="00DB6331"/>
    <w:rsid w:val="00DC02C9"/>
    <w:rsid w:val="00DC2D52"/>
    <w:rsid w:val="00DC579E"/>
    <w:rsid w:val="00DC6A59"/>
    <w:rsid w:val="00DD1691"/>
    <w:rsid w:val="00DD40B6"/>
    <w:rsid w:val="00DD4E53"/>
    <w:rsid w:val="00DD7FC2"/>
    <w:rsid w:val="00DE33FF"/>
    <w:rsid w:val="00DE41F3"/>
    <w:rsid w:val="00DF0EAF"/>
    <w:rsid w:val="00DF2524"/>
    <w:rsid w:val="00DF4DA1"/>
    <w:rsid w:val="00E01C28"/>
    <w:rsid w:val="00E02159"/>
    <w:rsid w:val="00E0457D"/>
    <w:rsid w:val="00E0466A"/>
    <w:rsid w:val="00E046D0"/>
    <w:rsid w:val="00E05C22"/>
    <w:rsid w:val="00E10B72"/>
    <w:rsid w:val="00E1626C"/>
    <w:rsid w:val="00E2119F"/>
    <w:rsid w:val="00E21736"/>
    <w:rsid w:val="00E2213D"/>
    <w:rsid w:val="00E332B1"/>
    <w:rsid w:val="00E339CA"/>
    <w:rsid w:val="00E36DFD"/>
    <w:rsid w:val="00E40FAF"/>
    <w:rsid w:val="00E410B2"/>
    <w:rsid w:val="00E46733"/>
    <w:rsid w:val="00E52DD0"/>
    <w:rsid w:val="00E576D4"/>
    <w:rsid w:val="00E64C9F"/>
    <w:rsid w:val="00E7413C"/>
    <w:rsid w:val="00E74320"/>
    <w:rsid w:val="00E74E2A"/>
    <w:rsid w:val="00E7523E"/>
    <w:rsid w:val="00E764A0"/>
    <w:rsid w:val="00E817E5"/>
    <w:rsid w:val="00E81FDD"/>
    <w:rsid w:val="00E82204"/>
    <w:rsid w:val="00E8264E"/>
    <w:rsid w:val="00E83C46"/>
    <w:rsid w:val="00E87D7B"/>
    <w:rsid w:val="00E91FCD"/>
    <w:rsid w:val="00E92D07"/>
    <w:rsid w:val="00E93B45"/>
    <w:rsid w:val="00E94175"/>
    <w:rsid w:val="00E967E2"/>
    <w:rsid w:val="00E97EF2"/>
    <w:rsid w:val="00EA044B"/>
    <w:rsid w:val="00EA125A"/>
    <w:rsid w:val="00EA456F"/>
    <w:rsid w:val="00EA510F"/>
    <w:rsid w:val="00EA5EE9"/>
    <w:rsid w:val="00EB7191"/>
    <w:rsid w:val="00EC3981"/>
    <w:rsid w:val="00ED2DBD"/>
    <w:rsid w:val="00ED4070"/>
    <w:rsid w:val="00ED44A2"/>
    <w:rsid w:val="00ED5B6F"/>
    <w:rsid w:val="00ED6D0E"/>
    <w:rsid w:val="00ED75A7"/>
    <w:rsid w:val="00EE4D96"/>
    <w:rsid w:val="00EE5764"/>
    <w:rsid w:val="00EF0FD4"/>
    <w:rsid w:val="00EF1F3F"/>
    <w:rsid w:val="00EF4283"/>
    <w:rsid w:val="00EF6CB0"/>
    <w:rsid w:val="00F0219F"/>
    <w:rsid w:val="00F022F3"/>
    <w:rsid w:val="00F0461C"/>
    <w:rsid w:val="00F05F0A"/>
    <w:rsid w:val="00F06A80"/>
    <w:rsid w:val="00F078BA"/>
    <w:rsid w:val="00F1191C"/>
    <w:rsid w:val="00F1213B"/>
    <w:rsid w:val="00F1270F"/>
    <w:rsid w:val="00F12DA0"/>
    <w:rsid w:val="00F12E23"/>
    <w:rsid w:val="00F133CB"/>
    <w:rsid w:val="00F160C2"/>
    <w:rsid w:val="00F2098A"/>
    <w:rsid w:val="00F2144A"/>
    <w:rsid w:val="00F21824"/>
    <w:rsid w:val="00F225E7"/>
    <w:rsid w:val="00F24131"/>
    <w:rsid w:val="00F2603F"/>
    <w:rsid w:val="00F2638E"/>
    <w:rsid w:val="00F27887"/>
    <w:rsid w:val="00F27E50"/>
    <w:rsid w:val="00F311F0"/>
    <w:rsid w:val="00F42F9A"/>
    <w:rsid w:val="00F43DD0"/>
    <w:rsid w:val="00F449D4"/>
    <w:rsid w:val="00F45011"/>
    <w:rsid w:val="00F4544B"/>
    <w:rsid w:val="00F469E9"/>
    <w:rsid w:val="00F510E9"/>
    <w:rsid w:val="00F51376"/>
    <w:rsid w:val="00F51F1C"/>
    <w:rsid w:val="00F56DA7"/>
    <w:rsid w:val="00F57B2A"/>
    <w:rsid w:val="00F61D62"/>
    <w:rsid w:val="00F645E1"/>
    <w:rsid w:val="00F72549"/>
    <w:rsid w:val="00F74030"/>
    <w:rsid w:val="00F76A8C"/>
    <w:rsid w:val="00F76EFA"/>
    <w:rsid w:val="00F83DBB"/>
    <w:rsid w:val="00F87014"/>
    <w:rsid w:val="00F971DA"/>
    <w:rsid w:val="00FA247B"/>
    <w:rsid w:val="00FA6829"/>
    <w:rsid w:val="00FA758A"/>
    <w:rsid w:val="00FB1C95"/>
    <w:rsid w:val="00FB200A"/>
    <w:rsid w:val="00FB4A4B"/>
    <w:rsid w:val="00FB555B"/>
    <w:rsid w:val="00FB67CB"/>
    <w:rsid w:val="00FC11BC"/>
    <w:rsid w:val="00FC3E88"/>
    <w:rsid w:val="00FC3F4C"/>
    <w:rsid w:val="00FC4BBC"/>
    <w:rsid w:val="00FC552D"/>
    <w:rsid w:val="00FC5988"/>
    <w:rsid w:val="00FC63F8"/>
    <w:rsid w:val="00FC65DE"/>
    <w:rsid w:val="00FC7A5A"/>
    <w:rsid w:val="00FD0163"/>
    <w:rsid w:val="00FD0D72"/>
    <w:rsid w:val="00FD21EF"/>
    <w:rsid w:val="00FD6517"/>
    <w:rsid w:val="00FE1BA4"/>
    <w:rsid w:val="00FE40E8"/>
    <w:rsid w:val="00FE58C6"/>
    <w:rsid w:val="00FE615C"/>
    <w:rsid w:val="00FE64A6"/>
    <w:rsid w:val="00FF19DB"/>
    <w:rsid w:val="00FF229D"/>
    <w:rsid w:val="00FF4488"/>
    <w:rsid w:val="00FF716E"/>
    <w:rsid w:val="6DF9BF00"/>
    <w:rsid w:val="71170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7105"/>
    <o:shapelayout v:ext="edit">
      <o:idmap v:ext="edit" data="1"/>
    </o:shapelayout>
  </w:shapeDefaults>
  <w:decimalSymbol w:val="."/>
  <w:listSeparator w:val=","/>
  <w14:docId w14:val="301AA894"/>
  <w15:docId w15:val="{4304A1B4-7E4D-4DF9-8457-19090319D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E520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1501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8E6F03"/>
    <w:rPr>
      <w:sz w:val="16"/>
      <w:szCs w:val="16"/>
    </w:rPr>
  </w:style>
  <w:style w:type="paragraph" w:styleId="CommentText">
    <w:name w:val="annotation text"/>
    <w:basedOn w:val="Normal"/>
    <w:link w:val="CommentTextChar"/>
    <w:uiPriority w:val="99"/>
    <w:unhideWhenUsed/>
    <w:rsid w:val="008E6F03"/>
    <w:rPr>
      <w:sz w:val="20"/>
      <w:szCs w:val="20"/>
    </w:rPr>
  </w:style>
  <w:style w:type="character" w:customStyle="1" w:styleId="CommentTextChar">
    <w:name w:val="Comment Text Char"/>
    <w:basedOn w:val="DefaultParagraphFont"/>
    <w:link w:val="CommentText"/>
    <w:uiPriority w:val="99"/>
    <w:rsid w:val="008E6F03"/>
  </w:style>
  <w:style w:type="paragraph" w:styleId="CommentSubject">
    <w:name w:val="annotation subject"/>
    <w:basedOn w:val="CommentText"/>
    <w:next w:val="CommentText"/>
    <w:link w:val="CommentSubjectChar"/>
    <w:uiPriority w:val="99"/>
    <w:semiHidden/>
    <w:unhideWhenUsed/>
    <w:rsid w:val="008E6F03"/>
    <w:rPr>
      <w:b/>
      <w:bCs/>
    </w:rPr>
  </w:style>
  <w:style w:type="character" w:customStyle="1" w:styleId="CommentSubjectChar">
    <w:name w:val="Comment Subject Char"/>
    <w:link w:val="CommentSubject"/>
    <w:uiPriority w:val="99"/>
    <w:semiHidden/>
    <w:rsid w:val="008E6F03"/>
    <w:rPr>
      <w:b/>
      <w:bCs/>
    </w:rPr>
  </w:style>
  <w:style w:type="paragraph" w:styleId="BalloonText">
    <w:name w:val="Balloon Text"/>
    <w:basedOn w:val="Normal"/>
    <w:link w:val="BalloonTextChar"/>
    <w:uiPriority w:val="99"/>
    <w:semiHidden/>
    <w:unhideWhenUsed/>
    <w:rsid w:val="008E6F03"/>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E6F03"/>
    <w:rPr>
      <w:rFonts w:ascii="Tahoma" w:hAnsi="Tahoma" w:cs="Tahoma"/>
      <w:sz w:val="16"/>
      <w:szCs w:val="16"/>
    </w:rPr>
  </w:style>
  <w:style w:type="paragraph" w:styleId="Header">
    <w:name w:val="header"/>
    <w:basedOn w:val="Normal"/>
    <w:link w:val="HeaderChar"/>
    <w:uiPriority w:val="99"/>
    <w:unhideWhenUsed/>
    <w:rsid w:val="007B6ECD"/>
    <w:pPr>
      <w:tabs>
        <w:tab w:val="center" w:pos="4513"/>
        <w:tab w:val="right" w:pos="9026"/>
      </w:tabs>
      <w:spacing w:after="0" w:line="240" w:lineRule="auto"/>
    </w:pPr>
  </w:style>
  <w:style w:type="character" w:customStyle="1" w:styleId="HeaderChar">
    <w:name w:val="Header Char"/>
    <w:link w:val="Header"/>
    <w:uiPriority w:val="99"/>
    <w:rsid w:val="007B6ECD"/>
    <w:rPr>
      <w:sz w:val="22"/>
      <w:szCs w:val="22"/>
    </w:rPr>
  </w:style>
  <w:style w:type="paragraph" w:styleId="Footer">
    <w:name w:val="footer"/>
    <w:basedOn w:val="Normal"/>
    <w:link w:val="FooterChar"/>
    <w:uiPriority w:val="99"/>
    <w:unhideWhenUsed/>
    <w:rsid w:val="007B6ECD"/>
    <w:pPr>
      <w:tabs>
        <w:tab w:val="center" w:pos="4513"/>
        <w:tab w:val="right" w:pos="9026"/>
      </w:tabs>
      <w:spacing w:after="0" w:line="240" w:lineRule="auto"/>
    </w:pPr>
  </w:style>
  <w:style w:type="character" w:customStyle="1" w:styleId="FooterChar">
    <w:name w:val="Footer Char"/>
    <w:link w:val="Footer"/>
    <w:uiPriority w:val="99"/>
    <w:rsid w:val="007B6ECD"/>
    <w:rPr>
      <w:sz w:val="22"/>
      <w:szCs w:val="22"/>
    </w:rPr>
  </w:style>
  <w:style w:type="paragraph" w:styleId="FootnoteText">
    <w:name w:val="footnote text"/>
    <w:aliases w:val="fn,FOOTNOTES,single space,ALTS FOOTNOTE,Footnote Text Char1,Footnote Text Char Char,Note de bas de page Car,footnote text,Fodnotetekst Tegn,Fodnotetekst Tegn Char,footnote text Char Char Char,footnote,ADB,f,ft,Texto de rodapé,nota_rodapé"/>
    <w:basedOn w:val="Normal"/>
    <w:link w:val="FootnoteTextChar"/>
    <w:rsid w:val="00110E29"/>
    <w:pPr>
      <w:spacing w:after="0" w:line="240" w:lineRule="auto"/>
    </w:pPr>
    <w:rPr>
      <w:rFonts w:ascii="Times New Roman" w:eastAsia="Times New Roman" w:hAnsi="Times New Roman"/>
      <w:sz w:val="20"/>
      <w:szCs w:val="20"/>
      <w:lang w:val="es-ES"/>
    </w:rPr>
  </w:style>
  <w:style w:type="character" w:customStyle="1" w:styleId="FootnoteTextChar">
    <w:name w:val="Footnote Text Char"/>
    <w:aliases w:val="fn Char,FOOTNOTES Char,single space Char,ALTS FOOTNOTE Char,Footnote Text Char1 Char,Footnote Text Char Char Char,Note de bas de page Car Char,footnote text Char,Fodnotetekst Tegn Char1,Fodnotetekst Tegn Char Char,footnote Char,f Char"/>
    <w:link w:val="FootnoteText"/>
    <w:uiPriority w:val="99"/>
    <w:rsid w:val="00110E29"/>
    <w:rPr>
      <w:rFonts w:ascii="Times New Roman" w:eastAsia="Times New Roman" w:hAnsi="Times New Roman"/>
      <w:lang w:val="es-ES"/>
    </w:rPr>
  </w:style>
  <w:style w:type="paragraph" w:customStyle="1" w:styleId="Default">
    <w:name w:val="Default"/>
    <w:rsid w:val="00221E06"/>
    <w:pPr>
      <w:autoSpaceDE w:val="0"/>
      <w:autoSpaceDN w:val="0"/>
      <w:adjustRightInd w:val="0"/>
    </w:pPr>
    <w:rPr>
      <w:rFonts w:ascii="Times New Roman" w:hAnsi="Times New Roman"/>
      <w:color w:val="000000"/>
      <w:sz w:val="24"/>
      <w:szCs w:val="24"/>
      <w:lang w:eastAsia="en-US"/>
    </w:rPr>
  </w:style>
  <w:style w:type="paragraph" w:customStyle="1" w:styleId="TableText">
    <w:name w:val="Table Text"/>
    <w:basedOn w:val="Normal"/>
    <w:rsid w:val="00DF4DA1"/>
    <w:pPr>
      <w:spacing w:after="0" w:line="280" w:lineRule="atLeast"/>
      <w:jc w:val="both"/>
    </w:pPr>
    <w:rPr>
      <w:rFonts w:ascii="Arial" w:eastAsia="Times New Roman" w:hAnsi="Arial"/>
      <w:sz w:val="16"/>
      <w:szCs w:val="20"/>
      <w:lang w:val="en-GB" w:eastAsia="fr-FR"/>
    </w:rPr>
  </w:style>
  <w:style w:type="paragraph" w:styleId="ListParagraph">
    <w:name w:val="List Paragraph"/>
    <w:basedOn w:val="Normal"/>
    <w:link w:val="ListParagraphChar"/>
    <w:uiPriority w:val="34"/>
    <w:qFormat/>
    <w:rsid w:val="00E01C28"/>
    <w:pPr>
      <w:ind w:left="720"/>
      <w:contextualSpacing/>
    </w:pPr>
    <w:rPr>
      <w:lang w:val="es-CO"/>
    </w:rPr>
  </w:style>
  <w:style w:type="character" w:customStyle="1" w:styleId="ListParagraphChar">
    <w:name w:val="List Paragraph Char"/>
    <w:link w:val="ListParagraph"/>
    <w:uiPriority w:val="34"/>
    <w:locked/>
    <w:rsid w:val="00CB0208"/>
    <w:rPr>
      <w:sz w:val="22"/>
      <w:szCs w:val="22"/>
      <w:lang w:val="es-CO"/>
    </w:rPr>
  </w:style>
  <w:style w:type="character" w:styleId="FootnoteReference">
    <w:name w:val="footnote reference"/>
    <w:aliases w:val="ftref,16 Point,Superscript 6 Point"/>
    <w:unhideWhenUsed/>
    <w:rsid w:val="00B32010"/>
    <w:rPr>
      <w:vertAlign w:val="superscript"/>
    </w:rPr>
  </w:style>
  <w:style w:type="paragraph" w:customStyle="1" w:styleId="Chapter">
    <w:name w:val="Chapter"/>
    <w:basedOn w:val="Normal"/>
    <w:next w:val="Normal"/>
    <w:rsid w:val="00795640"/>
    <w:pPr>
      <w:keepNext/>
      <w:numPr>
        <w:numId w:val="16"/>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rsid w:val="00795640"/>
    <w:pPr>
      <w:numPr>
        <w:ilvl w:val="1"/>
        <w:numId w:val="16"/>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rsid w:val="00795640"/>
    <w:pPr>
      <w:numPr>
        <w:ilvl w:val="2"/>
        <w:numId w:val="16"/>
      </w:numPr>
      <w:tabs>
        <w:tab w:val="clear" w:pos="2304"/>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rsid w:val="00795640"/>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sid w:val="00795640"/>
    <w:rPr>
      <w:rFonts w:ascii="Times New Roman" w:eastAsia="Times New Roman" w:hAnsi="Times New Roman"/>
      <w:sz w:val="24"/>
      <w:lang w:val="es-ES" w:eastAsia="en-US"/>
    </w:rPr>
  </w:style>
  <w:style w:type="character" w:customStyle="1" w:styleId="hps">
    <w:name w:val="hps"/>
    <w:basedOn w:val="DefaultParagraphFont"/>
    <w:rsid w:val="00795640"/>
  </w:style>
  <w:style w:type="paragraph" w:styleId="BodyTextIndent">
    <w:name w:val="Body Text Indent"/>
    <w:basedOn w:val="Normal"/>
    <w:link w:val="BodyTextIndentChar"/>
    <w:uiPriority w:val="99"/>
    <w:semiHidden/>
    <w:unhideWhenUsed/>
    <w:rsid w:val="00795640"/>
    <w:pPr>
      <w:spacing w:after="120"/>
      <w:ind w:left="360"/>
    </w:pPr>
  </w:style>
  <w:style w:type="character" w:customStyle="1" w:styleId="BodyTextIndentChar">
    <w:name w:val="Body Text Indent Char"/>
    <w:basedOn w:val="DefaultParagraphFont"/>
    <w:link w:val="BodyTextIndent"/>
    <w:uiPriority w:val="99"/>
    <w:semiHidden/>
    <w:rsid w:val="00795640"/>
    <w:rPr>
      <w:sz w:val="22"/>
      <w:szCs w:val="22"/>
      <w:lang w:eastAsia="en-US"/>
    </w:rPr>
  </w:style>
  <w:style w:type="paragraph" w:styleId="BodyTextIndent3">
    <w:name w:val="Body Text Indent 3"/>
    <w:basedOn w:val="Normal"/>
    <w:link w:val="BodyTextIndent3Char"/>
    <w:unhideWhenUsed/>
    <w:rsid w:val="00795640"/>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795640"/>
    <w:rPr>
      <w:sz w:val="16"/>
      <w:szCs w:val="16"/>
      <w:lang w:eastAsia="en-US"/>
    </w:rPr>
  </w:style>
  <w:style w:type="character" w:styleId="Hyperlink">
    <w:name w:val="Hyperlink"/>
    <w:basedOn w:val="DefaultParagraphFont"/>
    <w:unhideWhenUsed/>
    <w:rsid w:val="00472FC8"/>
    <w:rPr>
      <w:color w:val="0000FF" w:themeColor="hyperlink"/>
      <w:u w:val="single"/>
    </w:rPr>
  </w:style>
  <w:style w:type="character" w:styleId="FollowedHyperlink">
    <w:name w:val="FollowedHyperlink"/>
    <w:basedOn w:val="DefaultParagraphFont"/>
    <w:uiPriority w:val="99"/>
    <w:semiHidden/>
    <w:unhideWhenUsed/>
    <w:rsid w:val="00EB7191"/>
    <w:rPr>
      <w:color w:val="800080" w:themeColor="followedHyperlink"/>
      <w:u w:val="single"/>
    </w:rPr>
  </w:style>
  <w:style w:type="character" w:styleId="Mention">
    <w:name w:val="Mention"/>
    <w:basedOn w:val="DefaultParagraphFont"/>
    <w:uiPriority w:val="99"/>
    <w:semiHidden/>
    <w:unhideWhenUsed/>
    <w:rsid w:val="00374E07"/>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251844">
      <w:bodyDiv w:val="1"/>
      <w:marLeft w:val="0"/>
      <w:marRight w:val="0"/>
      <w:marTop w:val="0"/>
      <w:marBottom w:val="0"/>
      <w:divBdr>
        <w:top w:val="none" w:sz="0" w:space="0" w:color="auto"/>
        <w:left w:val="none" w:sz="0" w:space="0" w:color="auto"/>
        <w:bottom w:val="none" w:sz="0" w:space="0" w:color="auto"/>
        <w:right w:val="none" w:sz="0" w:space="0" w:color="auto"/>
      </w:divBdr>
    </w:div>
    <w:div w:id="746458837">
      <w:bodyDiv w:val="1"/>
      <w:marLeft w:val="0"/>
      <w:marRight w:val="0"/>
      <w:marTop w:val="0"/>
      <w:marBottom w:val="0"/>
      <w:divBdr>
        <w:top w:val="none" w:sz="0" w:space="0" w:color="auto"/>
        <w:left w:val="none" w:sz="0" w:space="0" w:color="auto"/>
        <w:bottom w:val="none" w:sz="0" w:space="0" w:color="auto"/>
        <w:right w:val="none" w:sz="0" w:space="0" w:color="auto"/>
      </w:divBdr>
    </w:div>
    <w:div w:id="822887379">
      <w:bodyDiv w:val="1"/>
      <w:marLeft w:val="0"/>
      <w:marRight w:val="0"/>
      <w:marTop w:val="0"/>
      <w:marBottom w:val="0"/>
      <w:divBdr>
        <w:top w:val="none" w:sz="0" w:space="0" w:color="auto"/>
        <w:left w:val="none" w:sz="0" w:space="0" w:color="auto"/>
        <w:bottom w:val="none" w:sz="0" w:space="0" w:color="auto"/>
        <w:right w:val="none" w:sz="0" w:space="0" w:color="auto"/>
      </w:divBdr>
    </w:div>
    <w:div w:id="1052853163">
      <w:bodyDiv w:val="1"/>
      <w:marLeft w:val="0"/>
      <w:marRight w:val="0"/>
      <w:marTop w:val="0"/>
      <w:marBottom w:val="0"/>
      <w:divBdr>
        <w:top w:val="none" w:sz="0" w:space="0" w:color="auto"/>
        <w:left w:val="none" w:sz="0" w:space="0" w:color="auto"/>
        <w:bottom w:val="none" w:sz="0" w:space="0" w:color="auto"/>
        <w:right w:val="none" w:sz="0" w:space="0" w:color="auto"/>
      </w:divBdr>
    </w:div>
    <w:div w:id="1218973612">
      <w:bodyDiv w:val="1"/>
      <w:marLeft w:val="0"/>
      <w:marRight w:val="0"/>
      <w:marTop w:val="0"/>
      <w:marBottom w:val="0"/>
      <w:divBdr>
        <w:top w:val="none" w:sz="0" w:space="0" w:color="auto"/>
        <w:left w:val="none" w:sz="0" w:space="0" w:color="auto"/>
        <w:bottom w:val="none" w:sz="0" w:space="0" w:color="auto"/>
        <w:right w:val="none" w:sz="0" w:space="0" w:color="auto"/>
      </w:divBdr>
      <w:divsChild>
        <w:div w:id="143864032">
          <w:marLeft w:val="0"/>
          <w:marRight w:val="0"/>
          <w:marTop w:val="0"/>
          <w:marBottom w:val="0"/>
          <w:divBdr>
            <w:top w:val="none" w:sz="0" w:space="0" w:color="auto"/>
            <w:left w:val="none" w:sz="0" w:space="0" w:color="auto"/>
            <w:bottom w:val="none" w:sz="0" w:space="0" w:color="auto"/>
            <w:right w:val="none" w:sz="0" w:space="0" w:color="auto"/>
          </w:divBdr>
        </w:div>
        <w:div w:id="186213688">
          <w:marLeft w:val="0"/>
          <w:marRight w:val="0"/>
          <w:marTop w:val="0"/>
          <w:marBottom w:val="0"/>
          <w:divBdr>
            <w:top w:val="none" w:sz="0" w:space="0" w:color="auto"/>
            <w:left w:val="none" w:sz="0" w:space="0" w:color="auto"/>
            <w:bottom w:val="none" w:sz="0" w:space="0" w:color="auto"/>
            <w:right w:val="none" w:sz="0" w:space="0" w:color="auto"/>
          </w:divBdr>
        </w:div>
        <w:div w:id="324288202">
          <w:marLeft w:val="0"/>
          <w:marRight w:val="0"/>
          <w:marTop w:val="0"/>
          <w:marBottom w:val="0"/>
          <w:divBdr>
            <w:top w:val="none" w:sz="0" w:space="0" w:color="auto"/>
            <w:left w:val="none" w:sz="0" w:space="0" w:color="auto"/>
            <w:bottom w:val="none" w:sz="0" w:space="0" w:color="auto"/>
            <w:right w:val="none" w:sz="0" w:space="0" w:color="auto"/>
          </w:divBdr>
        </w:div>
        <w:div w:id="527107444">
          <w:marLeft w:val="0"/>
          <w:marRight w:val="0"/>
          <w:marTop w:val="0"/>
          <w:marBottom w:val="0"/>
          <w:divBdr>
            <w:top w:val="none" w:sz="0" w:space="0" w:color="auto"/>
            <w:left w:val="none" w:sz="0" w:space="0" w:color="auto"/>
            <w:bottom w:val="none" w:sz="0" w:space="0" w:color="auto"/>
            <w:right w:val="none" w:sz="0" w:space="0" w:color="auto"/>
          </w:divBdr>
        </w:div>
        <w:div w:id="595602768">
          <w:marLeft w:val="0"/>
          <w:marRight w:val="0"/>
          <w:marTop w:val="0"/>
          <w:marBottom w:val="0"/>
          <w:divBdr>
            <w:top w:val="none" w:sz="0" w:space="0" w:color="auto"/>
            <w:left w:val="none" w:sz="0" w:space="0" w:color="auto"/>
            <w:bottom w:val="none" w:sz="0" w:space="0" w:color="auto"/>
            <w:right w:val="none" w:sz="0" w:space="0" w:color="auto"/>
          </w:divBdr>
        </w:div>
        <w:div w:id="677586550">
          <w:marLeft w:val="0"/>
          <w:marRight w:val="0"/>
          <w:marTop w:val="0"/>
          <w:marBottom w:val="0"/>
          <w:divBdr>
            <w:top w:val="none" w:sz="0" w:space="0" w:color="auto"/>
            <w:left w:val="none" w:sz="0" w:space="0" w:color="auto"/>
            <w:bottom w:val="none" w:sz="0" w:space="0" w:color="auto"/>
            <w:right w:val="none" w:sz="0" w:space="0" w:color="auto"/>
          </w:divBdr>
        </w:div>
        <w:div w:id="805396634">
          <w:marLeft w:val="0"/>
          <w:marRight w:val="0"/>
          <w:marTop w:val="0"/>
          <w:marBottom w:val="0"/>
          <w:divBdr>
            <w:top w:val="none" w:sz="0" w:space="0" w:color="auto"/>
            <w:left w:val="none" w:sz="0" w:space="0" w:color="auto"/>
            <w:bottom w:val="none" w:sz="0" w:space="0" w:color="auto"/>
            <w:right w:val="none" w:sz="0" w:space="0" w:color="auto"/>
          </w:divBdr>
        </w:div>
        <w:div w:id="825509132">
          <w:marLeft w:val="0"/>
          <w:marRight w:val="0"/>
          <w:marTop w:val="0"/>
          <w:marBottom w:val="0"/>
          <w:divBdr>
            <w:top w:val="none" w:sz="0" w:space="0" w:color="auto"/>
            <w:left w:val="none" w:sz="0" w:space="0" w:color="auto"/>
            <w:bottom w:val="none" w:sz="0" w:space="0" w:color="auto"/>
            <w:right w:val="none" w:sz="0" w:space="0" w:color="auto"/>
          </w:divBdr>
        </w:div>
        <w:div w:id="1118840140">
          <w:marLeft w:val="0"/>
          <w:marRight w:val="0"/>
          <w:marTop w:val="0"/>
          <w:marBottom w:val="0"/>
          <w:divBdr>
            <w:top w:val="none" w:sz="0" w:space="0" w:color="auto"/>
            <w:left w:val="none" w:sz="0" w:space="0" w:color="auto"/>
            <w:bottom w:val="none" w:sz="0" w:space="0" w:color="auto"/>
            <w:right w:val="none" w:sz="0" w:space="0" w:color="auto"/>
          </w:divBdr>
        </w:div>
        <w:div w:id="1120805804">
          <w:marLeft w:val="0"/>
          <w:marRight w:val="0"/>
          <w:marTop w:val="0"/>
          <w:marBottom w:val="0"/>
          <w:divBdr>
            <w:top w:val="none" w:sz="0" w:space="0" w:color="auto"/>
            <w:left w:val="none" w:sz="0" w:space="0" w:color="auto"/>
            <w:bottom w:val="none" w:sz="0" w:space="0" w:color="auto"/>
            <w:right w:val="none" w:sz="0" w:space="0" w:color="auto"/>
          </w:divBdr>
        </w:div>
        <w:div w:id="1217425217">
          <w:marLeft w:val="0"/>
          <w:marRight w:val="0"/>
          <w:marTop w:val="0"/>
          <w:marBottom w:val="0"/>
          <w:divBdr>
            <w:top w:val="none" w:sz="0" w:space="0" w:color="auto"/>
            <w:left w:val="none" w:sz="0" w:space="0" w:color="auto"/>
            <w:bottom w:val="none" w:sz="0" w:space="0" w:color="auto"/>
            <w:right w:val="none" w:sz="0" w:space="0" w:color="auto"/>
          </w:divBdr>
        </w:div>
        <w:div w:id="1328290159">
          <w:marLeft w:val="0"/>
          <w:marRight w:val="0"/>
          <w:marTop w:val="0"/>
          <w:marBottom w:val="0"/>
          <w:divBdr>
            <w:top w:val="none" w:sz="0" w:space="0" w:color="auto"/>
            <w:left w:val="none" w:sz="0" w:space="0" w:color="auto"/>
            <w:bottom w:val="none" w:sz="0" w:space="0" w:color="auto"/>
            <w:right w:val="none" w:sz="0" w:space="0" w:color="auto"/>
          </w:divBdr>
        </w:div>
        <w:div w:id="1409578241">
          <w:marLeft w:val="0"/>
          <w:marRight w:val="0"/>
          <w:marTop w:val="0"/>
          <w:marBottom w:val="0"/>
          <w:divBdr>
            <w:top w:val="none" w:sz="0" w:space="0" w:color="auto"/>
            <w:left w:val="none" w:sz="0" w:space="0" w:color="auto"/>
            <w:bottom w:val="none" w:sz="0" w:space="0" w:color="auto"/>
            <w:right w:val="none" w:sz="0" w:space="0" w:color="auto"/>
          </w:divBdr>
        </w:div>
        <w:div w:id="1489903006">
          <w:marLeft w:val="0"/>
          <w:marRight w:val="0"/>
          <w:marTop w:val="0"/>
          <w:marBottom w:val="0"/>
          <w:divBdr>
            <w:top w:val="none" w:sz="0" w:space="0" w:color="auto"/>
            <w:left w:val="none" w:sz="0" w:space="0" w:color="auto"/>
            <w:bottom w:val="none" w:sz="0" w:space="0" w:color="auto"/>
            <w:right w:val="none" w:sz="0" w:space="0" w:color="auto"/>
          </w:divBdr>
        </w:div>
        <w:div w:id="1870364494">
          <w:marLeft w:val="0"/>
          <w:marRight w:val="0"/>
          <w:marTop w:val="0"/>
          <w:marBottom w:val="0"/>
          <w:divBdr>
            <w:top w:val="none" w:sz="0" w:space="0" w:color="auto"/>
            <w:left w:val="none" w:sz="0" w:space="0" w:color="auto"/>
            <w:bottom w:val="none" w:sz="0" w:space="0" w:color="auto"/>
            <w:right w:val="none" w:sz="0" w:space="0" w:color="auto"/>
          </w:divBdr>
        </w:div>
        <w:div w:id="1881286050">
          <w:marLeft w:val="0"/>
          <w:marRight w:val="0"/>
          <w:marTop w:val="0"/>
          <w:marBottom w:val="0"/>
          <w:divBdr>
            <w:top w:val="none" w:sz="0" w:space="0" w:color="auto"/>
            <w:left w:val="none" w:sz="0" w:space="0" w:color="auto"/>
            <w:bottom w:val="none" w:sz="0" w:space="0" w:color="auto"/>
            <w:right w:val="none" w:sz="0" w:space="0" w:color="auto"/>
          </w:divBdr>
        </w:div>
        <w:div w:id="1938096750">
          <w:marLeft w:val="0"/>
          <w:marRight w:val="0"/>
          <w:marTop w:val="0"/>
          <w:marBottom w:val="0"/>
          <w:divBdr>
            <w:top w:val="none" w:sz="0" w:space="0" w:color="auto"/>
            <w:left w:val="none" w:sz="0" w:space="0" w:color="auto"/>
            <w:bottom w:val="none" w:sz="0" w:space="0" w:color="auto"/>
            <w:right w:val="none" w:sz="0" w:space="0" w:color="auto"/>
          </w:divBdr>
        </w:div>
      </w:divsChild>
    </w:div>
    <w:div w:id="1576278306">
      <w:bodyDiv w:val="1"/>
      <w:marLeft w:val="0"/>
      <w:marRight w:val="0"/>
      <w:marTop w:val="0"/>
      <w:marBottom w:val="0"/>
      <w:divBdr>
        <w:top w:val="none" w:sz="0" w:space="0" w:color="auto"/>
        <w:left w:val="none" w:sz="0" w:space="0" w:color="auto"/>
        <w:bottom w:val="none" w:sz="0" w:space="0" w:color="auto"/>
        <w:right w:val="none" w:sz="0" w:space="0" w:color="auto"/>
      </w:divBdr>
    </w:div>
    <w:div w:id="1600522757">
      <w:bodyDiv w:val="1"/>
      <w:marLeft w:val="0"/>
      <w:marRight w:val="0"/>
      <w:marTop w:val="0"/>
      <w:marBottom w:val="0"/>
      <w:divBdr>
        <w:top w:val="none" w:sz="0" w:space="0" w:color="auto"/>
        <w:left w:val="none" w:sz="0" w:space="0" w:color="auto"/>
        <w:bottom w:val="none" w:sz="0" w:space="0" w:color="auto"/>
        <w:right w:val="none" w:sz="0" w:space="0" w:color="auto"/>
      </w:divBdr>
    </w:div>
    <w:div w:id="1648781400">
      <w:bodyDiv w:val="1"/>
      <w:marLeft w:val="0"/>
      <w:marRight w:val="0"/>
      <w:marTop w:val="0"/>
      <w:marBottom w:val="0"/>
      <w:divBdr>
        <w:top w:val="none" w:sz="0" w:space="0" w:color="auto"/>
        <w:left w:val="none" w:sz="0" w:space="0" w:color="auto"/>
        <w:bottom w:val="none" w:sz="0" w:space="0" w:color="auto"/>
        <w:right w:val="none" w:sz="0" w:space="0" w:color="auto"/>
      </w:divBdr>
    </w:div>
    <w:div w:id="174719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ministeriopublico.gob.pa/wp-content/multimedia/2017/01/Decreto-Ejecutivo-No.-1-de-5-de-enero-de-2016.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acetaoficial.gob.pa/pdfTemp/28066/GacetaNo_28066_20160704.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asep.gob.pa/images/electricidad/tarifas/resumen_subsidios_2015_septiembre-2016.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C16A0-F4A9-4ED6-9332-5BC323DE8B55}">
  <ds:schemaRefs>
    <ds:schemaRef ds:uri="http://schemas.openxmlformats.org/officeDocument/2006/bibliography"/>
  </ds:schemaRefs>
</ds:datastoreItem>
</file>

<file path=customXml/itemProps2.xml><?xml version="1.0" encoding="utf-8"?>
<ds:datastoreItem xmlns:ds="http://schemas.openxmlformats.org/officeDocument/2006/customXml" ds:itemID="{FAE70F2C-49A3-474A-8819-3D9DD2F2137A}">
  <ds:schemaRefs>
    <ds:schemaRef ds:uri="http://schemas.openxmlformats.org/officeDocument/2006/bibliography"/>
  </ds:schemaRefs>
</ds:datastoreItem>
</file>

<file path=customXml/itemProps3.xml><?xml version="1.0" encoding="utf-8"?>
<ds:datastoreItem xmlns:ds="http://schemas.openxmlformats.org/officeDocument/2006/customXml" ds:itemID="{D2E8F03E-F306-4B83-AA0B-AA30C1EE8BEB}">
  <ds:schemaRefs>
    <ds:schemaRef ds:uri="http://schemas.openxmlformats.org/officeDocument/2006/bibliography"/>
  </ds:schemaRefs>
</ds:datastoreItem>
</file>

<file path=customXml/itemProps4.xml><?xml version="1.0" encoding="utf-8"?>
<ds:datastoreItem xmlns:ds="http://schemas.openxmlformats.org/officeDocument/2006/customXml" ds:itemID="{4E12B077-16FB-4266-A134-8696A72D8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531</TotalTime>
  <Pages>10</Pages>
  <Words>2495</Words>
  <Characters>14223</Characters>
  <Application>Microsoft Office Word</Application>
  <DocSecurity>0</DocSecurity>
  <Lines>118</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TeodoroZ</dc:creator>
  <cp:lastModifiedBy>Vanegas, Wilkferg Rico</cp:lastModifiedBy>
  <cp:revision>52</cp:revision>
  <cp:lastPrinted>2013-12-02T21:23:00Z</cp:lastPrinted>
  <dcterms:created xsi:type="dcterms:W3CDTF">2017-05-23T19:39:00Z</dcterms:created>
  <dcterms:modified xsi:type="dcterms:W3CDTF">2017-07-07T16:16:00Z</dcterms:modified>
</cp:coreProperties>
</file>