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AE03B9" w14:textId="7AB07DBC" w:rsidR="00B44075" w:rsidRDefault="00B44075" w:rsidP="00521685">
      <w:pPr>
        <w:pBdr>
          <w:bottom w:val="single" w:sz="8" w:space="4" w:color="4F81BD"/>
        </w:pBdr>
        <w:spacing w:after="300"/>
        <w:contextualSpacing/>
        <w:jc w:val="right"/>
        <w:rPr>
          <w:rFonts w:eastAsia="Calibri" w:cs="Times New Roman"/>
          <w:b/>
          <w:color w:val="17365D"/>
          <w:spacing w:val="5"/>
          <w:kern w:val="28"/>
          <w:sz w:val="24"/>
          <w:lang w:val="es-ES_tradnl" w:eastAsia="es-ES_tradnl"/>
        </w:rPr>
      </w:pPr>
      <w:bookmarkStart w:id="0" w:name="_Hlk481745393"/>
      <w:bookmarkStart w:id="1" w:name="_Hlk480623514"/>
      <w:bookmarkStart w:id="2" w:name="_Hlk481744171"/>
      <w:bookmarkEnd w:id="0"/>
      <w:r>
        <w:rPr>
          <w:rFonts w:eastAsia="Calibri" w:cs="Times New Roman"/>
          <w:b/>
          <w:color w:val="17365D"/>
          <w:spacing w:val="5"/>
          <w:kern w:val="28"/>
          <w:sz w:val="24"/>
          <w:lang w:val="es-ES_tradnl" w:eastAsia="es-ES_tradnl"/>
        </w:rPr>
        <w:t>PANAMA</w:t>
      </w:r>
    </w:p>
    <w:p w14:paraId="33BADC8D" w14:textId="011BC700" w:rsidR="00521685" w:rsidRPr="00517502" w:rsidRDefault="003665E5" w:rsidP="00521685">
      <w:pPr>
        <w:pBdr>
          <w:bottom w:val="single" w:sz="8" w:space="4" w:color="4F81BD"/>
        </w:pBdr>
        <w:spacing w:after="300"/>
        <w:contextualSpacing/>
        <w:jc w:val="right"/>
        <w:rPr>
          <w:rFonts w:eastAsia="Calibri" w:cs="Times New Roman"/>
          <w:b/>
          <w:color w:val="17365D"/>
          <w:spacing w:val="5"/>
          <w:kern w:val="28"/>
          <w:sz w:val="24"/>
          <w:lang w:val="es-ES_tradnl" w:eastAsia="es-ES_tradnl"/>
        </w:rPr>
      </w:pPr>
      <w:r w:rsidRPr="003665E5">
        <w:rPr>
          <w:rFonts w:eastAsia="Calibri" w:cs="Times New Roman"/>
          <w:b/>
          <w:color w:val="17365D"/>
          <w:spacing w:val="5"/>
          <w:kern w:val="28"/>
          <w:sz w:val="24"/>
          <w:lang w:val="es-ES_tradnl" w:eastAsia="es-ES_tradnl"/>
        </w:rPr>
        <w:t>Programa de Apoyo al Desarrollo Sostenible de los Servicios Públicos</w:t>
      </w:r>
      <w:bookmarkEnd w:id="1"/>
    </w:p>
    <w:bookmarkEnd w:id="2"/>
    <w:p w14:paraId="22ABEB8F" w14:textId="61F9D60F" w:rsidR="00521685" w:rsidRPr="00AB111A" w:rsidRDefault="00521685" w:rsidP="00521685">
      <w:pPr>
        <w:pBdr>
          <w:bottom w:val="single" w:sz="8" w:space="4" w:color="4F81BD"/>
        </w:pBdr>
        <w:spacing w:after="300"/>
        <w:contextualSpacing/>
        <w:jc w:val="right"/>
        <w:rPr>
          <w:rFonts w:eastAsia="Calibri" w:cs="Times New Roman"/>
          <w:color w:val="17365D"/>
          <w:spacing w:val="5"/>
          <w:kern w:val="28"/>
          <w:sz w:val="24"/>
          <w:lang w:val="es-US" w:eastAsia="es-ES_tradnl"/>
        </w:rPr>
      </w:pPr>
      <w:r w:rsidRPr="0073184D">
        <w:rPr>
          <w:rFonts w:eastAsia="Calibri" w:cs="Times New Roman"/>
          <w:color w:val="17365D"/>
          <w:spacing w:val="5"/>
          <w:kern w:val="28"/>
          <w:sz w:val="26"/>
          <w:lang w:val="es-ES_tradnl" w:eastAsia="es-ES_tradnl"/>
        </w:rPr>
        <w:t xml:space="preserve"> </w:t>
      </w:r>
      <w:r w:rsidRPr="00AB111A">
        <w:rPr>
          <w:rFonts w:eastAsia="Calibri" w:cs="Times New Roman"/>
          <w:color w:val="17365D"/>
          <w:spacing w:val="5"/>
          <w:kern w:val="28"/>
          <w:sz w:val="24"/>
          <w:lang w:val="es-US" w:eastAsia="es-ES_tradnl"/>
        </w:rPr>
        <w:t xml:space="preserve">Anexo Técnico </w:t>
      </w:r>
      <w:r w:rsidR="003665E5" w:rsidRPr="00AB111A">
        <w:rPr>
          <w:rFonts w:eastAsia="Calibri" w:cs="Times New Roman"/>
          <w:color w:val="17365D"/>
          <w:spacing w:val="5"/>
          <w:kern w:val="28"/>
          <w:sz w:val="24"/>
          <w:lang w:val="es-US" w:eastAsia="es-ES_tradnl"/>
        </w:rPr>
        <w:t>P</w:t>
      </w:r>
      <w:r w:rsidR="003C61C9" w:rsidRPr="00AB111A">
        <w:rPr>
          <w:rFonts w:eastAsia="Calibri" w:cs="Times New Roman"/>
          <w:color w:val="17365D"/>
          <w:spacing w:val="5"/>
          <w:kern w:val="28"/>
          <w:sz w:val="24"/>
          <w:lang w:val="es-US" w:eastAsia="es-ES_tradnl"/>
        </w:rPr>
        <w:t>N-</w:t>
      </w:r>
      <w:r w:rsidR="003665E5" w:rsidRPr="00AB111A">
        <w:rPr>
          <w:rFonts w:eastAsia="Calibri" w:cs="Times New Roman"/>
          <w:color w:val="17365D"/>
          <w:spacing w:val="5"/>
          <w:kern w:val="28"/>
          <w:sz w:val="24"/>
          <w:lang w:val="es-US" w:eastAsia="es-ES_tradnl"/>
        </w:rPr>
        <w:t>L1145</w:t>
      </w:r>
    </w:p>
    <w:p w14:paraId="38789ABA" w14:textId="77777777" w:rsidR="00521685" w:rsidRPr="00517502" w:rsidRDefault="00521685" w:rsidP="00521685">
      <w:pPr>
        <w:pBdr>
          <w:bottom w:val="single" w:sz="8" w:space="4" w:color="4F81BD"/>
        </w:pBdr>
        <w:spacing w:after="300"/>
        <w:contextualSpacing/>
        <w:jc w:val="right"/>
        <w:rPr>
          <w:rFonts w:eastAsia="Calibri" w:cs="Times New Roman"/>
          <w:color w:val="17365D"/>
          <w:spacing w:val="5"/>
          <w:kern w:val="28"/>
          <w:sz w:val="24"/>
          <w:lang w:val="es-ES_tradnl" w:eastAsia="es-ES_tradnl"/>
        </w:rPr>
      </w:pPr>
      <w:r w:rsidRPr="00517502">
        <w:rPr>
          <w:rFonts w:eastAsia="Calibri" w:cs="Times New Roman"/>
          <w:color w:val="17365D"/>
          <w:spacing w:val="5"/>
          <w:kern w:val="28"/>
          <w:sz w:val="24"/>
          <w:lang w:val="es-ES_tradnl" w:eastAsia="es-ES_tradnl"/>
        </w:rPr>
        <w:t xml:space="preserve">Integración Regional </w:t>
      </w:r>
    </w:p>
    <w:p w14:paraId="05D499E1" w14:textId="77777777" w:rsidR="00521685" w:rsidRPr="00064C3F" w:rsidRDefault="00521685" w:rsidP="00521685">
      <w:pPr>
        <w:ind w:left="720"/>
        <w:contextualSpacing/>
        <w:jc w:val="both"/>
        <w:rPr>
          <w:rFonts w:ascii="Arial" w:eastAsia="Calibri" w:hAnsi="Arial" w:cs="Arial"/>
          <w:lang w:val="es-ES_tradnl"/>
        </w:rPr>
      </w:pPr>
    </w:p>
    <w:p w14:paraId="48200B14" w14:textId="77777777" w:rsidR="00521685" w:rsidRPr="00064C3F" w:rsidRDefault="00521685" w:rsidP="00521685">
      <w:pPr>
        <w:ind w:left="720"/>
        <w:contextualSpacing/>
        <w:jc w:val="both"/>
        <w:rPr>
          <w:rFonts w:ascii="Arial" w:eastAsia="Calibri" w:hAnsi="Arial" w:cs="Arial"/>
          <w:lang w:val="es-ES_tradnl"/>
        </w:rPr>
      </w:pPr>
    </w:p>
    <w:p w14:paraId="1055DCE7" w14:textId="77777777" w:rsidR="00521685" w:rsidRPr="00064C3F" w:rsidRDefault="00521685" w:rsidP="00521685">
      <w:pPr>
        <w:keepNext/>
        <w:keepLines/>
        <w:numPr>
          <w:ilvl w:val="0"/>
          <w:numId w:val="2"/>
        </w:numPr>
        <w:spacing w:before="120" w:after="120" w:line="240" w:lineRule="auto"/>
        <w:ind w:left="450" w:hanging="450"/>
        <w:outlineLvl w:val="1"/>
        <w:rPr>
          <w:rFonts w:ascii="Arial" w:eastAsia="MS Gothic" w:hAnsi="Arial" w:cs="Arial"/>
          <w:b/>
          <w:bCs/>
          <w:color w:val="4F81BD"/>
          <w:lang w:val="es-ES_tradnl"/>
        </w:rPr>
      </w:pPr>
      <w:r w:rsidRPr="00064C3F">
        <w:rPr>
          <w:rFonts w:ascii="Arial" w:eastAsia="MS Gothic" w:hAnsi="Arial" w:cs="Arial"/>
          <w:b/>
          <w:bCs/>
          <w:color w:val="4F81BD"/>
          <w:lang w:val="es-ES_tradnl"/>
        </w:rPr>
        <w:t>Resumen Ejecutivo</w:t>
      </w:r>
    </w:p>
    <w:p w14:paraId="49084D34" w14:textId="1A7F3D74" w:rsidR="00521685" w:rsidRPr="00064C3F" w:rsidRDefault="003665E5" w:rsidP="004E3C6B">
      <w:pPr>
        <w:numPr>
          <w:ilvl w:val="1"/>
          <w:numId w:val="2"/>
        </w:numPr>
        <w:autoSpaceDE w:val="0"/>
        <w:autoSpaceDN w:val="0"/>
        <w:adjustRightInd w:val="0"/>
        <w:spacing w:before="120" w:after="120" w:line="240" w:lineRule="auto"/>
        <w:ind w:left="547" w:hanging="547"/>
        <w:jc w:val="both"/>
        <w:rPr>
          <w:rFonts w:ascii="Arial" w:eastAsia="MS Mincho" w:hAnsi="Arial" w:cs="Arial"/>
          <w:bCs/>
          <w:lang w:val="es-ES_tradnl" w:eastAsia="ja-JP"/>
        </w:rPr>
      </w:pPr>
      <w:r w:rsidRPr="00064C3F">
        <w:rPr>
          <w:rFonts w:ascii="Arial" w:eastAsia="MS Mincho" w:hAnsi="Arial" w:cs="Arial"/>
          <w:bCs/>
          <w:lang w:val="es-ES_tradnl" w:eastAsia="ja-JP"/>
        </w:rPr>
        <w:t xml:space="preserve">El </w:t>
      </w:r>
      <w:r w:rsidRPr="00064C3F">
        <w:rPr>
          <w:rFonts w:ascii="Arial" w:eastAsia="MS Mincho" w:hAnsi="Arial" w:cs="Arial"/>
          <w:b/>
          <w:bCs/>
          <w:lang w:val="es-ES_tradnl" w:eastAsia="ja-JP"/>
        </w:rPr>
        <w:t>Programa de Apoyo al Desarrollo Sostenible de los Servicios Públicos</w:t>
      </w:r>
      <w:r w:rsidRPr="00064C3F">
        <w:rPr>
          <w:rFonts w:ascii="Arial" w:eastAsia="MS Mincho" w:hAnsi="Arial" w:cs="Arial"/>
          <w:bCs/>
          <w:lang w:val="es-ES_tradnl" w:eastAsia="ja-JP"/>
        </w:rPr>
        <w:t xml:space="preserve"> es </w:t>
      </w:r>
      <w:r w:rsidR="0032594F">
        <w:rPr>
          <w:rFonts w:ascii="Arial" w:eastAsia="MS Mincho" w:hAnsi="Arial" w:cs="Arial"/>
          <w:bCs/>
          <w:lang w:val="es-ES_tradnl" w:eastAsia="ja-JP"/>
        </w:rPr>
        <w:t>l</w:t>
      </w:r>
      <w:r w:rsidR="0032594F" w:rsidRPr="0032594F">
        <w:rPr>
          <w:rFonts w:ascii="Arial" w:eastAsia="MS Mincho" w:hAnsi="Arial" w:cs="Arial"/>
          <w:bCs/>
          <w:lang w:val="es-ES_tradnl" w:eastAsia="ja-JP"/>
        </w:rPr>
        <w:t>a primera de dos</w:t>
      </w:r>
      <w:r w:rsidR="0032594F">
        <w:rPr>
          <w:rFonts w:ascii="Arial" w:eastAsia="MS Mincho" w:hAnsi="Arial" w:cs="Arial"/>
          <w:bCs/>
          <w:lang w:val="es-ES_tradnl" w:eastAsia="ja-JP"/>
        </w:rPr>
        <w:t xml:space="preserve"> operaciones</w:t>
      </w:r>
      <w:r w:rsidR="0032594F" w:rsidRPr="0032594F">
        <w:rPr>
          <w:rFonts w:ascii="Arial" w:eastAsia="MS Mincho" w:hAnsi="Arial" w:cs="Arial"/>
          <w:bCs/>
          <w:lang w:val="es-ES_tradnl" w:eastAsia="ja-JP"/>
        </w:rPr>
        <w:t xml:space="preserve"> consecutivas de un solo desembolso cada una, vinculadas técnicamente entre sí, pero financiadas en forma independiente bajo la modalidad de Préstamo Programático de Apo</w:t>
      </w:r>
      <w:r w:rsidR="0032594F">
        <w:rPr>
          <w:rFonts w:ascii="Arial" w:eastAsia="MS Mincho" w:hAnsi="Arial" w:cs="Arial"/>
          <w:bCs/>
          <w:lang w:val="es-ES_tradnl" w:eastAsia="ja-JP"/>
        </w:rPr>
        <w:t>yo a Reformas de Política (PBP)</w:t>
      </w:r>
      <w:r w:rsidR="00521685" w:rsidRPr="00064C3F">
        <w:rPr>
          <w:rFonts w:ascii="Arial" w:eastAsia="MS Mincho" w:hAnsi="Arial" w:cs="Arial"/>
          <w:bCs/>
          <w:lang w:val="es-ES_tradnl" w:eastAsia="ja-JP"/>
        </w:rPr>
        <w:t>.</w:t>
      </w:r>
    </w:p>
    <w:p w14:paraId="23ECAD2B" w14:textId="79F3F729" w:rsidR="009346B4" w:rsidRDefault="003665E5" w:rsidP="0066176B">
      <w:pPr>
        <w:numPr>
          <w:ilvl w:val="1"/>
          <w:numId w:val="2"/>
        </w:numPr>
        <w:autoSpaceDE w:val="0"/>
        <w:autoSpaceDN w:val="0"/>
        <w:adjustRightInd w:val="0"/>
        <w:spacing w:before="120" w:after="120" w:line="240" w:lineRule="auto"/>
        <w:ind w:left="547" w:hanging="547"/>
        <w:jc w:val="both"/>
        <w:rPr>
          <w:rFonts w:ascii="Arial" w:eastAsia="MS Mincho" w:hAnsi="Arial" w:cs="Arial"/>
          <w:bCs/>
          <w:lang w:val="es-ES_tradnl" w:eastAsia="ja-JP"/>
        </w:rPr>
      </w:pPr>
      <w:r w:rsidRPr="00A71DC0">
        <w:rPr>
          <w:rFonts w:ascii="Arial" w:eastAsia="MS Mincho" w:hAnsi="Arial" w:cs="Arial"/>
          <w:bCs/>
          <w:lang w:val="es-ES_tradnl" w:eastAsia="ja-JP"/>
        </w:rPr>
        <w:t xml:space="preserve">El programa contribuye a la integración regional competitiva bajo los criterios indicativos de: (i) </w:t>
      </w:r>
      <w:r w:rsidRPr="00A71DC0">
        <w:rPr>
          <w:rFonts w:ascii="Arial" w:eastAsia="MS Mincho" w:hAnsi="Arial" w:cs="Arial"/>
          <w:b/>
          <w:bCs/>
          <w:i/>
          <w:lang w:val="es-ES_tradnl" w:eastAsia="ja-JP"/>
        </w:rPr>
        <w:t>Focalización multinacional</w:t>
      </w:r>
      <w:r w:rsidR="003627B7">
        <w:rPr>
          <w:rStyle w:val="FootnoteReference"/>
          <w:rFonts w:ascii="Arial" w:eastAsia="MS Mincho" w:hAnsi="Arial" w:cs="Arial"/>
          <w:b/>
          <w:bCs/>
          <w:i/>
          <w:lang w:val="es-ES_tradnl" w:eastAsia="ja-JP"/>
        </w:rPr>
        <w:footnoteReference w:id="1"/>
      </w:r>
      <w:r w:rsidRPr="00A71DC0">
        <w:rPr>
          <w:rFonts w:ascii="Arial" w:eastAsia="MS Mincho" w:hAnsi="Arial" w:cs="Arial"/>
          <w:bCs/>
          <w:lang w:val="es-ES_tradnl" w:eastAsia="ja-JP"/>
        </w:rPr>
        <w:t>,</w:t>
      </w:r>
      <w:r w:rsidR="003627B7">
        <w:rPr>
          <w:rFonts w:ascii="Arial" w:eastAsia="MS Mincho" w:hAnsi="Arial" w:cs="Arial"/>
          <w:bCs/>
          <w:i/>
          <w:lang w:val="es-ES_tradnl" w:eastAsia="ja-JP"/>
        </w:rPr>
        <w:t xml:space="preserve"> </w:t>
      </w:r>
      <w:r w:rsidRPr="00A71DC0">
        <w:rPr>
          <w:rFonts w:ascii="Arial" w:eastAsia="MS Mincho" w:hAnsi="Arial" w:cs="Arial"/>
          <w:bCs/>
          <w:lang w:val="es-ES_tradnl" w:eastAsia="ja-JP"/>
        </w:rPr>
        <w:t xml:space="preserve">debido a que el Subprograma 2 considera medidas de política que promueven la integración del sector eléctrico </w:t>
      </w:r>
      <w:r w:rsidR="00064C3F" w:rsidRPr="00A71DC0">
        <w:rPr>
          <w:rFonts w:ascii="Arial" w:eastAsia="MS Mincho" w:hAnsi="Arial" w:cs="Arial"/>
          <w:bCs/>
          <w:lang w:val="es-ES_tradnl" w:eastAsia="ja-JP"/>
        </w:rPr>
        <w:t>panameño</w:t>
      </w:r>
      <w:r w:rsidR="008867AA" w:rsidRPr="00A71DC0">
        <w:rPr>
          <w:rFonts w:ascii="Arial" w:eastAsia="MS Mincho" w:hAnsi="Arial" w:cs="Arial"/>
          <w:bCs/>
          <w:lang w:val="es-ES_tradnl" w:eastAsia="ja-JP"/>
        </w:rPr>
        <w:t>,</w:t>
      </w:r>
      <w:r w:rsidRPr="00A71DC0">
        <w:rPr>
          <w:rFonts w:ascii="Arial" w:eastAsia="MS Mincho" w:hAnsi="Arial" w:cs="Arial"/>
          <w:bCs/>
          <w:lang w:val="es-ES_tradnl" w:eastAsia="ja-JP"/>
        </w:rPr>
        <w:t xml:space="preserve"> con impactos transfronterizos</w:t>
      </w:r>
      <w:r w:rsidR="003627B7" w:rsidRPr="003627B7">
        <w:rPr>
          <w:rFonts w:ascii="Arial" w:eastAsia="MS Mincho" w:hAnsi="Arial" w:cs="Arial"/>
          <w:bCs/>
          <w:lang w:val="es-ES_tradnl" w:eastAsia="ja-JP"/>
        </w:rPr>
        <w:t xml:space="preserve"> </w:t>
      </w:r>
      <w:r w:rsidR="003627B7">
        <w:rPr>
          <w:rFonts w:ascii="Arial" w:eastAsia="MS Mincho" w:hAnsi="Arial" w:cs="Arial"/>
          <w:bCs/>
          <w:lang w:val="es-ES_tradnl" w:eastAsia="ja-JP"/>
        </w:rPr>
        <w:t xml:space="preserve">en el marco del </w:t>
      </w:r>
      <w:r w:rsidR="003627B7" w:rsidRPr="008867AA">
        <w:rPr>
          <w:rFonts w:ascii="Arial" w:eastAsia="MS Mincho" w:hAnsi="Arial" w:cs="Arial"/>
          <w:bCs/>
          <w:lang w:val="es-ES_tradnl" w:eastAsia="ja-JP"/>
        </w:rPr>
        <w:t xml:space="preserve">Sistema de Interconexión Eléctrica para los países de América Central </w:t>
      </w:r>
      <w:r w:rsidR="00064C3F" w:rsidRPr="00A71DC0">
        <w:rPr>
          <w:rFonts w:ascii="Arial" w:eastAsia="MS Mincho" w:hAnsi="Arial" w:cs="Arial"/>
          <w:bCs/>
          <w:lang w:val="es-ES_tradnl" w:eastAsia="ja-JP"/>
        </w:rPr>
        <w:t>(SIEPAC</w:t>
      </w:r>
      <w:r w:rsidRPr="000A0694">
        <w:rPr>
          <w:rFonts w:ascii="Arial" w:eastAsia="MS Mincho" w:hAnsi="Arial" w:cs="Arial"/>
          <w:bCs/>
          <w:lang w:val="es-ES_tradnl" w:eastAsia="ja-JP"/>
        </w:rPr>
        <w:t xml:space="preserve">). Se espera que el programa contribuya al incremento de los intercambios de energía </w:t>
      </w:r>
      <w:r w:rsidR="00064C3F" w:rsidRPr="000A0694">
        <w:rPr>
          <w:rFonts w:ascii="Arial" w:eastAsia="MS Mincho" w:hAnsi="Arial" w:cs="Arial"/>
          <w:bCs/>
          <w:lang w:val="es-ES_tradnl" w:eastAsia="ja-JP"/>
        </w:rPr>
        <w:t xml:space="preserve">eléctrica </w:t>
      </w:r>
      <w:r w:rsidR="003627B7">
        <w:rPr>
          <w:rFonts w:ascii="Arial" w:eastAsia="MS Mincho" w:hAnsi="Arial" w:cs="Arial"/>
          <w:bCs/>
          <w:lang w:val="es-ES_tradnl" w:eastAsia="ja-JP"/>
        </w:rPr>
        <w:t>entre los países del SIEPAC</w:t>
      </w:r>
      <w:r w:rsidR="00064C3F" w:rsidRPr="000A0694">
        <w:rPr>
          <w:rFonts w:ascii="Arial" w:eastAsia="MS Mincho" w:hAnsi="Arial" w:cs="Arial"/>
          <w:bCs/>
          <w:lang w:val="es-ES_tradnl" w:eastAsia="ja-JP"/>
        </w:rPr>
        <w:t xml:space="preserve"> </w:t>
      </w:r>
      <w:r w:rsidRPr="000A0694">
        <w:rPr>
          <w:rFonts w:ascii="Arial" w:eastAsia="MS Mincho" w:hAnsi="Arial" w:cs="Arial"/>
          <w:bCs/>
          <w:lang w:val="es-ES_tradnl" w:eastAsia="ja-JP"/>
        </w:rPr>
        <w:t>al 2020, de acuerdo a lo indicado en la Matriz de Resultados</w:t>
      </w:r>
      <w:r w:rsidR="009346B4" w:rsidRPr="000A0694">
        <w:rPr>
          <w:rFonts w:ascii="Arial" w:eastAsia="MS Mincho" w:hAnsi="Arial" w:cs="Arial"/>
          <w:bCs/>
          <w:lang w:val="es-ES_tradnl" w:eastAsia="ja-JP"/>
        </w:rPr>
        <w:t xml:space="preserve">; y (ii) </w:t>
      </w:r>
      <w:r w:rsidR="009346B4" w:rsidRPr="000A0694">
        <w:rPr>
          <w:rFonts w:ascii="Arial" w:eastAsia="MS Mincho" w:hAnsi="Arial" w:cs="Arial"/>
          <w:b/>
          <w:bCs/>
          <w:i/>
          <w:lang w:val="es-ES_tradnl" w:eastAsia="ja-JP"/>
        </w:rPr>
        <w:t>Adicionalidad regional</w:t>
      </w:r>
      <w:r w:rsidR="003627B7">
        <w:rPr>
          <w:rStyle w:val="FootnoteReference"/>
          <w:rFonts w:ascii="Arial" w:eastAsia="MS Mincho" w:hAnsi="Arial" w:cs="Arial"/>
          <w:b/>
          <w:bCs/>
          <w:i/>
          <w:lang w:val="es-ES_tradnl" w:eastAsia="ja-JP"/>
        </w:rPr>
        <w:footnoteReference w:id="2"/>
      </w:r>
      <w:r w:rsidR="009346B4" w:rsidRPr="000A0694">
        <w:rPr>
          <w:rFonts w:ascii="Arial" w:eastAsia="MS Mincho" w:hAnsi="Arial" w:cs="Arial"/>
          <w:bCs/>
          <w:lang w:val="es-ES_tradnl" w:eastAsia="ja-JP"/>
        </w:rPr>
        <w:t xml:space="preserve">, pues incorpora objetivos internacionales y/o de cooperación regional </w:t>
      </w:r>
      <w:r w:rsidR="003627B7">
        <w:rPr>
          <w:rFonts w:ascii="Arial" w:eastAsia="MS Mincho" w:hAnsi="Arial" w:cs="Arial"/>
          <w:bCs/>
          <w:lang w:val="es-ES_tradnl" w:eastAsia="ja-JP"/>
        </w:rPr>
        <w:t>asociados a</w:t>
      </w:r>
      <w:r w:rsidR="00EB7667">
        <w:rPr>
          <w:rFonts w:ascii="Arial" w:eastAsia="MS Mincho" w:hAnsi="Arial" w:cs="Arial"/>
          <w:bCs/>
          <w:lang w:val="es-ES_tradnl" w:eastAsia="ja-JP"/>
        </w:rPr>
        <w:t xml:space="preserve"> incrementar</w:t>
      </w:r>
      <w:r w:rsidR="003627B7">
        <w:rPr>
          <w:rFonts w:ascii="Arial" w:eastAsia="MS Mincho" w:hAnsi="Arial" w:cs="Arial"/>
          <w:bCs/>
          <w:lang w:val="es-ES_tradnl" w:eastAsia="ja-JP"/>
        </w:rPr>
        <w:t xml:space="preserve"> la capacidad </w:t>
      </w:r>
      <w:r w:rsidR="00EB7667">
        <w:rPr>
          <w:rFonts w:ascii="Arial" w:eastAsia="MS Mincho" w:hAnsi="Arial" w:cs="Arial"/>
          <w:bCs/>
          <w:lang w:val="es-ES_tradnl" w:eastAsia="ja-JP"/>
        </w:rPr>
        <w:t xml:space="preserve">efectiva del SIEPAC </w:t>
      </w:r>
      <w:r w:rsidR="003627B7">
        <w:rPr>
          <w:rFonts w:ascii="Arial" w:eastAsia="MS Mincho" w:hAnsi="Arial" w:cs="Arial"/>
          <w:bCs/>
          <w:lang w:val="es-ES_tradnl" w:eastAsia="ja-JP"/>
        </w:rPr>
        <w:t>para llevar a cabo intercambios de energía</w:t>
      </w:r>
      <w:r w:rsidR="009346B4" w:rsidRPr="000A0694">
        <w:rPr>
          <w:rFonts w:ascii="Arial" w:eastAsia="MS Mincho" w:hAnsi="Arial" w:cs="Arial"/>
          <w:bCs/>
          <w:lang w:val="es-ES_tradnl" w:eastAsia="ja-JP"/>
        </w:rPr>
        <w:t>. Es decir, el alcance de la operación apoya de manera simultánea a un grupo de países que promueven el mercado eléctrico regional al reducir los cuellos de botella que permiten recuperar la capacidad de transporte del SIEPAC.</w:t>
      </w:r>
    </w:p>
    <w:p w14:paraId="349A4FBA" w14:textId="60D15E8C" w:rsidR="00AC16E6" w:rsidRPr="00AC16E6" w:rsidRDefault="00AC16E6" w:rsidP="0066176B">
      <w:pPr>
        <w:numPr>
          <w:ilvl w:val="1"/>
          <w:numId w:val="2"/>
        </w:numPr>
        <w:autoSpaceDE w:val="0"/>
        <w:autoSpaceDN w:val="0"/>
        <w:adjustRightInd w:val="0"/>
        <w:spacing w:before="120" w:after="120" w:line="240" w:lineRule="auto"/>
        <w:ind w:left="547" w:hanging="547"/>
        <w:jc w:val="both"/>
        <w:rPr>
          <w:rFonts w:ascii="Arial" w:eastAsia="MS Mincho" w:hAnsi="Arial" w:cs="Arial"/>
          <w:bCs/>
          <w:lang w:val="es-ES_tradnl" w:eastAsia="ja-JP"/>
        </w:rPr>
      </w:pPr>
      <w:r>
        <w:rPr>
          <w:rFonts w:ascii="Arial" w:eastAsia="MS Mincho" w:hAnsi="Arial" w:cs="Arial"/>
          <w:bCs/>
          <w:lang w:val="es-ES_tradnl" w:eastAsia="ja-JP"/>
        </w:rPr>
        <w:t xml:space="preserve">El programa está alineado estratégicamente con el </w:t>
      </w:r>
      <w:r w:rsidRPr="008237D3">
        <w:rPr>
          <w:rFonts w:ascii="Arial" w:eastAsia="MS Mincho" w:hAnsi="Arial" w:cs="Arial"/>
          <w:b/>
          <w:bCs/>
          <w:i/>
          <w:lang w:val="es-ES_tradnl" w:eastAsia="ja-JP"/>
        </w:rPr>
        <w:t>Desafío Regional de Integración Económica</w:t>
      </w:r>
      <w:r>
        <w:rPr>
          <w:rFonts w:ascii="Arial" w:eastAsia="MS Mincho" w:hAnsi="Arial" w:cs="Arial"/>
          <w:bCs/>
          <w:lang w:val="es-ES_tradnl" w:eastAsia="ja-JP"/>
        </w:rPr>
        <w:t xml:space="preserve"> al incluir en su lógica vertical el objetivo de </w:t>
      </w:r>
      <w:r w:rsidRPr="008237D3">
        <w:rPr>
          <w:rFonts w:ascii="Arial" w:eastAsia="MS Mincho" w:hAnsi="Arial" w:cs="Arial"/>
          <w:b/>
          <w:bCs/>
          <w:i/>
          <w:lang w:val="es-ES_tradnl" w:eastAsia="ja-JP"/>
        </w:rPr>
        <w:t>Mejorar la infraestructura regional para promover una mayor conectividad transfronteriza</w:t>
      </w:r>
      <w:r>
        <w:rPr>
          <w:rFonts w:ascii="Arial" w:eastAsia="MS Mincho" w:hAnsi="Arial" w:cs="Arial"/>
          <w:bCs/>
          <w:lang w:val="es-ES_tradnl" w:eastAsia="ja-JP"/>
        </w:rPr>
        <w:t xml:space="preserve">. La Matriz de Resultados plasma esta lógica a través de los indicadores establecidos para los Programáticos I y II. El Programático I tiene como resultado esperado la construcción de infraestructura nacional que incrementa la capacidad de transmisión regional </w:t>
      </w:r>
      <w:r w:rsidR="001B609D">
        <w:rPr>
          <w:rFonts w:ascii="Arial" w:eastAsia="MS Mincho" w:hAnsi="Arial" w:cs="Arial"/>
          <w:bCs/>
          <w:lang w:val="es-ES_tradnl" w:eastAsia="ja-JP"/>
        </w:rPr>
        <w:t xml:space="preserve">y por ende los intercambios de energía </w:t>
      </w:r>
      <w:r>
        <w:rPr>
          <w:rFonts w:ascii="Arial" w:eastAsia="MS Mincho" w:hAnsi="Arial" w:cs="Arial"/>
          <w:bCs/>
          <w:lang w:val="es-ES_tradnl" w:eastAsia="ja-JP"/>
        </w:rPr>
        <w:t xml:space="preserve">promoviendo una mayor conectividad transfronteriza en el marco del SIEPAC. </w:t>
      </w:r>
      <w:r w:rsidR="001B609D">
        <w:rPr>
          <w:rFonts w:ascii="Arial" w:eastAsia="MS Mincho" w:hAnsi="Arial" w:cs="Arial"/>
          <w:bCs/>
          <w:lang w:val="es-ES_tradnl" w:eastAsia="ja-JP"/>
        </w:rPr>
        <w:t>El Programático II tiene como resultado esperado</w:t>
      </w:r>
      <w:r w:rsidR="001B609D" w:rsidRPr="001B609D">
        <w:rPr>
          <w:rFonts w:ascii="Arial" w:eastAsia="MS Mincho" w:hAnsi="Arial" w:cs="Arial"/>
          <w:bCs/>
          <w:lang w:val="es-ES_tradnl" w:eastAsia="ja-JP"/>
        </w:rPr>
        <w:t xml:space="preserve"> </w:t>
      </w:r>
      <w:r w:rsidR="001B609D">
        <w:rPr>
          <w:rFonts w:ascii="Arial" w:eastAsia="MS Mincho" w:hAnsi="Arial" w:cs="Arial"/>
          <w:bCs/>
          <w:lang w:val="es-ES_tradnl" w:eastAsia="ja-JP"/>
        </w:rPr>
        <w:t>la definición del e</w:t>
      </w:r>
      <w:r w:rsidR="001B609D" w:rsidRPr="0055427E">
        <w:rPr>
          <w:rFonts w:ascii="Arial" w:eastAsia="MS Mincho" w:hAnsi="Arial" w:cs="Arial"/>
          <w:bCs/>
          <w:lang w:val="es-ES_tradnl" w:eastAsia="ja-JP"/>
        </w:rPr>
        <w:t>squema financiero e institucional que le permita al país acceder al financiamiento y ejecución de la IV Línea de Transmisión</w:t>
      </w:r>
      <w:r w:rsidR="001B609D">
        <w:rPr>
          <w:rFonts w:ascii="Arial" w:eastAsia="MS Mincho" w:hAnsi="Arial" w:cs="Arial"/>
          <w:bCs/>
          <w:lang w:val="es-ES_tradnl" w:eastAsia="ja-JP"/>
        </w:rPr>
        <w:t xml:space="preserve">, así como la aprobación del </w:t>
      </w:r>
      <w:r w:rsidR="001B609D" w:rsidRPr="0055427E">
        <w:rPr>
          <w:rFonts w:ascii="Arial" w:eastAsia="MS Mincho" w:hAnsi="Arial" w:cs="Arial"/>
          <w:bCs/>
          <w:lang w:val="es-ES_tradnl" w:eastAsia="ja-JP"/>
        </w:rPr>
        <w:t>Nuevo Plan de Expansión de la Transmisión Eléctrica</w:t>
      </w:r>
      <w:r w:rsidR="001B609D">
        <w:rPr>
          <w:rFonts w:ascii="Arial" w:eastAsia="MS Mincho" w:hAnsi="Arial" w:cs="Arial"/>
          <w:bCs/>
          <w:lang w:val="es-ES_tradnl" w:eastAsia="ja-JP"/>
        </w:rPr>
        <w:t>.</w:t>
      </w:r>
    </w:p>
    <w:p w14:paraId="3BE58DD2" w14:textId="77777777" w:rsidR="00AC16E6" w:rsidRPr="00A71DC0" w:rsidRDefault="00AC16E6" w:rsidP="0066176B">
      <w:pPr>
        <w:autoSpaceDE w:val="0"/>
        <w:autoSpaceDN w:val="0"/>
        <w:adjustRightInd w:val="0"/>
        <w:spacing w:before="120" w:after="120" w:line="240" w:lineRule="auto"/>
        <w:ind w:left="547"/>
        <w:jc w:val="both"/>
        <w:rPr>
          <w:rFonts w:ascii="Arial" w:eastAsia="MS Mincho" w:hAnsi="Arial" w:cs="Arial"/>
          <w:bCs/>
          <w:lang w:val="es-ES_tradnl" w:eastAsia="ja-JP"/>
        </w:rPr>
      </w:pPr>
    </w:p>
    <w:p w14:paraId="5E739416" w14:textId="77777777" w:rsidR="00521685" w:rsidRPr="008867AA" w:rsidRDefault="00521685" w:rsidP="00521685">
      <w:pPr>
        <w:keepNext/>
        <w:keepLines/>
        <w:numPr>
          <w:ilvl w:val="0"/>
          <w:numId w:val="2"/>
        </w:numPr>
        <w:spacing w:before="120" w:after="120" w:line="240" w:lineRule="auto"/>
        <w:ind w:left="450" w:hanging="450"/>
        <w:outlineLvl w:val="1"/>
        <w:rPr>
          <w:rFonts w:ascii="Arial" w:eastAsia="MS Gothic" w:hAnsi="Arial" w:cs="Arial"/>
          <w:b/>
          <w:bCs/>
          <w:color w:val="4F81BD"/>
          <w:lang w:val="es-ES_tradnl"/>
        </w:rPr>
      </w:pPr>
      <w:r w:rsidRPr="008867AA">
        <w:rPr>
          <w:rFonts w:ascii="Arial" w:eastAsia="MS Gothic" w:hAnsi="Arial" w:cs="Arial"/>
          <w:b/>
          <w:bCs/>
          <w:color w:val="4F81BD"/>
          <w:lang w:val="es-ES_tradnl"/>
        </w:rPr>
        <w:t>Introducción</w:t>
      </w:r>
    </w:p>
    <w:p w14:paraId="1304FCA4" w14:textId="2C182FBB" w:rsidR="00521685" w:rsidRPr="008867AA" w:rsidRDefault="00521685" w:rsidP="00521685">
      <w:pPr>
        <w:numPr>
          <w:ilvl w:val="1"/>
          <w:numId w:val="2"/>
        </w:numPr>
        <w:autoSpaceDE w:val="0"/>
        <w:autoSpaceDN w:val="0"/>
        <w:adjustRightInd w:val="0"/>
        <w:spacing w:before="120" w:after="120" w:line="240" w:lineRule="auto"/>
        <w:ind w:left="547" w:hanging="547"/>
        <w:jc w:val="both"/>
        <w:rPr>
          <w:rFonts w:ascii="Arial" w:eastAsia="MS Mincho" w:hAnsi="Arial" w:cs="Arial"/>
          <w:bCs/>
          <w:lang w:val="es-ES_tradnl" w:eastAsia="ja-JP"/>
        </w:rPr>
      </w:pPr>
      <w:r w:rsidRPr="008867AA">
        <w:rPr>
          <w:rFonts w:ascii="Arial" w:eastAsia="MS Mincho" w:hAnsi="Arial" w:cs="Arial"/>
          <w:bCs/>
          <w:lang w:val="es-ES_tradnl" w:eastAsia="ja-JP"/>
        </w:rPr>
        <w:t xml:space="preserve">En el marco de la estrategia sectorial del BID, que apoya la Competitividad Global y Regional para la Integración (GN-2565-4), el presente anexo explica los argumentos técnicos por los cuales el </w:t>
      </w:r>
      <w:r w:rsidR="008867AA" w:rsidRPr="008867AA">
        <w:rPr>
          <w:rFonts w:ascii="Arial" w:eastAsia="MS Mincho" w:hAnsi="Arial" w:cs="Arial"/>
          <w:b/>
          <w:bCs/>
          <w:lang w:val="es-ES_tradnl" w:eastAsia="ja-JP"/>
        </w:rPr>
        <w:t>Programa de Apoyo al Desarrollo Sostenible de los Servicios Públicos</w:t>
      </w:r>
      <w:r w:rsidR="008867AA" w:rsidRPr="008867AA">
        <w:rPr>
          <w:rFonts w:ascii="Arial" w:eastAsia="MS Mincho" w:hAnsi="Arial" w:cs="Arial"/>
          <w:bCs/>
          <w:lang w:val="es-ES_tradnl" w:eastAsia="ja-JP"/>
        </w:rPr>
        <w:t xml:space="preserve"> </w:t>
      </w:r>
      <w:r w:rsidRPr="008867AA">
        <w:rPr>
          <w:rFonts w:ascii="Arial" w:eastAsia="MS Mincho" w:hAnsi="Arial" w:cs="Arial"/>
          <w:bCs/>
          <w:lang w:val="es-ES_tradnl" w:eastAsia="ja-JP"/>
        </w:rPr>
        <w:t>se alinea estratégicamente con el Desafío Integración Económica de la Estrategia Institucional Actualizada del Banco (GN-2828).</w:t>
      </w:r>
    </w:p>
    <w:p w14:paraId="415CE197" w14:textId="33F09D8E" w:rsidR="00521685" w:rsidRPr="008867AA" w:rsidRDefault="00521685" w:rsidP="00521685">
      <w:pPr>
        <w:numPr>
          <w:ilvl w:val="1"/>
          <w:numId w:val="2"/>
        </w:numPr>
        <w:autoSpaceDE w:val="0"/>
        <w:autoSpaceDN w:val="0"/>
        <w:adjustRightInd w:val="0"/>
        <w:spacing w:before="120" w:after="120" w:line="240" w:lineRule="auto"/>
        <w:ind w:left="547" w:hanging="547"/>
        <w:jc w:val="both"/>
        <w:rPr>
          <w:rFonts w:ascii="Arial" w:eastAsia="MS Mincho" w:hAnsi="Arial" w:cs="Arial"/>
          <w:bCs/>
          <w:lang w:val="es-ES_tradnl" w:eastAsia="ja-JP"/>
        </w:rPr>
      </w:pPr>
      <w:r w:rsidRPr="008867AA">
        <w:rPr>
          <w:rFonts w:ascii="Arial" w:eastAsia="MS Mincho" w:hAnsi="Arial" w:cs="Arial"/>
          <w:bCs/>
          <w:lang w:val="es-ES_tradnl" w:eastAsia="ja-JP"/>
        </w:rPr>
        <w:lastRenderedPageBreak/>
        <w:t>El presente anexo se estructura en tres secciones: (</w:t>
      </w:r>
      <w:r w:rsidR="00D76ACD">
        <w:rPr>
          <w:rFonts w:ascii="Arial" w:eastAsia="MS Mincho" w:hAnsi="Arial" w:cs="Arial"/>
          <w:bCs/>
          <w:lang w:val="es-ES_tradnl" w:eastAsia="ja-JP"/>
        </w:rPr>
        <w:t>III</w:t>
      </w:r>
      <w:r w:rsidRPr="008867AA">
        <w:rPr>
          <w:rFonts w:ascii="Arial" w:eastAsia="MS Mincho" w:hAnsi="Arial" w:cs="Arial"/>
          <w:bCs/>
          <w:lang w:val="es-ES_tradnl" w:eastAsia="ja-JP"/>
        </w:rPr>
        <w:t>) Antecedentes del proyecto, para su análisis desde la perspectiva de integración regional; (</w:t>
      </w:r>
      <w:r w:rsidR="00D76ACD">
        <w:rPr>
          <w:rFonts w:ascii="Arial" w:eastAsia="MS Mincho" w:hAnsi="Arial" w:cs="Arial"/>
          <w:bCs/>
          <w:lang w:val="es-ES_tradnl" w:eastAsia="ja-JP"/>
        </w:rPr>
        <w:t>IV</w:t>
      </w:r>
      <w:r w:rsidRPr="008867AA">
        <w:rPr>
          <w:rFonts w:ascii="Arial" w:eastAsia="MS Mincho" w:hAnsi="Arial" w:cs="Arial"/>
          <w:bCs/>
          <w:lang w:val="es-ES_tradnl" w:eastAsia="ja-JP"/>
        </w:rPr>
        <w:t>) Aspectos considerados para la clasificación de la operación como una actuación de integración regional; (</w:t>
      </w:r>
      <w:r w:rsidR="00D76ACD">
        <w:rPr>
          <w:rFonts w:ascii="Arial" w:eastAsia="MS Mincho" w:hAnsi="Arial" w:cs="Arial"/>
          <w:bCs/>
          <w:lang w:val="es-ES_tradnl" w:eastAsia="ja-JP"/>
        </w:rPr>
        <w:t>V</w:t>
      </w:r>
      <w:r w:rsidRPr="008867AA">
        <w:rPr>
          <w:rFonts w:ascii="Arial" w:eastAsia="MS Mincho" w:hAnsi="Arial" w:cs="Arial"/>
          <w:bCs/>
          <w:lang w:val="es-ES_tradnl" w:eastAsia="ja-JP"/>
        </w:rPr>
        <w:t xml:space="preserve">) Validación de los criterios de clasificación de la operación de acuerdo a lo estipulado en los Lineamientos para la Clasificación de Prioridades en el Programa de Financiamiento, conforme las guías GN-2650 y GN-2733. </w:t>
      </w:r>
    </w:p>
    <w:p w14:paraId="7E55D7A7" w14:textId="4F79DC73" w:rsidR="00521685" w:rsidRDefault="00521685" w:rsidP="00521685">
      <w:pPr>
        <w:keepNext/>
        <w:keepLines/>
        <w:numPr>
          <w:ilvl w:val="0"/>
          <w:numId w:val="2"/>
        </w:numPr>
        <w:spacing w:before="120" w:after="120" w:line="240" w:lineRule="auto"/>
        <w:ind w:left="450" w:hanging="450"/>
        <w:outlineLvl w:val="1"/>
        <w:rPr>
          <w:rFonts w:ascii="Arial" w:eastAsia="MS Gothic" w:hAnsi="Arial" w:cs="Arial"/>
          <w:b/>
          <w:bCs/>
          <w:color w:val="4F81BD"/>
          <w:lang w:val="es-ES_tradnl"/>
        </w:rPr>
      </w:pPr>
      <w:r w:rsidRPr="008867AA">
        <w:rPr>
          <w:rFonts w:ascii="Arial" w:eastAsia="MS Gothic" w:hAnsi="Arial" w:cs="Arial"/>
          <w:b/>
          <w:bCs/>
          <w:color w:val="4F81BD"/>
          <w:lang w:val="es-ES_tradnl"/>
        </w:rPr>
        <w:t>Antecedentes del Proyecto</w:t>
      </w:r>
    </w:p>
    <w:p w14:paraId="110AFA34" w14:textId="47487785" w:rsidR="008867AA" w:rsidRDefault="008867AA" w:rsidP="008867AA">
      <w:pPr>
        <w:numPr>
          <w:ilvl w:val="1"/>
          <w:numId w:val="2"/>
        </w:numPr>
        <w:autoSpaceDE w:val="0"/>
        <w:autoSpaceDN w:val="0"/>
        <w:adjustRightInd w:val="0"/>
        <w:spacing w:before="120" w:after="120" w:line="240" w:lineRule="auto"/>
        <w:ind w:left="547" w:hanging="547"/>
        <w:jc w:val="both"/>
        <w:rPr>
          <w:rFonts w:ascii="Arial" w:eastAsia="MS Mincho" w:hAnsi="Arial" w:cs="Arial"/>
          <w:bCs/>
          <w:lang w:val="es-ES_tradnl" w:eastAsia="ja-JP"/>
        </w:rPr>
      </w:pPr>
      <w:r w:rsidRPr="008867AA">
        <w:rPr>
          <w:rFonts w:ascii="Arial" w:eastAsia="MS Mincho" w:hAnsi="Arial" w:cs="Arial"/>
          <w:bCs/>
          <w:lang w:val="es-ES_tradnl" w:eastAsia="ja-JP"/>
        </w:rPr>
        <w:t>El BID ha venido impulsando la integración eléctrica de los países centroamericanos a través de diferentes iniciativas, en especial el Proyecto del Sistema de Interconexión Eléctrica para los países de América Central (SIEPAC), el cual incluyó la creación del Mercado Eléctrico Regional (MER), sus instituciones, y la construcción y puesta en operación del primer sistema de transmisión eléctrica regional, una línea de casi 1.800km de longitud, conocida como Línea SIEPAC, con el objeto de facilitar los intercambios de electricidad entre los países de América Central</w:t>
      </w:r>
      <w:r>
        <w:rPr>
          <w:rFonts w:ascii="Arial" w:eastAsia="MS Mincho" w:hAnsi="Arial" w:cs="Arial"/>
          <w:bCs/>
          <w:lang w:val="es-ES_tradnl" w:eastAsia="ja-JP"/>
        </w:rPr>
        <w:t>.</w:t>
      </w:r>
    </w:p>
    <w:p w14:paraId="421DFBF6" w14:textId="020F0725" w:rsidR="008867AA" w:rsidRPr="00270EE4" w:rsidRDefault="008867AA" w:rsidP="008867AA">
      <w:pPr>
        <w:numPr>
          <w:ilvl w:val="1"/>
          <w:numId w:val="2"/>
        </w:numPr>
        <w:autoSpaceDE w:val="0"/>
        <w:autoSpaceDN w:val="0"/>
        <w:adjustRightInd w:val="0"/>
        <w:spacing w:before="120" w:after="120" w:line="240" w:lineRule="auto"/>
        <w:ind w:left="547" w:hanging="547"/>
        <w:jc w:val="both"/>
        <w:rPr>
          <w:rFonts w:ascii="Arial" w:eastAsia="MS Mincho" w:hAnsi="Arial" w:cs="Arial"/>
          <w:bCs/>
          <w:lang w:val="es-ES_tradnl" w:eastAsia="ja-JP"/>
        </w:rPr>
      </w:pPr>
      <w:r w:rsidRPr="008867AA">
        <w:rPr>
          <w:rFonts w:ascii="Arial" w:eastAsia="MS Mincho" w:hAnsi="Arial" w:cs="Arial"/>
          <w:bCs/>
          <w:lang w:val="es-ES" w:eastAsia="ja-JP"/>
        </w:rPr>
        <w:t xml:space="preserve">El MER está conformado por Costa Rica, El Salvador, Guatemala, Honduras, Nicaragua, y Panamá. </w:t>
      </w:r>
      <w:r w:rsidRPr="008867AA">
        <w:rPr>
          <w:rFonts w:ascii="Arial" w:eastAsia="MS Mincho" w:hAnsi="Arial" w:cs="Arial"/>
          <w:bCs/>
          <w:lang w:val="es-ES_tradnl" w:eastAsia="ja-JP"/>
        </w:rPr>
        <w:t xml:space="preserve">El MER se encuentra en pleno funcionamiento y las transacciones comerciales se han venido incrementando desde que se implementó (mostrando crecimiento de alrededor de un 355% del volumen de transacciones interanuales entre junio 2013 y diciembre 2015). </w:t>
      </w:r>
      <w:r w:rsidRPr="008867AA">
        <w:rPr>
          <w:rFonts w:ascii="Arial" w:eastAsia="MS Mincho" w:hAnsi="Arial" w:cs="Arial"/>
          <w:bCs/>
          <w:lang w:val="es-ES" w:eastAsia="ja-JP"/>
        </w:rPr>
        <w:t>Hasta ahora, Guatemala y Panamá han sido los exportadores más activos, mientras que El Salvador, y Honduras, se han destacado como los principales importadores</w:t>
      </w:r>
      <w:r>
        <w:rPr>
          <w:rFonts w:ascii="Arial" w:eastAsia="MS Mincho" w:hAnsi="Arial" w:cs="Arial"/>
          <w:bCs/>
          <w:lang w:val="es-ES" w:eastAsia="ja-JP"/>
        </w:rPr>
        <w:t>.</w:t>
      </w:r>
    </w:p>
    <w:p w14:paraId="6E853005" w14:textId="23A6B4C7" w:rsidR="00270EE4" w:rsidRDefault="00270EE4" w:rsidP="00270EE4">
      <w:pPr>
        <w:autoSpaceDE w:val="0"/>
        <w:autoSpaceDN w:val="0"/>
        <w:adjustRightInd w:val="0"/>
        <w:spacing w:before="120" w:after="120" w:line="240" w:lineRule="auto"/>
        <w:jc w:val="center"/>
        <w:rPr>
          <w:rFonts w:ascii="Arial" w:eastAsia="MS Mincho" w:hAnsi="Arial" w:cs="Arial"/>
          <w:bCs/>
          <w:lang w:val="es-ES" w:eastAsia="ja-JP"/>
        </w:rPr>
      </w:pPr>
      <w:r>
        <w:rPr>
          <w:noProof/>
          <w:lang w:val="es-US" w:eastAsia="zh-CN"/>
        </w:rPr>
        <w:drawing>
          <wp:inline distT="0" distB="0" distL="0" distR="0" wp14:anchorId="4D720A23" wp14:editId="2AFBC45F">
            <wp:extent cx="3575608" cy="2560040"/>
            <wp:effectExtent l="0" t="0" r="6350" b="0"/>
            <wp:docPr id="2" name="Picture 2" descr="http://www.argentinaindependent.com/wp-content/uploads/ruta_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rgentinaindependent.com/wp-content/uploads/ruta_s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94224" cy="2573368"/>
                    </a:xfrm>
                    <a:prstGeom prst="rect">
                      <a:avLst/>
                    </a:prstGeom>
                    <a:noFill/>
                    <a:ln>
                      <a:noFill/>
                    </a:ln>
                  </pic:spPr>
                </pic:pic>
              </a:graphicData>
            </a:graphic>
          </wp:inline>
        </w:drawing>
      </w:r>
    </w:p>
    <w:p w14:paraId="72A2BDBA" w14:textId="3A360F82" w:rsidR="00B013D1" w:rsidRDefault="00B013D1">
      <w:pPr>
        <w:rPr>
          <w:rFonts w:ascii="Times New Roman" w:eastAsia="MS Mincho" w:hAnsi="Times New Roman" w:cs="Times New Roman"/>
          <w:b/>
          <w:bCs/>
          <w:noProof/>
          <w:sz w:val="24"/>
          <w:lang w:val="es-ES_tradnl"/>
        </w:rPr>
      </w:pPr>
      <w:r>
        <w:rPr>
          <w:rFonts w:ascii="Times New Roman" w:eastAsia="MS Mincho" w:hAnsi="Times New Roman" w:cs="Times New Roman"/>
          <w:b/>
          <w:bCs/>
          <w:noProof/>
          <w:sz w:val="24"/>
          <w:lang w:val="es-ES_tradnl"/>
        </w:rPr>
        <w:br w:type="page"/>
      </w:r>
    </w:p>
    <w:p w14:paraId="46FDC9A4" w14:textId="77777777" w:rsidR="008867AA" w:rsidRDefault="008867AA" w:rsidP="00270EE4">
      <w:pPr>
        <w:tabs>
          <w:tab w:val="left" w:pos="6887"/>
        </w:tabs>
        <w:rPr>
          <w:rFonts w:ascii="Times New Roman" w:eastAsia="MS Mincho" w:hAnsi="Times New Roman" w:cs="Times New Roman"/>
          <w:b/>
          <w:bCs/>
          <w:noProof/>
          <w:sz w:val="24"/>
          <w:lang w:val="es-ES_tradnl"/>
        </w:rPr>
      </w:pPr>
    </w:p>
    <w:p w14:paraId="456F193B" w14:textId="5CF06C4B" w:rsidR="00521685" w:rsidRPr="00E27BE5" w:rsidRDefault="00521685" w:rsidP="00521685">
      <w:pPr>
        <w:tabs>
          <w:tab w:val="left" w:pos="6887"/>
        </w:tabs>
        <w:jc w:val="center"/>
        <w:rPr>
          <w:rFonts w:ascii="Times New Roman" w:eastAsia="MS Mincho" w:hAnsi="Times New Roman" w:cs="Times New Roman"/>
          <w:bCs/>
          <w:sz w:val="28"/>
          <w:szCs w:val="24"/>
          <w:lang w:val="es-ES_tradnl" w:eastAsia="ja-JP"/>
        </w:rPr>
      </w:pPr>
      <w:r w:rsidRPr="00E27BE5">
        <w:rPr>
          <w:rFonts w:ascii="Times New Roman" w:eastAsia="MS Mincho" w:hAnsi="Times New Roman" w:cs="Times New Roman"/>
          <w:b/>
          <w:bCs/>
          <w:noProof/>
          <w:sz w:val="24"/>
          <w:lang w:val="es-ES_tradnl"/>
        </w:rPr>
        <w:t>Figura 3:</w:t>
      </w:r>
      <w:r w:rsidRPr="00E27BE5">
        <w:rPr>
          <w:rFonts w:ascii="Times New Roman" w:hAnsi="Times New Roman" w:cs="Times New Roman"/>
          <w:sz w:val="24"/>
          <w:lang w:val="es-ES_tradnl"/>
        </w:rPr>
        <w:t xml:space="preserve"> </w:t>
      </w:r>
      <w:r>
        <w:rPr>
          <w:rFonts w:ascii="Times New Roman" w:eastAsia="MS Mincho" w:hAnsi="Times New Roman" w:cs="Times New Roman"/>
          <w:b/>
          <w:bCs/>
          <w:noProof/>
          <w:sz w:val="24"/>
          <w:lang w:val="es-ES_tradnl"/>
        </w:rPr>
        <w:t>Intercambios Netos de Energía del MER 2013-2016 (GWh/Año)</w:t>
      </w:r>
    </w:p>
    <w:p w14:paraId="5227B796" w14:textId="77777777" w:rsidR="00521685" w:rsidRDefault="00521685" w:rsidP="00521685">
      <w:pPr>
        <w:autoSpaceDE w:val="0"/>
        <w:autoSpaceDN w:val="0"/>
        <w:adjustRightInd w:val="0"/>
        <w:spacing w:after="120" w:line="240" w:lineRule="auto"/>
        <w:ind w:left="540"/>
        <w:jc w:val="center"/>
        <w:rPr>
          <w:rFonts w:ascii="Times New Roman" w:eastAsia="MS Mincho" w:hAnsi="Times New Roman" w:cs="Times New Roman"/>
          <w:bCs/>
          <w:sz w:val="24"/>
          <w:szCs w:val="24"/>
          <w:lang w:val="es-ES_tradnl" w:eastAsia="ja-JP"/>
        </w:rPr>
      </w:pPr>
      <w:r>
        <w:rPr>
          <w:rFonts w:ascii="Times New Roman" w:eastAsia="MS Mincho" w:hAnsi="Times New Roman" w:cs="Times New Roman"/>
          <w:bCs/>
          <w:noProof/>
          <w:sz w:val="24"/>
          <w:szCs w:val="24"/>
          <w:lang w:val="es-US" w:eastAsia="zh-CN"/>
        </w:rPr>
        <w:drawing>
          <wp:inline distT="0" distB="0" distL="0" distR="0" wp14:anchorId="31EB7E40" wp14:editId="32573C2F">
            <wp:extent cx="3919245" cy="208084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a:extLst>
                        <a:ext uri="{28A0092B-C50C-407E-A947-70E740481C1C}">
                          <a14:useLocalDpi xmlns:a14="http://schemas.microsoft.com/office/drawing/2010/main" val="0"/>
                        </a:ext>
                      </a:extLst>
                    </a:blip>
                    <a:srcRect t="8949"/>
                    <a:stretch/>
                  </pic:blipFill>
                  <pic:spPr bwMode="auto">
                    <a:xfrm>
                      <a:off x="0" y="0"/>
                      <a:ext cx="3923045" cy="2082864"/>
                    </a:xfrm>
                    <a:prstGeom prst="rect">
                      <a:avLst/>
                    </a:prstGeom>
                    <a:noFill/>
                    <a:ln>
                      <a:noFill/>
                    </a:ln>
                    <a:extLst>
                      <a:ext uri="{53640926-AAD7-44D8-BBD7-CCE9431645EC}">
                        <a14:shadowObscured xmlns:a14="http://schemas.microsoft.com/office/drawing/2010/main"/>
                      </a:ext>
                    </a:extLst>
                  </pic:spPr>
                </pic:pic>
              </a:graphicData>
            </a:graphic>
          </wp:inline>
        </w:drawing>
      </w:r>
    </w:p>
    <w:p w14:paraId="12C1D545" w14:textId="36DA60EA" w:rsidR="00521685" w:rsidRPr="00270EE4" w:rsidRDefault="00F87FB3" w:rsidP="00521685">
      <w:pPr>
        <w:numPr>
          <w:ilvl w:val="1"/>
          <w:numId w:val="2"/>
        </w:numPr>
        <w:autoSpaceDE w:val="0"/>
        <w:autoSpaceDN w:val="0"/>
        <w:adjustRightInd w:val="0"/>
        <w:spacing w:after="120" w:line="240" w:lineRule="auto"/>
        <w:ind w:left="547" w:hanging="547"/>
        <w:jc w:val="both"/>
        <w:rPr>
          <w:rFonts w:ascii="Arial" w:eastAsia="MS Mincho" w:hAnsi="Arial" w:cs="Arial"/>
          <w:bCs/>
          <w:lang w:val="es-ES_tradnl" w:eastAsia="ja-JP"/>
        </w:rPr>
      </w:pPr>
      <w:r w:rsidRPr="00270EE4">
        <w:rPr>
          <w:rFonts w:ascii="Arial" w:eastAsia="MS Mincho" w:hAnsi="Arial" w:cs="Arial"/>
          <w:bCs/>
          <w:lang w:val="es-ES_tradnl" w:eastAsia="ja-JP"/>
        </w:rPr>
        <w:t>La</w:t>
      </w:r>
      <w:r w:rsidR="00521685" w:rsidRPr="00270EE4">
        <w:rPr>
          <w:rFonts w:ascii="Arial" w:eastAsia="MS Mincho" w:hAnsi="Arial" w:cs="Arial"/>
          <w:bCs/>
          <w:lang w:val="es-ES_tradnl" w:eastAsia="ja-JP"/>
        </w:rPr>
        <w:t xml:space="preserve"> Línea SIEPAC aún no alcanza las condiciones de operación para máxima capacidad debido a que deficiencias en las redes nacionales producen un desvío de energía que ocupa una porción de la capacidad de transmisión de la línea regional, reduciendo así la capacidad de transar energía en el MER. Lo anterior obliga la construcción de infraestructura complementaria en ciertos tramos de las líneas nacionales, entre ellos en </w:t>
      </w:r>
      <w:r w:rsidRPr="00270EE4">
        <w:rPr>
          <w:rFonts w:ascii="Arial" w:eastAsia="MS Mincho" w:hAnsi="Arial" w:cs="Arial"/>
          <w:bCs/>
          <w:lang w:val="es-ES_tradnl" w:eastAsia="ja-JP"/>
        </w:rPr>
        <w:t>Panamá.</w:t>
      </w:r>
      <w:r w:rsidR="00521685" w:rsidRPr="00270EE4">
        <w:rPr>
          <w:rFonts w:ascii="Arial" w:eastAsia="MS Mincho" w:hAnsi="Arial" w:cs="Arial"/>
          <w:bCs/>
          <w:lang w:val="es-ES_tradnl" w:eastAsia="ja-JP"/>
        </w:rPr>
        <w:t xml:space="preserve"> </w:t>
      </w:r>
      <w:r w:rsidR="000A0694">
        <w:rPr>
          <w:rFonts w:ascii="Arial" w:eastAsia="MS Mincho" w:hAnsi="Arial" w:cs="Arial"/>
          <w:bCs/>
          <w:lang w:val="es-ES_tradnl" w:eastAsia="ja-JP"/>
        </w:rPr>
        <w:t>Estos refuerzos nacionales permiten hacer un mejor uso de la capacidad nominal de la línea SIEPAC y de esta forma incrementar los intercambios de energía entre los países del MER.</w:t>
      </w:r>
    </w:p>
    <w:p w14:paraId="311F633A" w14:textId="1591BCBC" w:rsidR="00521685" w:rsidRPr="00270EE4" w:rsidRDefault="00521685" w:rsidP="00521685">
      <w:pPr>
        <w:numPr>
          <w:ilvl w:val="1"/>
          <w:numId w:val="2"/>
        </w:numPr>
        <w:autoSpaceDE w:val="0"/>
        <w:autoSpaceDN w:val="0"/>
        <w:adjustRightInd w:val="0"/>
        <w:spacing w:after="120" w:line="240" w:lineRule="auto"/>
        <w:ind w:left="547" w:hanging="547"/>
        <w:jc w:val="both"/>
        <w:rPr>
          <w:rFonts w:ascii="Arial" w:eastAsia="MS Mincho" w:hAnsi="Arial" w:cs="Arial"/>
          <w:bCs/>
          <w:lang w:val="es-ES_tradnl" w:eastAsia="ja-JP"/>
        </w:rPr>
      </w:pPr>
      <w:r w:rsidRPr="00270EE4">
        <w:rPr>
          <w:rFonts w:ascii="Arial" w:eastAsia="MS Mincho" w:hAnsi="Arial" w:cs="Arial"/>
          <w:bCs/>
          <w:lang w:val="es-ES_tradnl" w:eastAsia="ja-JP"/>
        </w:rPr>
        <w:t xml:space="preserve">Por lo anterior, mediante el Plan de Expansión de la Transmisión Regional se identificaron 48 proyectos de refuerzo y ampliación del Sistema de Transmisión Regional (STR) que deberían entrar en operación comercial entre 2019-2021, con el fin de </w:t>
      </w:r>
      <w:r w:rsidR="00E62851">
        <w:rPr>
          <w:rFonts w:ascii="Arial" w:eastAsia="MS Mincho" w:hAnsi="Arial" w:cs="Arial"/>
          <w:bCs/>
          <w:lang w:val="es-ES_tradnl" w:eastAsia="ja-JP"/>
        </w:rPr>
        <w:t>alcanzar las condiciones de operación para máxima capacidad del SIEPAC</w:t>
      </w:r>
      <w:r w:rsidRPr="00270EE4">
        <w:rPr>
          <w:rFonts w:ascii="Arial" w:eastAsia="MS Mincho" w:hAnsi="Arial" w:cs="Arial"/>
          <w:bCs/>
          <w:lang w:val="es-ES_tradnl" w:eastAsia="ja-JP"/>
        </w:rPr>
        <w:t>. La inversión estimada en estos proyectos es de US$292,7 millones.</w:t>
      </w:r>
    </w:p>
    <w:p w14:paraId="30C386C2" w14:textId="77777777" w:rsidR="00270EE4" w:rsidRPr="00270EE4" w:rsidRDefault="00270EE4" w:rsidP="00270EE4">
      <w:pPr>
        <w:autoSpaceDE w:val="0"/>
        <w:autoSpaceDN w:val="0"/>
        <w:adjustRightInd w:val="0"/>
        <w:spacing w:after="120" w:line="240" w:lineRule="auto"/>
        <w:ind w:left="547"/>
        <w:jc w:val="both"/>
        <w:rPr>
          <w:rFonts w:ascii="Arial" w:eastAsia="MS Mincho" w:hAnsi="Arial" w:cs="Arial"/>
          <w:bCs/>
          <w:lang w:val="es-ES_tradnl" w:eastAsia="ja-JP"/>
        </w:rPr>
      </w:pPr>
    </w:p>
    <w:p w14:paraId="3D12B226" w14:textId="1D828F87" w:rsidR="00521685" w:rsidRPr="0032594F" w:rsidRDefault="00521685" w:rsidP="0032594F">
      <w:pPr>
        <w:keepNext/>
        <w:keepLines/>
        <w:numPr>
          <w:ilvl w:val="0"/>
          <w:numId w:val="2"/>
        </w:numPr>
        <w:spacing w:before="120" w:after="120" w:line="240" w:lineRule="auto"/>
        <w:jc w:val="both"/>
        <w:outlineLvl w:val="1"/>
        <w:rPr>
          <w:rFonts w:ascii="Arial" w:eastAsia="MS Gothic" w:hAnsi="Arial" w:cs="Arial"/>
          <w:b/>
          <w:bCs/>
          <w:color w:val="4F81BD"/>
          <w:lang w:val="es-ES_tradnl"/>
        </w:rPr>
      </w:pPr>
      <w:r w:rsidRPr="003C61C9">
        <w:rPr>
          <w:rFonts w:ascii="Arial" w:eastAsia="MS Gothic" w:hAnsi="Arial" w:cs="Arial"/>
          <w:b/>
          <w:bCs/>
          <w:color w:val="4F81BD"/>
          <w:lang w:val="es-ES_tradnl"/>
        </w:rPr>
        <w:t>Principales aspectos considerados para la clasificación del</w:t>
      </w:r>
      <w:r w:rsidR="003C61C9">
        <w:rPr>
          <w:rFonts w:ascii="Arial" w:eastAsia="MS Gothic" w:hAnsi="Arial" w:cs="Arial"/>
          <w:b/>
          <w:bCs/>
          <w:color w:val="4F81BD"/>
          <w:lang w:val="es-ES_tradnl"/>
        </w:rPr>
        <w:t xml:space="preserve"> </w:t>
      </w:r>
      <w:r w:rsidR="003C61C9" w:rsidRPr="003C61C9">
        <w:rPr>
          <w:rFonts w:ascii="Arial" w:eastAsia="MS Gothic" w:hAnsi="Arial" w:cs="Arial"/>
          <w:b/>
          <w:bCs/>
          <w:color w:val="4F81BD"/>
          <w:lang w:val="es-ES_tradnl"/>
        </w:rPr>
        <w:t>Programa de Apoyo al Desarrollo Sostenible de los Servicios Públicos</w:t>
      </w:r>
      <w:r w:rsidRPr="0032594F">
        <w:rPr>
          <w:rFonts w:ascii="Arial" w:eastAsia="MS Gothic" w:hAnsi="Arial" w:cs="Arial"/>
          <w:b/>
          <w:bCs/>
          <w:color w:val="4F81BD"/>
          <w:lang w:val="es-ES_tradnl"/>
        </w:rPr>
        <w:t xml:space="preserve">, como operación de integración regional </w:t>
      </w:r>
    </w:p>
    <w:p w14:paraId="114926D0" w14:textId="130224CF" w:rsidR="00521685" w:rsidRPr="00245F58" w:rsidRDefault="00521685" w:rsidP="00521685">
      <w:pPr>
        <w:numPr>
          <w:ilvl w:val="1"/>
          <w:numId w:val="2"/>
        </w:numPr>
        <w:autoSpaceDE w:val="0"/>
        <w:autoSpaceDN w:val="0"/>
        <w:adjustRightInd w:val="0"/>
        <w:spacing w:after="120" w:line="240" w:lineRule="auto"/>
        <w:ind w:left="547" w:hanging="547"/>
        <w:jc w:val="both"/>
        <w:rPr>
          <w:rFonts w:ascii="Arial" w:eastAsia="MS Mincho" w:hAnsi="Arial" w:cs="Arial"/>
          <w:b/>
          <w:bCs/>
          <w:lang w:val="es-ES" w:eastAsia="ja-JP"/>
        </w:rPr>
      </w:pPr>
      <w:r w:rsidRPr="0032594F">
        <w:rPr>
          <w:rFonts w:ascii="Arial" w:eastAsia="MS Mincho" w:hAnsi="Arial" w:cs="Arial"/>
          <w:bCs/>
          <w:lang w:val="es-ES_tradnl" w:eastAsia="ja-JP"/>
        </w:rPr>
        <w:t xml:space="preserve">La operación </w:t>
      </w:r>
      <w:r w:rsidR="0032594F" w:rsidRPr="0032594F">
        <w:rPr>
          <w:rFonts w:ascii="Arial" w:eastAsia="MS Mincho" w:hAnsi="Arial" w:cs="Arial"/>
          <w:bCs/>
          <w:lang w:val="es-ES_tradnl" w:eastAsia="ja-JP"/>
        </w:rPr>
        <w:t>PN-L1145</w:t>
      </w:r>
      <w:r w:rsidRPr="0032594F">
        <w:rPr>
          <w:rFonts w:ascii="Arial" w:eastAsia="MS Mincho" w:hAnsi="Arial" w:cs="Arial"/>
          <w:bCs/>
          <w:lang w:val="es-ES_tradnl" w:eastAsia="ja-JP"/>
        </w:rPr>
        <w:t>, tiene como objetivo</w:t>
      </w:r>
      <w:r w:rsidR="0032594F" w:rsidRPr="0032594F">
        <w:rPr>
          <w:rFonts w:ascii="Arial" w:eastAsia="Times New Roman" w:hAnsi="Arial" w:cs="Arial"/>
          <w:lang w:val="es-ES_tradnl"/>
        </w:rPr>
        <w:t xml:space="preserve"> contribuir a la sostenibilidad financiera, técnica y económica </w:t>
      </w:r>
      <w:r w:rsidR="00E62851">
        <w:rPr>
          <w:rFonts w:ascii="Arial" w:eastAsia="Times New Roman" w:hAnsi="Arial" w:cs="Arial"/>
          <w:lang w:val="es-ES_tradnl"/>
        </w:rPr>
        <w:t>en la prestación de</w:t>
      </w:r>
      <w:r w:rsidR="00E62851" w:rsidRPr="0032594F">
        <w:rPr>
          <w:rFonts w:ascii="Arial" w:eastAsia="Times New Roman" w:hAnsi="Arial" w:cs="Arial"/>
          <w:lang w:val="es-ES_tradnl"/>
        </w:rPr>
        <w:t xml:space="preserve"> </w:t>
      </w:r>
      <w:r w:rsidR="0032594F" w:rsidRPr="0032594F">
        <w:rPr>
          <w:rFonts w:ascii="Arial" w:eastAsia="Times New Roman" w:hAnsi="Arial" w:cs="Arial"/>
          <w:lang w:val="es-ES_tradnl"/>
        </w:rPr>
        <w:t xml:space="preserve">los servicios públicos de energía y </w:t>
      </w:r>
      <w:r w:rsidR="0032594F">
        <w:rPr>
          <w:rFonts w:ascii="Arial" w:eastAsia="Times New Roman" w:hAnsi="Arial" w:cs="Arial"/>
          <w:lang w:val="es-ES_tradnl"/>
        </w:rPr>
        <w:t>agua y saneamiento (AyS)</w:t>
      </w:r>
      <w:r w:rsidR="0032594F" w:rsidRPr="0032594F">
        <w:rPr>
          <w:rFonts w:ascii="Arial" w:eastAsia="Times New Roman" w:hAnsi="Arial" w:cs="Arial"/>
          <w:lang w:val="es-ES_tradnl"/>
        </w:rPr>
        <w:t xml:space="preserve">, a través de un proceso de reformas dirigido a mejorar la sustentabilidad económica y ambiental del sector por medio del fortalecimiento de las capacidades de los actores del sector público en la regulación y gestión de los servicios públicos domiciliarios de la electricidad, gas </w:t>
      </w:r>
      <w:r w:rsidR="0032594F" w:rsidRPr="00245F58">
        <w:rPr>
          <w:rFonts w:ascii="Arial" w:eastAsia="Times New Roman" w:hAnsi="Arial" w:cs="Arial"/>
          <w:lang w:val="es-ES_tradnl"/>
        </w:rPr>
        <w:t xml:space="preserve">natural </w:t>
      </w:r>
      <w:r w:rsidR="003627B7">
        <w:rPr>
          <w:rFonts w:ascii="Arial" w:eastAsia="Times New Roman" w:hAnsi="Arial" w:cs="Arial"/>
          <w:lang w:val="es-ES_tradnl"/>
        </w:rPr>
        <w:t xml:space="preserve">(GN) </w:t>
      </w:r>
      <w:r w:rsidR="0032594F" w:rsidRPr="00245F58">
        <w:rPr>
          <w:rFonts w:ascii="Arial" w:eastAsia="Times New Roman" w:hAnsi="Arial" w:cs="Arial"/>
          <w:lang w:val="es-ES_tradnl"/>
        </w:rPr>
        <w:t>y agua y saneamiento.</w:t>
      </w:r>
      <w:r w:rsidR="0032594F" w:rsidRPr="00245F58">
        <w:rPr>
          <w:rFonts w:ascii="Arial" w:eastAsia="MS Mincho" w:hAnsi="Arial" w:cs="Arial"/>
          <w:bCs/>
          <w:lang w:val="es-ES_tradnl" w:eastAsia="ja-JP"/>
        </w:rPr>
        <w:t xml:space="preserve"> </w:t>
      </w:r>
      <w:r w:rsidRPr="00245F58">
        <w:rPr>
          <w:rFonts w:ascii="Arial" w:eastAsia="MS Mincho" w:hAnsi="Arial" w:cs="Arial"/>
          <w:bCs/>
          <w:lang w:val="es-ES_tradnl" w:eastAsia="ja-JP"/>
        </w:rPr>
        <w:t xml:space="preserve"> </w:t>
      </w:r>
    </w:p>
    <w:p w14:paraId="1BB8A97C" w14:textId="568D5E58" w:rsidR="00245F58" w:rsidRPr="00245F58" w:rsidRDefault="00245F58" w:rsidP="00521685">
      <w:pPr>
        <w:numPr>
          <w:ilvl w:val="1"/>
          <w:numId w:val="2"/>
        </w:numPr>
        <w:autoSpaceDE w:val="0"/>
        <w:autoSpaceDN w:val="0"/>
        <w:adjustRightInd w:val="0"/>
        <w:spacing w:after="120" w:line="240" w:lineRule="auto"/>
        <w:ind w:left="547" w:hanging="547"/>
        <w:jc w:val="both"/>
        <w:rPr>
          <w:rFonts w:ascii="Arial" w:eastAsia="MS Mincho" w:hAnsi="Arial" w:cs="Arial"/>
          <w:bCs/>
          <w:lang w:val="es-ES_tradnl" w:eastAsia="ja-JP"/>
        </w:rPr>
      </w:pPr>
      <w:r w:rsidRPr="00245F58">
        <w:rPr>
          <w:rFonts w:ascii="Arial" w:eastAsia="MS Mincho" w:hAnsi="Arial" w:cs="Arial"/>
          <w:bCs/>
          <w:lang w:val="es-ES_tradnl" w:eastAsia="ja-JP"/>
        </w:rPr>
        <w:t>El programa incluye tres subprogramas con sus respectivos componentes. El Subprograma 2:</w:t>
      </w:r>
      <w:r w:rsidR="00D76ACD">
        <w:rPr>
          <w:rFonts w:ascii="Arial" w:eastAsia="MS Mincho" w:hAnsi="Arial" w:cs="Arial"/>
          <w:bCs/>
          <w:lang w:val="es-ES_tradnl" w:eastAsia="ja-JP"/>
        </w:rPr>
        <w:t xml:space="preserve"> </w:t>
      </w:r>
      <w:r w:rsidRPr="00245F58">
        <w:rPr>
          <w:rFonts w:ascii="Arial" w:eastAsia="MS Mincho" w:hAnsi="Arial" w:cs="Arial"/>
          <w:bCs/>
          <w:lang w:val="es-ES_tradnl" w:eastAsia="ja-JP"/>
        </w:rPr>
        <w:t xml:space="preserve">Desarrollo Sostenible del Sector Energético,  apoya reformas sectoriales que contribuyen a: (i) fortalecer el marco normativo e institucional del sector; (ii) mejorar la seguridad energética por medio de la promoción de </w:t>
      </w:r>
      <w:r w:rsidR="003627B7">
        <w:rPr>
          <w:rFonts w:ascii="Arial" w:eastAsia="MS Mincho" w:hAnsi="Arial" w:cs="Arial"/>
          <w:bCs/>
          <w:lang w:val="es-ES_tradnl" w:eastAsia="ja-JP"/>
        </w:rPr>
        <w:t>Energía</w:t>
      </w:r>
      <w:r w:rsidR="00E62851">
        <w:rPr>
          <w:rFonts w:ascii="Arial" w:eastAsia="MS Mincho" w:hAnsi="Arial" w:cs="Arial"/>
          <w:bCs/>
          <w:lang w:val="es-ES_tradnl" w:eastAsia="ja-JP"/>
        </w:rPr>
        <w:t xml:space="preserve"> Renovable (</w:t>
      </w:r>
      <w:r w:rsidRPr="00245F58">
        <w:rPr>
          <w:rFonts w:ascii="Arial" w:eastAsia="MS Mincho" w:hAnsi="Arial" w:cs="Arial"/>
          <w:bCs/>
          <w:lang w:val="es-ES_tradnl" w:eastAsia="ja-JP"/>
        </w:rPr>
        <w:t>ER</w:t>
      </w:r>
      <w:r w:rsidR="00E62851">
        <w:rPr>
          <w:rFonts w:ascii="Arial" w:eastAsia="MS Mincho" w:hAnsi="Arial" w:cs="Arial"/>
          <w:bCs/>
          <w:lang w:val="es-ES_tradnl" w:eastAsia="ja-JP"/>
        </w:rPr>
        <w:t>)</w:t>
      </w:r>
      <w:r w:rsidRPr="00245F58">
        <w:rPr>
          <w:rFonts w:ascii="Arial" w:eastAsia="MS Mincho" w:hAnsi="Arial" w:cs="Arial"/>
          <w:bCs/>
          <w:lang w:val="es-ES_tradnl" w:eastAsia="ja-JP"/>
        </w:rPr>
        <w:t xml:space="preserve">, </w:t>
      </w:r>
      <w:r w:rsidR="00E62851">
        <w:rPr>
          <w:rFonts w:ascii="Arial" w:eastAsia="MS Mincho" w:hAnsi="Arial" w:cs="Arial"/>
          <w:bCs/>
          <w:lang w:val="es-ES_tradnl" w:eastAsia="ja-JP"/>
        </w:rPr>
        <w:t xml:space="preserve">Eficiencia </w:t>
      </w:r>
      <w:r w:rsidR="003627B7">
        <w:rPr>
          <w:rFonts w:ascii="Arial" w:eastAsia="MS Mincho" w:hAnsi="Arial" w:cs="Arial"/>
          <w:bCs/>
          <w:lang w:val="es-ES_tradnl" w:eastAsia="ja-JP"/>
        </w:rPr>
        <w:t>Energética</w:t>
      </w:r>
      <w:r w:rsidR="00E62851">
        <w:rPr>
          <w:rFonts w:ascii="Arial" w:eastAsia="MS Mincho" w:hAnsi="Arial" w:cs="Arial"/>
          <w:bCs/>
          <w:lang w:val="es-ES_tradnl" w:eastAsia="ja-JP"/>
        </w:rPr>
        <w:t xml:space="preserve"> (</w:t>
      </w:r>
      <w:r w:rsidRPr="00245F58">
        <w:rPr>
          <w:rFonts w:ascii="Arial" w:eastAsia="MS Mincho" w:hAnsi="Arial" w:cs="Arial"/>
          <w:bCs/>
          <w:lang w:val="es-ES_tradnl" w:eastAsia="ja-JP"/>
        </w:rPr>
        <w:t>EE</w:t>
      </w:r>
      <w:r w:rsidR="00E62851">
        <w:rPr>
          <w:rFonts w:ascii="Arial" w:eastAsia="MS Mincho" w:hAnsi="Arial" w:cs="Arial"/>
          <w:bCs/>
          <w:lang w:val="es-ES_tradnl" w:eastAsia="ja-JP"/>
        </w:rPr>
        <w:t>)</w:t>
      </w:r>
      <w:r w:rsidRPr="00245F58">
        <w:rPr>
          <w:rFonts w:ascii="Arial" w:eastAsia="MS Mincho" w:hAnsi="Arial" w:cs="Arial"/>
          <w:bCs/>
          <w:lang w:val="es-ES_tradnl" w:eastAsia="ja-JP"/>
        </w:rPr>
        <w:t xml:space="preserve">, introducción de GN en la matriz energética nacional y mayor intercambio en el MER; (iii) mejorar la sostenibilidad financiera del sector y la carga fiscal reduciendo el costo de los subsidios del sector y mejorando su focalización; y (iv) aumentar el acceso al servicio de energía eléctrica. </w:t>
      </w:r>
    </w:p>
    <w:p w14:paraId="6F2DCA27" w14:textId="5A80D0E2" w:rsidR="00245F58" w:rsidRPr="006D3CA5" w:rsidRDefault="00245F58" w:rsidP="006D3CA5">
      <w:pPr>
        <w:numPr>
          <w:ilvl w:val="1"/>
          <w:numId w:val="2"/>
        </w:numPr>
        <w:autoSpaceDE w:val="0"/>
        <w:autoSpaceDN w:val="0"/>
        <w:adjustRightInd w:val="0"/>
        <w:spacing w:after="120" w:line="240" w:lineRule="auto"/>
        <w:ind w:left="547" w:hanging="547"/>
        <w:jc w:val="both"/>
        <w:rPr>
          <w:rFonts w:ascii="Arial" w:eastAsia="MS Mincho" w:hAnsi="Arial" w:cs="Arial"/>
          <w:bCs/>
          <w:lang w:val="es-ES_tradnl" w:eastAsia="ja-JP"/>
        </w:rPr>
      </w:pPr>
      <w:r w:rsidRPr="00245F58">
        <w:rPr>
          <w:rFonts w:ascii="Arial" w:eastAsia="MS Mincho" w:hAnsi="Arial" w:cs="Arial"/>
          <w:bCs/>
          <w:lang w:val="es-ES_tradnl" w:eastAsia="ja-JP"/>
        </w:rPr>
        <w:lastRenderedPageBreak/>
        <w:t>Este Subprograma contiene el Componente 2-1</w:t>
      </w:r>
      <w:r w:rsidR="006D3CA5">
        <w:rPr>
          <w:rFonts w:ascii="Arial" w:eastAsia="MS Mincho" w:hAnsi="Arial" w:cs="Arial"/>
          <w:bCs/>
          <w:lang w:val="es-ES_tradnl" w:eastAsia="ja-JP"/>
        </w:rPr>
        <w:t>:</w:t>
      </w:r>
      <w:r w:rsidRPr="00245F58">
        <w:rPr>
          <w:rFonts w:ascii="Arial" w:eastAsia="MS Mincho" w:hAnsi="Arial" w:cs="Arial"/>
          <w:bCs/>
          <w:lang w:val="es-ES_tradnl" w:eastAsia="ja-JP"/>
        </w:rPr>
        <w:t xml:space="preserve"> Desarrollo de una matriz energética social y ambientalmente sostenible. </w:t>
      </w:r>
      <w:r w:rsidR="006D3CA5">
        <w:rPr>
          <w:rFonts w:ascii="Arial" w:eastAsia="MS Mincho" w:hAnsi="Arial" w:cs="Arial"/>
          <w:bCs/>
          <w:lang w:val="es-ES_tradnl" w:eastAsia="ja-JP"/>
        </w:rPr>
        <w:t>Bajo e</w:t>
      </w:r>
      <w:r w:rsidRPr="00245F58">
        <w:rPr>
          <w:rFonts w:ascii="Arial" w:eastAsia="MS Mincho" w:hAnsi="Arial" w:cs="Arial"/>
          <w:bCs/>
          <w:lang w:val="es-ES_tradnl" w:eastAsia="ja-JP"/>
        </w:rPr>
        <w:t xml:space="preserve">ste componente </w:t>
      </w:r>
      <w:r w:rsidR="006D3CA5">
        <w:rPr>
          <w:rFonts w:ascii="Arial" w:eastAsia="MS Mincho" w:hAnsi="Arial" w:cs="Arial"/>
          <w:bCs/>
          <w:lang w:val="es-ES_tradnl" w:eastAsia="ja-JP"/>
        </w:rPr>
        <w:t xml:space="preserve">se </w:t>
      </w:r>
      <w:r w:rsidRPr="00245F58">
        <w:rPr>
          <w:rFonts w:ascii="Arial" w:eastAsia="MS Mincho" w:hAnsi="Arial" w:cs="Arial"/>
          <w:bCs/>
          <w:lang w:val="es-ES_tradnl" w:eastAsia="ja-JP"/>
        </w:rPr>
        <w:t xml:space="preserve">busca aumentar la oferta para abastecer la creciente demanda eléctrica, fomentando el desarrollo de ER, la introducción de GN, implementación de medidas de EE, e incremento de los intercambios eléctricos regionales. </w:t>
      </w:r>
      <w:bookmarkStart w:id="3" w:name="_Hlk481747766"/>
      <w:r w:rsidR="006D3CA5">
        <w:rPr>
          <w:rFonts w:ascii="Arial" w:eastAsia="MS Mincho" w:hAnsi="Arial" w:cs="Arial"/>
          <w:bCs/>
          <w:lang w:val="es-ES_tradnl" w:eastAsia="ja-JP"/>
        </w:rPr>
        <w:t>Entre l</w:t>
      </w:r>
      <w:r w:rsidRPr="00245F58">
        <w:rPr>
          <w:rFonts w:ascii="Arial" w:eastAsia="MS Mincho" w:hAnsi="Arial" w:cs="Arial"/>
          <w:bCs/>
          <w:lang w:val="es-ES_tradnl" w:eastAsia="ja-JP"/>
        </w:rPr>
        <w:t xml:space="preserve">os compromisos de política acordados para </w:t>
      </w:r>
      <w:bookmarkEnd w:id="3"/>
      <w:r w:rsidRPr="00245F58">
        <w:rPr>
          <w:rFonts w:ascii="Arial" w:eastAsia="MS Mincho" w:hAnsi="Arial" w:cs="Arial"/>
          <w:bCs/>
          <w:lang w:val="es-ES_tradnl" w:eastAsia="ja-JP"/>
        </w:rPr>
        <w:t xml:space="preserve">el primer préstamo </w:t>
      </w:r>
      <w:r w:rsidR="00D55EC6">
        <w:rPr>
          <w:rFonts w:ascii="Arial" w:eastAsia="MS Mincho" w:hAnsi="Arial" w:cs="Arial"/>
          <w:bCs/>
          <w:lang w:val="es-ES_tradnl" w:eastAsia="ja-JP"/>
        </w:rPr>
        <w:t>se incluye que el</w:t>
      </w:r>
      <w:r w:rsidRPr="00245F58">
        <w:rPr>
          <w:rFonts w:ascii="Arial" w:eastAsia="MS Mincho" w:hAnsi="Arial" w:cs="Arial"/>
          <w:bCs/>
          <w:lang w:val="es-ES_tradnl" w:eastAsia="ja-JP"/>
        </w:rPr>
        <w:t xml:space="preserve"> </w:t>
      </w:r>
      <w:r w:rsidR="007955C5">
        <w:rPr>
          <w:rFonts w:ascii="Arial" w:eastAsia="MS Mincho" w:hAnsi="Arial" w:cs="Arial"/>
          <w:bCs/>
          <w:lang w:val="es-ES_tradnl" w:eastAsia="ja-JP"/>
        </w:rPr>
        <w:t xml:space="preserve">tramo </w:t>
      </w:r>
      <w:r w:rsidRPr="00245F58">
        <w:rPr>
          <w:rFonts w:ascii="Arial" w:eastAsia="MS Mincho" w:hAnsi="Arial" w:cs="Arial"/>
          <w:bCs/>
          <w:lang w:val="es-ES_tradnl" w:eastAsia="ja-JP"/>
        </w:rPr>
        <w:t xml:space="preserve">Veladero-Llano </w:t>
      </w:r>
      <w:bookmarkStart w:id="4" w:name="_GoBack"/>
      <w:r w:rsidRPr="001672F3">
        <w:rPr>
          <w:rFonts w:ascii="Arial" w:eastAsia="MS Mincho" w:hAnsi="Arial" w:cs="Arial"/>
          <w:bCs/>
          <w:lang w:val="es-ES_tradnl" w:eastAsia="ja-JP"/>
        </w:rPr>
        <w:t>Sanch</w:t>
      </w:r>
      <w:bookmarkEnd w:id="4"/>
      <w:r w:rsidRPr="001672F3">
        <w:rPr>
          <w:rFonts w:ascii="Arial" w:eastAsia="MS Mincho" w:hAnsi="Arial" w:cs="Arial"/>
          <w:bCs/>
          <w:lang w:val="es-ES_tradnl" w:eastAsia="ja-JP"/>
        </w:rPr>
        <w:t xml:space="preserve">ez de la Tercera Línea de Transmisión </w:t>
      </w:r>
      <w:r w:rsidR="006D3CA5">
        <w:rPr>
          <w:rFonts w:ascii="Arial" w:eastAsia="MS Mincho" w:hAnsi="Arial" w:cs="Arial"/>
          <w:bCs/>
          <w:lang w:val="es-ES_tradnl" w:eastAsia="ja-JP"/>
        </w:rPr>
        <w:t xml:space="preserve">del país, esté </w:t>
      </w:r>
      <w:r w:rsidRPr="001672F3">
        <w:rPr>
          <w:rFonts w:ascii="Arial" w:eastAsia="MS Mincho" w:hAnsi="Arial" w:cs="Arial"/>
          <w:bCs/>
          <w:lang w:val="es-ES_tradnl" w:eastAsia="ja-JP"/>
        </w:rPr>
        <w:t>construido</w:t>
      </w:r>
      <w:r w:rsidR="006D3CA5">
        <w:rPr>
          <w:rFonts w:ascii="Arial" w:eastAsia="MS Mincho" w:hAnsi="Arial" w:cs="Arial"/>
          <w:bCs/>
          <w:lang w:val="es-ES_tradnl" w:eastAsia="ja-JP"/>
        </w:rPr>
        <w:t xml:space="preserve">. </w:t>
      </w:r>
      <w:r w:rsidR="006D3CA5" w:rsidRPr="006D3CA5">
        <w:rPr>
          <w:rFonts w:ascii="Arial" w:eastAsia="MS Mincho" w:hAnsi="Arial" w:cs="Arial"/>
          <w:bCs/>
          <w:lang w:val="es-ES_tradnl" w:eastAsia="ja-JP"/>
        </w:rPr>
        <w:t>Entre los compromisos de política acordados para</w:t>
      </w:r>
      <w:r w:rsidR="006D3CA5">
        <w:rPr>
          <w:rFonts w:ascii="Arial" w:eastAsia="MS Mincho" w:hAnsi="Arial" w:cs="Arial"/>
          <w:bCs/>
          <w:lang w:val="es-ES_tradnl" w:eastAsia="ja-JP"/>
        </w:rPr>
        <w:t xml:space="preserve"> el segundo préstamo se incluye definir el e</w:t>
      </w:r>
      <w:r w:rsidR="006D3CA5" w:rsidRPr="006D3CA5">
        <w:rPr>
          <w:rFonts w:ascii="Arial" w:eastAsia="MS Mincho" w:hAnsi="Arial" w:cs="Arial"/>
          <w:bCs/>
          <w:lang w:val="es-ES_tradnl" w:eastAsia="ja-JP"/>
        </w:rPr>
        <w:t xml:space="preserve">squema financiero e institucional que le permita al país acceder al financiamiento y ejecución de la </w:t>
      </w:r>
      <w:r w:rsidR="006D3CA5">
        <w:rPr>
          <w:rFonts w:ascii="Arial" w:eastAsia="MS Mincho" w:hAnsi="Arial" w:cs="Arial"/>
          <w:bCs/>
          <w:lang w:val="es-ES_tradnl" w:eastAsia="ja-JP"/>
        </w:rPr>
        <w:t>Cuarta</w:t>
      </w:r>
      <w:r w:rsidR="006D3CA5" w:rsidRPr="006D3CA5">
        <w:rPr>
          <w:rFonts w:ascii="Arial" w:eastAsia="MS Mincho" w:hAnsi="Arial" w:cs="Arial"/>
          <w:bCs/>
          <w:lang w:val="es-ES_tradnl" w:eastAsia="ja-JP"/>
        </w:rPr>
        <w:t xml:space="preserve"> Línea de Transmisión en Panamá; y </w:t>
      </w:r>
      <w:r w:rsidR="006D3CA5">
        <w:rPr>
          <w:rFonts w:ascii="Arial" w:eastAsia="MS Mincho" w:hAnsi="Arial" w:cs="Arial"/>
          <w:bCs/>
          <w:lang w:val="es-ES_tradnl" w:eastAsia="ja-JP"/>
        </w:rPr>
        <w:t>la aprobación del</w:t>
      </w:r>
      <w:r w:rsidR="006D3CA5" w:rsidRPr="006D3CA5">
        <w:rPr>
          <w:rFonts w:ascii="Arial" w:eastAsia="MS Mincho" w:hAnsi="Arial" w:cs="Arial"/>
          <w:bCs/>
          <w:lang w:val="es-ES_tradnl" w:eastAsia="ja-JP"/>
        </w:rPr>
        <w:t xml:space="preserve"> Nuevo Plan de Expansión de la Transmisión Eléctrica</w:t>
      </w:r>
      <w:r w:rsidR="006D3CA5">
        <w:rPr>
          <w:rFonts w:ascii="Arial" w:eastAsia="MS Mincho" w:hAnsi="Arial" w:cs="Arial"/>
          <w:bCs/>
          <w:lang w:val="es-ES_tradnl" w:eastAsia="ja-JP"/>
        </w:rPr>
        <w:t>, en el que se incorporarán los compromisos de refuerzos acordados con el SIEPAC.</w:t>
      </w:r>
      <w:r w:rsidR="006D3CA5" w:rsidRPr="006D3CA5">
        <w:rPr>
          <w:rFonts w:ascii="Arial" w:eastAsia="MS Mincho" w:hAnsi="Arial" w:cs="Arial"/>
          <w:bCs/>
          <w:lang w:val="es-ES_tradnl" w:eastAsia="ja-JP"/>
        </w:rPr>
        <w:t xml:space="preserve"> </w:t>
      </w:r>
    </w:p>
    <w:p w14:paraId="3E62A638" w14:textId="5FA5B7CB" w:rsidR="00521685" w:rsidRPr="001672F3" w:rsidRDefault="001672F3" w:rsidP="00B021B5">
      <w:pPr>
        <w:pStyle w:val="ListParagraph"/>
        <w:numPr>
          <w:ilvl w:val="1"/>
          <w:numId w:val="2"/>
        </w:numPr>
        <w:autoSpaceDE w:val="0"/>
        <w:autoSpaceDN w:val="0"/>
        <w:adjustRightInd w:val="0"/>
        <w:spacing w:after="120" w:line="240" w:lineRule="auto"/>
        <w:ind w:left="547" w:hanging="547"/>
        <w:jc w:val="both"/>
        <w:rPr>
          <w:rFonts w:ascii="Arial" w:eastAsia="MS Mincho" w:hAnsi="Arial" w:cs="Arial"/>
          <w:bCs/>
          <w:lang w:val="es-ES_tradnl" w:eastAsia="ja-JP"/>
        </w:rPr>
      </w:pPr>
      <w:r w:rsidRPr="001672F3">
        <w:rPr>
          <w:rFonts w:ascii="Arial" w:eastAsia="MS Mincho" w:hAnsi="Arial" w:cs="Arial"/>
          <w:bCs/>
          <w:lang w:val="es-ES_tradnl" w:eastAsia="ja-JP"/>
        </w:rPr>
        <w:t>Est</w:t>
      </w:r>
      <w:r w:rsidR="00EB7667">
        <w:rPr>
          <w:rFonts w:ascii="Arial" w:eastAsia="MS Mincho" w:hAnsi="Arial" w:cs="Arial"/>
          <w:bCs/>
          <w:lang w:val="es-ES_tradnl" w:eastAsia="ja-JP"/>
        </w:rPr>
        <w:t>os</w:t>
      </w:r>
      <w:r w:rsidRPr="001672F3">
        <w:rPr>
          <w:rFonts w:ascii="Arial" w:eastAsia="MS Mincho" w:hAnsi="Arial" w:cs="Arial"/>
          <w:bCs/>
          <w:lang w:val="es-ES_tradnl" w:eastAsia="ja-JP"/>
        </w:rPr>
        <w:t xml:space="preserve"> compromiso</w:t>
      </w:r>
      <w:r w:rsidR="00EB7667">
        <w:rPr>
          <w:rFonts w:ascii="Arial" w:eastAsia="MS Mincho" w:hAnsi="Arial" w:cs="Arial"/>
          <w:bCs/>
          <w:lang w:val="es-ES_tradnl" w:eastAsia="ja-JP"/>
        </w:rPr>
        <w:t>s</w:t>
      </w:r>
      <w:r w:rsidR="00521685" w:rsidRPr="001672F3">
        <w:rPr>
          <w:rFonts w:ascii="Arial" w:eastAsia="MS Mincho" w:hAnsi="Arial" w:cs="Arial"/>
          <w:bCs/>
          <w:lang w:val="es-ES_tradnl" w:eastAsia="ja-JP"/>
        </w:rPr>
        <w:t xml:space="preserve"> está</w:t>
      </w:r>
      <w:r w:rsidR="00EB7667">
        <w:rPr>
          <w:rFonts w:ascii="Arial" w:eastAsia="MS Mincho" w:hAnsi="Arial" w:cs="Arial"/>
          <w:bCs/>
          <w:lang w:val="es-ES_tradnl" w:eastAsia="ja-JP"/>
        </w:rPr>
        <w:t>n</w:t>
      </w:r>
      <w:r w:rsidRPr="001672F3">
        <w:rPr>
          <w:rFonts w:ascii="Arial" w:eastAsia="MS Mincho" w:hAnsi="Arial" w:cs="Arial"/>
          <w:bCs/>
          <w:lang w:val="es-ES_tradnl" w:eastAsia="ja-JP"/>
        </w:rPr>
        <w:t xml:space="preserve"> orientado</w:t>
      </w:r>
      <w:r w:rsidR="00EB7667">
        <w:rPr>
          <w:rFonts w:ascii="Arial" w:eastAsia="MS Mincho" w:hAnsi="Arial" w:cs="Arial"/>
          <w:bCs/>
          <w:lang w:val="es-ES_tradnl" w:eastAsia="ja-JP"/>
        </w:rPr>
        <w:t>s</w:t>
      </w:r>
      <w:r w:rsidR="00521685" w:rsidRPr="001672F3">
        <w:rPr>
          <w:rFonts w:ascii="Arial" w:eastAsia="MS Mincho" w:hAnsi="Arial" w:cs="Arial"/>
          <w:bCs/>
          <w:lang w:val="es-ES_tradnl" w:eastAsia="ja-JP"/>
        </w:rPr>
        <w:t xml:space="preserve"> a </w:t>
      </w:r>
      <w:r w:rsidRPr="001672F3">
        <w:rPr>
          <w:rFonts w:ascii="Arial" w:eastAsia="MS Mincho" w:hAnsi="Arial" w:cs="Arial"/>
          <w:bCs/>
          <w:lang w:val="es-ES_tradnl" w:eastAsia="ja-JP"/>
        </w:rPr>
        <w:t>mejorar la capacidad y disponibilidad de</w:t>
      </w:r>
      <w:r w:rsidR="003627B7">
        <w:rPr>
          <w:rFonts w:ascii="Arial" w:eastAsia="MS Mincho" w:hAnsi="Arial" w:cs="Arial"/>
          <w:bCs/>
          <w:lang w:val="es-ES_tradnl" w:eastAsia="ja-JP"/>
        </w:rPr>
        <w:t>l</w:t>
      </w:r>
      <w:r w:rsidRPr="001672F3">
        <w:rPr>
          <w:rFonts w:ascii="Arial" w:eastAsia="MS Mincho" w:hAnsi="Arial" w:cs="Arial"/>
          <w:bCs/>
          <w:lang w:val="es-ES_tradnl" w:eastAsia="ja-JP"/>
        </w:rPr>
        <w:t xml:space="preserve"> </w:t>
      </w:r>
      <w:r w:rsidR="003627B7">
        <w:rPr>
          <w:rFonts w:ascii="Arial" w:eastAsia="MS Mincho" w:hAnsi="Arial" w:cs="Arial"/>
          <w:bCs/>
          <w:lang w:val="es-ES_tradnl" w:eastAsia="ja-JP"/>
        </w:rPr>
        <w:t>STR</w:t>
      </w:r>
      <w:r w:rsidRPr="001672F3">
        <w:rPr>
          <w:rFonts w:ascii="Arial" w:eastAsia="MS Mincho" w:hAnsi="Arial" w:cs="Arial"/>
          <w:bCs/>
          <w:lang w:val="es-ES_tradnl" w:eastAsia="ja-JP"/>
        </w:rPr>
        <w:t xml:space="preserve"> del SIEPAC, al fortalecer el sistema panameño para realizar transacciones en el MER. Po</w:t>
      </w:r>
      <w:r w:rsidR="00521685" w:rsidRPr="001672F3">
        <w:rPr>
          <w:rFonts w:ascii="Arial" w:eastAsia="MS Mincho" w:hAnsi="Arial" w:cs="Arial"/>
          <w:bCs/>
          <w:lang w:val="es-ES_tradnl" w:eastAsia="ja-JP"/>
        </w:rPr>
        <w:t xml:space="preserve">r esta razón la operación se consideró alienada estratégicamente al Desafío </w:t>
      </w:r>
      <w:r w:rsidR="00EB7667">
        <w:rPr>
          <w:rFonts w:ascii="Arial" w:eastAsia="MS Mincho" w:hAnsi="Arial" w:cs="Arial"/>
          <w:bCs/>
          <w:lang w:val="es-ES_tradnl" w:eastAsia="ja-JP"/>
        </w:rPr>
        <w:t xml:space="preserve">Regional de </w:t>
      </w:r>
      <w:r w:rsidR="00521685" w:rsidRPr="001672F3">
        <w:rPr>
          <w:rFonts w:ascii="Arial" w:eastAsia="MS Mincho" w:hAnsi="Arial" w:cs="Arial"/>
          <w:bCs/>
          <w:lang w:val="es-ES_tradnl" w:eastAsia="ja-JP"/>
        </w:rPr>
        <w:t>Integración Económica.</w:t>
      </w:r>
    </w:p>
    <w:p w14:paraId="447D27AD" w14:textId="29A92DCE" w:rsidR="00521685" w:rsidRPr="002A34EB" w:rsidRDefault="00521685" w:rsidP="00433C93">
      <w:pPr>
        <w:autoSpaceDE w:val="0"/>
        <w:autoSpaceDN w:val="0"/>
        <w:adjustRightInd w:val="0"/>
        <w:spacing w:before="120" w:after="120" w:line="240" w:lineRule="auto"/>
        <w:contextualSpacing/>
        <w:jc w:val="both"/>
        <w:rPr>
          <w:rFonts w:ascii="Arial" w:eastAsia="MS Mincho" w:hAnsi="Arial" w:cs="Arial"/>
          <w:bCs/>
          <w:lang w:val="es-ES_tradnl" w:eastAsia="ja-JP"/>
        </w:rPr>
      </w:pPr>
    </w:p>
    <w:p w14:paraId="1067EA59" w14:textId="77777777" w:rsidR="00521685" w:rsidRPr="002A34EB" w:rsidRDefault="00521685" w:rsidP="00521685">
      <w:pPr>
        <w:keepNext/>
        <w:keepLines/>
        <w:numPr>
          <w:ilvl w:val="0"/>
          <w:numId w:val="2"/>
        </w:numPr>
        <w:spacing w:before="120" w:after="120" w:line="240" w:lineRule="auto"/>
        <w:ind w:left="450" w:hanging="450"/>
        <w:outlineLvl w:val="1"/>
        <w:rPr>
          <w:rFonts w:ascii="Arial" w:eastAsia="MS Gothic" w:hAnsi="Arial" w:cs="Arial"/>
          <w:b/>
          <w:bCs/>
          <w:color w:val="4F81BD"/>
          <w:lang w:val="es-ES_tradnl"/>
        </w:rPr>
      </w:pPr>
      <w:r w:rsidRPr="002A34EB">
        <w:rPr>
          <w:rFonts w:ascii="Arial" w:eastAsia="MS Gothic" w:hAnsi="Arial" w:cs="Arial"/>
          <w:b/>
          <w:bCs/>
          <w:color w:val="4F81BD"/>
          <w:lang w:val="es-ES_tradnl"/>
        </w:rPr>
        <w:t>Validación de Criterios en el Marco de la Estrategia de Integración</w:t>
      </w:r>
    </w:p>
    <w:p w14:paraId="7D960B48" w14:textId="77777777" w:rsidR="00521685" w:rsidRPr="002A34EB" w:rsidRDefault="00521685" w:rsidP="00521685">
      <w:pPr>
        <w:numPr>
          <w:ilvl w:val="1"/>
          <w:numId w:val="2"/>
        </w:numPr>
        <w:autoSpaceDE w:val="0"/>
        <w:autoSpaceDN w:val="0"/>
        <w:adjustRightInd w:val="0"/>
        <w:spacing w:after="120" w:line="240" w:lineRule="auto"/>
        <w:ind w:left="547" w:hanging="547"/>
        <w:jc w:val="both"/>
        <w:rPr>
          <w:rFonts w:ascii="Arial" w:eastAsia="MS Mincho" w:hAnsi="Arial" w:cs="Arial"/>
          <w:bCs/>
          <w:lang w:val="es-ES_tradnl" w:eastAsia="ja-JP"/>
        </w:rPr>
      </w:pPr>
      <w:r w:rsidRPr="002A34EB">
        <w:rPr>
          <w:rFonts w:ascii="Arial" w:eastAsia="MS Mincho" w:hAnsi="Arial" w:cs="Arial"/>
          <w:bCs/>
          <w:lang w:val="es-ES_tradnl" w:eastAsia="ja-JP"/>
        </w:rPr>
        <w:t>Según la estrategia sectorial del BID de apoyo a la Competitividad Global y Regional para la Integración (GN-2565-4), las operaciones de integración regional serán identificadas de acuerdo a cuatro criterios indicativos que no son mutuamente excluyentes entre sí: (i) Focalización multinacional; (ii) Subsidiariedad nacional; (iii) Adicionalidad regional; y (iv) Compensación de fallas de coordinación.</w:t>
      </w:r>
    </w:p>
    <w:p w14:paraId="181E8D84" w14:textId="1CAFCD14" w:rsidR="0055427E" w:rsidRPr="0055427E" w:rsidRDefault="00521685" w:rsidP="0066176B">
      <w:pPr>
        <w:numPr>
          <w:ilvl w:val="1"/>
          <w:numId w:val="2"/>
        </w:numPr>
        <w:autoSpaceDE w:val="0"/>
        <w:autoSpaceDN w:val="0"/>
        <w:adjustRightInd w:val="0"/>
        <w:spacing w:after="120" w:line="240" w:lineRule="auto"/>
        <w:ind w:left="547" w:hanging="547"/>
        <w:jc w:val="both"/>
        <w:rPr>
          <w:rFonts w:ascii="Arial" w:eastAsia="MS Mincho" w:hAnsi="Arial" w:cs="Arial"/>
          <w:bCs/>
          <w:lang w:val="es-ES_tradnl" w:eastAsia="ja-JP"/>
        </w:rPr>
      </w:pPr>
      <w:r w:rsidRPr="00270EE4">
        <w:rPr>
          <w:rFonts w:ascii="Arial" w:eastAsia="MS Mincho" w:hAnsi="Arial" w:cs="Arial"/>
          <w:bCs/>
          <w:lang w:val="es-ES_tradnl" w:eastAsia="ja-JP"/>
        </w:rPr>
        <w:t xml:space="preserve">Con base en el alcance </w:t>
      </w:r>
      <w:r w:rsidR="00270EE4" w:rsidRPr="00270EE4">
        <w:rPr>
          <w:rFonts w:ascii="Arial" w:eastAsia="MS Mincho" w:hAnsi="Arial" w:cs="Arial"/>
          <w:bCs/>
          <w:lang w:val="es-ES_tradnl" w:eastAsia="ja-JP"/>
        </w:rPr>
        <w:t xml:space="preserve">del </w:t>
      </w:r>
      <w:r w:rsidR="00270EE4" w:rsidRPr="00270EE4">
        <w:rPr>
          <w:rFonts w:ascii="Arial" w:eastAsia="MS Mincho" w:hAnsi="Arial" w:cs="Arial"/>
          <w:b/>
          <w:bCs/>
          <w:lang w:val="es-ES_tradnl" w:eastAsia="ja-JP"/>
        </w:rPr>
        <w:t>Programa de Apoyo al Desarrollo Sostenible de los Servicios</w:t>
      </w:r>
      <w:r w:rsidRPr="00270EE4">
        <w:rPr>
          <w:rFonts w:ascii="Arial" w:eastAsia="MS Mincho" w:hAnsi="Arial" w:cs="Arial"/>
          <w:bCs/>
          <w:lang w:val="es-ES_tradnl" w:eastAsia="ja-JP"/>
        </w:rPr>
        <w:t xml:space="preserve">, se evidencia que esta operación contribuye </w:t>
      </w:r>
      <w:r w:rsidR="00270EE4" w:rsidRPr="00270EE4">
        <w:rPr>
          <w:rFonts w:ascii="Arial" w:eastAsia="MS Mincho" w:hAnsi="Arial" w:cs="Arial"/>
          <w:bCs/>
          <w:lang w:val="es-ES_tradnl" w:eastAsia="ja-JP"/>
        </w:rPr>
        <w:t xml:space="preserve">a la integración regional competitiva bajo los criterios indicativos de: (i) </w:t>
      </w:r>
      <w:r w:rsidR="00270EE4" w:rsidRPr="00270EE4">
        <w:rPr>
          <w:rFonts w:ascii="Arial" w:eastAsia="MS Mincho" w:hAnsi="Arial" w:cs="Arial"/>
          <w:bCs/>
          <w:i/>
          <w:lang w:val="es-ES_tradnl" w:eastAsia="ja-JP"/>
        </w:rPr>
        <w:t>Focalización multinacional,</w:t>
      </w:r>
      <w:r w:rsidR="00270EE4" w:rsidRPr="00270EE4">
        <w:rPr>
          <w:rFonts w:ascii="Arial" w:eastAsia="MS Mincho" w:hAnsi="Arial" w:cs="Arial"/>
          <w:bCs/>
          <w:lang w:val="es-ES_tradnl" w:eastAsia="ja-JP"/>
        </w:rPr>
        <w:t xml:space="preserve"> debido a que el Subprograma 2 considera medidas de política que promueven la integración del sector eléctrico panameño, con impactos transfronterizos (SIEPAC). Se espera que el programa contribuya </w:t>
      </w:r>
      <w:r w:rsidR="00270EE4" w:rsidRPr="006D3CA5">
        <w:rPr>
          <w:rFonts w:ascii="Arial" w:eastAsia="MS Mincho" w:hAnsi="Arial" w:cs="Arial"/>
          <w:bCs/>
          <w:lang w:val="es-ES_tradnl" w:eastAsia="ja-JP"/>
        </w:rPr>
        <w:t>al incremento de los intercambios de energía eléctrica en el MER al 2020, de acuerdo a lo indicado en la Matriz de Resultados.</w:t>
      </w:r>
      <w:r w:rsidR="0055427E">
        <w:rPr>
          <w:rFonts w:ascii="Arial" w:eastAsia="MS Mincho" w:hAnsi="Arial" w:cs="Arial"/>
          <w:bCs/>
          <w:lang w:val="es-ES_tradnl" w:eastAsia="ja-JP"/>
        </w:rPr>
        <w:t xml:space="preserve"> </w:t>
      </w:r>
    </w:p>
    <w:p w14:paraId="003BB6C8" w14:textId="25203279" w:rsidR="00521685" w:rsidRPr="0066176B" w:rsidRDefault="00521685" w:rsidP="0055427E">
      <w:pPr>
        <w:numPr>
          <w:ilvl w:val="1"/>
          <w:numId w:val="2"/>
        </w:numPr>
        <w:autoSpaceDE w:val="0"/>
        <w:autoSpaceDN w:val="0"/>
        <w:adjustRightInd w:val="0"/>
        <w:spacing w:after="120" w:line="240" w:lineRule="auto"/>
        <w:ind w:left="547" w:hanging="547"/>
        <w:jc w:val="both"/>
        <w:rPr>
          <w:rFonts w:ascii="Arial" w:hAnsi="Arial" w:cs="Arial"/>
          <w:b/>
          <w:lang w:val="es-ES_tradnl"/>
        </w:rPr>
      </w:pPr>
      <w:r w:rsidRPr="006D3CA5">
        <w:rPr>
          <w:rFonts w:ascii="Arial" w:eastAsia="MS Mincho" w:hAnsi="Arial" w:cs="Arial"/>
          <w:bCs/>
          <w:lang w:val="es-ES_tradnl" w:eastAsia="ja-JP"/>
        </w:rPr>
        <w:t>(i) </w:t>
      </w:r>
      <w:r w:rsidRPr="006D3CA5">
        <w:rPr>
          <w:rFonts w:ascii="Arial" w:eastAsia="MS Mincho" w:hAnsi="Arial" w:cs="Arial"/>
          <w:b/>
          <w:bCs/>
          <w:i/>
          <w:lang w:val="es-ES_tradnl" w:eastAsia="ja-JP"/>
        </w:rPr>
        <w:t>Focalización multinacional</w:t>
      </w:r>
      <w:r w:rsidRPr="006D3CA5">
        <w:rPr>
          <w:rFonts w:ascii="Arial" w:eastAsia="MS Mincho" w:hAnsi="Arial" w:cs="Arial"/>
          <w:bCs/>
          <w:lang w:val="es-ES_tradnl" w:eastAsia="ja-JP"/>
        </w:rPr>
        <w:t xml:space="preserve">- En línea con los objetivos de SIEPAC, el Componente </w:t>
      </w:r>
      <w:r w:rsidR="00270EE4" w:rsidRPr="006D3CA5">
        <w:rPr>
          <w:rFonts w:ascii="Arial" w:eastAsia="MS Mincho" w:hAnsi="Arial" w:cs="Arial"/>
          <w:bCs/>
          <w:lang w:val="es-ES_tradnl" w:eastAsia="ja-JP"/>
        </w:rPr>
        <w:t xml:space="preserve">2.1 del Subprograma 1 </w:t>
      </w:r>
      <w:r w:rsidR="006D3CA5" w:rsidRPr="006D3CA5">
        <w:rPr>
          <w:rFonts w:ascii="Arial" w:eastAsia="MS Mincho" w:hAnsi="Arial" w:cs="Arial"/>
          <w:bCs/>
          <w:lang w:val="es-ES_tradnl" w:eastAsia="ja-JP"/>
        </w:rPr>
        <w:t>promueve</w:t>
      </w:r>
      <w:r w:rsidRPr="006D3CA5">
        <w:rPr>
          <w:rFonts w:ascii="Arial" w:eastAsia="MS Mincho" w:hAnsi="Arial" w:cs="Arial"/>
          <w:bCs/>
          <w:lang w:val="es-ES_tradnl" w:eastAsia="ja-JP"/>
        </w:rPr>
        <w:t xml:space="preserve"> el desarrollo de infraestructura que contribuye a la internacionalización del sector eléctrico con impactos transfronterizos</w:t>
      </w:r>
      <w:bookmarkStart w:id="5" w:name="_Hlk481747471"/>
      <w:r w:rsidRPr="006D3CA5">
        <w:rPr>
          <w:rFonts w:ascii="Arial" w:eastAsia="MS Mincho" w:hAnsi="Arial" w:cs="Arial"/>
          <w:bCs/>
          <w:lang w:val="es-ES_tradnl" w:eastAsia="ja-JP"/>
        </w:rPr>
        <w:t>.</w:t>
      </w:r>
      <w:r w:rsidR="0055427E">
        <w:rPr>
          <w:rFonts w:ascii="Arial" w:eastAsia="MS Mincho" w:hAnsi="Arial" w:cs="Arial"/>
          <w:bCs/>
          <w:lang w:val="es-ES_tradnl" w:eastAsia="ja-JP"/>
        </w:rPr>
        <w:t xml:space="preserve"> El Programático I contempla </w:t>
      </w:r>
      <w:r w:rsidR="00AC16E6">
        <w:rPr>
          <w:rFonts w:ascii="Arial" w:eastAsia="MS Mincho" w:hAnsi="Arial" w:cs="Arial"/>
          <w:bCs/>
          <w:lang w:val="es-ES_tradnl" w:eastAsia="ja-JP"/>
        </w:rPr>
        <w:t xml:space="preserve">la </w:t>
      </w:r>
      <w:r w:rsidR="00D55EC6">
        <w:rPr>
          <w:rFonts w:ascii="Arial" w:eastAsia="MS Mincho" w:hAnsi="Arial" w:cs="Arial"/>
          <w:bCs/>
          <w:lang w:val="es-ES_tradnl" w:eastAsia="ja-JP"/>
        </w:rPr>
        <w:t xml:space="preserve">construcción del </w:t>
      </w:r>
      <w:r w:rsidR="00AC16E6">
        <w:rPr>
          <w:rFonts w:ascii="Arial" w:eastAsia="MS Mincho" w:hAnsi="Arial" w:cs="Arial"/>
          <w:bCs/>
          <w:lang w:val="es-ES_tradnl" w:eastAsia="ja-JP"/>
        </w:rPr>
        <w:t>t</w:t>
      </w:r>
      <w:r w:rsidR="0055427E" w:rsidRPr="0055427E">
        <w:rPr>
          <w:rFonts w:ascii="Arial" w:eastAsia="MS Mincho" w:hAnsi="Arial" w:cs="Arial"/>
          <w:bCs/>
          <w:lang w:val="es-ES_tradnl" w:eastAsia="ja-JP"/>
        </w:rPr>
        <w:t xml:space="preserve">ramo Veladero-Llano Sanchez de la Tercera Línea de Transmisión </w:t>
      </w:r>
      <w:r w:rsidR="00AC16E6">
        <w:rPr>
          <w:rFonts w:ascii="Arial" w:eastAsia="MS Mincho" w:hAnsi="Arial" w:cs="Arial"/>
          <w:bCs/>
          <w:lang w:val="es-ES_tradnl" w:eastAsia="ja-JP"/>
        </w:rPr>
        <w:t>nacional</w:t>
      </w:r>
      <w:r w:rsidR="0055427E" w:rsidRPr="0055427E">
        <w:rPr>
          <w:rFonts w:ascii="Arial" w:eastAsia="MS Mincho" w:hAnsi="Arial" w:cs="Arial"/>
          <w:bCs/>
          <w:lang w:val="es-ES_tradnl" w:eastAsia="ja-JP"/>
        </w:rPr>
        <w:t>.</w:t>
      </w:r>
      <w:r w:rsidR="0055427E">
        <w:rPr>
          <w:rFonts w:ascii="Arial" w:eastAsia="MS Mincho" w:hAnsi="Arial" w:cs="Arial"/>
          <w:bCs/>
          <w:lang w:val="es-ES_tradnl" w:eastAsia="ja-JP"/>
        </w:rPr>
        <w:t xml:space="preserve"> </w:t>
      </w:r>
      <w:r w:rsidR="00AC16E6">
        <w:rPr>
          <w:rFonts w:ascii="Arial" w:eastAsia="MS Mincho" w:hAnsi="Arial" w:cs="Arial"/>
          <w:bCs/>
          <w:lang w:val="es-ES_tradnl" w:eastAsia="ja-JP"/>
        </w:rPr>
        <w:t>E</w:t>
      </w:r>
      <w:r w:rsidR="0055427E">
        <w:rPr>
          <w:rFonts w:ascii="Arial" w:eastAsia="MS Mincho" w:hAnsi="Arial" w:cs="Arial"/>
          <w:bCs/>
          <w:lang w:val="es-ES_tradnl" w:eastAsia="ja-JP"/>
        </w:rPr>
        <w:t xml:space="preserve">stos refuerzos nacionales apuntan a incrementar la capacidad efectiva del SIEPAC y por esta </w:t>
      </w:r>
      <w:r w:rsidR="00AC16E6">
        <w:rPr>
          <w:rFonts w:ascii="Arial" w:eastAsia="MS Mincho" w:hAnsi="Arial" w:cs="Arial"/>
          <w:bCs/>
          <w:lang w:val="es-ES_tradnl" w:eastAsia="ja-JP"/>
        </w:rPr>
        <w:t>vía</w:t>
      </w:r>
      <w:r w:rsidR="0055427E">
        <w:rPr>
          <w:rFonts w:ascii="Arial" w:eastAsia="MS Mincho" w:hAnsi="Arial" w:cs="Arial"/>
          <w:bCs/>
          <w:lang w:val="es-ES_tradnl" w:eastAsia="ja-JP"/>
        </w:rPr>
        <w:t xml:space="preserve"> per</w:t>
      </w:r>
      <w:r w:rsidR="00AC16E6">
        <w:rPr>
          <w:rFonts w:ascii="Arial" w:eastAsia="MS Mincho" w:hAnsi="Arial" w:cs="Arial"/>
          <w:bCs/>
          <w:lang w:val="es-ES_tradnl" w:eastAsia="ja-JP"/>
        </w:rPr>
        <w:t>m</w:t>
      </w:r>
      <w:r w:rsidR="0055427E">
        <w:rPr>
          <w:rFonts w:ascii="Arial" w:eastAsia="MS Mincho" w:hAnsi="Arial" w:cs="Arial"/>
          <w:bCs/>
          <w:lang w:val="es-ES_tradnl" w:eastAsia="ja-JP"/>
        </w:rPr>
        <w:t>iten incrementar los intercambios eléctricos regionales. El Programático II contempla que el e</w:t>
      </w:r>
      <w:r w:rsidR="0055427E" w:rsidRPr="0055427E">
        <w:rPr>
          <w:rFonts w:ascii="Arial" w:eastAsia="MS Mincho" w:hAnsi="Arial" w:cs="Arial"/>
          <w:bCs/>
          <w:lang w:val="es-ES_tradnl" w:eastAsia="ja-JP"/>
        </w:rPr>
        <w:t>squema financiero e institucional que le permita al país acceder al financiamiento y ejecución de la IV Línea de Transmisión en Pa</w:t>
      </w:r>
      <w:r w:rsidR="0055427E">
        <w:rPr>
          <w:rFonts w:ascii="Arial" w:eastAsia="MS Mincho" w:hAnsi="Arial" w:cs="Arial"/>
          <w:bCs/>
          <w:lang w:val="es-ES_tradnl" w:eastAsia="ja-JP"/>
        </w:rPr>
        <w:t xml:space="preserve">namá este definido, así como la aprobación del </w:t>
      </w:r>
      <w:r w:rsidR="0055427E" w:rsidRPr="0055427E">
        <w:rPr>
          <w:rFonts w:ascii="Arial" w:eastAsia="MS Mincho" w:hAnsi="Arial" w:cs="Arial"/>
          <w:bCs/>
          <w:lang w:val="es-ES_tradnl" w:eastAsia="ja-JP"/>
        </w:rPr>
        <w:t>Nuevo Plan de Expansión de la Transmisión Eléctrica</w:t>
      </w:r>
      <w:r w:rsidR="0055427E">
        <w:rPr>
          <w:rFonts w:ascii="Arial" w:eastAsia="MS Mincho" w:hAnsi="Arial" w:cs="Arial"/>
          <w:bCs/>
          <w:lang w:val="es-ES_tradnl" w:eastAsia="ja-JP"/>
        </w:rPr>
        <w:t xml:space="preserve">. De esta forma se sientan las bases para la planificación </w:t>
      </w:r>
      <w:r w:rsidR="00AC16E6">
        <w:rPr>
          <w:rFonts w:ascii="Arial" w:eastAsia="MS Mincho" w:hAnsi="Arial" w:cs="Arial"/>
          <w:bCs/>
          <w:lang w:val="es-ES_tradnl" w:eastAsia="ja-JP"/>
        </w:rPr>
        <w:t xml:space="preserve">y financiación </w:t>
      </w:r>
      <w:r w:rsidR="0055427E">
        <w:rPr>
          <w:rFonts w:ascii="Arial" w:eastAsia="MS Mincho" w:hAnsi="Arial" w:cs="Arial"/>
          <w:bCs/>
          <w:lang w:val="es-ES_tradnl" w:eastAsia="ja-JP"/>
        </w:rPr>
        <w:t xml:space="preserve">de </w:t>
      </w:r>
      <w:r w:rsidR="00AC16E6">
        <w:rPr>
          <w:rFonts w:ascii="Arial" w:eastAsia="MS Mincho" w:hAnsi="Arial" w:cs="Arial"/>
          <w:bCs/>
          <w:lang w:val="es-ES_tradnl" w:eastAsia="ja-JP"/>
        </w:rPr>
        <w:t xml:space="preserve">la </w:t>
      </w:r>
      <w:r w:rsidR="0055427E">
        <w:rPr>
          <w:rFonts w:ascii="Arial" w:eastAsia="MS Mincho" w:hAnsi="Arial" w:cs="Arial"/>
          <w:bCs/>
          <w:lang w:val="es-ES_tradnl" w:eastAsia="ja-JP"/>
        </w:rPr>
        <w:t xml:space="preserve">expansión de infraestructura </w:t>
      </w:r>
      <w:r w:rsidR="00AC16E6">
        <w:rPr>
          <w:rFonts w:ascii="Arial" w:eastAsia="MS Mincho" w:hAnsi="Arial" w:cs="Arial"/>
          <w:bCs/>
          <w:lang w:val="es-ES_tradnl" w:eastAsia="ja-JP"/>
        </w:rPr>
        <w:t xml:space="preserve">nacional </w:t>
      </w:r>
      <w:r w:rsidR="0055427E">
        <w:rPr>
          <w:rFonts w:ascii="Arial" w:eastAsia="MS Mincho" w:hAnsi="Arial" w:cs="Arial"/>
          <w:bCs/>
          <w:lang w:val="es-ES_tradnl" w:eastAsia="ja-JP"/>
        </w:rPr>
        <w:t>que, a su vez, contribuirá a incrementar intercambios de energía entre países del SIEPAC.</w:t>
      </w:r>
    </w:p>
    <w:bookmarkEnd w:id="5"/>
    <w:p w14:paraId="1530DE0C" w14:textId="39817F28" w:rsidR="0055427E" w:rsidRPr="00A71DC0" w:rsidRDefault="0055427E" w:rsidP="0055427E">
      <w:pPr>
        <w:numPr>
          <w:ilvl w:val="1"/>
          <w:numId w:val="2"/>
        </w:numPr>
        <w:autoSpaceDE w:val="0"/>
        <w:autoSpaceDN w:val="0"/>
        <w:adjustRightInd w:val="0"/>
        <w:spacing w:before="120" w:after="120" w:line="240" w:lineRule="auto"/>
        <w:ind w:left="547" w:hanging="547"/>
        <w:jc w:val="both"/>
        <w:rPr>
          <w:rFonts w:ascii="Arial" w:eastAsia="MS Mincho" w:hAnsi="Arial" w:cs="Arial"/>
          <w:bCs/>
          <w:lang w:val="es-ES_tradnl" w:eastAsia="ja-JP"/>
        </w:rPr>
      </w:pPr>
      <w:r w:rsidRPr="000A0694">
        <w:rPr>
          <w:rFonts w:ascii="Arial" w:eastAsia="MS Mincho" w:hAnsi="Arial" w:cs="Arial"/>
          <w:bCs/>
          <w:lang w:val="es-ES_tradnl" w:eastAsia="ja-JP"/>
        </w:rPr>
        <w:t xml:space="preserve"> (ii) </w:t>
      </w:r>
      <w:r w:rsidRPr="000A0694">
        <w:rPr>
          <w:rFonts w:ascii="Arial" w:eastAsia="MS Mincho" w:hAnsi="Arial" w:cs="Arial"/>
          <w:b/>
          <w:bCs/>
          <w:i/>
          <w:lang w:val="es-ES_tradnl" w:eastAsia="ja-JP"/>
        </w:rPr>
        <w:t>Adicionalidad regional</w:t>
      </w:r>
      <w:r w:rsidR="00AC16E6">
        <w:rPr>
          <w:rFonts w:ascii="Arial" w:eastAsia="MS Mincho" w:hAnsi="Arial" w:cs="Arial"/>
          <w:bCs/>
          <w:lang w:val="es-ES_tradnl" w:eastAsia="ja-JP"/>
        </w:rPr>
        <w:t>-</w:t>
      </w:r>
      <w:r w:rsidRPr="000A0694">
        <w:rPr>
          <w:rFonts w:ascii="Arial" w:eastAsia="MS Mincho" w:hAnsi="Arial" w:cs="Arial"/>
          <w:bCs/>
          <w:lang w:val="es-ES_tradnl" w:eastAsia="ja-JP"/>
        </w:rPr>
        <w:t xml:space="preserve"> </w:t>
      </w:r>
      <w:r w:rsidR="00AC16E6">
        <w:rPr>
          <w:rFonts w:ascii="Arial" w:eastAsia="MS Mincho" w:hAnsi="Arial" w:cs="Arial"/>
          <w:bCs/>
          <w:lang w:val="es-ES_tradnl" w:eastAsia="ja-JP"/>
        </w:rPr>
        <w:t xml:space="preserve">la operación </w:t>
      </w:r>
      <w:r w:rsidRPr="000A0694">
        <w:rPr>
          <w:rFonts w:ascii="Arial" w:eastAsia="MS Mincho" w:hAnsi="Arial" w:cs="Arial"/>
          <w:bCs/>
          <w:lang w:val="es-ES_tradnl" w:eastAsia="ja-JP"/>
        </w:rPr>
        <w:t>incorpora objetivos internacionales y/o de cooperación re</w:t>
      </w:r>
      <w:r w:rsidR="00AC16E6">
        <w:rPr>
          <w:rFonts w:ascii="Arial" w:eastAsia="MS Mincho" w:hAnsi="Arial" w:cs="Arial"/>
          <w:bCs/>
          <w:lang w:val="es-ES_tradnl" w:eastAsia="ja-JP"/>
        </w:rPr>
        <w:t>gional</w:t>
      </w:r>
      <w:r>
        <w:rPr>
          <w:rFonts w:ascii="Arial" w:eastAsia="MS Mincho" w:hAnsi="Arial" w:cs="Arial"/>
          <w:bCs/>
          <w:lang w:val="es-ES_tradnl" w:eastAsia="ja-JP"/>
        </w:rPr>
        <w:t xml:space="preserve"> a</w:t>
      </w:r>
      <w:r w:rsidR="00AC16E6">
        <w:rPr>
          <w:rFonts w:ascii="Arial" w:eastAsia="MS Mincho" w:hAnsi="Arial" w:cs="Arial"/>
          <w:bCs/>
          <w:lang w:val="es-ES_tradnl" w:eastAsia="ja-JP"/>
        </w:rPr>
        <w:t>l</w:t>
      </w:r>
      <w:r>
        <w:rPr>
          <w:rFonts w:ascii="Arial" w:eastAsia="MS Mincho" w:hAnsi="Arial" w:cs="Arial"/>
          <w:bCs/>
          <w:lang w:val="es-ES_tradnl" w:eastAsia="ja-JP"/>
        </w:rPr>
        <w:t xml:space="preserve"> </w:t>
      </w:r>
      <w:r w:rsidR="00AC16E6">
        <w:rPr>
          <w:rFonts w:ascii="Arial" w:eastAsia="MS Mincho" w:hAnsi="Arial" w:cs="Arial"/>
          <w:bCs/>
          <w:lang w:val="es-ES_tradnl" w:eastAsia="ja-JP"/>
        </w:rPr>
        <w:t xml:space="preserve">proponerse </w:t>
      </w:r>
      <w:r w:rsidRPr="000A0694">
        <w:rPr>
          <w:rFonts w:ascii="Arial" w:eastAsia="MS Mincho" w:hAnsi="Arial" w:cs="Arial"/>
          <w:bCs/>
          <w:lang w:val="es-ES_tradnl" w:eastAsia="ja-JP"/>
        </w:rPr>
        <w:t xml:space="preserve">reducir los cuellos de botella que </w:t>
      </w:r>
      <w:r>
        <w:rPr>
          <w:rFonts w:ascii="Arial" w:eastAsia="MS Mincho" w:hAnsi="Arial" w:cs="Arial"/>
          <w:bCs/>
          <w:lang w:val="es-ES_tradnl" w:eastAsia="ja-JP"/>
        </w:rPr>
        <w:t>limitan</w:t>
      </w:r>
      <w:r w:rsidRPr="000A0694">
        <w:rPr>
          <w:rFonts w:ascii="Arial" w:eastAsia="MS Mincho" w:hAnsi="Arial" w:cs="Arial"/>
          <w:bCs/>
          <w:lang w:val="es-ES_tradnl" w:eastAsia="ja-JP"/>
        </w:rPr>
        <w:t xml:space="preserve"> capacidad de transporte </w:t>
      </w:r>
      <w:r w:rsidR="00AC16E6">
        <w:rPr>
          <w:rFonts w:ascii="Arial" w:eastAsia="MS Mincho" w:hAnsi="Arial" w:cs="Arial"/>
          <w:bCs/>
          <w:lang w:val="es-ES_tradnl" w:eastAsia="ja-JP"/>
        </w:rPr>
        <w:t xml:space="preserve">del SIEPAC </w:t>
      </w:r>
      <w:r>
        <w:rPr>
          <w:rFonts w:ascii="Arial" w:eastAsia="MS Mincho" w:hAnsi="Arial" w:cs="Arial"/>
          <w:bCs/>
          <w:lang w:val="es-ES_tradnl" w:eastAsia="ja-JP"/>
        </w:rPr>
        <w:t>para llevar a cabo intercambios de energía</w:t>
      </w:r>
      <w:r w:rsidRPr="000A0694">
        <w:rPr>
          <w:rFonts w:ascii="Arial" w:eastAsia="MS Mincho" w:hAnsi="Arial" w:cs="Arial"/>
          <w:bCs/>
          <w:lang w:val="es-ES_tradnl" w:eastAsia="ja-JP"/>
        </w:rPr>
        <w:t xml:space="preserve">. </w:t>
      </w:r>
      <w:r>
        <w:rPr>
          <w:rFonts w:ascii="Arial" w:eastAsia="MS Mincho" w:hAnsi="Arial" w:cs="Arial"/>
          <w:bCs/>
          <w:lang w:val="es-ES_tradnl" w:eastAsia="ja-JP"/>
        </w:rPr>
        <w:t>El</w:t>
      </w:r>
      <w:r w:rsidRPr="000A0694">
        <w:rPr>
          <w:rFonts w:ascii="Arial" w:eastAsia="MS Mincho" w:hAnsi="Arial" w:cs="Arial"/>
          <w:bCs/>
          <w:lang w:val="es-ES_tradnl" w:eastAsia="ja-JP"/>
        </w:rPr>
        <w:t xml:space="preserve"> alcance de la operación apoya de manera simultánea </w:t>
      </w:r>
      <w:r w:rsidR="00AC16E6">
        <w:rPr>
          <w:rFonts w:ascii="Arial" w:eastAsia="MS Mincho" w:hAnsi="Arial" w:cs="Arial"/>
          <w:bCs/>
          <w:lang w:val="es-ES_tradnl" w:eastAsia="ja-JP"/>
        </w:rPr>
        <w:t xml:space="preserve">a </w:t>
      </w:r>
      <w:r>
        <w:rPr>
          <w:rFonts w:ascii="Arial" w:eastAsia="MS Mincho" w:hAnsi="Arial" w:cs="Arial"/>
          <w:bCs/>
          <w:lang w:val="es-ES_tradnl" w:eastAsia="ja-JP"/>
        </w:rPr>
        <w:t xml:space="preserve">los países que participan en el MER e intercambian energía a través de la infraestructura del SIEPAC. </w:t>
      </w:r>
    </w:p>
    <w:p w14:paraId="0DDFC03F" w14:textId="16B521F7" w:rsidR="00521685" w:rsidRDefault="00521685" w:rsidP="00521685">
      <w:pPr>
        <w:numPr>
          <w:ilvl w:val="1"/>
          <w:numId w:val="2"/>
        </w:numPr>
        <w:autoSpaceDE w:val="0"/>
        <w:autoSpaceDN w:val="0"/>
        <w:adjustRightInd w:val="0"/>
        <w:spacing w:after="120" w:line="240" w:lineRule="auto"/>
        <w:ind w:left="547" w:hanging="547"/>
        <w:jc w:val="both"/>
        <w:rPr>
          <w:rFonts w:ascii="Arial" w:hAnsi="Arial" w:cs="Arial"/>
          <w:b/>
          <w:lang w:val="es-ES_tradnl"/>
        </w:rPr>
      </w:pPr>
      <w:r w:rsidRPr="006D3CA5">
        <w:rPr>
          <w:rFonts w:ascii="Arial" w:hAnsi="Arial" w:cs="Arial"/>
          <w:lang w:val="es-ES_tradnl"/>
        </w:rPr>
        <w:lastRenderedPageBreak/>
        <w:t xml:space="preserve">De otra parte, las actividades que apoyan la integración y cooperación regional, globales y regionales se pueden clasificar en tres grandes ámbitos principales: </w:t>
      </w:r>
      <w:r w:rsidR="006D3CA5" w:rsidRPr="006D3CA5">
        <w:rPr>
          <w:rFonts w:ascii="Arial" w:hAnsi="Arial" w:cs="Arial"/>
          <w:lang w:val="es-ES_tradnl"/>
        </w:rPr>
        <w:t>(</w:t>
      </w:r>
      <w:r w:rsidRPr="006D3CA5">
        <w:rPr>
          <w:rFonts w:ascii="Arial" w:hAnsi="Arial" w:cs="Arial"/>
          <w:lang w:val="es-ES_tradnl"/>
        </w:rPr>
        <w:t xml:space="preserve">i) Infraestructura; </w:t>
      </w:r>
      <w:r w:rsidR="006D3CA5" w:rsidRPr="006D3CA5">
        <w:rPr>
          <w:rFonts w:ascii="Arial" w:hAnsi="Arial" w:cs="Arial"/>
          <w:lang w:val="es-ES_tradnl"/>
        </w:rPr>
        <w:t>(</w:t>
      </w:r>
      <w:r w:rsidRPr="006D3CA5">
        <w:rPr>
          <w:rFonts w:ascii="Arial" w:hAnsi="Arial" w:cs="Arial"/>
          <w:lang w:val="es-ES_tradnl"/>
        </w:rPr>
        <w:t xml:space="preserve">ii) Fortalecimiento institucional y desarrollo de la capacidad y; </w:t>
      </w:r>
      <w:r w:rsidR="006D3CA5" w:rsidRPr="006D3CA5">
        <w:rPr>
          <w:rFonts w:ascii="Arial" w:hAnsi="Arial" w:cs="Arial"/>
          <w:lang w:val="es-ES_tradnl"/>
        </w:rPr>
        <w:t>(</w:t>
      </w:r>
      <w:r w:rsidRPr="006D3CA5">
        <w:rPr>
          <w:rFonts w:ascii="Arial" w:hAnsi="Arial" w:cs="Arial"/>
          <w:lang w:val="es-ES_tradnl"/>
        </w:rPr>
        <w:t xml:space="preserve">iii) Cooperación funcional y bienes públicos regionales. De acuerdo a los componentes descritos en la propuesta de préstamo, la operación se clasifica dentro del ámbito de </w:t>
      </w:r>
      <w:r w:rsidRPr="006D3CA5">
        <w:rPr>
          <w:rFonts w:ascii="Arial" w:hAnsi="Arial" w:cs="Arial"/>
          <w:b/>
          <w:lang w:val="es-ES_tradnl"/>
        </w:rPr>
        <w:t>Infraestructura.</w:t>
      </w:r>
    </w:p>
    <w:p w14:paraId="5BDEDD18" w14:textId="77777777" w:rsidR="00521685" w:rsidRPr="006D3CA5" w:rsidRDefault="00521685" w:rsidP="00521685">
      <w:pPr>
        <w:pStyle w:val="Heading1"/>
        <w:rPr>
          <w:rFonts w:ascii="Times New Roman" w:hAnsi="Times New Roman" w:cs="Times New Roman"/>
          <w:sz w:val="22"/>
          <w:szCs w:val="22"/>
          <w:lang w:val="es-ES_tradnl"/>
        </w:rPr>
      </w:pPr>
    </w:p>
    <w:p w14:paraId="2579F80A" w14:textId="77777777" w:rsidR="005D6D47" w:rsidRPr="009B52D9" w:rsidRDefault="005D6D47" w:rsidP="00521685">
      <w:pPr>
        <w:rPr>
          <w:lang w:val="es-ES_tradnl"/>
        </w:rPr>
      </w:pPr>
    </w:p>
    <w:sectPr w:rsidR="005D6D47" w:rsidRPr="009B52D9" w:rsidSect="00F468A2">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11BA40" w14:textId="77777777" w:rsidR="00BD4B77" w:rsidRDefault="00BD4B77" w:rsidP="0064148C">
      <w:pPr>
        <w:spacing w:after="0" w:line="240" w:lineRule="auto"/>
      </w:pPr>
      <w:r>
        <w:separator/>
      </w:r>
    </w:p>
  </w:endnote>
  <w:endnote w:type="continuationSeparator" w:id="0">
    <w:p w14:paraId="5A8D8BC4" w14:textId="77777777" w:rsidR="00BD4B77" w:rsidRDefault="00BD4B77" w:rsidP="006414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0438470"/>
      <w:docPartObj>
        <w:docPartGallery w:val="Page Numbers (Bottom of Page)"/>
        <w:docPartUnique/>
      </w:docPartObj>
    </w:sdtPr>
    <w:sdtEndPr>
      <w:rPr>
        <w:noProof/>
      </w:rPr>
    </w:sdtEndPr>
    <w:sdtContent>
      <w:p w14:paraId="0C2B7CE6" w14:textId="277CDC71" w:rsidR="00FF5FA3" w:rsidRDefault="00FF5FA3">
        <w:pPr>
          <w:pStyle w:val="Footer"/>
          <w:jc w:val="center"/>
        </w:pPr>
        <w:r>
          <w:fldChar w:fldCharType="begin"/>
        </w:r>
        <w:r>
          <w:instrText xml:space="preserve"> PAGE   \* MERGEFORMAT </w:instrText>
        </w:r>
        <w:r>
          <w:fldChar w:fldCharType="separate"/>
        </w:r>
        <w:r w:rsidR="00D55EC6">
          <w:rPr>
            <w:noProof/>
          </w:rPr>
          <w:t>4</w:t>
        </w:r>
        <w:r>
          <w:rPr>
            <w:noProof/>
          </w:rPr>
          <w:fldChar w:fldCharType="end"/>
        </w:r>
      </w:p>
    </w:sdtContent>
  </w:sdt>
  <w:p w14:paraId="7B6338D3" w14:textId="77777777" w:rsidR="00FF5FA3" w:rsidRDefault="00FF5F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09A989" w14:textId="77777777" w:rsidR="00BD4B77" w:rsidRDefault="00BD4B77" w:rsidP="0064148C">
      <w:pPr>
        <w:spacing w:after="0" w:line="240" w:lineRule="auto"/>
      </w:pPr>
      <w:r>
        <w:separator/>
      </w:r>
    </w:p>
  </w:footnote>
  <w:footnote w:type="continuationSeparator" w:id="0">
    <w:p w14:paraId="42A8CD76" w14:textId="77777777" w:rsidR="00BD4B77" w:rsidRDefault="00BD4B77" w:rsidP="0064148C">
      <w:pPr>
        <w:spacing w:after="0" w:line="240" w:lineRule="auto"/>
      </w:pPr>
      <w:r>
        <w:continuationSeparator/>
      </w:r>
    </w:p>
  </w:footnote>
  <w:footnote w:id="1">
    <w:p w14:paraId="5D4EB92C" w14:textId="063B22D1" w:rsidR="003627B7" w:rsidRPr="00D76ACD" w:rsidRDefault="003627B7">
      <w:pPr>
        <w:pStyle w:val="FootnoteText"/>
        <w:rPr>
          <w:rFonts w:ascii="Arial" w:hAnsi="Arial" w:cs="Arial"/>
          <w:sz w:val="18"/>
          <w:lang w:val="es-ES_tradnl"/>
        </w:rPr>
      </w:pPr>
      <w:r w:rsidRPr="00D76ACD">
        <w:rPr>
          <w:rStyle w:val="FootnoteReference"/>
          <w:rFonts w:ascii="Arial" w:hAnsi="Arial" w:cs="Arial"/>
          <w:sz w:val="18"/>
        </w:rPr>
        <w:footnoteRef/>
      </w:r>
      <w:r w:rsidRPr="00D76ACD">
        <w:rPr>
          <w:rFonts w:ascii="Arial" w:hAnsi="Arial" w:cs="Arial"/>
          <w:sz w:val="18"/>
          <w:lang w:val="es-ES_tradnl"/>
        </w:rPr>
        <w:t xml:space="preserve"> Contribuye a un objetivo relacionado con la inserción del sector público o privado en la economía regional o mundial</w:t>
      </w:r>
    </w:p>
  </w:footnote>
  <w:footnote w:id="2">
    <w:p w14:paraId="14E39637" w14:textId="76BFB2D5" w:rsidR="003627B7" w:rsidRPr="0066176B" w:rsidRDefault="003627B7">
      <w:pPr>
        <w:pStyle w:val="FootnoteText"/>
        <w:rPr>
          <w:lang w:val="es-ES_tradnl"/>
        </w:rPr>
      </w:pPr>
      <w:r w:rsidRPr="00D76ACD">
        <w:rPr>
          <w:rStyle w:val="FootnoteReference"/>
          <w:rFonts w:ascii="Arial" w:hAnsi="Arial" w:cs="Arial"/>
          <w:sz w:val="18"/>
        </w:rPr>
        <w:footnoteRef/>
      </w:r>
      <w:r w:rsidRPr="0066176B">
        <w:rPr>
          <w:rFonts w:ascii="Arial" w:hAnsi="Arial" w:cs="Arial"/>
          <w:sz w:val="18"/>
          <w:lang w:val="es-ES_tradnl"/>
        </w:rPr>
        <w:t xml:space="preserve"> Contribuye al objetivo de apoyar simultáneamente a varios países a la vez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AF4593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52A3919"/>
    <w:multiLevelType w:val="hybridMultilevel"/>
    <w:tmpl w:val="000C2130"/>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 w15:restartNumberingAfterBreak="0">
    <w:nsid w:val="055E050A"/>
    <w:multiLevelType w:val="hybridMultilevel"/>
    <w:tmpl w:val="1BCCA2B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E32441"/>
    <w:multiLevelType w:val="hybridMultilevel"/>
    <w:tmpl w:val="166EC0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89000B9"/>
    <w:multiLevelType w:val="multilevel"/>
    <w:tmpl w:val="31D6701C"/>
    <w:lvl w:ilvl="0">
      <w:start w:val="1"/>
      <w:numFmt w:val="decimal"/>
      <w:lvlText w:val="%1"/>
      <w:lvlJc w:val="left"/>
      <w:pPr>
        <w:ind w:left="420" w:hanging="420"/>
      </w:pPr>
      <w:rPr>
        <w:rFonts w:hint="default"/>
        <w:u w:val="single"/>
      </w:rPr>
    </w:lvl>
    <w:lvl w:ilvl="1">
      <w:start w:val="1"/>
      <w:numFmt w:val="decimal"/>
      <w:lvlText w:val="%1.%2"/>
      <w:lvlJc w:val="left"/>
      <w:pPr>
        <w:ind w:left="780" w:hanging="420"/>
      </w:pPr>
      <w:rPr>
        <w:rFonts w:hint="default"/>
        <w:b w:val="0"/>
        <w:sz w:val="24"/>
        <w:u w:val="none"/>
      </w:rPr>
    </w:lvl>
    <w:lvl w:ilvl="2">
      <w:start w:val="1"/>
      <w:numFmt w:val="decimal"/>
      <w:lvlText w:val="%1.%2.%3"/>
      <w:lvlJc w:val="left"/>
      <w:pPr>
        <w:ind w:left="1440" w:hanging="720"/>
      </w:pPr>
      <w:rPr>
        <w:rFonts w:hint="default"/>
        <w:u w:val="single"/>
      </w:rPr>
    </w:lvl>
    <w:lvl w:ilvl="3">
      <w:start w:val="1"/>
      <w:numFmt w:val="decimal"/>
      <w:lvlText w:val="%1.%2.%3.%4"/>
      <w:lvlJc w:val="left"/>
      <w:pPr>
        <w:ind w:left="1800" w:hanging="720"/>
      </w:pPr>
      <w:rPr>
        <w:rFonts w:hint="default"/>
        <w:u w:val="single"/>
      </w:rPr>
    </w:lvl>
    <w:lvl w:ilvl="4">
      <w:start w:val="1"/>
      <w:numFmt w:val="decimal"/>
      <w:lvlText w:val="%1.%2.%3.%4.%5"/>
      <w:lvlJc w:val="left"/>
      <w:pPr>
        <w:ind w:left="2520" w:hanging="1080"/>
      </w:pPr>
      <w:rPr>
        <w:rFonts w:hint="default"/>
        <w:u w:val="single"/>
      </w:rPr>
    </w:lvl>
    <w:lvl w:ilvl="5">
      <w:start w:val="1"/>
      <w:numFmt w:val="decimal"/>
      <w:lvlText w:val="%1.%2.%3.%4.%5.%6"/>
      <w:lvlJc w:val="left"/>
      <w:pPr>
        <w:ind w:left="2880" w:hanging="108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3960" w:hanging="1440"/>
      </w:pPr>
      <w:rPr>
        <w:rFonts w:hint="default"/>
        <w:u w:val="single"/>
      </w:rPr>
    </w:lvl>
    <w:lvl w:ilvl="8">
      <w:start w:val="1"/>
      <w:numFmt w:val="decimal"/>
      <w:lvlText w:val="%1.%2.%3.%4.%5.%6.%7.%8.%9"/>
      <w:lvlJc w:val="left"/>
      <w:pPr>
        <w:ind w:left="4680" w:hanging="1800"/>
      </w:pPr>
      <w:rPr>
        <w:rFonts w:hint="default"/>
        <w:u w:val="single"/>
      </w:rPr>
    </w:lvl>
  </w:abstractNum>
  <w:abstractNum w:abstractNumId="5" w15:restartNumberingAfterBreak="0">
    <w:nsid w:val="221834D3"/>
    <w:multiLevelType w:val="hybridMultilevel"/>
    <w:tmpl w:val="A26A5F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30D5018"/>
    <w:multiLevelType w:val="hybridMultilevel"/>
    <w:tmpl w:val="C930E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562F6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8FC7DC0"/>
    <w:multiLevelType w:val="multilevel"/>
    <w:tmpl w:val="4E20B7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2E942E55"/>
    <w:multiLevelType w:val="multilevel"/>
    <w:tmpl w:val="790C5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00D2DDB"/>
    <w:multiLevelType w:val="multilevel"/>
    <w:tmpl w:val="4E20B7F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1" w15:restartNumberingAfterBreak="0">
    <w:nsid w:val="31AE1EE1"/>
    <w:multiLevelType w:val="hybridMultilevel"/>
    <w:tmpl w:val="C6F2B04A"/>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hint="default"/>
      </w:rPr>
    </w:lvl>
    <w:lvl w:ilvl="6" w:tplc="040A0001">
      <w:start w:val="1"/>
      <w:numFmt w:val="bullet"/>
      <w:lvlText w:val=""/>
      <w:lvlJc w:val="left"/>
      <w:pPr>
        <w:ind w:left="5040" w:hanging="360"/>
      </w:pPr>
      <w:rPr>
        <w:rFonts w:ascii="Symbol" w:hAnsi="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hint="default"/>
      </w:rPr>
    </w:lvl>
  </w:abstractNum>
  <w:abstractNum w:abstractNumId="12" w15:restartNumberingAfterBreak="0">
    <w:nsid w:val="37852BFA"/>
    <w:multiLevelType w:val="multilevel"/>
    <w:tmpl w:val="BAEA2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8EB3B93"/>
    <w:multiLevelType w:val="hybridMultilevel"/>
    <w:tmpl w:val="72129D06"/>
    <w:lvl w:ilvl="0" w:tplc="DE7E12BE">
      <w:start w:val="1"/>
      <w:numFmt w:val="decimal"/>
      <w:lvlText w:val="%1)"/>
      <w:lvlJc w:val="left"/>
      <w:pPr>
        <w:ind w:left="2070" w:hanging="360"/>
      </w:pPr>
      <w:rPr>
        <w:rFonts w:hint="default"/>
        <w:i w:val="0"/>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4" w15:restartNumberingAfterBreak="0">
    <w:nsid w:val="3A440BFA"/>
    <w:multiLevelType w:val="hybridMultilevel"/>
    <w:tmpl w:val="57A01D8C"/>
    <w:lvl w:ilvl="0" w:tplc="0C2649C2">
      <w:start w:val="1"/>
      <w:numFmt w:val="bullet"/>
      <w:lvlText w:val="•"/>
      <w:lvlJc w:val="left"/>
      <w:pPr>
        <w:tabs>
          <w:tab w:val="num" w:pos="720"/>
        </w:tabs>
        <w:ind w:left="720" w:hanging="360"/>
      </w:pPr>
      <w:rPr>
        <w:rFonts w:ascii="Arial" w:hAnsi="Arial" w:hint="default"/>
      </w:rPr>
    </w:lvl>
    <w:lvl w:ilvl="1" w:tplc="2E46931E" w:tentative="1">
      <w:start w:val="1"/>
      <w:numFmt w:val="bullet"/>
      <w:lvlText w:val="•"/>
      <w:lvlJc w:val="left"/>
      <w:pPr>
        <w:tabs>
          <w:tab w:val="num" w:pos="1440"/>
        </w:tabs>
        <w:ind w:left="1440" w:hanging="360"/>
      </w:pPr>
      <w:rPr>
        <w:rFonts w:ascii="Arial" w:hAnsi="Arial" w:hint="default"/>
      </w:rPr>
    </w:lvl>
    <w:lvl w:ilvl="2" w:tplc="6B44911C" w:tentative="1">
      <w:start w:val="1"/>
      <w:numFmt w:val="bullet"/>
      <w:lvlText w:val="•"/>
      <w:lvlJc w:val="left"/>
      <w:pPr>
        <w:tabs>
          <w:tab w:val="num" w:pos="2160"/>
        </w:tabs>
        <w:ind w:left="2160" w:hanging="360"/>
      </w:pPr>
      <w:rPr>
        <w:rFonts w:ascii="Arial" w:hAnsi="Arial" w:hint="default"/>
      </w:rPr>
    </w:lvl>
    <w:lvl w:ilvl="3" w:tplc="4C8876B4" w:tentative="1">
      <w:start w:val="1"/>
      <w:numFmt w:val="bullet"/>
      <w:lvlText w:val="•"/>
      <w:lvlJc w:val="left"/>
      <w:pPr>
        <w:tabs>
          <w:tab w:val="num" w:pos="2880"/>
        </w:tabs>
        <w:ind w:left="2880" w:hanging="360"/>
      </w:pPr>
      <w:rPr>
        <w:rFonts w:ascii="Arial" w:hAnsi="Arial" w:hint="default"/>
      </w:rPr>
    </w:lvl>
    <w:lvl w:ilvl="4" w:tplc="3E50D44E" w:tentative="1">
      <w:start w:val="1"/>
      <w:numFmt w:val="bullet"/>
      <w:lvlText w:val="•"/>
      <w:lvlJc w:val="left"/>
      <w:pPr>
        <w:tabs>
          <w:tab w:val="num" w:pos="3600"/>
        </w:tabs>
        <w:ind w:left="3600" w:hanging="360"/>
      </w:pPr>
      <w:rPr>
        <w:rFonts w:ascii="Arial" w:hAnsi="Arial" w:hint="default"/>
      </w:rPr>
    </w:lvl>
    <w:lvl w:ilvl="5" w:tplc="5E16E3D0" w:tentative="1">
      <w:start w:val="1"/>
      <w:numFmt w:val="bullet"/>
      <w:lvlText w:val="•"/>
      <w:lvlJc w:val="left"/>
      <w:pPr>
        <w:tabs>
          <w:tab w:val="num" w:pos="4320"/>
        </w:tabs>
        <w:ind w:left="4320" w:hanging="360"/>
      </w:pPr>
      <w:rPr>
        <w:rFonts w:ascii="Arial" w:hAnsi="Arial" w:hint="default"/>
      </w:rPr>
    </w:lvl>
    <w:lvl w:ilvl="6" w:tplc="410E0970" w:tentative="1">
      <w:start w:val="1"/>
      <w:numFmt w:val="bullet"/>
      <w:lvlText w:val="•"/>
      <w:lvlJc w:val="left"/>
      <w:pPr>
        <w:tabs>
          <w:tab w:val="num" w:pos="5040"/>
        </w:tabs>
        <w:ind w:left="5040" w:hanging="360"/>
      </w:pPr>
      <w:rPr>
        <w:rFonts w:ascii="Arial" w:hAnsi="Arial" w:hint="default"/>
      </w:rPr>
    </w:lvl>
    <w:lvl w:ilvl="7" w:tplc="8D1AA7F2" w:tentative="1">
      <w:start w:val="1"/>
      <w:numFmt w:val="bullet"/>
      <w:lvlText w:val="•"/>
      <w:lvlJc w:val="left"/>
      <w:pPr>
        <w:tabs>
          <w:tab w:val="num" w:pos="5760"/>
        </w:tabs>
        <w:ind w:left="5760" w:hanging="360"/>
      </w:pPr>
      <w:rPr>
        <w:rFonts w:ascii="Arial" w:hAnsi="Arial" w:hint="default"/>
      </w:rPr>
    </w:lvl>
    <w:lvl w:ilvl="8" w:tplc="67E2D43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DE6510F"/>
    <w:multiLevelType w:val="hybridMultilevel"/>
    <w:tmpl w:val="1D12C3CA"/>
    <w:lvl w:ilvl="0" w:tplc="FF9813D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11D3174"/>
    <w:multiLevelType w:val="multilevel"/>
    <w:tmpl w:val="DDC8D62E"/>
    <w:lvl w:ilvl="0">
      <w:start w:val="1"/>
      <w:numFmt w:val="upperRoman"/>
      <w:lvlText w:val="%1."/>
      <w:lvlJc w:val="left"/>
      <w:pPr>
        <w:ind w:left="360" w:hanging="720"/>
      </w:pPr>
    </w:lvl>
    <w:lvl w:ilvl="1">
      <w:start w:val="1"/>
      <w:numFmt w:val="decimal"/>
      <w:isLgl/>
      <w:lvlText w:val="%1.%2"/>
      <w:lvlJc w:val="left"/>
      <w:pPr>
        <w:ind w:left="0" w:hanging="360"/>
      </w:pPr>
      <w:rPr>
        <w:b w:val="0"/>
      </w:rPr>
    </w:lvl>
    <w:lvl w:ilvl="2">
      <w:start w:val="1"/>
      <w:numFmt w:val="lowerRoman"/>
      <w:lvlText w:val="(%3)"/>
      <w:lvlJc w:val="left"/>
      <w:pPr>
        <w:ind w:left="360" w:hanging="720"/>
      </w:pPr>
      <w:rPr>
        <w:rFonts w:hint="default"/>
      </w:rPr>
    </w:lvl>
    <w:lvl w:ilvl="3">
      <w:start w:val="1"/>
      <w:numFmt w:val="decimal"/>
      <w:isLgl/>
      <w:lvlText w:val="%1.%2.%3.%4"/>
      <w:lvlJc w:val="left"/>
      <w:pPr>
        <w:ind w:left="360" w:hanging="720"/>
      </w:pPr>
    </w:lvl>
    <w:lvl w:ilvl="4">
      <w:start w:val="1"/>
      <w:numFmt w:val="decimal"/>
      <w:isLgl/>
      <w:lvlText w:val="%1.%2.%3.%4.%5"/>
      <w:lvlJc w:val="left"/>
      <w:pPr>
        <w:ind w:left="720" w:hanging="1080"/>
      </w:pPr>
    </w:lvl>
    <w:lvl w:ilvl="5">
      <w:start w:val="1"/>
      <w:numFmt w:val="decimal"/>
      <w:isLgl/>
      <w:lvlText w:val="%1.%2.%3.%4.%5.%6"/>
      <w:lvlJc w:val="left"/>
      <w:pPr>
        <w:ind w:left="720" w:hanging="1080"/>
      </w:pPr>
    </w:lvl>
    <w:lvl w:ilvl="6">
      <w:start w:val="1"/>
      <w:numFmt w:val="decimal"/>
      <w:isLgl/>
      <w:lvlText w:val="%1.%2.%3.%4.%5.%6.%7"/>
      <w:lvlJc w:val="left"/>
      <w:pPr>
        <w:ind w:left="1080" w:hanging="1440"/>
      </w:pPr>
    </w:lvl>
    <w:lvl w:ilvl="7">
      <w:start w:val="1"/>
      <w:numFmt w:val="decimal"/>
      <w:isLgl/>
      <w:lvlText w:val="%1.%2.%3.%4.%5.%6.%7.%8"/>
      <w:lvlJc w:val="left"/>
      <w:pPr>
        <w:ind w:left="1080" w:hanging="1440"/>
      </w:pPr>
    </w:lvl>
    <w:lvl w:ilvl="8">
      <w:start w:val="1"/>
      <w:numFmt w:val="decimal"/>
      <w:isLgl/>
      <w:lvlText w:val="%1.%2.%3.%4.%5.%6.%7.%8.%9"/>
      <w:lvlJc w:val="left"/>
      <w:pPr>
        <w:ind w:left="1440" w:hanging="1800"/>
      </w:pPr>
    </w:lvl>
  </w:abstractNum>
  <w:abstractNum w:abstractNumId="17" w15:restartNumberingAfterBreak="0">
    <w:nsid w:val="45157D7E"/>
    <w:multiLevelType w:val="hybridMultilevel"/>
    <w:tmpl w:val="43DCB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E44B88"/>
    <w:multiLevelType w:val="hybridMultilevel"/>
    <w:tmpl w:val="CB724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DF14F86"/>
    <w:multiLevelType w:val="hybridMultilevel"/>
    <w:tmpl w:val="89808D86"/>
    <w:lvl w:ilvl="0" w:tplc="0B5C0DF4">
      <w:start w:val="4"/>
      <w:numFmt w:val="bullet"/>
      <w:lvlText w:val="•"/>
      <w:lvlJc w:val="left"/>
      <w:pPr>
        <w:ind w:left="1080" w:hanging="72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52A4327A"/>
    <w:multiLevelType w:val="hybridMultilevel"/>
    <w:tmpl w:val="8004B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AF21CB"/>
    <w:multiLevelType w:val="hybridMultilevel"/>
    <w:tmpl w:val="EF96D066"/>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2" w15:restartNumberingAfterBreak="0">
    <w:nsid w:val="61473D10"/>
    <w:multiLevelType w:val="hybridMultilevel"/>
    <w:tmpl w:val="A6EE69E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AF2BC8"/>
    <w:multiLevelType w:val="hybridMultilevel"/>
    <w:tmpl w:val="B5BEDC2C"/>
    <w:lvl w:ilvl="0" w:tplc="FF9813D4">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681366B2"/>
    <w:multiLevelType w:val="hybridMultilevel"/>
    <w:tmpl w:val="03C4C22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5" w15:restartNumberingAfterBreak="0">
    <w:nsid w:val="6FAC6D5B"/>
    <w:multiLevelType w:val="multilevel"/>
    <w:tmpl w:val="D7542BDE"/>
    <w:lvl w:ilvl="0">
      <w:start w:val="1"/>
      <w:numFmt w:val="upperRoman"/>
      <w:lvlText w:val="%1."/>
      <w:lvlJc w:val="left"/>
      <w:pPr>
        <w:ind w:left="1080" w:hanging="720"/>
      </w:pPr>
      <w:rPr>
        <w:rFonts w:hint="default"/>
      </w:rPr>
    </w:lvl>
    <w:lvl w:ilvl="1">
      <w:start w:val="1"/>
      <w:numFmt w:val="decimal"/>
      <w:lvlText w:val="%2."/>
      <w:lvlJc w:val="left"/>
      <w:pPr>
        <w:ind w:left="720" w:hanging="360"/>
      </w:pPr>
      <w:rPr>
        <w:rFonts w:hint="default"/>
        <w:b w:val="0"/>
        <w:color w:val="auto"/>
      </w:rPr>
    </w:lvl>
    <w:lvl w:ilvl="2">
      <w:start w:val="1"/>
      <w:numFmt w:val="lowerRoman"/>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22A0016"/>
    <w:multiLevelType w:val="multilevel"/>
    <w:tmpl w:val="DDC8D62E"/>
    <w:lvl w:ilvl="0">
      <w:start w:val="1"/>
      <w:numFmt w:val="upperRoman"/>
      <w:lvlText w:val="%1."/>
      <w:lvlJc w:val="left"/>
      <w:pPr>
        <w:ind w:left="360" w:hanging="720"/>
      </w:pPr>
    </w:lvl>
    <w:lvl w:ilvl="1">
      <w:start w:val="1"/>
      <w:numFmt w:val="decimal"/>
      <w:isLgl/>
      <w:lvlText w:val="%1.%2"/>
      <w:lvlJc w:val="left"/>
      <w:pPr>
        <w:ind w:left="0" w:hanging="360"/>
      </w:pPr>
      <w:rPr>
        <w:b w:val="0"/>
      </w:rPr>
    </w:lvl>
    <w:lvl w:ilvl="2">
      <w:start w:val="1"/>
      <w:numFmt w:val="lowerRoman"/>
      <w:lvlText w:val="(%3)"/>
      <w:lvlJc w:val="left"/>
      <w:pPr>
        <w:ind w:left="360" w:hanging="720"/>
      </w:pPr>
      <w:rPr>
        <w:rFonts w:hint="default"/>
      </w:rPr>
    </w:lvl>
    <w:lvl w:ilvl="3">
      <w:start w:val="1"/>
      <w:numFmt w:val="decimal"/>
      <w:isLgl/>
      <w:lvlText w:val="%1.%2.%3.%4"/>
      <w:lvlJc w:val="left"/>
      <w:pPr>
        <w:ind w:left="360" w:hanging="720"/>
      </w:pPr>
    </w:lvl>
    <w:lvl w:ilvl="4">
      <w:start w:val="1"/>
      <w:numFmt w:val="decimal"/>
      <w:isLgl/>
      <w:lvlText w:val="%1.%2.%3.%4.%5"/>
      <w:lvlJc w:val="left"/>
      <w:pPr>
        <w:ind w:left="720" w:hanging="1080"/>
      </w:pPr>
    </w:lvl>
    <w:lvl w:ilvl="5">
      <w:start w:val="1"/>
      <w:numFmt w:val="decimal"/>
      <w:isLgl/>
      <w:lvlText w:val="%1.%2.%3.%4.%5.%6"/>
      <w:lvlJc w:val="left"/>
      <w:pPr>
        <w:ind w:left="720" w:hanging="1080"/>
      </w:pPr>
    </w:lvl>
    <w:lvl w:ilvl="6">
      <w:start w:val="1"/>
      <w:numFmt w:val="decimal"/>
      <w:isLgl/>
      <w:lvlText w:val="%1.%2.%3.%4.%5.%6.%7"/>
      <w:lvlJc w:val="left"/>
      <w:pPr>
        <w:ind w:left="1080" w:hanging="1440"/>
      </w:pPr>
    </w:lvl>
    <w:lvl w:ilvl="7">
      <w:start w:val="1"/>
      <w:numFmt w:val="decimal"/>
      <w:isLgl/>
      <w:lvlText w:val="%1.%2.%3.%4.%5.%6.%7.%8"/>
      <w:lvlJc w:val="left"/>
      <w:pPr>
        <w:ind w:left="1080" w:hanging="1440"/>
      </w:pPr>
    </w:lvl>
    <w:lvl w:ilvl="8">
      <w:start w:val="1"/>
      <w:numFmt w:val="decimal"/>
      <w:isLgl/>
      <w:lvlText w:val="%1.%2.%3.%4.%5.%6.%7.%8.%9"/>
      <w:lvlJc w:val="left"/>
      <w:pPr>
        <w:ind w:left="1440" w:hanging="1800"/>
      </w:pPr>
    </w:lvl>
  </w:abstractNum>
  <w:abstractNum w:abstractNumId="27" w15:restartNumberingAfterBreak="0">
    <w:nsid w:val="79784702"/>
    <w:multiLevelType w:val="hybridMultilevel"/>
    <w:tmpl w:val="4448F0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9C6EFF"/>
    <w:multiLevelType w:val="hybridMultilevel"/>
    <w:tmpl w:val="E16A5612"/>
    <w:lvl w:ilvl="0" w:tplc="64822F2A">
      <w:start w:val="1"/>
      <w:numFmt w:val="bullet"/>
      <w:lvlText w:val="-"/>
      <w:lvlJc w:val="left"/>
      <w:pPr>
        <w:ind w:left="720" w:hanging="360"/>
      </w:pPr>
      <w:rPr>
        <w:rFonts w:ascii="Arial Narrow" w:eastAsia="Times New Roman" w:hAnsi="Arial Narrow"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9" w15:restartNumberingAfterBreak="0">
    <w:nsid w:val="7CA1110C"/>
    <w:multiLevelType w:val="multilevel"/>
    <w:tmpl w:val="13A26A8C"/>
    <w:lvl w:ilvl="0">
      <w:start w:val="1"/>
      <w:numFmt w:val="decimal"/>
      <w:pStyle w:val="Chapter"/>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1"/>
  </w:num>
  <w:num w:numId="2">
    <w:abstractNumId w:val="26"/>
  </w:num>
  <w:num w:numId="3">
    <w:abstractNumId w:val="27"/>
  </w:num>
  <w:num w:numId="4">
    <w:abstractNumId w:val="15"/>
  </w:num>
  <w:num w:numId="5">
    <w:abstractNumId w:val="3"/>
  </w:num>
  <w:num w:numId="6">
    <w:abstractNumId w:val="29"/>
  </w:num>
  <w:num w:numId="7">
    <w:abstractNumId w:val="9"/>
  </w:num>
  <w:num w:numId="8">
    <w:abstractNumId w:val="12"/>
  </w:num>
  <w:num w:numId="9">
    <w:abstractNumId w:val="4"/>
  </w:num>
  <w:num w:numId="10">
    <w:abstractNumId w:val="23"/>
  </w:num>
  <w:num w:numId="11">
    <w:abstractNumId w:val="18"/>
  </w:num>
  <w:num w:numId="12">
    <w:abstractNumId w:val="25"/>
  </w:num>
  <w:num w:numId="13">
    <w:abstractNumId w:val="13"/>
  </w:num>
  <w:num w:numId="14">
    <w:abstractNumId w:val="22"/>
  </w:num>
  <w:num w:numId="15">
    <w:abstractNumId w:val="6"/>
  </w:num>
  <w:num w:numId="16">
    <w:abstractNumId w:val="17"/>
  </w:num>
  <w:num w:numId="17">
    <w:abstractNumId w:val="20"/>
  </w:num>
  <w:num w:numId="18">
    <w:abstractNumId w:val="2"/>
  </w:num>
  <w:num w:numId="19">
    <w:abstractNumId w:val="0"/>
  </w:num>
  <w:num w:numId="20">
    <w:abstractNumId w:val="5"/>
  </w:num>
  <w:num w:numId="21">
    <w:abstractNumId w:val="19"/>
  </w:num>
  <w:num w:numId="22">
    <w:abstractNumId w:val="8"/>
  </w:num>
  <w:num w:numId="23">
    <w:abstractNumId w:val="24"/>
  </w:num>
  <w:num w:numId="24">
    <w:abstractNumId w:val="28"/>
  </w:num>
  <w:num w:numId="25">
    <w:abstractNumId w:val="21"/>
  </w:num>
  <w:num w:numId="26">
    <w:abstractNumId w:val="7"/>
  </w:num>
  <w:num w:numId="27">
    <w:abstractNumId w:val="10"/>
  </w:num>
  <w:num w:numId="28">
    <w:abstractNumId w:val="1"/>
  </w:num>
  <w:num w:numId="29">
    <w:abstractNumId w:val="16"/>
  </w:num>
  <w:num w:numId="30">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48C"/>
    <w:rsid w:val="00001776"/>
    <w:rsid w:val="00004DED"/>
    <w:rsid w:val="0000622F"/>
    <w:rsid w:val="00007357"/>
    <w:rsid w:val="00007E57"/>
    <w:rsid w:val="00014F40"/>
    <w:rsid w:val="00015910"/>
    <w:rsid w:val="00021E74"/>
    <w:rsid w:val="00027346"/>
    <w:rsid w:val="00027A04"/>
    <w:rsid w:val="00030512"/>
    <w:rsid w:val="0003178B"/>
    <w:rsid w:val="00032AED"/>
    <w:rsid w:val="00037010"/>
    <w:rsid w:val="00042D21"/>
    <w:rsid w:val="00044235"/>
    <w:rsid w:val="00045D47"/>
    <w:rsid w:val="00050395"/>
    <w:rsid w:val="00050EF7"/>
    <w:rsid w:val="00051725"/>
    <w:rsid w:val="00055410"/>
    <w:rsid w:val="00062D35"/>
    <w:rsid w:val="00064C3F"/>
    <w:rsid w:val="000766CB"/>
    <w:rsid w:val="00086142"/>
    <w:rsid w:val="000866C7"/>
    <w:rsid w:val="000904EB"/>
    <w:rsid w:val="00090AC8"/>
    <w:rsid w:val="00092FFF"/>
    <w:rsid w:val="000A0694"/>
    <w:rsid w:val="000A6786"/>
    <w:rsid w:val="000B5216"/>
    <w:rsid w:val="000B6F63"/>
    <w:rsid w:val="000B6FA8"/>
    <w:rsid w:val="000B75D1"/>
    <w:rsid w:val="000C0712"/>
    <w:rsid w:val="000C1872"/>
    <w:rsid w:val="000C3AE0"/>
    <w:rsid w:val="000C4AA2"/>
    <w:rsid w:val="000C7B45"/>
    <w:rsid w:val="000D08D2"/>
    <w:rsid w:val="000D0CAA"/>
    <w:rsid w:val="000D1916"/>
    <w:rsid w:val="000D379F"/>
    <w:rsid w:val="000D46AB"/>
    <w:rsid w:val="000D6166"/>
    <w:rsid w:val="000D6B5C"/>
    <w:rsid w:val="000D7514"/>
    <w:rsid w:val="000E0781"/>
    <w:rsid w:val="000F105F"/>
    <w:rsid w:val="000F2A2E"/>
    <w:rsid w:val="000F549E"/>
    <w:rsid w:val="000F59DF"/>
    <w:rsid w:val="00100470"/>
    <w:rsid w:val="0010431D"/>
    <w:rsid w:val="001207DF"/>
    <w:rsid w:val="00121695"/>
    <w:rsid w:val="00122808"/>
    <w:rsid w:val="00126A26"/>
    <w:rsid w:val="0012748A"/>
    <w:rsid w:val="0013005C"/>
    <w:rsid w:val="001312EB"/>
    <w:rsid w:val="001352B8"/>
    <w:rsid w:val="001354BB"/>
    <w:rsid w:val="00135C4E"/>
    <w:rsid w:val="00140487"/>
    <w:rsid w:val="00141D4A"/>
    <w:rsid w:val="00144131"/>
    <w:rsid w:val="00145A6D"/>
    <w:rsid w:val="00161BF3"/>
    <w:rsid w:val="00164232"/>
    <w:rsid w:val="00165FED"/>
    <w:rsid w:val="001672F3"/>
    <w:rsid w:val="0016799C"/>
    <w:rsid w:val="00170556"/>
    <w:rsid w:val="00171E97"/>
    <w:rsid w:val="001738CD"/>
    <w:rsid w:val="00185248"/>
    <w:rsid w:val="0018527E"/>
    <w:rsid w:val="0019456A"/>
    <w:rsid w:val="001A3F9E"/>
    <w:rsid w:val="001A47B1"/>
    <w:rsid w:val="001A4F46"/>
    <w:rsid w:val="001B2D1B"/>
    <w:rsid w:val="001B4689"/>
    <w:rsid w:val="001B50BD"/>
    <w:rsid w:val="001B609D"/>
    <w:rsid w:val="001C030E"/>
    <w:rsid w:val="001C0BD0"/>
    <w:rsid w:val="001C621A"/>
    <w:rsid w:val="001D60A0"/>
    <w:rsid w:val="001D6F07"/>
    <w:rsid w:val="001D75AD"/>
    <w:rsid w:val="001D76F2"/>
    <w:rsid w:val="001E311F"/>
    <w:rsid w:val="001E6844"/>
    <w:rsid w:val="001E71C4"/>
    <w:rsid w:val="001F2C48"/>
    <w:rsid w:val="001F4DED"/>
    <w:rsid w:val="00202008"/>
    <w:rsid w:val="002063F0"/>
    <w:rsid w:val="0020641F"/>
    <w:rsid w:val="0021182B"/>
    <w:rsid w:val="00211AE8"/>
    <w:rsid w:val="00213015"/>
    <w:rsid w:val="002140CD"/>
    <w:rsid w:val="002225BF"/>
    <w:rsid w:val="0022434B"/>
    <w:rsid w:val="00225ACB"/>
    <w:rsid w:val="00233BA8"/>
    <w:rsid w:val="00245F58"/>
    <w:rsid w:val="0025220D"/>
    <w:rsid w:val="002523E5"/>
    <w:rsid w:val="0025288A"/>
    <w:rsid w:val="00255BBC"/>
    <w:rsid w:val="002568F8"/>
    <w:rsid w:val="002576F8"/>
    <w:rsid w:val="00265612"/>
    <w:rsid w:val="0026677F"/>
    <w:rsid w:val="002702D6"/>
    <w:rsid w:val="002707E5"/>
    <w:rsid w:val="00270EE4"/>
    <w:rsid w:val="002754F8"/>
    <w:rsid w:val="0028775E"/>
    <w:rsid w:val="002921A3"/>
    <w:rsid w:val="002949F8"/>
    <w:rsid w:val="00296C73"/>
    <w:rsid w:val="002A0A03"/>
    <w:rsid w:val="002A34EB"/>
    <w:rsid w:val="002A53C4"/>
    <w:rsid w:val="002B54F9"/>
    <w:rsid w:val="002B5605"/>
    <w:rsid w:val="002B764D"/>
    <w:rsid w:val="002B7A03"/>
    <w:rsid w:val="002C1A7E"/>
    <w:rsid w:val="002C21D0"/>
    <w:rsid w:val="002D06AE"/>
    <w:rsid w:val="002D28BA"/>
    <w:rsid w:val="002D3939"/>
    <w:rsid w:val="002D4575"/>
    <w:rsid w:val="002D59AC"/>
    <w:rsid w:val="002E3ADC"/>
    <w:rsid w:val="002E491A"/>
    <w:rsid w:val="002E7FBC"/>
    <w:rsid w:val="002F5698"/>
    <w:rsid w:val="003015B9"/>
    <w:rsid w:val="00303E76"/>
    <w:rsid w:val="0030405A"/>
    <w:rsid w:val="00305ABD"/>
    <w:rsid w:val="00307ECD"/>
    <w:rsid w:val="0031221B"/>
    <w:rsid w:val="00313B84"/>
    <w:rsid w:val="0032594F"/>
    <w:rsid w:val="00327E9B"/>
    <w:rsid w:val="00341026"/>
    <w:rsid w:val="00355972"/>
    <w:rsid w:val="00355FD6"/>
    <w:rsid w:val="003627B7"/>
    <w:rsid w:val="003665E5"/>
    <w:rsid w:val="00371345"/>
    <w:rsid w:val="00374DE7"/>
    <w:rsid w:val="00377AC5"/>
    <w:rsid w:val="003813B5"/>
    <w:rsid w:val="00384073"/>
    <w:rsid w:val="00384953"/>
    <w:rsid w:val="00395548"/>
    <w:rsid w:val="003A28DE"/>
    <w:rsid w:val="003B7057"/>
    <w:rsid w:val="003C2086"/>
    <w:rsid w:val="003C61C9"/>
    <w:rsid w:val="003D2DA0"/>
    <w:rsid w:val="003D45B0"/>
    <w:rsid w:val="003E1D61"/>
    <w:rsid w:val="003E20D6"/>
    <w:rsid w:val="003E7D6D"/>
    <w:rsid w:val="003F038D"/>
    <w:rsid w:val="003F084F"/>
    <w:rsid w:val="003F2F79"/>
    <w:rsid w:val="0040011E"/>
    <w:rsid w:val="00410D63"/>
    <w:rsid w:val="00416A8E"/>
    <w:rsid w:val="0042162C"/>
    <w:rsid w:val="00425BDD"/>
    <w:rsid w:val="00427685"/>
    <w:rsid w:val="00430776"/>
    <w:rsid w:val="00430ACC"/>
    <w:rsid w:val="00432F78"/>
    <w:rsid w:val="00433681"/>
    <w:rsid w:val="00433C93"/>
    <w:rsid w:val="00434B88"/>
    <w:rsid w:val="00441629"/>
    <w:rsid w:val="00444F86"/>
    <w:rsid w:val="004514F5"/>
    <w:rsid w:val="00453652"/>
    <w:rsid w:val="00455BFD"/>
    <w:rsid w:val="00457CD7"/>
    <w:rsid w:val="00463036"/>
    <w:rsid w:val="0046347A"/>
    <w:rsid w:val="00464600"/>
    <w:rsid w:val="00474EA7"/>
    <w:rsid w:val="00475A61"/>
    <w:rsid w:val="00477FC0"/>
    <w:rsid w:val="004802B3"/>
    <w:rsid w:val="00483FC5"/>
    <w:rsid w:val="004872CF"/>
    <w:rsid w:val="004872ED"/>
    <w:rsid w:val="00493D3A"/>
    <w:rsid w:val="004943EA"/>
    <w:rsid w:val="004961B8"/>
    <w:rsid w:val="004A4B79"/>
    <w:rsid w:val="004B4798"/>
    <w:rsid w:val="004C2683"/>
    <w:rsid w:val="004C3FA2"/>
    <w:rsid w:val="004C4416"/>
    <w:rsid w:val="004C73D1"/>
    <w:rsid w:val="004D23F6"/>
    <w:rsid w:val="004E3611"/>
    <w:rsid w:val="004F0EF6"/>
    <w:rsid w:val="004F5060"/>
    <w:rsid w:val="004F68DD"/>
    <w:rsid w:val="004F7C74"/>
    <w:rsid w:val="00500136"/>
    <w:rsid w:val="005013E6"/>
    <w:rsid w:val="00512DA5"/>
    <w:rsid w:val="00517502"/>
    <w:rsid w:val="00517C57"/>
    <w:rsid w:val="00521685"/>
    <w:rsid w:val="00522341"/>
    <w:rsid w:val="00522382"/>
    <w:rsid w:val="0052605E"/>
    <w:rsid w:val="00535823"/>
    <w:rsid w:val="0053658F"/>
    <w:rsid w:val="00542D53"/>
    <w:rsid w:val="00542FDE"/>
    <w:rsid w:val="00545100"/>
    <w:rsid w:val="005466AA"/>
    <w:rsid w:val="00547A5B"/>
    <w:rsid w:val="0055127F"/>
    <w:rsid w:val="005513CA"/>
    <w:rsid w:val="0055427E"/>
    <w:rsid w:val="005546FB"/>
    <w:rsid w:val="00554A9E"/>
    <w:rsid w:val="00554E73"/>
    <w:rsid w:val="00555E7D"/>
    <w:rsid w:val="0055749F"/>
    <w:rsid w:val="00560704"/>
    <w:rsid w:val="00562B0F"/>
    <w:rsid w:val="00571298"/>
    <w:rsid w:val="005736F0"/>
    <w:rsid w:val="00573F7A"/>
    <w:rsid w:val="00577F81"/>
    <w:rsid w:val="005859FC"/>
    <w:rsid w:val="00586EB1"/>
    <w:rsid w:val="00595383"/>
    <w:rsid w:val="005968B5"/>
    <w:rsid w:val="005976EC"/>
    <w:rsid w:val="005A1741"/>
    <w:rsid w:val="005A2804"/>
    <w:rsid w:val="005A2E37"/>
    <w:rsid w:val="005A53C9"/>
    <w:rsid w:val="005B0D83"/>
    <w:rsid w:val="005B31BA"/>
    <w:rsid w:val="005B4A09"/>
    <w:rsid w:val="005C0FD6"/>
    <w:rsid w:val="005D462A"/>
    <w:rsid w:val="005D65F9"/>
    <w:rsid w:val="005D6D47"/>
    <w:rsid w:val="005D7C81"/>
    <w:rsid w:val="005E0604"/>
    <w:rsid w:val="005E0939"/>
    <w:rsid w:val="005E30EA"/>
    <w:rsid w:val="005F4AAB"/>
    <w:rsid w:val="006015BF"/>
    <w:rsid w:val="006053A0"/>
    <w:rsid w:val="00605E7C"/>
    <w:rsid w:val="00610B8B"/>
    <w:rsid w:val="00611959"/>
    <w:rsid w:val="006125DD"/>
    <w:rsid w:val="0061368E"/>
    <w:rsid w:val="0061642C"/>
    <w:rsid w:val="00620319"/>
    <w:rsid w:val="00635813"/>
    <w:rsid w:val="006374EA"/>
    <w:rsid w:val="0064148C"/>
    <w:rsid w:val="00641DAF"/>
    <w:rsid w:val="00644FD0"/>
    <w:rsid w:val="0066176B"/>
    <w:rsid w:val="00667A67"/>
    <w:rsid w:val="006709CC"/>
    <w:rsid w:val="00671446"/>
    <w:rsid w:val="00673BEB"/>
    <w:rsid w:val="00676E7B"/>
    <w:rsid w:val="00682524"/>
    <w:rsid w:val="00682730"/>
    <w:rsid w:val="0068437A"/>
    <w:rsid w:val="006875BC"/>
    <w:rsid w:val="006936C3"/>
    <w:rsid w:val="0069453C"/>
    <w:rsid w:val="006A0711"/>
    <w:rsid w:val="006A11D3"/>
    <w:rsid w:val="006A20BA"/>
    <w:rsid w:val="006A2366"/>
    <w:rsid w:val="006A7702"/>
    <w:rsid w:val="006B2A1A"/>
    <w:rsid w:val="006C0DFA"/>
    <w:rsid w:val="006C449E"/>
    <w:rsid w:val="006C75FF"/>
    <w:rsid w:val="006C7F8E"/>
    <w:rsid w:val="006D3CA5"/>
    <w:rsid w:val="006F2023"/>
    <w:rsid w:val="006F56E0"/>
    <w:rsid w:val="006F6182"/>
    <w:rsid w:val="00701A12"/>
    <w:rsid w:val="007032D2"/>
    <w:rsid w:val="00704708"/>
    <w:rsid w:val="0070612E"/>
    <w:rsid w:val="007100D7"/>
    <w:rsid w:val="00711751"/>
    <w:rsid w:val="00712BAA"/>
    <w:rsid w:val="0071380A"/>
    <w:rsid w:val="007139F9"/>
    <w:rsid w:val="00723295"/>
    <w:rsid w:val="00724451"/>
    <w:rsid w:val="00727716"/>
    <w:rsid w:val="00727B7C"/>
    <w:rsid w:val="007307EF"/>
    <w:rsid w:val="0073184D"/>
    <w:rsid w:val="00733052"/>
    <w:rsid w:val="00733255"/>
    <w:rsid w:val="0074207A"/>
    <w:rsid w:val="00755F01"/>
    <w:rsid w:val="007560B8"/>
    <w:rsid w:val="0075736E"/>
    <w:rsid w:val="00757C79"/>
    <w:rsid w:val="0076102B"/>
    <w:rsid w:val="00761E81"/>
    <w:rsid w:val="0076665B"/>
    <w:rsid w:val="0077328C"/>
    <w:rsid w:val="0077461E"/>
    <w:rsid w:val="00777B56"/>
    <w:rsid w:val="007804F2"/>
    <w:rsid w:val="00781CBF"/>
    <w:rsid w:val="007955C5"/>
    <w:rsid w:val="00795851"/>
    <w:rsid w:val="007A7903"/>
    <w:rsid w:val="007C3F26"/>
    <w:rsid w:val="007C6CF7"/>
    <w:rsid w:val="007D17D9"/>
    <w:rsid w:val="007E194C"/>
    <w:rsid w:val="007E1D52"/>
    <w:rsid w:val="007E4B67"/>
    <w:rsid w:val="007E6910"/>
    <w:rsid w:val="007E742F"/>
    <w:rsid w:val="007E7CC4"/>
    <w:rsid w:val="007F7EB5"/>
    <w:rsid w:val="008237D3"/>
    <w:rsid w:val="00826543"/>
    <w:rsid w:val="00826B6F"/>
    <w:rsid w:val="00840867"/>
    <w:rsid w:val="008421FE"/>
    <w:rsid w:val="0084266F"/>
    <w:rsid w:val="0084385F"/>
    <w:rsid w:val="00844718"/>
    <w:rsid w:val="00844A9D"/>
    <w:rsid w:val="00847F41"/>
    <w:rsid w:val="00861B78"/>
    <w:rsid w:val="00867711"/>
    <w:rsid w:val="00873494"/>
    <w:rsid w:val="008800CC"/>
    <w:rsid w:val="008840F8"/>
    <w:rsid w:val="008867AA"/>
    <w:rsid w:val="00886CBB"/>
    <w:rsid w:val="00887CBE"/>
    <w:rsid w:val="00895005"/>
    <w:rsid w:val="00897388"/>
    <w:rsid w:val="008A0C79"/>
    <w:rsid w:val="008A1A00"/>
    <w:rsid w:val="008A3CB9"/>
    <w:rsid w:val="008A489C"/>
    <w:rsid w:val="008A63C7"/>
    <w:rsid w:val="008A6EF3"/>
    <w:rsid w:val="008A7563"/>
    <w:rsid w:val="008A7AA9"/>
    <w:rsid w:val="008B327F"/>
    <w:rsid w:val="008B75CC"/>
    <w:rsid w:val="008C0E32"/>
    <w:rsid w:val="008C1268"/>
    <w:rsid w:val="008C19CF"/>
    <w:rsid w:val="008C3959"/>
    <w:rsid w:val="008D0278"/>
    <w:rsid w:val="008D15DA"/>
    <w:rsid w:val="008D5787"/>
    <w:rsid w:val="008D6FAE"/>
    <w:rsid w:val="008E1285"/>
    <w:rsid w:val="008E2111"/>
    <w:rsid w:val="008E420C"/>
    <w:rsid w:val="008F097E"/>
    <w:rsid w:val="008F1482"/>
    <w:rsid w:val="008F19E7"/>
    <w:rsid w:val="00900671"/>
    <w:rsid w:val="00914798"/>
    <w:rsid w:val="00924B5A"/>
    <w:rsid w:val="00927721"/>
    <w:rsid w:val="00927BC6"/>
    <w:rsid w:val="009346B4"/>
    <w:rsid w:val="00936CA7"/>
    <w:rsid w:val="00936F1C"/>
    <w:rsid w:val="009401DA"/>
    <w:rsid w:val="0094109B"/>
    <w:rsid w:val="0094269D"/>
    <w:rsid w:val="00945916"/>
    <w:rsid w:val="00946670"/>
    <w:rsid w:val="0095215E"/>
    <w:rsid w:val="00952FF7"/>
    <w:rsid w:val="009566B2"/>
    <w:rsid w:val="0095744C"/>
    <w:rsid w:val="00961C6D"/>
    <w:rsid w:val="0096573D"/>
    <w:rsid w:val="009724B0"/>
    <w:rsid w:val="00973A37"/>
    <w:rsid w:val="0098114A"/>
    <w:rsid w:val="00983AC3"/>
    <w:rsid w:val="00984C7A"/>
    <w:rsid w:val="00985B86"/>
    <w:rsid w:val="00985C23"/>
    <w:rsid w:val="00985EC5"/>
    <w:rsid w:val="009866DA"/>
    <w:rsid w:val="009A15C5"/>
    <w:rsid w:val="009A2DFA"/>
    <w:rsid w:val="009A631C"/>
    <w:rsid w:val="009A6458"/>
    <w:rsid w:val="009B1829"/>
    <w:rsid w:val="009B18B6"/>
    <w:rsid w:val="009B27A8"/>
    <w:rsid w:val="009B52D9"/>
    <w:rsid w:val="009B5781"/>
    <w:rsid w:val="009C07B8"/>
    <w:rsid w:val="009C3CB9"/>
    <w:rsid w:val="009C7401"/>
    <w:rsid w:val="009D59C6"/>
    <w:rsid w:val="009E1F0E"/>
    <w:rsid w:val="009E3255"/>
    <w:rsid w:val="009F0CFD"/>
    <w:rsid w:val="009F18F0"/>
    <w:rsid w:val="00A01A3E"/>
    <w:rsid w:val="00A0478E"/>
    <w:rsid w:val="00A07596"/>
    <w:rsid w:val="00A1060E"/>
    <w:rsid w:val="00A11807"/>
    <w:rsid w:val="00A118E6"/>
    <w:rsid w:val="00A12706"/>
    <w:rsid w:val="00A1501D"/>
    <w:rsid w:val="00A204D7"/>
    <w:rsid w:val="00A2150C"/>
    <w:rsid w:val="00A22846"/>
    <w:rsid w:val="00A23470"/>
    <w:rsid w:val="00A3562F"/>
    <w:rsid w:val="00A364FB"/>
    <w:rsid w:val="00A40AF1"/>
    <w:rsid w:val="00A41E4A"/>
    <w:rsid w:val="00A436EE"/>
    <w:rsid w:val="00A543A2"/>
    <w:rsid w:val="00A56C08"/>
    <w:rsid w:val="00A60B98"/>
    <w:rsid w:val="00A60ED5"/>
    <w:rsid w:val="00A6133B"/>
    <w:rsid w:val="00A624B9"/>
    <w:rsid w:val="00A666EE"/>
    <w:rsid w:val="00A6672A"/>
    <w:rsid w:val="00A719CA"/>
    <w:rsid w:val="00A71DC0"/>
    <w:rsid w:val="00A73A4B"/>
    <w:rsid w:val="00A77A82"/>
    <w:rsid w:val="00A820DF"/>
    <w:rsid w:val="00A85F57"/>
    <w:rsid w:val="00A87983"/>
    <w:rsid w:val="00A90A1E"/>
    <w:rsid w:val="00A92662"/>
    <w:rsid w:val="00AA1F26"/>
    <w:rsid w:val="00AA2750"/>
    <w:rsid w:val="00AA694A"/>
    <w:rsid w:val="00AB111A"/>
    <w:rsid w:val="00AB77AD"/>
    <w:rsid w:val="00AC16E6"/>
    <w:rsid w:val="00AC1BDE"/>
    <w:rsid w:val="00AC5605"/>
    <w:rsid w:val="00AC6FE3"/>
    <w:rsid w:val="00AC7AEF"/>
    <w:rsid w:val="00AD5E18"/>
    <w:rsid w:val="00AE069A"/>
    <w:rsid w:val="00AE0D78"/>
    <w:rsid w:val="00AE6A4A"/>
    <w:rsid w:val="00AF5421"/>
    <w:rsid w:val="00AF5A40"/>
    <w:rsid w:val="00B013D1"/>
    <w:rsid w:val="00B04B8B"/>
    <w:rsid w:val="00B07958"/>
    <w:rsid w:val="00B15400"/>
    <w:rsid w:val="00B2133D"/>
    <w:rsid w:val="00B249E9"/>
    <w:rsid w:val="00B3139C"/>
    <w:rsid w:val="00B31F2A"/>
    <w:rsid w:val="00B44075"/>
    <w:rsid w:val="00B45604"/>
    <w:rsid w:val="00B462E1"/>
    <w:rsid w:val="00B57512"/>
    <w:rsid w:val="00B6026E"/>
    <w:rsid w:val="00B67196"/>
    <w:rsid w:val="00B674E5"/>
    <w:rsid w:val="00B67C51"/>
    <w:rsid w:val="00B72E00"/>
    <w:rsid w:val="00B73D3D"/>
    <w:rsid w:val="00B74E87"/>
    <w:rsid w:val="00B75DDD"/>
    <w:rsid w:val="00B822B5"/>
    <w:rsid w:val="00B824A9"/>
    <w:rsid w:val="00B8785E"/>
    <w:rsid w:val="00B94A1F"/>
    <w:rsid w:val="00BA31A1"/>
    <w:rsid w:val="00BA3A8E"/>
    <w:rsid w:val="00BA468C"/>
    <w:rsid w:val="00BA4816"/>
    <w:rsid w:val="00BA600F"/>
    <w:rsid w:val="00BB0443"/>
    <w:rsid w:val="00BB7529"/>
    <w:rsid w:val="00BC5509"/>
    <w:rsid w:val="00BC6163"/>
    <w:rsid w:val="00BD231D"/>
    <w:rsid w:val="00BD26BE"/>
    <w:rsid w:val="00BD4B77"/>
    <w:rsid w:val="00BD5554"/>
    <w:rsid w:val="00BD686A"/>
    <w:rsid w:val="00BF2C6A"/>
    <w:rsid w:val="00C00B0F"/>
    <w:rsid w:val="00C00B3B"/>
    <w:rsid w:val="00C01C59"/>
    <w:rsid w:val="00C120D2"/>
    <w:rsid w:val="00C1622F"/>
    <w:rsid w:val="00C30C4D"/>
    <w:rsid w:val="00C31DEF"/>
    <w:rsid w:val="00C322D0"/>
    <w:rsid w:val="00C33B10"/>
    <w:rsid w:val="00C33C5A"/>
    <w:rsid w:val="00C375ED"/>
    <w:rsid w:val="00C41D3A"/>
    <w:rsid w:val="00C500C9"/>
    <w:rsid w:val="00C535D4"/>
    <w:rsid w:val="00C53D1E"/>
    <w:rsid w:val="00C545A9"/>
    <w:rsid w:val="00C62D17"/>
    <w:rsid w:val="00C6304F"/>
    <w:rsid w:val="00C64C05"/>
    <w:rsid w:val="00C660AB"/>
    <w:rsid w:val="00C76C2D"/>
    <w:rsid w:val="00C81CA7"/>
    <w:rsid w:val="00C82C72"/>
    <w:rsid w:val="00C8646E"/>
    <w:rsid w:val="00CA126A"/>
    <w:rsid w:val="00CA1E2F"/>
    <w:rsid w:val="00CA6077"/>
    <w:rsid w:val="00CB3766"/>
    <w:rsid w:val="00CB6E7C"/>
    <w:rsid w:val="00CB7233"/>
    <w:rsid w:val="00CC0AEC"/>
    <w:rsid w:val="00CC11EF"/>
    <w:rsid w:val="00CC138C"/>
    <w:rsid w:val="00CC6B1C"/>
    <w:rsid w:val="00CD14E2"/>
    <w:rsid w:val="00CD1B04"/>
    <w:rsid w:val="00CD45F6"/>
    <w:rsid w:val="00CE254F"/>
    <w:rsid w:val="00CE2E3C"/>
    <w:rsid w:val="00CE36A1"/>
    <w:rsid w:val="00CE7643"/>
    <w:rsid w:val="00CF2A06"/>
    <w:rsid w:val="00CF2BEB"/>
    <w:rsid w:val="00CF4B23"/>
    <w:rsid w:val="00CF63DA"/>
    <w:rsid w:val="00D02CD1"/>
    <w:rsid w:val="00D046A8"/>
    <w:rsid w:val="00D04A1C"/>
    <w:rsid w:val="00D07F02"/>
    <w:rsid w:val="00D12A03"/>
    <w:rsid w:val="00D14BA2"/>
    <w:rsid w:val="00D259EE"/>
    <w:rsid w:val="00D26460"/>
    <w:rsid w:val="00D33EC5"/>
    <w:rsid w:val="00D34125"/>
    <w:rsid w:val="00D3725C"/>
    <w:rsid w:val="00D37B2A"/>
    <w:rsid w:val="00D452EA"/>
    <w:rsid w:val="00D50C50"/>
    <w:rsid w:val="00D515D5"/>
    <w:rsid w:val="00D55EC6"/>
    <w:rsid w:val="00D61855"/>
    <w:rsid w:val="00D624D5"/>
    <w:rsid w:val="00D626FA"/>
    <w:rsid w:val="00D627E9"/>
    <w:rsid w:val="00D6515A"/>
    <w:rsid w:val="00D65C7F"/>
    <w:rsid w:val="00D663CC"/>
    <w:rsid w:val="00D74978"/>
    <w:rsid w:val="00D76ACD"/>
    <w:rsid w:val="00D83A70"/>
    <w:rsid w:val="00D87168"/>
    <w:rsid w:val="00D87D4F"/>
    <w:rsid w:val="00D90BB7"/>
    <w:rsid w:val="00D91816"/>
    <w:rsid w:val="00D91D5E"/>
    <w:rsid w:val="00DA4C8F"/>
    <w:rsid w:val="00DA78A4"/>
    <w:rsid w:val="00DC2CCC"/>
    <w:rsid w:val="00DE0976"/>
    <w:rsid w:val="00DE2818"/>
    <w:rsid w:val="00DE4D8A"/>
    <w:rsid w:val="00DE66ED"/>
    <w:rsid w:val="00E02AA1"/>
    <w:rsid w:val="00E033B2"/>
    <w:rsid w:val="00E06710"/>
    <w:rsid w:val="00E1012B"/>
    <w:rsid w:val="00E17614"/>
    <w:rsid w:val="00E23E31"/>
    <w:rsid w:val="00E27BE5"/>
    <w:rsid w:val="00E453E7"/>
    <w:rsid w:val="00E52935"/>
    <w:rsid w:val="00E60D22"/>
    <w:rsid w:val="00E62851"/>
    <w:rsid w:val="00E6726C"/>
    <w:rsid w:val="00E7172C"/>
    <w:rsid w:val="00E77EE0"/>
    <w:rsid w:val="00E83253"/>
    <w:rsid w:val="00E8404C"/>
    <w:rsid w:val="00E85798"/>
    <w:rsid w:val="00E8589E"/>
    <w:rsid w:val="00E93FFF"/>
    <w:rsid w:val="00E97BAE"/>
    <w:rsid w:val="00EA371D"/>
    <w:rsid w:val="00EB6D5F"/>
    <w:rsid w:val="00EB6D98"/>
    <w:rsid w:val="00EB7667"/>
    <w:rsid w:val="00EC4AA4"/>
    <w:rsid w:val="00ED36C6"/>
    <w:rsid w:val="00ED4EF2"/>
    <w:rsid w:val="00ED6D97"/>
    <w:rsid w:val="00EE3502"/>
    <w:rsid w:val="00EE6561"/>
    <w:rsid w:val="00EF77F2"/>
    <w:rsid w:val="00EF787A"/>
    <w:rsid w:val="00F057B6"/>
    <w:rsid w:val="00F07EA6"/>
    <w:rsid w:val="00F110F9"/>
    <w:rsid w:val="00F13E13"/>
    <w:rsid w:val="00F144F4"/>
    <w:rsid w:val="00F160A4"/>
    <w:rsid w:val="00F16669"/>
    <w:rsid w:val="00F239B3"/>
    <w:rsid w:val="00F24B93"/>
    <w:rsid w:val="00F26B39"/>
    <w:rsid w:val="00F26D17"/>
    <w:rsid w:val="00F3366A"/>
    <w:rsid w:val="00F355C2"/>
    <w:rsid w:val="00F41320"/>
    <w:rsid w:val="00F4244C"/>
    <w:rsid w:val="00F43778"/>
    <w:rsid w:val="00F43C26"/>
    <w:rsid w:val="00F468A2"/>
    <w:rsid w:val="00F66DBE"/>
    <w:rsid w:val="00F66F44"/>
    <w:rsid w:val="00F71D36"/>
    <w:rsid w:val="00F73C7C"/>
    <w:rsid w:val="00F8355E"/>
    <w:rsid w:val="00F87F12"/>
    <w:rsid w:val="00F87FB3"/>
    <w:rsid w:val="00F9336F"/>
    <w:rsid w:val="00F96C93"/>
    <w:rsid w:val="00FA3B9D"/>
    <w:rsid w:val="00FA43C9"/>
    <w:rsid w:val="00FB0EA8"/>
    <w:rsid w:val="00FB3925"/>
    <w:rsid w:val="00FB4727"/>
    <w:rsid w:val="00FB6136"/>
    <w:rsid w:val="00FB6908"/>
    <w:rsid w:val="00FC00C3"/>
    <w:rsid w:val="00FC2672"/>
    <w:rsid w:val="00FC612D"/>
    <w:rsid w:val="00FC7617"/>
    <w:rsid w:val="00FD18B1"/>
    <w:rsid w:val="00FD1AC7"/>
    <w:rsid w:val="00FD3DA7"/>
    <w:rsid w:val="00FD7575"/>
    <w:rsid w:val="00FE4ABC"/>
    <w:rsid w:val="00FF0430"/>
    <w:rsid w:val="00FF20BE"/>
    <w:rsid w:val="00FF3D8D"/>
    <w:rsid w:val="00FF5FA3"/>
    <w:rsid w:val="00FF63C4"/>
    <w:rsid w:val="00FF79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A556541"/>
  <w15:docId w15:val="{D1675F12-A72D-4554-B293-AFB3F922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521685"/>
  </w:style>
  <w:style w:type="paragraph" w:styleId="Heading1">
    <w:name w:val="heading 1"/>
    <w:basedOn w:val="Normal"/>
    <w:next w:val="Normal"/>
    <w:link w:val="Heading1Char"/>
    <w:uiPriority w:val="9"/>
    <w:qFormat/>
    <w:rsid w:val="000503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3F084F"/>
    <w:pPr>
      <w:keepNext/>
      <w:keepLines/>
      <w:numPr>
        <w:ilvl w:val="1"/>
        <w:numId w:val="6"/>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F084F"/>
    <w:pPr>
      <w:keepNext/>
      <w:keepLines/>
      <w:numPr>
        <w:ilvl w:val="2"/>
        <w:numId w:val="6"/>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F084F"/>
    <w:pPr>
      <w:keepNext/>
      <w:keepLines/>
      <w:numPr>
        <w:ilvl w:val="3"/>
        <w:numId w:val="6"/>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F084F"/>
    <w:pPr>
      <w:keepNext/>
      <w:keepLines/>
      <w:numPr>
        <w:ilvl w:val="4"/>
        <w:numId w:val="6"/>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F084F"/>
    <w:pPr>
      <w:keepNext/>
      <w:keepLines/>
      <w:numPr>
        <w:ilvl w:val="5"/>
        <w:numId w:val="6"/>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3F084F"/>
    <w:pPr>
      <w:keepNext/>
      <w:keepLines/>
      <w:numPr>
        <w:ilvl w:val="6"/>
        <w:numId w:val="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F084F"/>
    <w:pPr>
      <w:keepNext/>
      <w:keepLines/>
      <w:numPr>
        <w:ilvl w:val="7"/>
        <w:numId w:val="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F084F"/>
    <w:pPr>
      <w:keepNext/>
      <w:keepLines/>
      <w:numPr>
        <w:ilvl w:val="8"/>
        <w:numId w:val="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Texto nota pie IIRSA,FOOTNOTES,single space,footnote text,Footnote Text Char Char,footnote,Texto de rodapé,nota_rodapé,nota de rodapé,texto de nota al pie,Texto nota pie Car Car Car Car Car Car Car Car,foottextfra,F,foottextf,Geneva 9"/>
    <w:basedOn w:val="Normal"/>
    <w:link w:val="FootnoteTextChar"/>
    <w:uiPriority w:val="99"/>
    <w:unhideWhenUsed/>
    <w:rsid w:val="0064148C"/>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nota pie IIRSA Char,FOOTNOTES Char,single space Char,footnote text Char,Footnote Text Char Char Char,footnote Char,Texto de rodapé Char,nota_rodapé Char,nota de rodapé Char,texto de nota al pie Char,foottextfra Char"/>
    <w:basedOn w:val="DefaultParagraphFont"/>
    <w:link w:val="FootnoteText"/>
    <w:uiPriority w:val="99"/>
    <w:rsid w:val="0064148C"/>
    <w:rPr>
      <w:rFonts w:ascii="Times New Roman" w:hAnsi="Times New Roman" w:cs="Times New Roman"/>
      <w:spacing w:val="-3"/>
      <w:sz w:val="20"/>
      <w:szCs w:val="20"/>
    </w:rPr>
  </w:style>
  <w:style w:type="character" w:styleId="FootnoteReference">
    <w:name w:val="footnote reference"/>
    <w:aliases w:val="FC,ftref,Ref,de nota al pie,16 Point,Superscript 6 Point,(Ref. de nota al pie),titulo 2,Texto nota al pie,referencia nota al pie,Footnote Reference Number,Footnote Reference_LVL6,Footnote Reference_LVL61,Footnote Reference_LVL62"/>
    <w:uiPriority w:val="99"/>
    <w:unhideWhenUsed/>
    <w:rsid w:val="0064148C"/>
    <w:rPr>
      <w:vertAlign w:val="superscript"/>
    </w:rPr>
  </w:style>
  <w:style w:type="paragraph" w:styleId="ListParagraph">
    <w:name w:val="List Paragraph"/>
    <w:basedOn w:val="Normal"/>
    <w:link w:val="ListParagraphChar"/>
    <w:uiPriority w:val="34"/>
    <w:qFormat/>
    <w:rsid w:val="007100D7"/>
    <w:pPr>
      <w:ind w:left="720"/>
      <w:contextualSpacing/>
    </w:pPr>
  </w:style>
  <w:style w:type="table" w:styleId="TableGrid">
    <w:name w:val="Table Grid"/>
    <w:basedOn w:val="TableNormal"/>
    <w:uiPriority w:val="59"/>
    <w:rsid w:val="006F56E0"/>
    <w:pPr>
      <w:spacing w:after="0"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C3A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3AE0"/>
    <w:rPr>
      <w:rFonts w:ascii="Tahoma" w:hAnsi="Tahoma" w:cs="Tahoma"/>
      <w:sz w:val="16"/>
      <w:szCs w:val="16"/>
    </w:rPr>
  </w:style>
  <w:style w:type="character" w:styleId="CommentReference">
    <w:name w:val="annotation reference"/>
    <w:basedOn w:val="DefaultParagraphFont"/>
    <w:uiPriority w:val="99"/>
    <w:unhideWhenUsed/>
    <w:rsid w:val="00AA694A"/>
    <w:rPr>
      <w:sz w:val="16"/>
      <w:szCs w:val="16"/>
    </w:rPr>
  </w:style>
  <w:style w:type="paragraph" w:styleId="CommentText">
    <w:name w:val="annotation text"/>
    <w:basedOn w:val="Normal"/>
    <w:link w:val="CommentTextChar"/>
    <w:uiPriority w:val="99"/>
    <w:semiHidden/>
    <w:unhideWhenUsed/>
    <w:rsid w:val="00AA694A"/>
    <w:pPr>
      <w:spacing w:line="240" w:lineRule="auto"/>
    </w:pPr>
    <w:rPr>
      <w:sz w:val="20"/>
      <w:szCs w:val="20"/>
    </w:rPr>
  </w:style>
  <w:style w:type="character" w:customStyle="1" w:styleId="CommentTextChar">
    <w:name w:val="Comment Text Char"/>
    <w:basedOn w:val="DefaultParagraphFont"/>
    <w:link w:val="CommentText"/>
    <w:uiPriority w:val="99"/>
    <w:semiHidden/>
    <w:rsid w:val="00AA694A"/>
    <w:rPr>
      <w:sz w:val="20"/>
      <w:szCs w:val="20"/>
    </w:rPr>
  </w:style>
  <w:style w:type="paragraph" w:styleId="CommentSubject">
    <w:name w:val="annotation subject"/>
    <w:basedOn w:val="CommentText"/>
    <w:next w:val="CommentText"/>
    <w:link w:val="CommentSubjectChar"/>
    <w:uiPriority w:val="99"/>
    <w:semiHidden/>
    <w:unhideWhenUsed/>
    <w:rsid w:val="00AA694A"/>
    <w:rPr>
      <w:b/>
      <w:bCs/>
    </w:rPr>
  </w:style>
  <w:style w:type="character" w:customStyle="1" w:styleId="CommentSubjectChar">
    <w:name w:val="Comment Subject Char"/>
    <w:basedOn w:val="CommentTextChar"/>
    <w:link w:val="CommentSubject"/>
    <w:uiPriority w:val="99"/>
    <w:semiHidden/>
    <w:rsid w:val="00AA694A"/>
    <w:rPr>
      <w:b/>
      <w:bCs/>
      <w:sz w:val="20"/>
      <w:szCs w:val="20"/>
    </w:rPr>
  </w:style>
  <w:style w:type="character" w:styleId="Hyperlink">
    <w:name w:val="Hyperlink"/>
    <w:rsid w:val="00A12706"/>
    <w:rPr>
      <w:color w:val="0000FF"/>
      <w:u w:val="single"/>
    </w:rPr>
  </w:style>
  <w:style w:type="paragraph" w:customStyle="1" w:styleId="Chapter">
    <w:name w:val="Chapter"/>
    <w:basedOn w:val="Normal"/>
    <w:next w:val="Normal"/>
    <w:link w:val="ChapterChar"/>
    <w:rsid w:val="003F084F"/>
    <w:pPr>
      <w:keepNext/>
      <w:numPr>
        <w:numId w:val="6"/>
      </w:numPr>
      <w:tabs>
        <w:tab w:val="num" w:pos="648"/>
        <w:tab w:val="left" w:pos="1440"/>
      </w:tabs>
      <w:spacing w:before="240" w:after="240" w:line="240" w:lineRule="auto"/>
      <w:ind w:left="0" w:firstLine="288"/>
      <w:jc w:val="center"/>
    </w:pPr>
    <w:rPr>
      <w:rFonts w:ascii="Times New Roman" w:eastAsia="Times New Roman" w:hAnsi="Times New Roman" w:cs="Times New Roman"/>
      <w:b/>
      <w:smallCaps/>
      <w:sz w:val="24"/>
      <w:szCs w:val="20"/>
    </w:rPr>
  </w:style>
  <w:style w:type="character" w:customStyle="1" w:styleId="ChapterChar">
    <w:name w:val="Chapter Char"/>
    <w:basedOn w:val="DefaultParagraphFont"/>
    <w:link w:val="Chapter"/>
    <w:rsid w:val="003F084F"/>
    <w:rPr>
      <w:rFonts w:ascii="Times New Roman" w:eastAsia="Times New Roman" w:hAnsi="Times New Roman" w:cs="Times New Roman"/>
      <w:b/>
      <w:smallCaps/>
      <w:sz w:val="24"/>
      <w:szCs w:val="20"/>
    </w:rPr>
  </w:style>
  <w:style w:type="paragraph" w:customStyle="1" w:styleId="FirstHeading">
    <w:name w:val="FirstHeading"/>
    <w:basedOn w:val="Normal"/>
    <w:next w:val="Normal"/>
    <w:link w:val="FirstHeadingChar"/>
    <w:rsid w:val="003F084F"/>
    <w:pPr>
      <w:keepNext/>
      <w:tabs>
        <w:tab w:val="left" w:pos="0"/>
        <w:tab w:val="left" w:pos="86"/>
      </w:tabs>
      <w:spacing w:before="120" w:after="120" w:line="240" w:lineRule="auto"/>
      <w:ind w:left="720" w:hanging="720"/>
    </w:pPr>
    <w:rPr>
      <w:rFonts w:ascii="Times New Roman" w:eastAsia="Times New Roman" w:hAnsi="Times New Roman" w:cs="Times New Roman"/>
      <w:b/>
      <w:sz w:val="24"/>
      <w:szCs w:val="20"/>
    </w:rPr>
  </w:style>
  <w:style w:type="character" w:customStyle="1" w:styleId="FirstHeadingChar">
    <w:name w:val="FirstHeading Char"/>
    <w:basedOn w:val="DefaultParagraphFont"/>
    <w:link w:val="FirstHeading"/>
    <w:rsid w:val="003F084F"/>
    <w:rPr>
      <w:rFonts w:ascii="Times New Roman" w:eastAsia="Times New Roman" w:hAnsi="Times New Roman" w:cs="Times New Roman"/>
      <w:b/>
      <w:sz w:val="24"/>
      <w:szCs w:val="20"/>
    </w:rPr>
  </w:style>
  <w:style w:type="paragraph" w:customStyle="1" w:styleId="SecHeading">
    <w:name w:val="SecHeading"/>
    <w:basedOn w:val="Normal"/>
    <w:next w:val="Paragraph"/>
    <w:link w:val="SecHeadingChar"/>
    <w:rsid w:val="003F084F"/>
    <w:pPr>
      <w:keepNext/>
      <w:tabs>
        <w:tab w:val="num" w:pos="1296"/>
      </w:tabs>
      <w:spacing w:before="120" w:after="120" w:line="240" w:lineRule="auto"/>
      <w:ind w:left="1296" w:hanging="576"/>
    </w:pPr>
    <w:rPr>
      <w:rFonts w:ascii="Times New Roman" w:eastAsia="Times New Roman" w:hAnsi="Times New Roman" w:cs="Times New Roman"/>
      <w:b/>
      <w:sz w:val="24"/>
      <w:szCs w:val="20"/>
    </w:rPr>
  </w:style>
  <w:style w:type="character" w:customStyle="1" w:styleId="SecHeadingChar">
    <w:name w:val="SecHeading Char"/>
    <w:basedOn w:val="DefaultParagraphFont"/>
    <w:link w:val="SecHeading"/>
    <w:rsid w:val="003F084F"/>
    <w:rPr>
      <w:rFonts w:ascii="Times New Roman" w:eastAsia="Times New Roman" w:hAnsi="Times New Roman" w:cs="Times New Roman"/>
      <w:b/>
      <w:sz w:val="24"/>
      <w:szCs w:val="20"/>
    </w:rPr>
  </w:style>
  <w:style w:type="paragraph" w:customStyle="1" w:styleId="SubHeading1">
    <w:name w:val="SubHeading1"/>
    <w:basedOn w:val="SecHeading"/>
    <w:link w:val="SubHeading1Char"/>
    <w:rsid w:val="003F084F"/>
    <w:pPr>
      <w:tabs>
        <w:tab w:val="clear" w:pos="1296"/>
        <w:tab w:val="num" w:pos="1872"/>
      </w:tabs>
      <w:ind w:left="1872"/>
    </w:pPr>
  </w:style>
  <w:style w:type="character" w:customStyle="1" w:styleId="SubHeading1Char">
    <w:name w:val="SubHeading1 Char"/>
    <w:basedOn w:val="DefaultParagraphFont"/>
    <w:link w:val="SubHeading1"/>
    <w:rsid w:val="003F084F"/>
    <w:rPr>
      <w:rFonts w:ascii="Times New Roman" w:eastAsia="Times New Roman" w:hAnsi="Times New Roman" w:cs="Times New Roman"/>
      <w:b/>
      <w:sz w:val="24"/>
      <w:szCs w:val="20"/>
    </w:rPr>
  </w:style>
  <w:style w:type="paragraph" w:customStyle="1" w:styleId="Subheading2">
    <w:name w:val="Subheading2"/>
    <w:basedOn w:val="SecHeading"/>
    <w:link w:val="Subheading2Char"/>
    <w:rsid w:val="003F084F"/>
    <w:pPr>
      <w:tabs>
        <w:tab w:val="clear" w:pos="1296"/>
        <w:tab w:val="num" w:pos="2376"/>
      </w:tabs>
      <w:ind w:left="2376" w:hanging="288"/>
    </w:pPr>
  </w:style>
  <w:style w:type="character" w:customStyle="1" w:styleId="Subheading2Char">
    <w:name w:val="Subheading2 Char"/>
    <w:basedOn w:val="DefaultParagraphFont"/>
    <w:link w:val="Subheading2"/>
    <w:rsid w:val="003F084F"/>
    <w:rPr>
      <w:rFonts w:ascii="Times New Roman" w:eastAsia="Times New Roman" w:hAnsi="Times New Roman" w:cs="Times New Roman"/>
      <w:b/>
      <w:sz w:val="24"/>
      <w:szCs w:val="20"/>
    </w:rPr>
  </w:style>
  <w:style w:type="paragraph" w:customStyle="1" w:styleId="Paragraph">
    <w:name w:val="Paragraph"/>
    <w:aliases w:val="paragraph,p,PARAGRAPH,PG,pa,at"/>
    <w:basedOn w:val="BodyTextIndent"/>
    <w:link w:val="ParagraphChar"/>
    <w:uiPriority w:val="99"/>
    <w:qFormat/>
    <w:rsid w:val="003F084F"/>
    <w:pPr>
      <w:tabs>
        <w:tab w:val="num" w:pos="720"/>
      </w:tabs>
      <w:spacing w:before="120"/>
      <w:ind w:left="720" w:hanging="720"/>
      <w:jc w:val="both"/>
      <w:outlineLvl w:val="1"/>
    </w:pPr>
    <w:rPr>
      <w:rFonts w:eastAsia="Times New Roman"/>
      <w:szCs w:val="20"/>
    </w:rPr>
  </w:style>
  <w:style w:type="character" w:customStyle="1" w:styleId="ParagraphChar">
    <w:name w:val="Paragraph Char"/>
    <w:basedOn w:val="DefaultParagraphFont"/>
    <w:link w:val="Paragraph"/>
    <w:uiPriority w:val="99"/>
    <w:rsid w:val="003F084F"/>
    <w:rPr>
      <w:rFonts w:ascii="Times New Roman" w:eastAsia="Times New Roman" w:hAnsi="Times New Roman" w:cs="Times New Roman"/>
      <w:sz w:val="24"/>
      <w:szCs w:val="20"/>
    </w:rPr>
  </w:style>
  <w:style w:type="paragraph" w:customStyle="1" w:styleId="subpar">
    <w:name w:val="subpar"/>
    <w:basedOn w:val="BodyTextIndent3"/>
    <w:link w:val="subparChar"/>
    <w:uiPriority w:val="99"/>
    <w:rsid w:val="003F084F"/>
    <w:pPr>
      <w:tabs>
        <w:tab w:val="num" w:pos="1152"/>
      </w:tabs>
      <w:spacing w:before="120"/>
      <w:ind w:left="1152" w:hanging="432"/>
      <w:jc w:val="both"/>
      <w:outlineLvl w:val="2"/>
    </w:pPr>
    <w:rPr>
      <w:rFonts w:eastAsia="Times New Roman"/>
      <w:szCs w:val="20"/>
    </w:rPr>
  </w:style>
  <w:style w:type="character" w:customStyle="1" w:styleId="subparChar">
    <w:name w:val="subpar Char"/>
    <w:basedOn w:val="DefaultParagraphFont"/>
    <w:link w:val="subpar"/>
    <w:rsid w:val="003F084F"/>
    <w:rPr>
      <w:rFonts w:ascii="Times New Roman" w:eastAsia="Times New Roman" w:hAnsi="Times New Roman" w:cs="Times New Roman"/>
      <w:sz w:val="24"/>
      <w:szCs w:val="20"/>
    </w:rPr>
  </w:style>
  <w:style w:type="paragraph" w:customStyle="1" w:styleId="SubSubPar">
    <w:name w:val="SubSubPar"/>
    <w:basedOn w:val="subpar"/>
    <w:link w:val="SubSubParChar"/>
    <w:uiPriority w:val="99"/>
    <w:rsid w:val="003F084F"/>
    <w:pPr>
      <w:tabs>
        <w:tab w:val="left" w:pos="0"/>
        <w:tab w:val="num" w:pos="1296"/>
      </w:tabs>
      <w:ind w:left="1296" w:hanging="288"/>
    </w:pPr>
  </w:style>
  <w:style w:type="character" w:customStyle="1" w:styleId="SubSubParChar">
    <w:name w:val="SubSubPar Char"/>
    <w:basedOn w:val="DefaultParagraphFont"/>
    <w:link w:val="SubSubPar"/>
    <w:rsid w:val="003F084F"/>
    <w:rPr>
      <w:rFonts w:ascii="Times New Roman" w:eastAsia="Times New Roman" w:hAnsi="Times New Roman" w:cs="Times New Roman"/>
      <w:sz w:val="24"/>
      <w:szCs w:val="20"/>
    </w:rPr>
  </w:style>
  <w:style w:type="paragraph" w:customStyle="1" w:styleId="Regtable">
    <w:name w:val="Regtable"/>
    <w:basedOn w:val="Normal"/>
    <w:link w:val="RegtableChar"/>
    <w:rsid w:val="003F084F"/>
    <w:pPr>
      <w:keepLines/>
      <w:framePr w:wrap="around" w:vAnchor="text" w:hAnchor="text" w:y="1"/>
      <w:spacing w:before="20" w:after="20" w:line="240" w:lineRule="auto"/>
    </w:pPr>
    <w:rPr>
      <w:rFonts w:ascii="Times New Roman" w:eastAsia="Times New Roman" w:hAnsi="Times New Roman" w:cs="Times New Roman"/>
      <w:sz w:val="20"/>
      <w:szCs w:val="20"/>
    </w:rPr>
  </w:style>
  <w:style w:type="character" w:customStyle="1" w:styleId="RegtableChar">
    <w:name w:val="Regtable Char"/>
    <w:basedOn w:val="DefaultParagraphFont"/>
    <w:link w:val="Regtable"/>
    <w:rsid w:val="003F084F"/>
    <w:rPr>
      <w:rFonts w:ascii="Times New Roman" w:eastAsia="Times New Roman" w:hAnsi="Times New Roman" w:cs="Times New Roman"/>
      <w:sz w:val="20"/>
      <w:szCs w:val="20"/>
    </w:rPr>
  </w:style>
  <w:style w:type="paragraph" w:customStyle="1" w:styleId="TableTitle">
    <w:name w:val="TableTitle"/>
    <w:basedOn w:val="Normal"/>
    <w:link w:val="TableTitleChar"/>
    <w:rsid w:val="003F084F"/>
    <w:pPr>
      <w:keepNext/>
      <w:framePr w:wrap="around" w:vAnchor="text" w:hAnchor="text" w:y="1"/>
      <w:spacing w:before="20" w:after="20" w:line="240" w:lineRule="auto"/>
      <w:jc w:val="center"/>
    </w:pPr>
    <w:rPr>
      <w:rFonts w:ascii="Times New Roman Bold" w:eastAsia="Times New Roman" w:hAnsi="Times New Roman Bold" w:cs="Times New Roman"/>
      <w:b/>
      <w:spacing w:val="-3"/>
      <w:sz w:val="20"/>
      <w:szCs w:val="20"/>
    </w:rPr>
  </w:style>
  <w:style w:type="character" w:customStyle="1" w:styleId="TableTitleChar">
    <w:name w:val="TableTitle Char"/>
    <w:basedOn w:val="DefaultParagraphFont"/>
    <w:link w:val="TableTitle"/>
    <w:rsid w:val="003F084F"/>
    <w:rPr>
      <w:rFonts w:ascii="Times New Roman Bold" w:eastAsia="Times New Roman" w:hAnsi="Times New Roman Bold" w:cs="Times New Roman"/>
      <w:b/>
      <w:spacing w:val="-3"/>
      <w:sz w:val="20"/>
      <w:szCs w:val="20"/>
    </w:rPr>
  </w:style>
  <w:style w:type="character" w:customStyle="1" w:styleId="Heading2Char">
    <w:name w:val="Heading 2 Char"/>
    <w:basedOn w:val="DefaultParagraphFont"/>
    <w:link w:val="Heading2"/>
    <w:uiPriority w:val="9"/>
    <w:semiHidden/>
    <w:rsid w:val="003F084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3F084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3F084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3F084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3F084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3F084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F084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F084F"/>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3F084F"/>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3F084F"/>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3F084F"/>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3F084F"/>
    <w:rPr>
      <w:rFonts w:ascii="Times New Roman" w:hAnsi="Times New Roman" w:cs="Times New Roman"/>
      <w:sz w:val="24"/>
      <w:szCs w:val="16"/>
    </w:rPr>
  </w:style>
  <w:style w:type="paragraph" w:styleId="BodyText3">
    <w:name w:val="Body Text 3"/>
    <w:basedOn w:val="Normal"/>
    <w:link w:val="BodyText3Char"/>
    <w:uiPriority w:val="99"/>
    <w:semiHidden/>
    <w:unhideWhenUsed/>
    <w:rsid w:val="0094269D"/>
    <w:pPr>
      <w:spacing w:after="120"/>
    </w:pPr>
    <w:rPr>
      <w:sz w:val="16"/>
      <w:szCs w:val="16"/>
    </w:rPr>
  </w:style>
  <w:style w:type="character" w:customStyle="1" w:styleId="BodyText3Char">
    <w:name w:val="Body Text 3 Char"/>
    <w:basedOn w:val="DefaultParagraphFont"/>
    <w:link w:val="BodyText3"/>
    <w:uiPriority w:val="99"/>
    <w:semiHidden/>
    <w:rsid w:val="0094269D"/>
    <w:rPr>
      <w:sz w:val="16"/>
      <w:szCs w:val="16"/>
    </w:rPr>
  </w:style>
  <w:style w:type="paragraph" w:styleId="Caption">
    <w:name w:val="caption"/>
    <w:aliases w:val="GRÁFICOS,CUADROS"/>
    <w:basedOn w:val="Normal"/>
    <w:next w:val="Normal"/>
    <w:link w:val="CaptionChar"/>
    <w:unhideWhenUsed/>
    <w:qFormat/>
    <w:rsid w:val="00B3139C"/>
    <w:pPr>
      <w:spacing w:line="240" w:lineRule="auto"/>
    </w:pPr>
    <w:rPr>
      <w:b/>
      <w:bCs/>
      <w:color w:val="4F81BD" w:themeColor="accent1"/>
      <w:sz w:val="18"/>
      <w:szCs w:val="18"/>
    </w:rPr>
  </w:style>
  <w:style w:type="character" w:customStyle="1" w:styleId="apple-converted-space">
    <w:name w:val="apple-converted-space"/>
    <w:basedOn w:val="DefaultParagraphFont"/>
    <w:rsid w:val="001738CD"/>
  </w:style>
  <w:style w:type="character" w:customStyle="1" w:styleId="CaptionChar">
    <w:name w:val="Caption Char"/>
    <w:aliases w:val="GRÁFICOS Char,CUADROS Char"/>
    <w:link w:val="Caption"/>
    <w:locked/>
    <w:rsid w:val="0068437A"/>
    <w:rPr>
      <w:b/>
      <w:bCs/>
      <w:color w:val="4F81BD" w:themeColor="accent1"/>
      <w:sz w:val="18"/>
      <w:szCs w:val="18"/>
    </w:rPr>
  </w:style>
  <w:style w:type="character" w:customStyle="1" w:styleId="ParagraphCar1">
    <w:name w:val="Paragraph Car1"/>
    <w:uiPriority w:val="99"/>
    <w:locked/>
    <w:rsid w:val="0068437A"/>
    <w:rPr>
      <w:sz w:val="24"/>
      <w:lang w:val="es-ES_tradnl"/>
    </w:rPr>
  </w:style>
  <w:style w:type="character" w:styleId="Emphasis">
    <w:name w:val="Emphasis"/>
    <w:basedOn w:val="DefaultParagraphFont"/>
    <w:uiPriority w:val="20"/>
    <w:qFormat/>
    <w:rsid w:val="00F43C26"/>
    <w:rPr>
      <w:i/>
      <w:iCs/>
    </w:rPr>
  </w:style>
  <w:style w:type="character" w:customStyle="1" w:styleId="pullquote-right">
    <w:name w:val="pullquote-right"/>
    <w:basedOn w:val="DefaultParagraphFont"/>
    <w:rsid w:val="00D626FA"/>
  </w:style>
  <w:style w:type="paragraph" w:styleId="HTMLPreformatted">
    <w:name w:val="HTML Preformatted"/>
    <w:basedOn w:val="Normal"/>
    <w:link w:val="HTMLPreformattedChar"/>
    <w:uiPriority w:val="99"/>
    <w:unhideWhenUsed/>
    <w:rsid w:val="006F6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6F6182"/>
    <w:rPr>
      <w:rFonts w:ascii="Courier New" w:eastAsia="Times New Roman" w:hAnsi="Courier New" w:cs="Courier New"/>
      <w:sz w:val="20"/>
      <w:szCs w:val="20"/>
    </w:rPr>
  </w:style>
  <w:style w:type="paragraph" w:styleId="Header">
    <w:name w:val="header"/>
    <w:basedOn w:val="Normal"/>
    <w:link w:val="HeaderChar"/>
    <w:uiPriority w:val="99"/>
    <w:unhideWhenUsed/>
    <w:rsid w:val="007138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380A"/>
  </w:style>
  <w:style w:type="paragraph" w:styleId="Footer">
    <w:name w:val="footer"/>
    <w:basedOn w:val="Normal"/>
    <w:link w:val="FooterChar"/>
    <w:uiPriority w:val="99"/>
    <w:unhideWhenUsed/>
    <w:rsid w:val="007138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380A"/>
  </w:style>
  <w:style w:type="character" w:customStyle="1" w:styleId="ListParagraphChar">
    <w:name w:val="List Paragraph Char"/>
    <w:basedOn w:val="DefaultParagraphFont"/>
    <w:link w:val="ListParagraph"/>
    <w:uiPriority w:val="34"/>
    <w:rsid w:val="00F71D36"/>
  </w:style>
  <w:style w:type="character" w:styleId="FollowedHyperlink">
    <w:name w:val="FollowedHyperlink"/>
    <w:basedOn w:val="DefaultParagraphFont"/>
    <w:uiPriority w:val="99"/>
    <w:semiHidden/>
    <w:unhideWhenUsed/>
    <w:rsid w:val="00395548"/>
    <w:rPr>
      <w:color w:val="800080" w:themeColor="followedHyperlink"/>
      <w:u w:val="single"/>
    </w:rPr>
  </w:style>
  <w:style w:type="paragraph" w:styleId="NormalWeb">
    <w:name w:val="Normal (Web)"/>
    <w:basedOn w:val="Normal"/>
    <w:uiPriority w:val="99"/>
    <w:unhideWhenUsed/>
    <w:rsid w:val="00F66D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050395"/>
    <w:rPr>
      <w:rFonts w:asciiTheme="majorHAnsi" w:eastAsiaTheme="majorEastAsia" w:hAnsiTheme="majorHAnsi" w:cstheme="majorBidi"/>
      <w:b/>
      <w:bCs/>
      <w:color w:val="365F91" w:themeColor="accent1" w:themeShade="BF"/>
      <w:sz w:val="28"/>
      <w:szCs w:val="28"/>
    </w:rPr>
  </w:style>
  <w:style w:type="paragraph" w:styleId="ListBullet">
    <w:name w:val="List Bullet"/>
    <w:basedOn w:val="Normal"/>
    <w:uiPriority w:val="99"/>
    <w:unhideWhenUsed/>
    <w:rsid w:val="000E0781"/>
    <w:pPr>
      <w:numPr>
        <w:numId w:val="19"/>
      </w:numPr>
      <w:contextualSpacing/>
    </w:pPr>
  </w:style>
  <w:style w:type="paragraph" w:styleId="Revision">
    <w:name w:val="Revision"/>
    <w:hidden/>
    <w:uiPriority w:val="99"/>
    <w:semiHidden/>
    <w:rsid w:val="006F2023"/>
    <w:pPr>
      <w:spacing w:after="0" w:line="240" w:lineRule="auto"/>
    </w:pPr>
  </w:style>
  <w:style w:type="paragraph" w:styleId="Subtitle">
    <w:name w:val="Subtitle"/>
    <w:aliases w:val="TITULO 2"/>
    <w:basedOn w:val="Normal"/>
    <w:next w:val="Normal"/>
    <w:link w:val="SubtitleChar"/>
    <w:qFormat/>
    <w:rsid w:val="00AF5421"/>
    <w:pPr>
      <w:spacing w:after="60" w:line="240" w:lineRule="auto"/>
      <w:outlineLvl w:val="1"/>
    </w:pPr>
    <w:rPr>
      <w:rFonts w:ascii="Arial Narrow" w:eastAsia="Times New Roman" w:hAnsi="Arial Narrow" w:cs="Times New Roman"/>
      <w:b/>
      <w:i/>
      <w:caps/>
      <w:szCs w:val="24"/>
      <w:lang w:val="es-ES" w:eastAsia="es-ES"/>
    </w:rPr>
  </w:style>
  <w:style w:type="character" w:customStyle="1" w:styleId="SubtitleChar">
    <w:name w:val="Subtitle Char"/>
    <w:aliases w:val="TITULO 2 Char"/>
    <w:basedOn w:val="DefaultParagraphFont"/>
    <w:link w:val="Subtitle"/>
    <w:rsid w:val="00AF5421"/>
    <w:rPr>
      <w:rFonts w:ascii="Arial Narrow" w:eastAsia="Times New Roman" w:hAnsi="Arial Narrow" w:cs="Times New Roman"/>
      <w:b/>
      <w:i/>
      <w:caps/>
      <w:szCs w:val="24"/>
      <w:lang w:val="es-ES" w:eastAsia="es-ES"/>
    </w:rPr>
  </w:style>
  <w:style w:type="paragraph" w:customStyle="1" w:styleId="Default">
    <w:name w:val="Default"/>
    <w:rsid w:val="00303E76"/>
    <w:pPr>
      <w:autoSpaceDE w:val="0"/>
      <w:autoSpaceDN w:val="0"/>
      <w:adjustRightInd w:val="0"/>
      <w:spacing w:after="0" w:line="240" w:lineRule="auto"/>
    </w:pPr>
    <w:rPr>
      <w:rFonts w:ascii="Tahoma" w:eastAsia="Times New Roman" w:hAnsi="Tahoma" w:cs="Tahoma"/>
      <w:color w:val="000000"/>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089937">
      <w:bodyDiv w:val="1"/>
      <w:marLeft w:val="0"/>
      <w:marRight w:val="0"/>
      <w:marTop w:val="0"/>
      <w:marBottom w:val="0"/>
      <w:divBdr>
        <w:top w:val="none" w:sz="0" w:space="0" w:color="auto"/>
        <w:left w:val="none" w:sz="0" w:space="0" w:color="auto"/>
        <w:bottom w:val="none" w:sz="0" w:space="0" w:color="auto"/>
        <w:right w:val="none" w:sz="0" w:space="0" w:color="auto"/>
      </w:divBdr>
      <w:divsChild>
        <w:div w:id="44644847">
          <w:marLeft w:val="0"/>
          <w:marRight w:val="0"/>
          <w:marTop w:val="240"/>
          <w:marBottom w:val="0"/>
          <w:divBdr>
            <w:top w:val="none" w:sz="0" w:space="0" w:color="auto"/>
            <w:left w:val="none" w:sz="0" w:space="0" w:color="auto"/>
            <w:bottom w:val="none" w:sz="0" w:space="0" w:color="auto"/>
            <w:right w:val="none" w:sz="0" w:space="0" w:color="auto"/>
          </w:divBdr>
        </w:div>
      </w:divsChild>
    </w:div>
    <w:div w:id="351684644">
      <w:bodyDiv w:val="1"/>
      <w:marLeft w:val="0"/>
      <w:marRight w:val="0"/>
      <w:marTop w:val="0"/>
      <w:marBottom w:val="0"/>
      <w:divBdr>
        <w:top w:val="none" w:sz="0" w:space="0" w:color="auto"/>
        <w:left w:val="none" w:sz="0" w:space="0" w:color="auto"/>
        <w:bottom w:val="none" w:sz="0" w:space="0" w:color="auto"/>
        <w:right w:val="none" w:sz="0" w:space="0" w:color="auto"/>
      </w:divBdr>
    </w:div>
    <w:div w:id="508568205">
      <w:bodyDiv w:val="1"/>
      <w:marLeft w:val="0"/>
      <w:marRight w:val="0"/>
      <w:marTop w:val="0"/>
      <w:marBottom w:val="0"/>
      <w:divBdr>
        <w:top w:val="none" w:sz="0" w:space="0" w:color="auto"/>
        <w:left w:val="none" w:sz="0" w:space="0" w:color="auto"/>
        <w:bottom w:val="none" w:sz="0" w:space="0" w:color="auto"/>
        <w:right w:val="none" w:sz="0" w:space="0" w:color="auto"/>
      </w:divBdr>
      <w:divsChild>
        <w:div w:id="18836369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5781033">
      <w:bodyDiv w:val="1"/>
      <w:marLeft w:val="0"/>
      <w:marRight w:val="0"/>
      <w:marTop w:val="0"/>
      <w:marBottom w:val="0"/>
      <w:divBdr>
        <w:top w:val="none" w:sz="0" w:space="0" w:color="auto"/>
        <w:left w:val="none" w:sz="0" w:space="0" w:color="auto"/>
        <w:bottom w:val="none" w:sz="0" w:space="0" w:color="auto"/>
        <w:right w:val="none" w:sz="0" w:space="0" w:color="auto"/>
      </w:divBdr>
    </w:div>
    <w:div w:id="620503505">
      <w:bodyDiv w:val="1"/>
      <w:marLeft w:val="0"/>
      <w:marRight w:val="0"/>
      <w:marTop w:val="0"/>
      <w:marBottom w:val="0"/>
      <w:divBdr>
        <w:top w:val="none" w:sz="0" w:space="0" w:color="auto"/>
        <w:left w:val="none" w:sz="0" w:space="0" w:color="auto"/>
        <w:bottom w:val="none" w:sz="0" w:space="0" w:color="auto"/>
        <w:right w:val="none" w:sz="0" w:space="0" w:color="auto"/>
      </w:divBdr>
      <w:divsChild>
        <w:div w:id="906959661">
          <w:marLeft w:val="1267"/>
          <w:marRight w:val="0"/>
          <w:marTop w:val="240"/>
          <w:marBottom w:val="0"/>
          <w:divBdr>
            <w:top w:val="none" w:sz="0" w:space="0" w:color="auto"/>
            <w:left w:val="none" w:sz="0" w:space="0" w:color="auto"/>
            <w:bottom w:val="none" w:sz="0" w:space="0" w:color="auto"/>
            <w:right w:val="none" w:sz="0" w:space="0" w:color="auto"/>
          </w:divBdr>
        </w:div>
      </w:divsChild>
    </w:div>
    <w:div w:id="864171781">
      <w:bodyDiv w:val="1"/>
      <w:marLeft w:val="0"/>
      <w:marRight w:val="0"/>
      <w:marTop w:val="0"/>
      <w:marBottom w:val="0"/>
      <w:divBdr>
        <w:top w:val="none" w:sz="0" w:space="0" w:color="auto"/>
        <w:left w:val="none" w:sz="0" w:space="0" w:color="auto"/>
        <w:bottom w:val="none" w:sz="0" w:space="0" w:color="auto"/>
        <w:right w:val="none" w:sz="0" w:space="0" w:color="auto"/>
      </w:divBdr>
    </w:div>
    <w:div w:id="875041595">
      <w:bodyDiv w:val="1"/>
      <w:marLeft w:val="0"/>
      <w:marRight w:val="0"/>
      <w:marTop w:val="0"/>
      <w:marBottom w:val="0"/>
      <w:divBdr>
        <w:top w:val="none" w:sz="0" w:space="0" w:color="auto"/>
        <w:left w:val="none" w:sz="0" w:space="0" w:color="auto"/>
        <w:bottom w:val="none" w:sz="0" w:space="0" w:color="auto"/>
        <w:right w:val="none" w:sz="0" w:space="0" w:color="auto"/>
      </w:divBdr>
      <w:divsChild>
        <w:div w:id="1115634240">
          <w:marLeft w:val="450"/>
          <w:marRight w:val="0"/>
          <w:marTop w:val="0"/>
          <w:marBottom w:val="0"/>
          <w:divBdr>
            <w:top w:val="none" w:sz="0" w:space="0" w:color="auto"/>
            <w:left w:val="none" w:sz="0" w:space="0" w:color="auto"/>
            <w:bottom w:val="none" w:sz="0" w:space="0" w:color="auto"/>
            <w:right w:val="none" w:sz="0" w:space="0" w:color="auto"/>
          </w:divBdr>
        </w:div>
        <w:div w:id="1449348176">
          <w:marLeft w:val="450"/>
          <w:marRight w:val="0"/>
          <w:marTop w:val="0"/>
          <w:marBottom w:val="0"/>
          <w:divBdr>
            <w:top w:val="none" w:sz="0" w:space="0" w:color="auto"/>
            <w:left w:val="none" w:sz="0" w:space="0" w:color="auto"/>
            <w:bottom w:val="none" w:sz="0" w:space="0" w:color="auto"/>
            <w:right w:val="none" w:sz="0" w:space="0" w:color="auto"/>
          </w:divBdr>
        </w:div>
        <w:div w:id="439567062">
          <w:marLeft w:val="0"/>
          <w:marRight w:val="0"/>
          <w:marTop w:val="0"/>
          <w:marBottom w:val="0"/>
          <w:divBdr>
            <w:top w:val="none" w:sz="0" w:space="0" w:color="auto"/>
            <w:left w:val="none" w:sz="0" w:space="0" w:color="auto"/>
            <w:bottom w:val="none" w:sz="0" w:space="0" w:color="auto"/>
            <w:right w:val="none" w:sz="0" w:space="0" w:color="auto"/>
          </w:divBdr>
          <w:divsChild>
            <w:div w:id="82451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770531">
      <w:bodyDiv w:val="1"/>
      <w:marLeft w:val="0"/>
      <w:marRight w:val="0"/>
      <w:marTop w:val="0"/>
      <w:marBottom w:val="0"/>
      <w:divBdr>
        <w:top w:val="none" w:sz="0" w:space="0" w:color="auto"/>
        <w:left w:val="none" w:sz="0" w:space="0" w:color="auto"/>
        <w:bottom w:val="none" w:sz="0" w:space="0" w:color="auto"/>
        <w:right w:val="none" w:sz="0" w:space="0" w:color="auto"/>
      </w:divBdr>
      <w:divsChild>
        <w:div w:id="1651789094">
          <w:marLeft w:val="547"/>
          <w:marRight w:val="0"/>
          <w:marTop w:val="96"/>
          <w:marBottom w:val="0"/>
          <w:divBdr>
            <w:top w:val="none" w:sz="0" w:space="0" w:color="auto"/>
            <w:left w:val="none" w:sz="0" w:space="0" w:color="auto"/>
            <w:bottom w:val="none" w:sz="0" w:space="0" w:color="auto"/>
            <w:right w:val="none" w:sz="0" w:space="0" w:color="auto"/>
          </w:divBdr>
        </w:div>
      </w:divsChild>
    </w:div>
    <w:div w:id="1259867024">
      <w:bodyDiv w:val="1"/>
      <w:marLeft w:val="0"/>
      <w:marRight w:val="0"/>
      <w:marTop w:val="0"/>
      <w:marBottom w:val="0"/>
      <w:divBdr>
        <w:top w:val="none" w:sz="0" w:space="0" w:color="auto"/>
        <w:left w:val="none" w:sz="0" w:space="0" w:color="auto"/>
        <w:bottom w:val="none" w:sz="0" w:space="0" w:color="auto"/>
        <w:right w:val="none" w:sz="0" w:space="0" w:color="auto"/>
      </w:divBdr>
    </w:div>
    <w:div w:id="1742099786">
      <w:bodyDiv w:val="1"/>
      <w:marLeft w:val="0"/>
      <w:marRight w:val="0"/>
      <w:marTop w:val="0"/>
      <w:marBottom w:val="0"/>
      <w:divBdr>
        <w:top w:val="none" w:sz="0" w:space="0" w:color="auto"/>
        <w:left w:val="none" w:sz="0" w:space="0" w:color="auto"/>
        <w:bottom w:val="none" w:sz="0" w:space="0" w:color="auto"/>
        <w:right w:val="none" w:sz="0" w:space="0" w:color="auto"/>
      </w:divBdr>
    </w:div>
    <w:div w:id="1863200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086DFA-36D6-4D04-9BA9-12EE8B4AE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5</Pages>
  <Words>1607</Words>
  <Characters>9161</Characters>
  <Application>Microsoft Office Word</Application>
  <DocSecurity>0</DocSecurity>
  <Lines>76</Lines>
  <Paragraphs>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10747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Test;NANCYJC@iadb.org</dc:creator>
  <cp:lastModifiedBy>Vanegas, Wilkferg Rico</cp:lastModifiedBy>
  <cp:revision>20</cp:revision>
  <cp:lastPrinted>2016-03-09T22:44:00Z</cp:lastPrinted>
  <dcterms:created xsi:type="dcterms:W3CDTF">2017-05-05T14:36:00Z</dcterms:created>
  <dcterms:modified xsi:type="dcterms:W3CDTF">2017-07-07T16:12:00Z</dcterms:modified>
</cp:coreProperties>
</file>